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widowControl/>
      </w:pPr>
      <w:r>
        <w:rPr>
          <w:rFonts w:ascii="Liberation Sans" w:hAnsi="Liberation Sans"/>
          <w:b/>
          <w:color w:val="17365D"/>
          <w:sz w:val="36"/>
          <w:lang w:val="ru-RU"/>
        </w:rPr>
        <w:t>МОНОГРАФИЯ</w:t>
      </w:r>
    </w:p>
    <w:p>
      <w:pPr>
        <w:spacing w:after="80"/>
        <w:jc w:val="center"/>
        <w:widowControl/>
      </w:pPr>
      <w:r>
        <w:rPr>
          <w:rFonts w:ascii="Liberation Sans" w:hAnsi="Liberation Sans"/>
          <w:b/>
          <w:color w:val="17365D"/>
          <w:sz w:val="50"/>
          <w:lang w:val="ru-RU"/>
        </w:rPr>
        <w:t>БАЗОВЫЙ ПРОЕКТ KLT-RBD</w:t>
      </w:r>
    </w:p>
    <w:p>
      <w:pPr>
        <w:spacing w:after="60"/>
        <w:jc w:val="center"/>
        <w:widowControl/>
      </w:pPr>
      <w:r>
        <w:rPr>
          <w:rFonts w:ascii="Liberation Sans" w:hAnsi="Liberation Sans"/>
          <w:b/>
          <w:color w:val="9C6B18"/>
          <w:sz w:val="46"/>
          <w:lang w:val="ru-RU"/>
        </w:rPr>
        <w:t>ТОМ II</w:t>
      </w:r>
    </w:p>
    <w:p>
      <w:pPr>
        <w:spacing w:after="200"/>
        <w:jc w:val="center"/>
        <w:widowControl/>
      </w:pPr>
      <w:r>
        <w:rPr>
          <w:rFonts w:ascii="Liberation Sans" w:hAnsi="Liberation Sans"/>
          <w:b/>
          <w:color w:val="17365D"/>
          <w:sz w:val="34"/>
          <w:lang w:val="ru-RU"/>
        </w:rPr>
        <w:t>СТРОГАЯ НЕАССОЦИАТИВНАЯ ПАКЕТНАЯ</w:t>
        <w:br/>
        <w:t>РЕПЕРНАЯ ГЕОМЕТРИЯ NAPG 3.0</w:t>
      </w:r>
    </w:p>
    <w:p>
      <w:pPr>
        <w:jc w:val="center"/>
        <w:widowControl/>
      </w:pPr>
      <w:r>
        <w:rPr>
          <w:lang w:val="ru-RU"/>
        </w:rPr>
      </w:r>
    </w:p>
    <w:p>
      <w:pPr>
        <w:spacing w:after="20"/>
        <w:jc w:val="center"/>
        <w:widowControl/>
      </w:pPr>
      <w:r>
        <w:rPr>
          <w:rFonts w:ascii="Liberation Sans" w:hAnsi="Liberation Sans"/>
          <w:b/>
          <w:color w:val="17365D"/>
          <w:sz w:val="30"/>
          <w:lang w:val="ru-RU"/>
        </w:rPr>
        <w:t>Курпишев Иван Борисович</w:t>
      </w:r>
    </w:p>
    <w:p>
      <w:pPr>
        <w:spacing w:after="120"/>
        <w:jc w:val="center"/>
        <w:widowControl/>
      </w:pPr>
      <w:r>
        <w:rPr>
          <w:rFonts w:ascii="Liberation Sans" w:hAnsi="Liberation Sans"/>
          <w:color w:val="5B6573"/>
          <w:sz w:val="21"/>
          <w:lang w:val="ru-RU"/>
        </w:rPr>
        <w:t>Независимый исследователь · Калининград · 2026</w:t>
      </w:r>
    </w:p>
    <w:tbl>
      <w:tblPr>
        <w:tblW w:type="auto" w:w="0"/>
        <w:jc w:val="center"/>
        <w:tblLayout w:type="fixed"/>
        <w:tblLook w:firstColumn="1" w:firstRow="1" w:lastColumn="0" w:lastRow="0" w:noHBand="0" w:noVBand="1" w:val="04A0"/>
      </w:tblPr>
      <w:tblGrid>
        <w:gridCol w:w="9411"/>
      </w:tblGrid>
      <w:tr>
        <w:tc>
          <w:tcPr>
            <w:tcW w:type="dxa" w:w="9752"/>
            <w:shd w:fill="F5EBD3"/>
            <w:tcMar>
              <w:top w:w="150" w:type="dxa"/>
              <w:start w:w="180" w:type="dxa"/>
              <w:bottom w:w="150" w:type="dxa"/>
              <w:end w:w="180" w:type="dxa"/>
            </w:tcMar>
            <w:tcBorders>
              <w:top w:val="single" w:sz="10" w:color="9C6B18"/>
              <w:left w:val="single" w:sz="10" w:color="9C6B18"/>
              <w:bottom w:val="single" w:sz="10" w:color="9C6B18"/>
              <w:right w:val="single" w:sz="10" w:color="9C6B18"/>
            </w:tcBorders>
          </w:tcPr>
          <w:p>
            <w:pPr>
              <w:spacing w:after="80"/>
            </w:pPr>
            <w:r>
              <w:rPr>
                <w:rFonts w:ascii="Liberation Sans" w:hAnsi="Liberation Sans"/>
                <w:b/>
                <w:color w:val="9C6B18"/>
                <w:sz w:val="21"/>
              </w:rPr>
              <w:t>АВТОРСКАЯ АТРИБУЦИЯ</w:t>
            </w:r>
          </w:p>
          <w:p>
            <w:pPr>
              <w:spacing w:after="0" w:line="252" w:lineRule="auto"/>
            </w:pPr>
            <w:r>
              <w:rPr>
                <w:rFonts w:ascii="Liberation Serif" w:hAnsi="Liberation Serif" w:eastAsia="Liberation Serif"/>
                <w:sz w:val="18"/>
              </w:rPr>
              <w:t>Автор проекта KLT-RBD и NAPG; авторская конструкция теоремы Дезарга–Курпишева; математический принцип неопределённости ПН.2 в зафиксированной модельной формулировке; компьютерные алгоритмы KLT; архитектура реперной базы данных. Классические составляющие и prior art атрибутируются их авторам.</w:t>
            </w:r>
          </w:p>
        </w:tc>
      </w:tr>
    </w:tbl>
    <w:p>
      <w:pPr>
        <w:spacing w:after="100" w:before="80"/>
        <w:widowControl/>
        <w:jc w:val="center"/>
      </w:pPr>
      <w:r>
        <w:drawing>
          <wp:inline xmlns:a="http://schemas.openxmlformats.org/drawingml/2006/main" xmlns:pic="http://schemas.openxmlformats.org/drawingml/2006/picture">
            <wp:extent cx="1261872" cy="1261872"/>
            <wp:docPr id="45" name="Picture 45" descr="Утверждённая фотография автора Курпишева Ивана Борисовича" title="Фотография автора"/>
            <wp:cNvGraphicFramePr>
              <a:graphicFrameLocks noChangeAspect="1"/>
            </wp:cNvGraphicFramePr>
            <a:graphic>
              <a:graphicData uri="http://schemas.openxmlformats.org/drawingml/2006/picture">
                <pic:pic>
                  <pic:nvPicPr>
                    <pic:cNvPr id="0" name="image.jpg"/>
                    <pic:cNvPicPr/>
                  </pic:nvPicPr>
                  <pic:blipFill>
                    <a:blip r:embed="rId9"/>
                    <a:stretch>
                      <a:fillRect/>
                    </a:stretch>
                  </pic:blipFill>
                  <pic:spPr>
                    <a:xfrm>
                      <a:off x="0" y="0"/>
                      <a:ext cx="1261872" cy="1261872"/>
                    </a:xfrm>
                    <a:prstGeom prst="rect"/>
                  </pic:spPr>
                </pic:pic>
              </a:graphicData>
            </a:graphic>
          </wp:inline>
        </w:drawing>
      </w:r>
    </w:p>
    <w:p>
      <w:pPr>
        <w:jc w:val="center"/>
        <w:widowControl/>
      </w:pPr>
      <w:r>
        <w:rPr>
          <w:b w:val="0"/>
        </w:rPr>
        <w:t>Контрольная точка T2-RP-v0.21 · выпуск tom2_v0_21</w:t>
      </w:r>
    </w:p>
    <w:p>
      <w:pPr>
        <w:jc w:val="center"/>
        <w:widowControl/>
      </w:pPr>
      <w:r>
        <w:rPr>
          <w:rFonts w:ascii="Liberation Sans" w:hAnsi="Liberation Sans"/>
          <w:color w:val="5B6573"/>
          <w:sz w:val="18"/>
          <w:lang w:val="ru-RU"/>
        </w:rPr>
        <w:t>Каноническая нулевая точка: замороженный Том I v197 RU</w:t>
      </w:r>
    </w:p>
    <w:p>
      <w:pPr>
        <w:jc w:val="center"/>
        <w:widowControl/>
      </w:pPr>
      <w:r>
        <w:rPr>
          <w:rFonts w:ascii="Liberation Sans" w:hAnsi="Liberation Sans"/>
          <w:b/>
          <w:color w:val="9C0006"/>
          <w:sz w:val="17"/>
          <w:lang w:val="ru-RU"/>
        </w:rPr>
        <w:t>Доказательная и юридическая граница: truth_layer_promotion=0</w:t>
      </w:r>
    </w:p>
    <w:p>
      <w:pPr>
        <w:widowControl/>
      </w:pPr>
      <w:r>
        <w:rPr>
          <w:lang w:val="ru-RU"/>
        </w:rPr>
      </w:r>
    </w:p>
    <w:p>
      <w:pPr>
        <w:pStyle w:val="Heading1"/>
        <w:widowControl/>
        <w:keepNext/>
      </w:pPr>
      <w:r>
        <w:rPr>
          <w:b w:val="0"/>
        </w:rPr>
        <w:t>Паспорт выпуска tom2_v0_21</w:t>
      </w:r>
    </w:p>
    <w:tbl>
      <w:tblPr>
        <w:tblStyle w:val="TableGrid"/>
        <w:tblW w:type="auto" w:w="0"/>
        <w:jc w:val="center"/>
        <w:tblLayout w:type="autofit"/>
        <w:tblLook w:firstColumn="1" w:firstRow="1" w:lastColumn="0" w:lastRow="0" w:noHBand="0" w:noVBand="1" w:val="04A0"/>
      </w:tblPr>
      <w:tblGrid>
        <w:gridCol w:w="4876"/>
        <w:gridCol w:w="4876"/>
      </w:tblGrid>
      <w:tr>
        <w:trPr>
          <w:cantSplit/>
        </w:trPr>
        <w:tc>
          <w:tcPr>
            <w:tcW w:type="dxa" w:w="3969"/>
            <w:shd w:fill="DDE7F2"/>
            <w:tcMar>
              <w:top w:w="90" w:type="dxa"/>
              <w:start w:w="100" w:type="dxa"/>
              <w:bottom w:w="90" w:type="dxa"/>
              <w:end w:w="100" w:type="dxa"/>
            </w:tcMar>
            <w:tcBorders>
              <w:top w:val="single" w:sz="4" w:color="B7C9DD"/>
              <w:left w:val="single" w:sz="4" w:color="B7C9DD"/>
              <w:bottom w:val="single" w:sz="4" w:color="B7C9DD"/>
              <w:right w:val="single" w:sz="4" w:color="B7C9DD"/>
            </w:tcBorders>
            <w:vAlign w:val="center"/>
          </w:tcPr>
          <w:p>
            <w:r>
              <w:t>Контрольная точка</w:t>
            </w:r>
          </w:p>
        </w:tc>
        <w:tc>
          <w:tcPr>
            <w:tcW w:type="dxa" w:w="5669"/>
            <w:tcMar>
              <w:top w:w="90" w:type="dxa"/>
              <w:start w:w="100" w:type="dxa"/>
              <w:bottom w:w="90" w:type="dxa"/>
              <w:end w:w="100" w:type="dxa"/>
            </w:tcMar>
            <w:tcBorders>
              <w:top w:val="single" w:sz="4" w:color="B7C9DD"/>
              <w:left w:val="single" w:sz="4" w:color="B7C9DD"/>
              <w:bottom w:val="single" w:sz="4" w:color="B7C9DD"/>
              <w:right w:val="single" w:sz="4" w:color="B7C9DD"/>
            </w:tcBorders>
            <w:vAlign w:val="center"/>
          </w:tcPr>
          <w:p>
            <w:r>
              <w:t>T2-RP-v0.21</w:t>
            </w:r>
          </w:p>
        </w:tc>
      </w:tr>
      <w:tr>
        <w:trPr>
          <w:cantSplit/>
        </w:trPr>
        <w:tc>
          <w:tcPr>
            <w:tcW w:type="dxa" w:w="3969"/>
            <w:shd w:fill="DDE7F2"/>
            <w:tcMar>
              <w:top w:w="90" w:type="dxa"/>
              <w:start w:w="100" w:type="dxa"/>
              <w:bottom w:w="90" w:type="dxa"/>
              <w:end w:w="100" w:type="dxa"/>
            </w:tcMar>
            <w:tcBorders>
              <w:top w:val="single" w:sz="4" w:color="B7C9DD"/>
              <w:left w:val="single" w:sz="4" w:color="B7C9DD"/>
              <w:bottom w:val="single" w:sz="4" w:color="B7C9DD"/>
              <w:right w:val="single" w:sz="4" w:color="B7C9DD"/>
            </w:tcBorders>
            <w:vAlign w:val="center"/>
          </w:tcPr>
          <w:p>
            <w:r>
              <w:t>Статус</w:t>
            </w:r>
          </w:p>
        </w:tc>
        <w:tc>
          <w:tcPr>
            <w:tcW w:type="dxa" w:w="5669"/>
            <w:tcMar>
              <w:top w:w="90" w:type="dxa"/>
              <w:start w:w="100" w:type="dxa"/>
              <w:bottom w:w="90" w:type="dxa"/>
              <w:end w:w="100" w:type="dxa"/>
            </w:tcMar>
            <w:tcBorders>
              <w:top w:val="single" w:sz="4" w:color="B7C9DD"/>
              <w:left w:val="single" w:sz="4" w:color="B7C9DD"/>
              <w:bottom w:val="single" w:sz="4" w:color="B7C9DD"/>
              <w:right w:val="single" w:sz="4" w:color="B7C9DD"/>
            </w:tcBorders>
            <w:vAlign w:val="center"/>
          </w:tcPr>
          <w:p>
            <w:r>
              <w:t>Кумулятивная рабочая редакция: v0.1-v0.20 сохранены; глава 24 развита до end-to-end predictive operator, error-budget composition, theorem schema, algorithmic contract и final falsifiability matrix v0.21.</w:t>
            </w:r>
          </w:p>
        </w:tc>
      </w:tr>
      <w:tr>
        <w:trPr>
          <w:cantSplit/>
        </w:trPr>
        <w:tc>
          <w:tcPr>
            <w:tcW w:type="dxa" w:w="3969"/>
            <w:shd w:fill="DDE7F2"/>
            <w:tcMar>
              <w:top w:w="90" w:type="dxa"/>
              <w:start w:w="100" w:type="dxa"/>
              <w:bottom w:w="90" w:type="dxa"/>
              <w:end w:w="100" w:type="dxa"/>
            </w:tcMar>
            <w:tcBorders>
              <w:top w:val="single" w:sz="4" w:color="B7C9DD"/>
              <w:left w:val="single" w:sz="4" w:color="B7C9DD"/>
              <w:bottom w:val="single" w:sz="4" w:color="B7C9DD"/>
              <w:right w:val="single" w:sz="4" w:color="B7C9DD"/>
            </w:tcBorders>
            <w:vAlign w:val="center"/>
          </w:tcPr>
          <w:p>
            <w:r>
              <w:t>Каноническая нулевая точка</w:t>
            </w:r>
          </w:p>
        </w:tc>
        <w:tc>
          <w:tcPr>
            <w:tcW w:type="dxa" w:w="5669"/>
            <w:tcMar>
              <w:top w:w="90" w:type="dxa"/>
              <w:start w:w="100" w:type="dxa"/>
              <w:bottom w:w="90" w:type="dxa"/>
              <w:end w:w="100" w:type="dxa"/>
            </w:tcMar>
            <w:tcBorders>
              <w:top w:val="single" w:sz="4" w:color="B7C9DD"/>
              <w:left w:val="single" w:sz="4" w:color="B7C9DD"/>
              <w:bottom w:val="single" w:sz="4" w:color="B7C9DD"/>
              <w:right w:val="single" w:sz="4" w:color="B7C9DD"/>
            </w:tcBorders>
            <w:vAlign w:val="center"/>
          </w:tcPr>
          <w:p>
            <w:r>
              <w:t>tom1_v197.docx + tom1_v197_ru.pdf; Том I не редактируется и не пересобирается.</w:t>
            </w:r>
          </w:p>
        </w:tc>
      </w:tr>
      <w:tr>
        <w:trPr>
          <w:cantSplit/>
        </w:trPr>
        <w:tc>
          <w:tcPr>
            <w:tcW w:type="dxa" w:w="3969"/>
            <w:shd w:fill="DDE7F2"/>
            <w:tcMar>
              <w:top w:w="90" w:type="dxa"/>
              <w:start w:w="100" w:type="dxa"/>
              <w:bottom w:w="90" w:type="dxa"/>
              <w:end w:w="100" w:type="dxa"/>
            </w:tcMar>
            <w:tcBorders>
              <w:top w:val="single" w:sz="4" w:color="B7C9DD"/>
              <w:left w:val="single" w:sz="4" w:color="B7C9DD"/>
              <w:bottom w:val="single" w:sz="4" w:color="B7C9DD"/>
              <w:right w:val="single" w:sz="4" w:color="B7C9DD"/>
            </w:tcBorders>
            <w:vAlign w:val="center"/>
          </w:tcPr>
          <w:p>
            <w:r>
              <w:t>Обязательный регламент</w:t>
            </w:r>
          </w:p>
        </w:tc>
        <w:tc>
          <w:tcPr>
            <w:tcW w:type="dxa" w:w="5669"/>
            <w:tcMar>
              <w:top w:w="90" w:type="dxa"/>
              <w:start w:w="100" w:type="dxa"/>
              <w:bottom w:w="90" w:type="dxa"/>
              <w:end w:w="100" w:type="dxa"/>
            </w:tcMar>
            <w:tcBorders>
              <w:top w:val="single" w:sz="4" w:color="B7C9DD"/>
              <w:left w:val="single" w:sz="4" w:color="B7C9DD"/>
              <w:bottom w:val="single" w:sz="4" w:color="B7C9DD"/>
              <w:right w:val="single" w:sz="4" w:color="B7C9DD"/>
            </w:tcBorders>
            <w:vAlign w:val="center"/>
          </w:tcPr>
          <w:p>
            <w:r>
              <w:t>tom2_chat_guide_v1.docx, SHA-256 98fab8ceafe9088a385e2cc807bbeda6563c669273f4bd0b64577fb19a2c32ea.</w:t>
            </w:r>
          </w:p>
        </w:tc>
      </w:tr>
      <w:tr>
        <w:trPr>
          <w:cantSplit/>
        </w:trPr>
        <w:tc>
          <w:tcPr>
            <w:tcW w:type="dxa" w:w="3969"/>
            <w:shd w:fill="DDE7F2"/>
            <w:tcMar>
              <w:top w:w="90" w:type="dxa"/>
              <w:start w:w="100" w:type="dxa"/>
              <w:bottom w:w="90" w:type="dxa"/>
              <w:end w:w="100" w:type="dxa"/>
            </w:tcMar>
            <w:tcBorders>
              <w:top w:val="single" w:sz="4" w:color="B7C9DD"/>
              <w:left w:val="single" w:sz="4" w:color="B7C9DD"/>
              <w:bottom w:val="single" w:sz="4" w:color="B7C9DD"/>
              <w:right w:val="single" w:sz="4" w:color="B7C9DD"/>
            </w:tcBorders>
            <w:vAlign w:val="center"/>
          </w:tcPr>
          <w:p>
            <w:r>
              <w:t>Состав выпуска</w:t>
            </w:r>
          </w:p>
        </w:tc>
        <w:tc>
          <w:tcPr>
            <w:tcW w:type="dxa" w:w="5669"/>
            <w:tcMar>
              <w:top w:w="90" w:type="dxa"/>
              <w:start w:w="100" w:type="dxa"/>
              <w:bottom w:w="90" w:type="dxa"/>
              <w:end w:w="100" w:type="dxa"/>
            </w:tcMar>
            <w:tcBorders>
              <w:top w:val="single" w:sz="4" w:color="B7C9DD"/>
              <w:left w:val="single" w:sz="4" w:color="B7C9DD"/>
              <w:bottom w:val="single" w:sz="4" w:color="B7C9DD"/>
              <w:right w:val="single" w:sz="4" w:color="B7C9DD"/>
            </w:tcBorders>
            <w:vAlign w:val="center"/>
          </w:tcPr>
          <w:p>
            <w:r>
              <w:t>Карта источников и правовое досье; master-skeleton 24 глав; слои v0.2-v0.20; certified partial operators, homogeneous Reper coordinate, vector error budgets, end-to-end safety theorem, release contract, proof/failure ledgers, 24-layer falsifiability matrix и воспроизводимый E2E-сертификат.</w:t>
            </w:r>
          </w:p>
        </w:tc>
      </w:tr>
      <w:tr>
        <w:trPr>
          <w:cantSplit/>
        </w:trPr>
        <w:tc>
          <w:tcPr>
            <w:tcW w:type="dxa" w:w="3969"/>
            <w:shd w:fill="DDE7F2"/>
            <w:tcMar>
              <w:top w:w="90" w:type="dxa"/>
              <w:start w:w="100" w:type="dxa"/>
              <w:bottom w:w="90" w:type="dxa"/>
              <w:end w:w="100" w:type="dxa"/>
            </w:tcMar>
            <w:tcBorders>
              <w:top w:val="single" w:sz="4" w:color="B7C9DD"/>
              <w:left w:val="single" w:sz="4" w:color="B7C9DD"/>
              <w:bottom w:val="single" w:sz="4" w:color="B7C9DD"/>
              <w:right w:val="single" w:sz="4" w:color="B7C9DD"/>
            </w:tcBorders>
            <w:vAlign w:val="center"/>
          </w:tcPr>
          <w:p>
            <w:r>
              <w:t>Форматы</w:t>
            </w:r>
          </w:p>
        </w:tc>
        <w:tc>
          <w:tcPr>
            <w:tcW w:type="dxa" w:w="5669"/>
            <w:tcMar>
              <w:top w:w="90" w:type="dxa"/>
              <w:start w:w="100" w:type="dxa"/>
              <w:bottom w:w="90" w:type="dxa"/>
              <w:end w:w="100" w:type="dxa"/>
            </w:tcMar>
            <w:tcBorders>
              <w:top w:val="single" w:sz="4" w:color="B7C9DD"/>
              <w:left w:val="single" w:sz="4" w:color="B7C9DD"/>
              <w:bottom w:val="single" w:sz="4" w:color="B7C9DD"/>
              <w:right w:val="single" w:sz="4" w:color="B7C9DD"/>
            </w:tcBorders>
            <w:vAlign w:val="center"/>
          </w:tcPr>
          <w:p>
            <w:r>
              <w:t>Нативно редактируемый DOCX и поисковый PDF. ZIP/CSV/JSON/HTML не формируются.</w:t>
            </w:r>
          </w:p>
        </w:tc>
      </w:tr>
      <w:tr>
        <w:trPr>
          <w:cantSplit/>
        </w:trPr>
        <w:tc>
          <w:tcPr>
            <w:tcW w:type="dxa" w:w="3969"/>
            <w:shd w:fill="DDE7F2"/>
            <w:tcMar>
              <w:top w:w="90" w:type="dxa"/>
              <w:start w:w="100" w:type="dxa"/>
              <w:bottom w:w="90" w:type="dxa"/>
              <w:end w:w="100" w:type="dxa"/>
            </w:tcMar>
            <w:tcBorders>
              <w:top w:val="single" w:sz="4" w:color="B7C9DD"/>
              <w:left w:val="single" w:sz="4" w:color="B7C9DD"/>
              <w:bottom w:val="single" w:sz="4" w:color="B7C9DD"/>
              <w:right w:val="single" w:sz="4" w:color="B7C9DD"/>
            </w:tcBorders>
            <w:vAlign w:val="center"/>
          </w:tcPr>
          <w:p>
            <w:r>
              <w:t>Статус-замок</w:t>
            </w:r>
          </w:p>
        </w:tc>
        <w:tc>
          <w:tcPr>
            <w:tcW w:type="dxa" w:w="5669"/>
            <w:tcMar>
              <w:top w:w="90" w:type="dxa"/>
              <w:start w:w="100" w:type="dxa"/>
              <w:bottom w:w="90" w:type="dxa"/>
              <w:end w:w="100" w:type="dxa"/>
            </w:tcMar>
            <w:tcBorders>
              <w:top w:val="single" w:sz="4" w:color="B7C9DD"/>
              <w:left w:val="single" w:sz="4" w:color="B7C9DD"/>
              <w:bottom w:val="single" w:sz="4" w:color="B7C9DD"/>
              <w:right w:val="single" w:sz="4" w:color="B7C9DD"/>
            </w:tcBorders>
            <w:vAlign w:val="center"/>
          </w:tcPr>
          <w:p>
            <w:r>
              <w:t>COND, MODEL, COMP, CONJ и PHY-HYP не повышаются без нового доказательства или независимого свидетельства.</w:t>
            </w:r>
          </w:p>
        </w:tc>
      </w:tr>
      <w:tr>
        <w:trPr>
          <w:cantSplit/>
        </w:trPr>
        <w:tc>
          <w:tcPr>
            <w:tcW w:type="dxa" w:w="3969"/>
            <w:shd w:fill="DDE7F2"/>
            <w:tcMar>
              <w:top w:w="90" w:type="dxa"/>
              <w:start w:w="100" w:type="dxa"/>
              <w:bottom w:w="90" w:type="dxa"/>
              <w:end w:w="100" w:type="dxa"/>
            </w:tcMar>
            <w:tcBorders>
              <w:top w:val="single" w:sz="4" w:color="B7C9DD"/>
              <w:left w:val="single" w:sz="4" w:color="B7C9DD"/>
              <w:bottom w:val="single" w:sz="4" w:color="B7C9DD"/>
              <w:right w:val="single" w:sz="4" w:color="B7C9DD"/>
            </w:tcBorders>
            <w:vAlign w:val="center"/>
          </w:tcPr>
          <w:p>
            <w:r>
              <w:t>Следующая точка</w:t>
            </w:r>
          </w:p>
        </w:tc>
        <w:tc>
          <w:tcPr>
            <w:tcW w:type="dxa" w:w="5669"/>
            <w:tcMar>
              <w:top w:w="90" w:type="dxa"/>
              <w:start w:w="100" w:type="dxa"/>
              <w:bottom w:w="90" w:type="dxa"/>
              <w:end w:w="100" w:type="dxa"/>
            </w:tcMar>
            <w:tcBorders>
              <w:top w:val="single" w:sz="4" w:color="B7C9DD"/>
              <w:left w:val="single" w:sz="4" w:color="B7C9DD"/>
              <w:bottom w:val="single" w:sz="4" w:color="B7C9DD"/>
              <w:right w:val="single" w:sz="4" w:color="B7C9DD"/>
            </w:tcBorders>
            <w:vAlign w:val="center"/>
          </w:tcPr>
          <w:p>
            <w:r>
              <w:t>tom2_v0_22: интегральный proof audit, формульный и предметный индекс, перекрёстные ссылки, приложения и publication gate перед типографской заморозкой Тома II.</w:t>
            </w:r>
          </w:p>
        </w:tc>
      </w:tr>
    </w:tbl>
    <w:p>
      <w:pPr>
        <w:pStyle w:val="Heading2"/>
        <w:widowControl/>
        <w:keepNext/>
      </w:pPr>
      <w:r>
        <w:rPr>
          <w:rFonts w:ascii="Liberation Sans" w:hAnsi="Liberation Sans" w:eastAsia="Liberation Sans"/>
          <w:b/>
          <w:color w:val="2F5597"/>
          <w:sz w:val="26"/>
          <w:lang w:val="ru-RU"/>
        </w:rPr>
        <w:t>Аннотация выпуска</w:t>
      </w:r>
    </w:p>
    <w:p>
      <w:pPr>
        <w:pStyle w:val="Lead"/>
        <w:widowControl/>
      </w:pPr>
      <w:r>
        <w:rPr>
          <w:b w:val="0"/>
        </w:rPr>
        <w:t>Выпуск tom2_v0_21 является кумулятивным продолжением v0.20 и завершает математическую сборку главы 24 Тома II: все алгебраические, геометрические, когомологические, глобальные, динамические, стохастические и редкособытийные слои сведены в единый end-to-end оператор KLT-RBD. Введены категория сертифицированных частичных операторов, векторная алгебра бюджетов ошибок, общий theorem schema, blocker-safe алгоритмический контракт, составной вердикт и итоговая матрица фальсифицируемости. Ни один локальный сертификат не превращается автоматически в физическое предсказание или причинный вывод.</w:t>
      </w:r>
    </w:p>
    <w:tbl>
      <w:tblPr>
        <w:tblW w:type="auto" w:w="0"/>
        <w:jc w:val="center"/>
        <w:tblLayout w:type="fixed"/>
        <w:tblLook w:firstColumn="1" w:firstRow="1" w:lastColumn="0" w:lastRow="0" w:noHBand="0" w:noVBand="1" w:val="04A0"/>
      </w:tblPr>
      <w:tblGrid>
        <w:gridCol w:w="9411"/>
      </w:tblGrid>
      <w:tr>
        <w:tc>
          <w:tcPr>
            <w:tcW w:type="dxa" w:w="9752"/>
            <w:shd w:fill="FCE4D6"/>
            <w:tcMar>
              <w:top w:w="150" w:type="dxa"/>
              <w:start w:w="180" w:type="dxa"/>
              <w:bottom w:w="15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b/>
                <w:color w:val="9C0006"/>
                <w:sz w:val="21"/>
              </w:rPr>
              <w:t>СТАТУС-ЗАМОК</w:t>
            </w:r>
          </w:p>
          <w:p>
            <w:pPr>
              <w:spacing w:after="0" w:line="252" w:lineRule="auto"/>
            </w:pPr>
            <w:r>
              <w:rPr>
                <w:rFonts w:ascii="Liberation Serif" w:hAnsi="Liberation Serif" w:eastAsia="Liberation Serif"/>
                <w:sz w:val="18"/>
              </w:rPr>
              <w:t>ПН.2 сохраняется как математическая минимаксная теорема внутри явно заданной модели скрытой структурной альтернативы. F-1–F-14 и физические мосты не получают нового статуса. Теорема Дезарга–Курпишева применяется только в перечисленных проективных, полярных и доменных гипотезах. Государственная регистрация программ и баз данных не интерпретируется как подтверждение истинности математических или физических утверждений.</w:t>
            </w:r>
          </w:p>
        </w:tc>
      </w:tr>
    </w:tbl>
    <w:p>
      <w:pPr>
        <w:spacing w:after="0"/>
        <w:widowControl/>
      </w:pPr>
    </w:p>
    <w:p>
      <w:pPr>
        <w:pStyle w:val="Heading1"/>
        <w:widowControl/>
        <w:keepNext/>
      </w:pPr>
      <w:r>
        <w:rPr>
          <w:rFonts w:ascii="Liberation Sans" w:hAnsi="Liberation Sans" w:eastAsia="Liberation Sans"/>
          <w:b/>
          <w:color w:val="17365D"/>
          <w:sz w:val="36"/>
          <w:lang w:val="ru-RU"/>
        </w:rPr>
        <w:t>Содержание и маршрут сборки</w:t>
      </w:r>
    </w:p>
    <w:p>
      <w:pPr>
        <w:ind w:left="340" w:right="227"/>
        <w:widowControl/>
      </w:pPr>
      <w:r>
        <w:t>1. Паспорт и источниковая база v0.1 (сохранённая точка отката)</w:t>
      </w:r>
    </w:p>
    <w:p>
      <w:pPr>
        <w:ind w:left="340" w:right="227"/>
        <w:widowControl/>
      </w:pPr>
      <w:r>
        <w:rPr>
          <w:rFonts w:ascii="Liberation Sans" w:hAnsi="Liberation Sans"/>
          <w:b/>
          <w:color w:val="17365D"/>
          <w:sz w:val="20"/>
          <w:lang w:val="ru-RU"/>
        </w:rPr>
        <w:t>2. Карта источников и исходный аудит</w:t>
      </w:r>
    </w:p>
    <w:p>
      <w:pPr>
        <w:ind w:left="340" w:right="227"/>
        <w:widowControl/>
      </w:pPr>
      <w:r>
        <w:rPr>
          <w:rFonts w:ascii="Liberation Sans" w:hAnsi="Liberation Sans"/>
          <w:b/>
          <w:color w:val="17365D"/>
          <w:sz w:val="20"/>
          <w:lang w:val="ru-RU"/>
        </w:rPr>
        <w:t>3. Правовое досье</w:t>
      </w:r>
    </w:p>
    <w:p>
      <w:pPr>
        <w:ind w:left="340" w:right="227"/>
        <w:widowControl/>
      </w:pPr>
      <w:r>
        <w:rPr>
          <w:rFonts w:ascii="Liberation Sans" w:hAnsi="Liberation Sans"/>
          <w:b/>
          <w:color w:val="17365D"/>
          <w:sz w:val="20"/>
          <w:lang w:val="ru-RU"/>
        </w:rPr>
        <w:t>4. Master-skeleton: 24 главы</w:t>
      </w:r>
    </w:p>
    <w:p>
      <w:pPr>
        <w:ind w:left="340" w:right="227"/>
        <w:widowControl/>
      </w:pPr>
      <w:r>
        <w:rPr>
          <w:rFonts w:ascii="Liberation Sans" w:hAnsi="Liberation Sans"/>
          <w:b/>
          <w:color w:val="17365D"/>
          <w:sz w:val="20"/>
          <w:lang w:val="ru-RU"/>
        </w:rPr>
        <w:t>5. Карта зависимостей</w:t>
      </w:r>
    </w:p>
    <w:p>
      <w:pPr>
        <w:ind w:left="340" w:right="227"/>
        <w:widowControl/>
      </w:pPr>
      <w:r>
        <w:rPr>
          <w:rFonts w:ascii="Liberation Sans" w:hAnsi="Liberation Sans"/>
          <w:b/>
          <w:color w:val="17365D"/>
          <w:sz w:val="20"/>
          <w:lang w:val="ru-RU"/>
        </w:rPr>
        <w:t>6. Главы 1–24: паспорта сборки</w:t>
      </w:r>
    </w:p>
    <w:p>
      <w:pPr>
        <w:ind w:left="340" w:right="227"/>
        <w:widowControl/>
      </w:pPr>
      <w:r>
        <w:rPr>
          <w:rFonts w:ascii="Liberation Sans" w:hAnsi="Liberation Sans"/>
          <w:b/>
          <w:color w:val="17365D"/>
          <w:sz w:val="20"/>
          <w:lang w:val="ru-RU"/>
        </w:rPr>
        <w:t>7. Первичная матрица доказательных обязательств</w:t>
      </w:r>
    </w:p>
    <w:p>
      <w:pPr>
        <w:ind w:left="340" w:right="227"/>
        <w:widowControl/>
      </w:pPr>
      <w:r>
        <w:rPr>
          <w:b w:val="0"/>
        </w:rPr>
        <w:t>8. Контрольная точка T2-RP-v0.1; 9-17. Математическое углубление v0.2; 18-23. Ассоциаторная геометрия v0.3; 24-34. Алгебро-геометрическая двойственность v0.4; 35-45. Атласы и глобализация v0.5; 46-57. Касательные объекты v0.6; 58-69. Связности и голономия v0.7; 70-82. Дифференциальные формы v0.8; 83-99. Минимальный комплекс v0.9; 100-115. Внешний E-мост v0.10; 116-131. Проективизация препятствий v0.11; 132-148. Hodge-Fredholm слой v0.12; 149-166. Деформационные функторы и Кураниши v0.13; 167-193. Wall-crossing и монодромия v0.14; 194-215. Глобальные derived/stacky moduli и predictive carrier v0.15; 216-237. Виртуальные циклы и probability firewall v0.16; 238-264. Категорифицированные motivic/refined invariants, generating series и dynamic firewall v0.17; 265-292. Нелинейные эволюции, transfer/path-space и temporal interface v0.18; 293-328. Stochastic semigroups, martingale problems, stopping/control/causal firewall v0.19; 329-370. Large deviations, risk-sensitive semigroups, rare-event geometry, robust ambiguity и finite-sample certification v0.20.; 371-420. End-to-end оператор, композиция бюджетов, общий theorem schema, алгоритмический контракт и итоговая матрица фальсифицируемости v0.21.</w:t>
      </w:r>
    </w:p>
    <w:p>
      <w:pPr>
        <w:pStyle w:val="Small"/>
        <w:widowControl/>
      </w:pPr>
      <w:r>
        <w:rPr>
          <w:b w:val="0"/>
        </w:rPr>
        <w:t>Примечание: выпуск v0.21 является кумулятивным. Материалы v0.1-v0.20 сохранены как точки отката. Новая глава не склеивает разные типы неопределённости в одну «точность»: детерминированные остатки, вероятностные уровни, робастные множества, вычислительные допуски и доказательные статусы сохраняют собственные законы композиции.</w:t>
      </w:r>
    </w:p>
    <w:p>
      <w:pPr>
        <w:pStyle w:val="Heading1"/>
        <w:widowControl/>
        <w:keepNext/>
      </w:pPr>
      <w:r>
        <w:rPr>
          <w:rFonts w:ascii="Liberation Sans" w:hAnsi="Liberation Sans" w:eastAsia="Liberation Sans"/>
          <w:b/>
          <w:color w:val="17365D"/>
          <w:sz w:val="36"/>
          <w:lang w:val="ru-RU"/>
        </w:rPr>
        <w:t>Карта источников и исходный аудит</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Источник в Томе II понимается как объект с происхождением, версией и пределом применимости. Новая геометрия не может опираться на бесформенную папку файлов, где свежая дата копирования притворяется научной актуальностью.</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Иерархия P0–P5 задаёт порядок разрешения конфликтов. Чем выше источник, тем меньшую свободу имеет редактор: P0 импортируется, P1 цитируется буквально, P5 всегда маркируется как реконструкция.</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Карта источников позволяет читателю видеть не только цитату, но и маршрут от документа к формуле, от формулы к главе и от главы к доказательному обязательству.</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Ни один внутренний файл не становится первичным историческим источником для классической математики. Ни один внешний источник не подменяет авторскую историю проекта.</w:t>
            </w:r>
          </w:p>
        </w:tc>
      </w:tr>
    </w:tbl>
    <w:p>
      <w:pPr>
        <w:spacing w:after="0"/>
        <w:widowControl/>
      </w:pPr>
    </w:p>
    <w:p>
      <w:pPr>
        <w:jc w:val="center"/>
        <w:widowControl/>
      </w:pPr>
      <w:r>
        <w:rPr>
          <w:lang w:val="ru-RU"/>
        </w:rPr>
      </w:r>
    </w:p>
    <w:p>
      <w:pPr>
        <w:pStyle w:val="Caption"/>
        <w:jc w:val="center"/>
        <w:keepNext/>
        <w:widowControl/>
      </w:pPr>
      <w:r>
        <w:rPr>
          <w:i/>
          <w:color w:val="5B6573"/>
          <w:lang w:val="ru-RU"/>
        </w:rPr>
        <w:t>Рисунок 1. Иерархия источников P0–P5 и правило разрешения конфликтов.</w:t>
      </w:r>
    </w:p>
    <w:p>
      <w:pPr>
        <w:pStyle w:val="Heading2"/>
        <w:widowControl/>
        <w:keepNext/>
      </w:pPr>
      <w:r>
        <w:rPr>
          <w:rFonts w:ascii="Liberation Sans" w:hAnsi="Liberation Sans" w:eastAsia="Liberation Sans"/>
          <w:b/>
          <w:color w:val="2F5597"/>
          <w:sz w:val="26"/>
          <w:lang w:val="ru-RU"/>
        </w:rPr>
        <w:t>P0: проверка канонической пары Тома I</w:t>
      </w: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8"/>
              </w:rPr>
              <w:t>DOCX</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8"/>
              </w:rPr>
              <w:t>tom1_v197.docx · 50 777 116 байт · SHA-256 a6b3e26daca35a7ffca14b5baa87d6c47711c167606904bb04b02841062a3518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8"/>
              </w:rPr>
              <w:t>PDF</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8"/>
              </w:rPr>
              <w:t>tom1_v197_ru.pdf · 264 страницы · SHA-256 5a2021c02428e3e395fe81e029c46cd26b4a0e06ceb7dbfc89befddffd84a7d8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8"/>
              </w:rPr>
              <w:t>Структурная сверка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8"/>
              </w:rPr>
              <w:t>Контрольная конверсия DOCX дала 264 страницы, что совпадает с PDF.</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8"/>
              </w:rPr>
              <w:t>Редакционный дефект источника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8"/>
              </w:rPr>
              <w:t>Базовый 235-страничный корпус DOCX содержит встроенные страничные изображения; PDF имеет поисковый текст. Том II строится нативным текстом и не наследует этот дефект.</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8"/>
              </w:rPr>
              <w:t>Правило импорта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8"/>
              </w:rPr>
              <w:t>Определения и формулы адресуются по стабильным ID/исходным страницам v197; расхождения фиксируются в change ledger.</w:t>
            </w:r>
          </w:p>
        </w:tc>
      </w:tr>
    </w:tbl>
    <w:p>
      <w:pPr>
        <w:pStyle w:val="Heading2"/>
        <w:widowControl/>
        <w:keepNext/>
      </w:pPr>
      <w:r>
        <w:rPr>
          <w:rFonts w:ascii="Liberation Sans" w:hAnsi="Liberation Sans" w:eastAsia="Liberation Sans"/>
          <w:b/>
          <w:color w:val="2F5597"/>
          <w:sz w:val="26"/>
          <w:lang w:val="ru-RU"/>
        </w:rPr>
        <w:t>Реестр внутренних источников первого круга</w:t>
      </w:r>
    </w:p>
    <w:tbl>
      <w:tblPr>
        <w:tblW w:type="auto" w:w="0"/>
        <w:jc w:val="center"/>
        <w:tblLayout w:type="fixed"/>
        <w:tblLook w:firstColumn="1" w:firstRow="1" w:lastColumn="0" w:lastRow="0" w:noHBand="0" w:noVBand="1" w:val="04A0"/>
      </w:tblPr>
      <w:tblGrid>
        <w:gridCol w:w="1950"/>
        <w:gridCol w:w="1950"/>
        <w:gridCol w:w="1950"/>
        <w:gridCol w:w="1950"/>
        <w:gridCol w:w="1950"/>
      </w:tblGrid>
      <w:tr>
        <w:trPr>
          <w:tblHeader w:val="true"/>
        </w:trP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5"/>
              </w:rPr>
              <w:t>P</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5"/>
              </w:rPr>
              <w:t>Файл/корпус</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5"/>
              </w:rPr>
              <w:t>Роль</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5"/>
              </w:rPr>
              <w:t>Статус</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5"/>
              </w:rPr>
              <w:t>Контроль</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5"/>
              </w:rPr>
              <w:t>P0</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tom1_v197.docx</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Канонический редактируемый интерфейс</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a6b3e26d…</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5"/>
              </w:rPr>
              <w:t>P0</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tom1_v197_ru.pdf</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Контрольный оттиск, 264 с.</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5a2021c0…</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5"/>
              </w:rPr>
              <w:t>P0</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tom2_chat_guide_v1.docx</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Обязательный регламент T2</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Принят</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98fab8ce…</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5"/>
              </w:rPr>
              <w:t>P1</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rbd22.pdf</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Свидетельство БД KLT-RBD v2.2</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локальная копия</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5"/>
              </w:rPr>
              <w:t>P1</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evmcert.pdf</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Свидетельство программы KLT</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локальная копия</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5"/>
              </w:rPr>
              <w:t>P1</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6612237_540.xml</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Фактически карта сайта, не регистрационный XML</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Переклассифицирован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f94b89e3…</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5"/>
              </w:rPr>
              <w:t>P2</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main_SIGMA_freeze.tex</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Каноническая журнальная NAPG-линия</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К изучению</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e321aab8…</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5"/>
              </w:rPr>
              <w:t>P2</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SIGMA submission bundle</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Публикационный корпус</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Архив 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d6f9a550…</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5"/>
              </w:rPr>
              <w:t>P2</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monographiaNAPG.docx</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Ранний редактируемый корпус NAPG</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Исторический</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ba675fba…</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5"/>
              </w:rPr>
              <w:t>P2</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axiomatic packet geometry</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Аксиоматический пакет</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Архив 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de2aadde…</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5"/>
              </w:rPr>
              <w:t>P2</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Desargues–Kurpishev source</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Теоремный пакет</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Архив 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b7a03cc4…</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5"/>
              </w:rPr>
              <w:t>P2</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PILOT01_PREPRINT_RU_FINAL.pdf</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FCOC/Fano barrier, 10 с.</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9e1606df…</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5"/>
              </w:rPr>
              <w:t>P3</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monograph5_0_ru.pdf</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Исторический слой NAPG/KLT, 113 с.</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ea84bab1…</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5"/>
              </w:rPr>
              <w:t>P3</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v32_v196cc.pdf</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Большой исторический корпус, 4718 с.</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Навигационный</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15307676…</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5"/>
              </w:rPr>
              <w:t>P2</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KLT_4_14_CHECKED_BUILD.zip</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Программный свидетельный пакет</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Архив 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5d48e7ce…</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5"/>
              </w:rPr>
              <w:t>P2</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KLT5_1_FLUTTER_SDK_PACKAGE.zip</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SDK-пакет</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Архив 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d373e55b…</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5"/>
              </w:rPr>
              <w:t>P2</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interdisciplinary atlas v2.1</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Реперный атлас</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Архив 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4e4c032a…</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5"/>
              </w:rPr>
              <w:t>P2</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RBD schema extension</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Схема импорта реальных данных</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Архив 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406632a1…</w:t>
            </w:r>
          </w:p>
        </w:tc>
      </w:tr>
    </w:tbl>
    <w:p>
      <w:pPr>
        <w:pStyle w:val="Heading2"/>
        <w:widowControl/>
        <w:keepNext/>
      </w:pPr>
      <w:r>
        <w:rPr>
          <w:rFonts w:ascii="Liberation Sans" w:hAnsi="Liberation Sans" w:eastAsia="Liberation Sans"/>
          <w:b/>
          <w:color w:val="2F5597"/>
          <w:sz w:val="26"/>
          <w:lang w:val="ru-RU"/>
        </w:rPr>
        <w:t>Внешние первичные источники: стартовая карта</w:t>
      </w:r>
    </w:p>
    <w:tbl>
      <w:tblPr>
        <w:tblW w:type="auto" w:w="0"/>
        <w:jc w:val="center"/>
        <w:tblLayout w:type="fixed"/>
        <w:tblLook w:firstColumn="1" w:firstRow="1" w:lastColumn="0" w:lastRow="0" w:noHBand="0" w:noVBand="1" w:val="04A0"/>
      </w:tblPr>
      <w:tblGrid>
        <w:gridCol w:w="1950"/>
        <w:gridCol w:w="1950"/>
        <w:gridCol w:w="1950"/>
        <w:gridCol w:w="1950"/>
        <w:gridCol w:w="1950"/>
      </w:tblGrid>
      <w:tr>
        <w:trPr>
          <w:tblHeader w:val="true"/>
        </w:trP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4"/>
              </w:rPr>
              <w:t>Источник</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4"/>
              </w:rPr>
              <w:t>Работа</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4"/>
              </w:rPr>
              <w:t>Доступ</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4"/>
              </w:rPr>
              <w:t>Роль в Томе II</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4"/>
              </w:rPr>
              <w:t>Идентификатор</w:t>
            </w:r>
          </w:p>
        </w:tc>
      </w:tr>
      <w:t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4"/>
              </w:rPr>
              <w:t>Дезарг, 1639</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Brouillon project d’une atteinte aux événements des rencontres du cône avec un plan</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Gallica, факсимиле</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Классическая проективная конфигурация; изображение не копируется без необходимости.</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https://gallica.bnf.fr/ark:/12148/bpt6k105096b</w:t>
            </w:r>
          </w:p>
        </w:tc>
      </w:tr>
      <w:t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4"/>
              </w:rPr>
              <w:t>Гильберт, 1899/1902</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Foundations of Geometry</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Project Gutenberg / public domain</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Аксиомы инцидентности, порядка, конгруэнтности, параллельности, непрерывности.</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https://www.gutenberg.org/ebooks/17384</w:t>
            </w:r>
          </w:p>
        </w:tc>
      </w:tr>
      <w:t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4"/>
              </w:rPr>
              <w:t>Клейн, Erlangen Program</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Vergleichende Betrachtungen…</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Project Gutenberg / Springer record</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Геометрия как теория инвариантов группы преобразований.</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https://www.gutenberg.org/ebooks/11207</w:t>
            </w:r>
          </w:p>
        </w:tc>
      </w:tr>
      <w:t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4"/>
              </w:rPr>
              <w:t>Veblen–Young</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Projective Geometry</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University of Michigan / public domain scan</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Классическая аксиоматика проективной геометрии.</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https://quod.lib.umich.edu/u/umhistmath/ACV3235.0001.001</w:t>
            </w:r>
          </w:p>
        </w:tc>
      </w:tr>
      <w:t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4"/>
              </w:rPr>
              <w:t>Eilenberg–Mac Lane, 1945</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General Theory of Natural Equivalences</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Transactions AMS; DOI</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Категории, функторы, естественные преобразования.</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https://doi.org/10.1090/S0002-9947-1945-0013131-6</w:t>
            </w:r>
          </w:p>
        </w:tc>
      </w:tr>
      <w:t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4"/>
              </w:rPr>
              <w:t>Gerstenhaber, 1964</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On the Deformation of Rings and Algebras</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Annals of Mathematics / JSTOR</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Классическая теория деформаций алгебр.</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https://www.jstor.org/stable/1970484</w:t>
            </w:r>
          </w:p>
        </w:tc>
      </w:tr>
      <w:t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4"/>
              </w:rPr>
              <w:t>Akivis, 1976</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Local algebras of a multidimensional three-web</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Siberian Math. Journal; DOI</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Akivis-алгебры и неассоциативные локальные структуры.</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https://doi.org/10.1007/BF00969285</w:t>
            </w:r>
          </w:p>
        </w:tc>
      </w:tr>
      <w:t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4"/>
              </w:rPr>
              <w:t>Sabinin, 1999</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Smooth Quasigroups and Loops</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Springer; DOI</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Неассоциативная геометрия гладких квазигрупп и луп.</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https://doi.org/10.1007/978-94-011-4491-9</w:t>
            </w:r>
          </w:p>
        </w:tc>
      </w:tr>
      <w:t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4"/>
              </w:rPr>
              <w:t>Hodge, 1941/1952</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The Theory and Applications of Harmonic Integrals</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Cambridge University Press</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Hodge-теория; используется через определения и цитирование, без копирования рисунков.</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https://www.cambridge.org/core/books/the-theory-and-applications-of-harmonic-integrals/</w:t>
            </w:r>
          </w:p>
        </w:tc>
      </w:tr>
      <w:t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4"/>
              </w:rPr>
              <w:t>Yau, 1978</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On the Ricci curvature of a compact Kähler manifold…</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Communications on Pure and Applied Mathematics; DOI</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Calabi conjecture / CY-ветвь при точных гипотезах.</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https://doi.org/10.1002/cpa.3160310304</w:t>
            </w:r>
          </w:p>
        </w:tc>
      </w:tr>
    </w:tbl>
    <w:tbl>
      <w:tblPr>
        <w:tblW w:type="auto" w:w="0"/>
        <w:jc w:val="center"/>
        <w:tblLayout w:type="fixed"/>
        <w:tblLook w:firstColumn="1" w:firstRow="1" w:lastColumn="0" w:lastRow="0" w:noHBand="0" w:noVBand="1" w:val="04A0"/>
      </w:tblPr>
      <w:tblGrid>
        <w:gridCol w:w="9411"/>
      </w:tblGrid>
      <w:tr>
        <w:tc>
          <w:tcPr>
            <w:tcW w:type="dxa" w:w="9752"/>
            <w:shd w:fill="EEF3F8"/>
            <w:tcMar>
              <w:top w:w="150" w:type="dxa"/>
              <w:start w:w="180" w:type="dxa"/>
              <w:bottom w:w="150" w:type="dxa"/>
              <w:end w:w="180" w:type="dxa"/>
            </w:tcMar>
            <w:tcBorders>
              <w:top w:val="single" w:sz="10" w:color="2F5597"/>
              <w:left w:val="single" w:sz="10" w:color="2F5597"/>
              <w:bottom w:val="single" w:sz="10" w:color="2F5597"/>
              <w:right w:val="single" w:sz="10" w:color="2F5597"/>
            </w:tcBorders>
          </w:tcPr>
          <w:p>
            <w:pPr>
              <w:spacing w:after="80"/>
            </w:pPr>
            <w:r>
              <w:rPr>
                <w:rFonts w:ascii="Liberation Sans" w:hAnsi="Liberation Sans"/>
                <w:b/>
                <w:color w:val="2F5597"/>
                <w:sz w:val="21"/>
              </w:rPr>
              <w:t>ЛИЦЕНЗИОННАЯ ДИСЦИПЛИНА</w:t>
            </w:r>
          </w:p>
          <w:p>
            <w:pPr>
              <w:spacing w:after="0" w:line="252" w:lineRule="auto"/>
            </w:pPr>
            <w:r>
              <w:rPr>
                <w:rFonts w:ascii="Liberation Serif" w:hAnsi="Liberation Serif" w:eastAsia="Liberation Serif"/>
                <w:sz w:val="18"/>
              </w:rPr>
              <w:t>В выпуске v0.1 используются оригинальные схемы, построенные для монографии, и факсимиле правовых документов, относящихся к автору проекта. Рисунки из современных монографий и статей не копируются. Для классических public-domain источников допускается будущая репродукция после фиксации точной лицензии и библиографической подписи.</w:t>
            </w:r>
          </w:p>
        </w:tc>
      </w:tr>
    </w:tbl>
    <w:p>
      <w:pPr>
        <w:spacing w:after="0"/>
        <w:widowControl/>
      </w:pPr>
    </w:p>
    <w:p>
      <w:pPr>
        <w:pStyle w:val="Heading1"/>
        <w:widowControl/>
        <w:keepNext/>
      </w:pPr>
      <w:r>
        <w:rPr>
          <w:rFonts w:ascii="Liberation Sans" w:hAnsi="Liberation Sans" w:eastAsia="Liberation Sans"/>
          <w:b/>
          <w:color w:val="17365D"/>
          <w:sz w:val="36"/>
          <w:lang w:val="ru-RU"/>
        </w:rPr>
        <w:t>Правовое досье: подтверждённые объекты и границы вывода</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Правовой документ существует в собственной онтологии: он удостоверяет запись об объекте охраны, авторе и правообладателе, но не превращается в математическое доказательство.</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Юридическое знание извлекается только из официального свидетельства, выписки или реестровой карточки. Пересказ по памяти исключён, потому что человеческая память особенно смела именно там, где нужен номер заявления.</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Факсимиле позволяет читателю проверить реквизиты визуально, а текстовая карточка делает их доступными для поиска и цитирования.</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Формулы «Роспатент доказал теорему» и «регистрация подтверждает физическую фундаментальность» не используются.</w:t>
            </w:r>
          </w:p>
        </w:tc>
      </w:tr>
    </w:tbl>
    <w:p>
      <w:pPr>
        <w:spacing w:after="0"/>
        <w:widowControl/>
      </w:pPr>
    </w:p>
    <w:tbl>
      <w:tblPr>
        <w:tblW w:type="auto" w:w="0"/>
        <w:jc w:val="center"/>
        <w:tblLayout w:type="fixed"/>
        <w:tblLook w:firstColumn="1" w:firstRow="1" w:lastColumn="0" w:lastRow="0" w:noHBand="0" w:noVBand="1" w:val="04A0"/>
      </w:tblPr>
      <w:tblGrid>
        <w:gridCol w:w="1219"/>
        <w:gridCol w:w="1219"/>
        <w:gridCol w:w="1219"/>
        <w:gridCol w:w="1219"/>
        <w:gridCol w:w="1219"/>
        <w:gridCol w:w="1219"/>
        <w:gridCol w:w="1219"/>
        <w:gridCol w:w="1219"/>
      </w:tblGrid>
      <w:tr>
        <w:trPr>
          <w:tblHeader w:val="true"/>
        </w:trPr>
        <w:tc>
          <w:tcPr>
            <w:tcW w:type="dxa" w:w="90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Объект</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Точное название</w:t>
            </w:r>
          </w:p>
        </w:tc>
        <w:tc>
          <w:tcPr>
            <w:tcW w:type="dxa" w:w="96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Вид</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Номер</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Даты/заявка</w:t>
            </w:r>
          </w:p>
        </w:tc>
        <w:tc>
          <w:tcPr>
            <w:tcW w:type="dxa" w:w="141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Автор/правообладатель</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Статус</w:t>
            </w:r>
          </w:p>
        </w:tc>
        <w:tc>
          <w:tcPr>
            <w:tcW w:type="dxa" w:w="107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Источник</w:t>
            </w:r>
          </w:p>
        </w:tc>
      </w:tr>
      <w:tr>
        <w:tc>
          <w:tcPr>
            <w:tcW w:type="dxa" w:w="90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База данных</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«Реперная база данных KLT-RBD v2.2»</w:t>
            </w:r>
          </w:p>
        </w:tc>
        <w:tc>
          <w:tcPr>
            <w:tcW w:type="dxa" w:w="96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База данных</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 2026622733</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Заявка № 2026622532; поступление 22.05.2026; гос. регистрация 10.06.2026</w:t>
            </w:r>
          </w:p>
        </w:tc>
        <w:tc>
          <w:tcPr>
            <w:tcW w:type="dxa" w:w="141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Курпишев Иван Борисович</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Зарегистрировано</w:t>
            </w:r>
          </w:p>
        </w:tc>
        <w:tc>
          <w:tcPr>
            <w:tcW w:type="dxa" w:w="107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rbd22.pdf</w:t>
            </w:r>
          </w:p>
        </w:tc>
      </w:tr>
      <w:tr>
        <w:tc>
          <w:tcPr>
            <w:tcW w:type="dxa" w:w="90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Программа для ЭВМ</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«Способ структурного и содержательного анализа информации и баз данных методом Курпишева: приведением к проективно-гармоническому кросс-соотношению с использованием реперной базы данных»</w:t>
            </w:r>
          </w:p>
        </w:tc>
        <w:tc>
          <w:tcPr>
            <w:tcW w:type="dxa" w:w="96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Программа для ЭВМ</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 2026665126</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Заявка № 2026664029; поступление 07.05.2026; гос. регистрация 21.05.2026</w:t>
            </w:r>
          </w:p>
        </w:tc>
        <w:tc>
          <w:tcPr>
            <w:tcW w:type="dxa" w:w="141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Курпишев Иван Борисович</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Зарегистрировано</w:t>
            </w:r>
          </w:p>
        </w:tc>
        <w:tc>
          <w:tcPr>
            <w:tcW w:type="dxa" w:w="107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evmcert.pdf</w:t>
            </w:r>
          </w:p>
        </w:tc>
      </w:tr>
      <w:tr>
        <w:tc>
          <w:tcPr>
            <w:tcW w:type="dxa" w:w="90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Текстовое произведение</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«KLT-RBD KURPISHEV LAMBDA-TRUTH»</w:t>
            </w:r>
          </w:p>
        </w:tc>
        <w:tc>
          <w:tcPr>
            <w:tcW w:type="dxa" w:w="96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Регистрация в RCIS</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0104-231-812</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Дата регистрации 26.05.2026</w:t>
            </w:r>
          </w:p>
        </w:tc>
        <w:tc>
          <w:tcPr>
            <w:tcW w:type="dxa" w:w="141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Курпишев Иван Борисович</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Отдельная система регистрации; не свидетельство Роспатента</w:t>
            </w:r>
          </w:p>
        </w:tc>
        <w:tc>
          <w:tcPr>
            <w:tcW w:type="dxa" w:w="107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карточка RCIS</w:t>
            </w:r>
          </w:p>
        </w:tc>
      </w:tr>
      <w:tr>
        <w:tc>
          <w:tcPr>
            <w:tcW w:type="dxa" w:w="90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NAPG</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Неассоциативная пакетная реперная геометрия</w:t>
            </w:r>
          </w:p>
        </w:tc>
        <w:tc>
          <w:tcPr>
            <w:tcW w:type="dxa" w:w="96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Научная авторская конструкция</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Отдельный подтверждающий документ госрегистрации в текущем корпусе не найден</w:t>
            </w:r>
          </w:p>
        </w:tc>
        <w:tc>
          <w:tcPr>
            <w:tcW w:type="dxa" w:w="141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Курпишев Иван Борисович</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Авторская атрибуция; юридический статус не расширяется</w:t>
            </w:r>
          </w:p>
        </w:tc>
        <w:tc>
          <w:tcPr>
            <w:tcW w:type="dxa" w:w="107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OPEN LEGAL-01</w:t>
            </w:r>
          </w:p>
        </w:tc>
      </w:tr>
      <w:tr>
        <w:tc>
          <w:tcPr>
            <w:tcW w:type="dxa" w:w="90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Теорема Дезарга–Курпишева</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Авторская конструкция и теоремный пакет</w:t>
            </w:r>
          </w:p>
        </w:tc>
        <w:tc>
          <w:tcPr>
            <w:tcW w:type="dxa" w:w="96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Научный результат</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Не отождествляется с зарегистрированной программой или БД</w:t>
            </w:r>
          </w:p>
        </w:tc>
        <w:tc>
          <w:tcPr>
            <w:tcW w:type="dxa" w:w="141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Курпишев Иван Борисович</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Статус зависит от доказательной редакции и гипотез</w:t>
            </w:r>
          </w:p>
        </w:tc>
        <w:tc>
          <w:tcPr>
            <w:tcW w:type="dxa" w:w="107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OPEN LEGAL-02</w:t>
            </w:r>
          </w:p>
        </w:tc>
      </w:tr>
      <w:tr>
        <w:tc>
          <w:tcPr>
            <w:tcW w:type="dxa" w:w="90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ПН.2</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Математический принцип неопределённости Курпишева</w:t>
            </w:r>
          </w:p>
        </w:tc>
        <w:tc>
          <w:tcPr>
            <w:tcW w:type="dxa" w:w="96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Математическая модель/теорема</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Физические гипотезы требуют независимой проверки</w:t>
            </w:r>
          </w:p>
        </w:tc>
        <w:tc>
          <w:tcPr>
            <w:tcW w:type="dxa" w:w="141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Курпишев Иван Борисович</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Математический статус по канону; не юридическое удостоверение истинности</w:t>
            </w:r>
          </w:p>
        </w:tc>
        <w:tc>
          <w:tcPr>
            <w:tcW w:type="dxa" w:w="107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OPEN LEGAL-03</w:t>
            </w:r>
          </w:p>
        </w:tc>
      </w:tr>
    </w:tbl>
    <w:tbl>
      <w:tblPr>
        <w:tblW w:type="auto" w:w="0"/>
        <w:jc w:val="center"/>
        <w:tblLayout w:type="fixed"/>
        <w:tblLook w:firstColumn="1" w:firstRow="1" w:lastColumn="0" w:lastRow="0" w:noHBand="0" w:noVBand="1" w:val="04A0"/>
      </w:tblPr>
      <w:tblGrid>
        <w:gridCol w:w="9411"/>
      </w:tblGrid>
      <w:tr>
        <w:tc>
          <w:tcPr>
            <w:tcW w:type="dxa" w:w="9752"/>
            <w:shd w:fill="FCE4D6"/>
            <w:tcMar>
              <w:top w:w="150" w:type="dxa"/>
              <w:start w:w="180" w:type="dxa"/>
              <w:bottom w:w="15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b/>
                <w:color w:val="9C0006"/>
                <w:sz w:val="21"/>
              </w:rPr>
              <w:t>КОРРЕКЦИЯ ИСТОЧНИКА 6612237_540.xml</w:t>
            </w:r>
          </w:p>
          <w:p>
            <w:pPr>
              <w:spacing w:after="0" w:line="252" w:lineRule="auto"/>
            </w:pPr>
            <w:r>
              <w:rPr>
                <w:rFonts w:ascii="Liberation Serif" w:hAnsi="Liberation Serif" w:eastAsia="Liberation Serif"/>
                <w:sz w:val="18"/>
              </w:rPr>
              <w:t>Файл 6612237_540.xml разобран как XML-карта сайта &lt;urlset&gt; с URL-адресами kurpishev.com. Он не содержит карточки государственного реестра и не используется для заполнения регистрационных реквизитов. До получения официального регистрационного XML данная позиция остаётся blocker LEGAL-XML-01.</w:t>
            </w:r>
          </w:p>
        </w:tc>
      </w:tr>
    </w:tbl>
    <w:p>
      <w:pPr>
        <w:spacing w:after="0"/>
        <w:widowControl/>
      </w:pPr>
    </w:p>
    <w:p>
      <w:pPr>
        <w:jc w:val="center"/>
        <w:widowControl/>
      </w:pPr>
      <w:r>
        <w:rPr>
          <w:lang w:val="ru-RU"/>
        </w:rPr>
        <w:drawing>
          <wp:inline xmlns:a="http://schemas.openxmlformats.org/drawingml/2006/main" xmlns:pic="http://schemas.openxmlformats.org/drawingml/2006/picture">
            <wp:extent cx="5472000" cy="7746483"/>
            <wp:docPr id="3" name="Picture 3"/>
            <wp:cNvGraphicFramePr>
              <a:graphicFrameLocks noChangeAspect="1"/>
            </wp:cNvGraphicFramePr>
            <a:graphic>
              <a:graphicData uri="http://schemas.openxmlformats.org/drawingml/2006/picture">
                <pic:pic>
                  <pic:nvPicPr>
                    <pic:cNvPr id="0" name="rbd22.png"/>
                    <pic:cNvPicPr/>
                  </pic:nvPicPr>
                  <pic:blipFill>
                    <a:blip r:embed="rId11"/>
                    <a:stretch>
                      <a:fillRect/>
                    </a:stretch>
                  </pic:blipFill>
                  <pic:spPr>
                    <a:xfrm>
                      <a:off x="0" y="0"/>
                      <a:ext cx="5472000" cy="7746483"/>
                    </a:xfrm>
                    <a:prstGeom prst="rect"/>
                  </pic:spPr>
                </pic:pic>
              </a:graphicData>
            </a:graphic>
          </wp:inline>
        </w:drawing>
      </w:r>
    </w:p>
    <w:p>
      <w:pPr>
        <w:pStyle w:val="Caption"/>
        <w:jc w:val="center"/>
        <w:keepNext/>
        <w:widowControl/>
      </w:pPr>
      <w:r>
        <w:rPr>
          <w:i/>
          <w:color w:val="5B6573"/>
          <w:lang w:val="ru-RU"/>
        </w:rPr>
        <w:t>Рисунок 2. Факсимиле свидетельства о государственной регистрации базы данных № 2026622733.</w:t>
      </w:r>
    </w:p>
    <w:p>
      <w:pPr>
        <w:jc w:val="center"/>
        <w:widowControl/>
      </w:pPr>
      <w:r>
        <w:rPr>
          <w:lang w:val="ru-RU"/>
        </w:rPr>
        <w:drawing>
          <wp:inline xmlns:a="http://schemas.openxmlformats.org/drawingml/2006/main" xmlns:pic="http://schemas.openxmlformats.org/drawingml/2006/picture">
            <wp:extent cx="5472000" cy="7746483"/>
            <wp:docPr id="4" name="Picture 4"/>
            <wp:cNvGraphicFramePr>
              <a:graphicFrameLocks noChangeAspect="1"/>
            </wp:cNvGraphicFramePr>
            <a:graphic>
              <a:graphicData uri="http://schemas.openxmlformats.org/drawingml/2006/picture">
                <pic:pic>
                  <pic:nvPicPr>
                    <pic:cNvPr id="0" name="evmcert.png"/>
                    <pic:cNvPicPr/>
                  </pic:nvPicPr>
                  <pic:blipFill>
                    <a:blip r:embed="rId12"/>
                    <a:stretch>
                      <a:fillRect/>
                    </a:stretch>
                  </pic:blipFill>
                  <pic:spPr>
                    <a:xfrm>
                      <a:off x="0" y="0"/>
                      <a:ext cx="5472000" cy="7746483"/>
                    </a:xfrm>
                    <a:prstGeom prst="rect"/>
                  </pic:spPr>
                </pic:pic>
              </a:graphicData>
            </a:graphic>
          </wp:inline>
        </w:drawing>
      </w:r>
    </w:p>
    <w:p>
      <w:pPr>
        <w:pStyle w:val="Caption"/>
        <w:jc w:val="center"/>
        <w:keepNext/>
        <w:widowControl/>
      </w:pPr>
      <w:r>
        <w:rPr>
          <w:i/>
          <w:color w:val="5B6573"/>
          <w:lang w:val="ru-RU"/>
        </w:rPr>
        <w:t>Рисунок 3. Факсимиле свидетельства о государственной регистрации программы для ЭВМ № 2026665126.</w:t>
      </w:r>
    </w:p>
    <w:p>
      <w:pPr>
        <w:pStyle w:val="Heading1"/>
        <w:widowControl/>
        <w:keepNext/>
      </w:pPr>
      <w:r>
        <w:rPr>
          <w:rFonts w:ascii="Liberation Sans" w:hAnsi="Liberation Sans" w:eastAsia="Liberation Sans"/>
          <w:b/>
          <w:color w:val="17365D"/>
          <w:sz w:val="36"/>
          <w:lang w:val="ru-RU"/>
        </w:rPr>
        <w:t>Master-skeleton Тома II: 24 главы</w:t>
      </w:r>
    </w:p>
    <w:tbl>
      <w:tblPr>
        <w:tblW w:type="auto" w:w="0"/>
        <w:jc w:val="center"/>
        <w:tblLayout w:type="fixed"/>
        <w:tblLook w:firstColumn="1" w:firstRow="1" w:lastColumn="0" w:lastRow="0" w:noHBand="0" w:noVBand="1" w:val="04A0"/>
      </w:tblPr>
      <w:tblGrid>
        <w:gridCol w:w="9411"/>
      </w:tblGrid>
      <w:tr>
        <w:tc>
          <w:tcPr>
            <w:tcW w:type="dxa" w:w="9752"/>
            <w:shd w:fill="EEF3F8"/>
            <w:tcMar>
              <w:top w:w="150" w:type="dxa"/>
              <w:start w:w="180" w:type="dxa"/>
              <w:bottom w:w="150" w:type="dxa"/>
              <w:end w:w="180" w:type="dxa"/>
            </w:tcMar>
            <w:tcBorders>
              <w:top w:val="single" w:sz="10" w:color="2F5597"/>
              <w:left w:val="single" w:sz="10" w:color="2F5597"/>
              <w:bottom w:val="single" w:sz="10" w:color="2F5597"/>
              <w:right w:val="single" w:sz="10" w:color="2F5597"/>
            </w:tcBorders>
          </w:tcPr>
          <w:p>
            <w:pPr>
              <w:spacing w:after="80"/>
            </w:pPr>
            <w:r>
              <w:rPr>
                <w:rFonts w:ascii="Liberation Sans" w:hAnsi="Liberation Sans"/>
                <w:b/>
                <w:color w:val="2F5597"/>
                <w:sz w:val="21"/>
              </w:rPr>
              <w:t>АРХИТЕКТУРА ВЫПУСКА</w:t>
            </w:r>
          </w:p>
          <w:p>
            <w:pPr>
              <w:spacing w:after="0" w:line="252" w:lineRule="auto"/>
            </w:pPr>
            <w:r>
              <w:rPr>
                <w:rFonts w:ascii="Liberation Serif" w:hAnsi="Liberation Serif" w:eastAsia="Liberation Serif"/>
                <w:sz w:val="18"/>
              </w:rPr>
              <w:t>Нумерация глав фиксирована мастер-инструкцией. Выпуск v0.1 создаёт для каждой главы паспорт сборки, а не имитирует окончательный текст. В каждом паспорте определены цель, формальный выход, канонические входы, зависимости и первые доказательные обязательства.</w:t>
            </w:r>
          </w:p>
        </w:tc>
      </w:tr>
    </w:tbl>
    <w:p>
      <w:pPr>
        <w:spacing w:after="0"/>
        <w:widowControl/>
      </w:pPr>
    </w:p>
    <w:tbl>
      <w:tblPr>
        <w:tblW w:type="auto" w:w="0"/>
        <w:jc w:val="center"/>
        <w:tblLayout w:type="fixed"/>
        <w:tblLook w:firstColumn="1" w:firstRow="1" w:lastColumn="0" w:lastRow="0" w:noHBand="0" w:noVBand="1" w:val="04A0"/>
      </w:tblPr>
      <w:tblGrid>
        <w:gridCol w:w="1625"/>
        <w:gridCol w:w="1625"/>
        <w:gridCol w:w="1625"/>
        <w:gridCol w:w="1625"/>
        <w:gridCol w:w="1625"/>
        <w:gridCol w:w="1625"/>
      </w:tblGrid>
      <w:tr>
        <w:trPr>
          <w:tblHeader w:val="true"/>
        </w:trP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Гл.</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Название</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Минимальный результат v1.0</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Канонические входы</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PO</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Зависимости</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1</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Интерфейс с Томом I и границы предмета</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Карта импорта, интерфейсные определения, таблица «включено/исключено», журнал расхождений.</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P0: Том I v197 RU; мастер-инструкция T2-START-v0.1.</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T2-PO-001, T2-PO-002</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2, 3, 12, 13</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2</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Замороженный реестр обозначений</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NOTATION LEDGER, типовой словарь Dom/Cod, регламент добавления символов.</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1; §§26.36, 52.9–52.18 Тома I.</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T2-PO-003, T2-PO-004</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Все главы</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3</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Категория NAPG, объекты, морфизмы и области определения</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Определения объектов и стрелок, тождества, композиция, контрмодели типовых ошибок.</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1–2; Definition Core NAPG.</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T2-PO-005, T2-PO-006</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4–9, 12–16</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4</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Градуированная алгебра (𝕂, 𝒜•, ⊙, 𝔊)</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Аксиоматика, области операции, непрерывность/линейность по выбранной модели.</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2–3.</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T2-PO-007, T2-PO-008</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5–6, 10–16</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5</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Ассоциатор, R⋆R, ядра, центры и инварианты</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Ass_⊙, R⋆R, nucleus/centers, явные тройки, структурные координаты.</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4; Том I, гл. 26–27.</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T2-PO-009, T2-PO-010</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6, 9, 14, 16, 20</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6</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Пакетно-реперная алгебро-геометрическая двойственность</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Пара функторов/псевдофункторов, единицы/коединицы или точная более слабая структура.</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3–5.</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T2-PO-011, T2-PO-012</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7–9, 17–18</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7</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Атласы, расслоения и пакетные многообразия</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Атлас, cocycle-условия, стратификация, пакетное расслоение, примеры.</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3, 6.</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T2-PO-013, T2-PO-014</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8–11, 17–18</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8</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Касательные и кокасательные объекты</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Деривации, касательные модули/конусы, дуальные объекты, предел гладкости.</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4, 7.</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T2-PO-015, T2-PO-016</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9–11, 15–16</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9</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Связности, кривизна, голономия и ассоциаторная кривизна</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Связность, транспорт, кривизна, голономия; условный мост к Ass_⊙ с обязательствами.</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5, 7–8.</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T2-PO-017, T2-PO-018</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10–11, 14, 20</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10</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Дифференциальные формы и типизированные дифференциалы</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Ω•_NAPG, d/δ по каждому слою, правила знаков и композиции.</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7–9.</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T2-PO-019, T2-PO-020</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11–16, 18</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11</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Hodge-слой, δ_Hdg и Δ_Hdg</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⋆_Hdg, δ_Hdg, Δ_Hdg, граничные условия, теоремы/условные результаты.</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7–10.</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T2-PO-021, T2-PO-022</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13, 18, 20</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12</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Внутренний минимальный комплекс C_min•, δ_min и Θ_min</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Трёхчленный комплекс, вычисление H³, каноничность и естественность.</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2–5, 10; Том I §§52.9–52.18.</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T2-PO-023, T2-PO-024</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13–16, 19–20</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13</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Внешний E-слой и отображение Π_E</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B1–B8, J²/J³, H³(J), Π_E, условия детекции и независимости выбора.</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10–12.</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T2-PO-025, T2-PO-026</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14–16, 18, 20</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14</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Пространства препятствий и проектирование</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Диаграмма факторизации, ядра/образы, критерии потери информации, контрпримеры.</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5, 9, 12–13.</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T2-PO-027, T2-PO-028</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15–16, 19–20</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15</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Относительные и редуцированные когомологии</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H²_red, O³_red, functoriality, relation to internal carrier.</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3–4, 10, 12–14.</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T2-PO-029, T2-PO-030</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16, 18, 20</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16</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Деформации, модульные пространства и препятствия</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Тангенциальный класс, уравнение Маурера–Картана или его NAPG-аналог, первичные/высшие препятствия.</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4–5, 12–15.</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T2-PO-031, T2-PO-032</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18, 20–22</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17</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Редукции Гильберта и Клейна</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Теоремы редукции, группы преобразований, инварианты, обратные ограничения.</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3, 6–7.</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T2-PO-033, T2-PO-034</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18–20, 23</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18</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Комплексная, кэлерова и Calabi–Yau-ветви</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J, ω, g, Ω, integrability, Hodge/Laplacian bridges; точные Dom.</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7–11, 13, 16–17.</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T2-PO-035, T2-PO-036</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20–23</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19</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Fano barrier и конечные проективные носители</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P(O_B), identification axioms, условная Fano carrier theorem, отрицательные примеры.</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12–15, 17.</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T2-PO-037, T2-PO-038</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20–23</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20</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Модели, контрпримеры и вычислительные сертификаты</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Ассоциативные/неассоциативные модели, точные вычисления, сертификаты и граничные случаи.</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4–19.</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T2-PO-039, T2-PO-040</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21–24</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21</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Реестр теорем и граф зависимостей</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Theorem ledger, dependency DAG, stable IDs, backward trace to sources.</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1–20.</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T2-PO-041, T2-PO-042</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22–24</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22</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Доказательные обязательства и открытые задачи</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PO matrix, blockers, next actions, gates, критерии закрытия и отката.</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1–21.</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T2-PO-043, T2-PO-044</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23–24</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23</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Prior art и граница авторской новизны</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Source map, attribution matrix, novelty claims with evidence level, legal boundary.</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1–22; внешние первичные источники.</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T2-PO-045, T2-PO-046</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24</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24</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Приложения и воспроизводимый доказательный пакет</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Словарь, кодовые сертификаты, контрольные хеши, протокол сборки, индекс рисунков/формул.</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1–23.</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T2-PO-047, T2-PO-048</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Финальная сборка v1.0 RU</w:t>
            </w:r>
          </w:p>
        </w:tc>
      </w:tr>
    </w:tbl>
    <w:p>
      <w:pPr>
        <w:pStyle w:val="Heading1"/>
        <w:widowControl/>
        <w:keepNext/>
      </w:pPr>
      <w:r>
        <w:rPr>
          <w:rFonts w:ascii="Liberation Sans" w:hAnsi="Liberation Sans" w:eastAsia="Liberation Sans"/>
          <w:b/>
          <w:color w:val="17365D"/>
          <w:sz w:val="36"/>
          <w:lang w:val="ru-RU"/>
        </w:rPr>
        <w:t>Карта зависимостей</w:t>
      </w:r>
    </w:p>
    <w:p>
      <w:pPr>
        <w:pStyle w:val="Lead"/>
        <w:widowControl/>
      </w:pPr>
      <w:r>
        <w:rPr>
          <w:lang w:val="ru-RU"/>
        </w:rPr>
        <w:t>Граф читается слева направо: фундамент типов и категории предшествует алгебре и геометрии; внутренний минимальный комплекс предшествует внешнему E-мосту; модели и контрпримеры предшествуют реестру теорем и закрытию proof obligations. Обратные стрелки допускаются только как явно зарегистрированные циклы пересмотра, а не как средство доказать утверждение через само себя.</w:t>
      </w:r>
    </w:p>
    <w:p>
      <w:pPr>
        <w:jc w:val="center"/>
        <w:widowControl/>
      </w:pPr>
      <w:r>
        <w:rPr>
          <w:lang w:val="ru-RU"/>
        </w:rPr>
        <w:drawing>
          <wp:inline xmlns:a="http://schemas.openxmlformats.org/drawingml/2006/main" xmlns:pic="http://schemas.openxmlformats.org/drawingml/2006/picture">
            <wp:extent cx="6120000" cy="2012532"/>
            <wp:docPr id="5" name="Picture 5"/>
            <wp:cNvGraphicFramePr>
              <a:graphicFrameLocks noChangeAspect="1"/>
            </wp:cNvGraphicFramePr>
            <a:graphic>
              <a:graphicData uri="http://schemas.openxmlformats.org/drawingml/2006/picture">
                <pic:pic>
                  <pic:nvPicPr>
                    <pic:cNvPr id="0" name="deps.png"/>
                    <pic:cNvPicPr/>
                  </pic:nvPicPr>
                  <pic:blipFill>
                    <a:blip r:embed="rId13"/>
                    <a:stretch>
                      <a:fillRect/>
                    </a:stretch>
                  </pic:blipFill>
                  <pic:spPr>
                    <a:xfrm>
                      <a:off x="0" y="0"/>
                      <a:ext cx="6120000" cy="2012532"/>
                    </a:xfrm>
                    <a:prstGeom prst="rect"/>
                  </pic:spPr>
                </pic:pic>
              </a:graphicData>
            </a:graphic>
          </wp:inline>
        </w:drawing>
      </w:r>
    </w:p>
    <w:p>
      <w:pPr>
        <w:pStyle w:val="Caption"/>
        <w:jc w:val="center"/>
        <w:keepNext/>
        <w:widowControl/>
      </w:pPr>
      <w:r>
        <w:rPr>
          <w:i/>
          <w:color w:val="5B6573"/>
          <w:lang w:val="ru-RU"/>
        </w:rPr>
        <w:t>Рисунок 4. Направленный граф зависимостей двадцати четырёх глав Тома II.</w:t>
      </w:r>
    </w:p>
    <w:p>
      <w:pPr>
        <w:jc w:val="center"/>
        <w:widowControl/>
      </w:pPr>
      <w:r>
        <w:rPr>
          <w:lang w:val="ru-RU"/>
        </w:rPr>
        <w:drawing>
          <wp:inline xmlns:a="http://schemas.openxmlformats.org/drawingml/2006/main" xmlns:pic="http://schemas.openxmlformats.org/drawingml/2006/picture">
            <wp:extent cx="6048000" cy="1299823"/>
            <wp:docPr id="6" name="Picture 6"/>
            <wp:cNvGraphicFramePr>
              <a:graphicFrameLocks noChangeAspect="1"/>
            </wp:cNvGraphicFramePr>
            <a:graphic>
              <a:graphicData uri="http://schemas.openxmlformats.org/drawingml/2006/picture">
                <pic:pic>
                  <pic:nvPicPr>
                    <pic:cNvPr id="0" name="status.png"/>
                    <pic:cNvPicPr/>
                  </pic:nvPicPr>
                  <pic:blipFill>
                    <a:blip r:embed="rId14"/>
                    <a:stretch>
                      <a:fillRect/>
                    </a:stretch>
                  </pic:blipFill>
                  <pic:spPr>
                    <a:xfrm>
                      <a:off x="0" y="0"/>
                      <a:ext cx="6048000" cy="1299823"/>
                    </a:xfrm>
                    <a:prstGeom prst="rect"/>
                  </pic:spPr>
                </pic:pic>
              </a:graphicData>
            </a:graphic>
          </wp:inline>
        </w:drawing>
      </w:r>
    </w:p>
    <w:p>
      <w:pPr>
        <w:pStyle w:val="Caption"/>
        <w:jc w:val="center"/>
        <w:keepNext/>
        <w:widowControl/>
      </w:pPr>
      <w:r>
        <w:rPr>
          <w:i/>
          <w:color w:val="5B6573"/>
          <w:lang w:val="ru-RU"/>
        </w:rPr>
        <w:t>Рисунок 5. Шлюз доказательных статусов: повышение допускается только через доказательство или независимое свидетельство.</w:t>
      </w:r>
    </w:p>
    <w:p>
      <w:pPr>
        <w:pStyle w:val="Heading1"/>
        <w:widowControl/>
        <w:keepNext/>
      </w:pPr>
      <w:r>
        <w:rPr>
          <w:rFonts w:ascii="Liberation Sans" w:hAnsi="Liberation Sans" w:eastAsia="Liberation Sans"/>
          <w:b/>
          <w:color w:val="17365D"/>
          <w:sz w:val="36"/>
          <w:lang w:val="ru-RU"/>
        </w:rPr>
        <w:t>Глава 1. Интерфейс с Томом I и границы предмета</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Том II существует не как второй контейнер текста, а как новый уровень объекта: Том I задаёт язык и доказательные замки, тогда как NAPG 3.0 должна стать геометрией, построенной на этом языке. Онтологически импорт означает сохранение идентичности исходного объекта при смене исследовательского масштаба.</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Знание здесь начинается с контроля происхождения. Любое определение обязано иметь адрес в замороженном корпусе или явную метку новой реконструкции. Поэтому ссылка на Том I является не украшением, а частью доказательной цепи.</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Читатель должен пережить переход от общего языка реперной логики к пространству геометрических конструкций без ощущения, что ему незаметно заменили предмет. Карта интерфейса делает этот переход наблюдаемым.</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Физика V*P, космология и F-1–F-14 не разворачиваются в данном томе. Они остаются будущими мостами Тома III; редакционная близость не повышает их статус.</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Импортировать канон v197 без редактирования Тома I; определить предмет Тома II и исключить физику Тома III.</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Карта импорта, интерфейсные определения, таблица «включено/исключено», журнал расхождений.</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P0: Том I v197 RU; мастер-инструкция T2-START-v0.1.</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T2-PO-001, T2-PO-002</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2, 3, 12, 13</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2. Замороженный реестр обозначений</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Обозначение есть минимальная форма устойчивости объекта в тексте. Когда один знак начинает означать и Hodge-двойственность, и ассоциатор, геометрия теряет предмет раньше, чем возникает первая ошибка в доказательстве.</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Реестр обозначений задаёт условия узнавания: тип, область определения, область значений и разрешённые композиции. Это эпистемический фильтр против красивых, но нетипизированных формул.</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Для читателя нотация должна быть привычной настолько, чтобы не заслонять конструкцию, и строгой настолько, чтобы не позволять ей расплыться. Различение ⋆_Hdg и R⋆R является образцом такой дисциплины.</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Новое обозначение не вводится ради удобства автора. Оно допускается только после проверки коллизий и занесения в NOTATION LEDGER.</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Зафиксировать типы и исключить коллизии ⊙, ⋆, Hodge, δ, δ_Hdg, R⋆R.</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NOTATION LEDGER, типовой словарь Dom/Cod, регламент добавления символов.</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 §§26.36, 52.9–52.18 Тома I.</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T2-PO-003, T2-PO-004</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Все главы</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2"/>
        <w:widowControl/>
        <w:keepNext/>
      </w:pPr>
      <w:r>
        <w:rPr>
          <w:rFonts w:ascii="Liberation Sans" w:hAnsi="Liberation Sans" w:eastAsia="Liberation Sans"/>
          <w:b/>
          <w:color w:val="2F5597"/>
          <w:sz w:val="26"/>
          <w:lang w:val="ru-RU"/>
        </w:rPr>
        <w:t>Замороженное ядро обозначений</w:t>
      </w:r>
    </w:p>
    <w:tbl>
      <w:tblPr>
        <w:tblW w:type="auto" w:w="0"/>
        <w:jc w:val="center"/>
        <w:tblLayout w:type="fixed"/>
        <w:tblLook w:firstColumn="1" w:firstRow="1" w:lastColumn="0" w:lastRow="0" w:noHBand="0" w:noVBand="1" w:val="04A0"/>
      </w:tblPr>
      <w:tblGrid>
        <w:gridCol w:w="4876"/>
        <w:gridCol w:w="4876"/>
      </w:tblGrid>
      <w:tr>
        <w:trPr>
          <w:tblHeader w:val="true"/>
        </w:trP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6"/>
              </w:rPr>
              <w:t>Обозначение</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6"/>
              </w:rPr>
              <w:t>Замок</w:t>
            </w:r>
          </w:p>
        </w:tc>
      </w:tr>
      <w:t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6"/>
              </w:rPr>
              <w:t>(𝕂, 𝒜•, ⊙, 𝔊)</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6"/>
              </w:rPr>
              <w:t>Базовая градуированная пакетная алгебра и структурные данные.</w:t>
            </w:r>
          </w:p>
        </w:tc>
      </w:tr>
      <w:t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6"/>
              </w:rPr>
              <w:t>Ass_⊙</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6"/>
              </w:rPr>
              <w:t>Ассоциатор; типы трёх аргументов и результата задаются явно.</w:t>
            </w:r>
          </w:p>
        </w:tc>
      </w:tr>
      <w:t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6"/>
              </w:rPr>
              <w:t>R⋆R</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6"/>
              </w:rPr>
              <w:t>Авторский объект ассоциаторного слоя; ⋆ не является Hodge star.</w:t>
            </w:r>
          </w:p>
        </w:tc>
      </w:tr>
      <w:t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6"/>
              </w:rPr>
              <w:t>⋆_Hdg / Hodge</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6"/>
              </w:rPr>
              <w:t>Оператор Ходжа при метрических и ориентационных гипотезах.</w:t>
            </w:r>
          </w:p>
        </w:tc>
      </w:tr>
      <w:t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6"/>
              </w:rPr>
              <w:t>𝒳_adm^(2)</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6"/>
              </w:rPr>
              <w:t>Допустимый сектор второго уровня с Dom.</w:t>
            </w:r>
          </w:p>
        </w:tc>
      </w:tr>
      <w:t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6"/>
              </w:rPr>
              <w:t>𝒪_B</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6"/>
              </w:rPr>
              <w:t>Внутренний носитель препятствий; не отождествляется с внешним H³.</w:t>
            </w:r>
          </w:p>
        </w:tc>
      </w:tr>
      <w:t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6"/>
              </w:rPr>
              <w:t>Π_E: 𝒪_B → H³(E•)</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6"/>
              </w:rPr>
              <w:t>Условный внешний мост.</w:t>
            </w:r>
          </w:p>
        </w:tc>
      </w:tr>
      <w:t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6"/>
              </w:rPr>
              <w:t>δ; δ_Hdg; Δ_Hdg</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6"/>
              </w:rPr>
              <w:t>Разные операторы разных слоёв; смешение запрещено.</w:t>
            </w:r>
          </w:p>
        </w:tc>
      </w:tr>
      <w:t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6"/>
              </w:rPr>
              <w:t>C_min•, δ_min, Θ_min</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6"/>
              </w:rPr>
              <w:t>Внутренняя минимальная конструкция Тома I.</w:t>
            </w:r>
          </w:p>
        </w:tc>
      </w:tr>
      <w:t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6"/>
              </w:rPr>
              <w:t>λ, δ_truth, D/Dom, CGI</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6"/>
              </w:rPr>
              <w:t>Диагностика; не замена доказательства.</w:t>
            </w:r>
          </w:p>
        </w:tc>
      </w:tr>
    </w:tbl>
    <w:p>
      <w:pPr>
        <w:pStyle w:val="Heading1"/>
        <w:widowControl/>
        <w:keepNext/>
      </w:pPr>
      <w:r>
        <w:rPr>
          <w:rFonts w:ascii="Liberation Sans" w:hAnsi="Liberation Sans" w:eastAsia="Liberation Sans"/>
          <w:b/>
          <w:color w:val="17365D"/>
          <w:sz w:val="36"/>
          <w:lang w:val="ru-RU"/>
        </w:rPr>
        <w:t>Глава 3. Категория NAPG, объекты, морфизмы и области определения</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Категория фиксирует, что объект существует не только сам по себе, но и через допустимые отношения. NAPG становится геометрией лишь тогда, когда композиция морфизмов сохраняет заявленную структуру.</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Знание об объекте переносимо только по стрелкам, для которых доказана совместимость. Четыре условия морфизма служат механизмом контроля такого переноса.</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категория превращает набор локальных конструкций в путь: читатель видит, какие преобразования допустимы и где движение останавливается.</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Стрелка без Dom/Cod или без проверки композиции остаётся редакционной схемой, а не морфизмом NAPG.</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Определить категориальную оболочку NAPG с допустимостью и четырьмя совместимостями.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Определения объектов и стрелок, тождества, композиция, контрмодели типовых ошибок.</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1–2; Definition Core NAPG.</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T2-PO-005, T2-PO-006</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4–9, 12–16</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4. Градуированная алгебра (𝕂, 𝒜•, ⊙, 𝔊)</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Алгебраическая операция не должна предшествовать носителю. Сначала задаются поле или кольцо, градуировка и допустимые элементы; только затем возникает ⊙ как событие взаимодействия внутри структуры.</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Проверка замкнутости и непрерывности отделяет формулу от операции. Эпистемически это переход от записи к воспроизводимому правилу.</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Читатель должен видеть, где именно произведение существует, как меняет степень и что происходит на границе допустимого сектора.</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Свойства ассоциативности, коммутативности или билинейности не предполагаются по привычке; каждое из них получает отдельный статус.</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Задать носитель, основание, градуировку и бинарную операцию с проверкой замкнутости.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Аксиоматика, области операции, непрерывность/линейность по выбранной модели.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2–3.</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T2-PO-007, T2-PO-008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5–6, 10–16</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5. Ассоциатор, R⋆R, ядра, центры и инварианты</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Ассоциатор регистрирует не дефект вообще, а различие путей сборки тройки. R⋆R является авторским объектом ассоциаторного слоя и не совпадает с оператором Ходжа.</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Чтобы измерять неассоциативность, нужно сначала доказать, что сравниваемые композиции типизированы и лежат в одном codomain. Иначе «дефект» сравнивает несравнимое.</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ассоциатор делает видимым то, что обычная скобочная конвенция скрывает: порядок сборки участвует в состоянии результата.</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Наличие ненулевого ассоциатора не даёт автоматически кривизну, физический эффект или класс в H³. Для каждого моста нужна отдельная карта.</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Построить типизированный ассоциаторный слой и отделить его от Hodge-оператора.</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Ass_⊙, R⋆R, nucleus/centers, явные тройки, структурные координаты.</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4; Том I, гл. 26–27.</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T2-PO-009, T2-PO-010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6, 9, 14, 16, 20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6. Пакетно-реперная алгебро-геометрическая двойственность</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Двойственность должна связывать алгебраическую и геометрическую стороны без объявления их тождественными. Она является отношением перевода, а не отменой различий.</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Эпистемическая ценность двойственности определяется обратимостью или точным описанием потерь. Функторы без единиц, коединиц либо контролируемых дефектов не дают эквивалентности.</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Читатель наблюдает одну структуру в двух режимах: как правило композиции и как геометрическое расположение. Совпадение инвариантов становится опытом перевода.</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До доказательства полноты и существенной сюръективности используется термин «соответствие» или «условная двойственность», но не «эквивалентность категорий».</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Сформулировать функториальные соответствия и условия обратимости.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Пара функторов/псевдофункторов, единицы/коединицы или точная более слабая структура.</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3–5.</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T2-PO-011, T2-PO-012</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7–9, 17–18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7. Атласы, расслоения и пакетные многообразия</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Многообразие возникает из согласования локальных карт, а не из красивого рисунка гладкой поверхности. Пакетность добавляет к локальности структурный слой перехода между реперными данными.</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Переходные функции и cocycle-условия являются доказательством того, что локальные описания говорят об одном объекте.</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Атлас позволяет читателю пережить целое через конечное множество локальных перспектив, сохраняя память о способе их склейки.</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Если cocycle нарушен или переход определён не на пересечении областей, имеется набор карт, но не пакетное многообразие.</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Определить локальные карты, переходы и реперные расслоения.</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Атлас, cocycle-условия, стратификация, пакетное расслоение, примеры.</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3, 6.</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T2-PO-013, T2-PO-014</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8–11, 17–18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8. Касательные и кокасательные объекты</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Касательный объект есть не «малое пространство рядом», а выбранный способ линейзовать допустимые изменения. В сингулярном секторе он может быть конусом или модулем, а не векторным пространством.</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Знание о локальной вариации зависит от класса кривых, дериваций или идеалов, через которые она определяется. Разные определения нельзя отождествлять без теоремы сравнения.</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касательное пространство выражает ближайшие возможные направления продолжения состояния.</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Дуальность tangent/cotangent требует конечной проектности или иных гипотез. На сингулярных слоях она не принимается автоматически.</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Определить локальную линейзацию в гладких и сингулярных секторах.</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Деривации, касательные модули/конусы, дуальные объекты, предел гладкости.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4, 7.</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T2-PO-015, T2-PO-016</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9–11, 15–16</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9. Связности, кривизна, голономия и ассоциаторная кривизна</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Связность задаёт правило сравнения разнесённых состояний, кривизна измеряет зависимость результата от пути, а голономия хранит память замкнутого переноса. Ассоциаторная кривизна может быть лишь точно построенным мостом между этими слоями.</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Эпистемически Hol_D ценен, когда определены транспорт, контур, домен и инвариантность относительно выбора. Иначе число голономии является меткой вычисления, не геометрическим фактом.</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Читатель видит, как локальный порядок композиции может проявиться в глобальной памяти обхода, но только через доказанную диаграмму.</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Формула «Hol_D = Ass» запрещена до построения и проверки соответствующей естественной карты.</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Развести классическую кривизну, Hol_D и ассоциаторный дефект.</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Связность, транспорт, кривизна, голономия; условный мост к Ass_⊙ с обязательствами.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5, 7–8.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T2-PO-017, T2-PO-018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10–11, 14, 20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10. Дифференциальные формы и типизированные дифференциалы</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Дифференциал превращает локальную величину в закон изменения, но только внутри заданного комплекса. Один символ δ не должен перемещаться между внутренним, внешним и Hodge-слоем без смены типа.</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Условие d²=0 является не типографской традицией, а основанием когомологии. Его проверка предшествует любому фактору ker/im.</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дифференциальная форма описывает то, что можно интегрировать по ориентированному носителю и сравнивать при деформации.</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Если квадрат дифференциала не нулевой, соответствующая когомология не определена; допустим иной объект, но не прежнее название.</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Ввести формы и дифференциалы с явными комплексами и областями.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Ω•_NAPG, d/δ по каждому слою, правила знаков и композиции.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7–9.</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T2-PO-019, T2-PO-020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11–16, 18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11. Hodge-слой, δ_Hdg и Δ_Hdg</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Hodge-двойственность связывает степень формы с геометрией метрики и ориентации. Она не является универсальным символом инверсии.</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Знание о δ_Hdg и Δ_Hdg зависит от скалярного произведения, плотности, граничных условий и аналитического класса операторов.</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Для читателя Hodge-слой превращает форму в её метрически дополнительный образ, позволяя увидеть гармоническую часть как устойчивый остаток.</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Классические Hodge-теоремы импортируются только при выполнении их аналитических гипотез; в общей NAPG они остаются условным мостом.</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Построить Hodge-оператор только при наличии метрики, ориентации и конечного ранга.</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⋆_Hdg, δ_Hdg, Δ_Hdg, граничные условия, теоремы/условные результаты.</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7–10.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T2-PO-021, T2-PO-022</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13, 18, 20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12. Внутренний минимальный комплекс C_min•, δ_min и Θ_min</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Минимальный комплекс существует как внутренняя память самой квадратичной конструкции. Он не требует внешней физики, метрики или заранее выбранного пространства E.</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Каноничность достигается тем, что C_min², C_min³, δ_min и Θ_min строятся непосредственно из F²_N, X²_N и Ψ²_N. Это даёт проверяемое тождество O_B ≅ H³(C_min•).</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препятствие становится не внешним запретом, а третьей степенью минимального пути, где неснятая часть конструкции остаётся видимой.</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Эта когомология является формально внутренней. Она не создаёт автоматически топологический, аналитический или физический смысл.</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Импортировать и углубить каноническую внутреннюю конструкцию Тома I.</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Трёхчленный комплекс, вычисление H³, каноничность и естественность.</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2–5, 10; Том I §§52.9–52.18.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T2-PO-023, T2-PO-024</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13–16, 19–20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2"/>
        <w:widowControl/>
        <w:keepNext/>
      </w:pPr>
      <w:r>
        <w:rPr>
          <w:rFonts w:ascii="Liberation Sans" w:hAnsi="Liberation Sans" w:eastAsia="Liberation Sans"/>
          <w:b/>
          <w:color w:val="2F5597"/>
          <w:sz w:val="26"/>
          <w:lang w:val="ru-RU"/>
        </w:rPr>
        <w:t>Канонический импорт из §§52.9–52.18 Тома I</w:t>
      </w:r>
    </w:p>
    <w:tbl>
      <w:tblPr>
        <w:tblW w:type="auto" w:w="0"/>
        <w:jc w:val="center"/>
        <w:tblLayout w:type="fixed"/>
        <w:tblLook w:firstColumn="1" w:firstRow="1" w:lastColumn="0" w:lastRow="0" w:noHBand="0" w:noVBand="1" w:val="04A0"/>
      </w:tblPr>
      <w:tblGrid>
        <w:gridCol w:w="4876"/>
        <w:gridCol w:w="4876"/>
      </w:tblGrid>
      <w:tr>
        <w:tc>
          <w:tcPr>
            <w:tcW w:type="dxa" w:w="8391"/>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center"/>
            </w:pPr>
            <w:r>
              <w:rPr>
                <w:rFonts w:ascii="Cambria Math" w:hAnsi="Cambria Math" w:eastAsia="Cambria Math"/>
                <w:sz w:val="20"/>
              </w:rPr>
              <w:t>C_minⁿ(N) = F²_N  при n = 2;  X²_N  при n = 3;  0  иначе.</w:t>
            </w:r>
          </w:p>
        </w:tc>
        <w:tc>
          <w:tcPr>
            <w:tcW w:type="dxa" w:w="1020"/>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right"/>
            </w:pPr>
            <w:r>
              <w:rPr>
                <w:rFonts w:ascii="Liberation Serif" w:hAnsi="Liberation Serif"/>
                <w:sz w:val="18"/>
              </w:rPr>
              <w:t>(T2.12.1)</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c>
          <w:tcPr>
            <w:tcW w:type="dxa" w:w="8391"/>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center"/>
            </w:pPr>
            <w:r>
              <w:rPr>
                <w:rFonts w:ascii="Cambria Math" w:hAnsi="Cambria Math" w:eastAsia="Cambria Math"/>
                <w:sz w:val="20"/>
              </w:rPr>
              <w:t>δ_min² = Ψ²_N,   δ_minⁿ = 0  при n ≠ 2.</w:t>
            </w:r>
          </w:p>
        </w:tc>
        <w:tc>
          <w:tcPr>
            <w:tcW w:type="dxa" w:w="1020"/>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right"/>
            </w:pPr>
            <w:r>
              <w:rPr>
                <w:rFonts w:ascii="Liberation Serif" w:hAnsi="Liberation Serif"/>
                <w:sz w:val="18"/>
              </w:rPr>
              <w:t>(T2.12.2)</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c>
          <w:tcPr>
            <w:tcW w:type="dxa" w:w="8391"/>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center"/>
            </w:pPr>
            <w:r>
              <w:rPr>
                <w:rFonts w:ascii="Cambria Math" w:hAnsi="Cambria Math" w:eastAsia="Cambria Math"/>
                <w:sz w:val="20"/>
              </w:rPr>
              <w:t>Θ_min,N = id_{X²_N}.</w:t>
            </w:r>
          </w:p>
        </w:tc>
        <w:tc>
          <w:tcPr>
            <w:tcW w:type="dxa" w:w="1020"/>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right"/>
            </w:pPr>
            <w:r>
              <w:rPr>
                <w:rFonts w:ascii="Liberation Serif" w:hAnsi="Liberation Serif"/>
                <w:sz w:val="18"/>
              </w:rPr>
              <w:t>(T2.12.3)</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c>
          <w:tcPr>
            <w:tcW w:type="dxa" w:w="8391"/>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center"/>
            </w:pPr>
            <w:r>
              <w:rPr>
                <w:rFonts w:ascii="Cambria Math" w:hAnsi="Cambria Math" w:eastAsia="Cambria Math"/>
                <w:sz w:val="20"/>
              </w:rPr>
              <w:t>H³(C_min•(N)) = X²_N / Im Ψ²_N = 𝒪_B(N).</w:t>
            </w:r>
          </w:p>
        </w:tc>
        <w:tc>
          <w:tcPr>
            <w:tcW w:type="dxa" w:w="1020"/>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right"/>
            </w:pPr>
            <w:r>
              <w:rPr>
                <w:rFonts w:ascii="Liberation Serif" w:hAnsi="Liberation Serif"/>
                <w:sz w:val="18"/>
              </w:rPr>
              <w:t>(T2.12.4)</w:t>
            </w:r>
          </w:p>
        </w:tc>
      </w:tr>
    </w:tbl>
    <w:p>
      <w:pPr>
        <w:spacing w:after="0"/>
        <w:widowControl/>
      </w:pPr>
    </w:p>
    <w:tbl>
      <w:tblPr>
        <w:tblW w:type="auto" w:w="0"/>
        <w:jc w:val="center"/>
        <w:tblLayout w:type="fixed"/>
        <w:tblLook w:firstColumn="1" w:firstRow="1" w:lastColumn="0" w:lastRow="0" w:noHBand="0" w:noVBand="1" w:val="04A0"/>
      </w:tblPr>
      <w:tblGrid>
        <w:gridCol w:w="9411"/>
      </w:tblGrid>
      <w:tr>
        <w:tc>
          <w:tcPr>
            <w:tcW w:type="dxa" w:w="9752"/>
            <w:shd w:fill="E2F0D9"/>
            <w:tcMar>
              <w:top w:w="150" w:type="dxa"/>
              <w:start w:w="180" w:type="dxa"/>
              <w:bottom w:w="150" w:type="dxa"/>
              <w:end w:w="180" w:type="dxa"/>
            </w:tcMar>
            <w:tcBorders>
              <w:top w:val="single" w:sz="10" w:color="548235"/>
              <w:left w:val="single" w:sz="10" w:color="548235"/>
              <w:bottom w:val="single" w:sz="10" w:color="548235"/>
              <w:right w:val="single" w:sz="10" w:color="548235"/>
            </w:tcBorders>
          </w:tcPr>
          <w:p>
            <w:pPr>
              <w:spacing w:after="80"/>
            </w:pPr>
            <w:r>
              <w:rPr>
                <w:rFonts w:ascii="Liberation Sans" w:hAnsi="Liberation Sans"/>
                <w:b/>
                <w:color w:val="548235"/>
                <w:sz w:val="21"/>
              </w:rPr>
              <w:t>ИМПОРТИРОВАННЫЙ ДОКАЗАТЕЛЬНЫЙ СТАТУС</w:t>
            </w:r>
          </w:p>
          <w:p>
            <w:pPr>
              <w:spacing w:after="0" w:line="252" w:lineRule="auto"/>
            </w:pPr>
            <w:r>
              <w:rPr>
                <w:rFonts w:ascii="Liberation Serif" w:hAnsi="Liberation Serif" w:eastAsia="Liberation Serif"/>
                <w:sz w:val="18"/>
              </w:rPr>
              <w:t>В Том I v197 RU внутреннее отождествление 𝒪_B(N) ≅ H³(C_min•(N)) зафиксировано как каноническое и естественное при морфизмах, совместимых с Ψ². Том II должен воспроизвести полное доказательство, проверить типы и расширить модельный класс, не приписывая конструкции внешнего аналитического смысла.</w:t>
            </w:r>
          </w:p>
        </w:tc>
      </w:tr>
    </w:tbl>
    <w:p>
      <w:pPr>
        <w:spacing w:after="0"/>
        <w:widowControl/>
      </w:pPr>
    </w:p>
    <w:p>
      <w:pPr>
        <w:pStyle w:val="Heading1"/>
        <w:widowControl/>
        <w:keepNext/>
      </w:pPr>
      <w:r>
        <w:rPr>
          <w:rFonts w:ascii="Liberation Sans" w:hAnsi="Liberation Sans" w:eastAsia="Liberation Sans"/>
          <w:b/>
          <w:color w:val="17365D"/>
          <w:sz w:val="36"/>
          <w:lang w:val="ru-RU"/>
        </w:rPr>
        <w:t>Глава 13. Внешний E-слой и отображение Π_E</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Внешний E-слой является попыткой встроить внутреннее препятствие в более богатую когомологическую среду. Он существует только вместе с мостом, а не по сходству обозначений.</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B1–B8 задают эпистемический контракт: комплекс, цепная карта, естественность, инъективность для обратной детекции и отдельный ассоциаторный канал.</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Читатель видит расширение горизонта: внутренний класс может получить внешнюю интерпретацию, но путь к ней отмечен всеми условиями.</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Π_E остаётся условным до построения E• и J. Ненулевой внешний класс не считается ассоциатором или физическим наблюдаемым без дополнительных карт.</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Сформулировать мост в H³(E•) без превращения условного слоя в доказанный.</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B1–B8, J²/J³, H³(J), Π_E, условия детекции и независимости выбора.</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10–12.</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T2-PO-025, T2-PO-026</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14–16, 18, 20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2"/>
        <w:widowControl/>
        <w:keepNext/>
      </w:pPr>
      <w:r>
        <w:rPr>
          <w:rFonts w:ascii="Liberation Sans" w:hAnsi="Liberation Sans" w:eastAsia="Liberation Sans"/>
          <w:b/>
          <w:color w:val="2F5597"/>
          <w:sz w:val="26"/>
          <w:lang w:val="ru-RU"/>
        </w:rPr>
        <w:t>Каркас условного E-моста</w:t>
      </w:r>
    </w:p>
    <w:tbl>
      <w:tblPr>
        <w:tblW w:type="auto" w:w="0"/>
        <w:jc w:val="center"/>
        <w:tblLayout w:type="fixed"/>
        <w:tblLook w:firstColumn="1" w:firstRow="1" w:lastColumn="0" w:lastRow="0" w:noHBand="0" w:noVBand="1" w:val="04A0"/>
      </w:tblPr>
      <w:tblGrid>
        <w:gridCol w:w="4876"/>
        <w:gridCol w:w="4876"/>
      </w:tblGrid>
      <w:tr>
        <w:tc>
          <w:tcPr>
            <w:tcW w:type="dxa" w:w="8391"/>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center"/>
            </w:pPr>
            <w:r>
              <w:rPr>
                <w:rFonts w:ascii="Cambria Math" w:hAnsi="Cambria Math" w:eastAsia="Cambria Math"/>
                <w:sz w:val="20"/>
              </w:rPr>
              <w:t>d_E² ∘ J²_N = J³_N ∘ Ψ²_N,     d_E³ ∘ J³_N = 0.</w:t>
            </w:r>
          </w:p>
        </w:tc>
        <w:tc>
          <w:tcPr>
            <w:tcW w:type="dxa" w:w="1020"/>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right"/>
            </w:pPr>
            <w:r>
              <w:rPr>
                <w:rFonts w:ascii="Liberation Serif" w:hAnsi="Liberation Serif"/>
                <w:sz w:val="18"/>
              </w:rPr>
              <w:t>(T2.13.1)</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c>
          <w:tcPr>
            <w:tcW w:type="dxa" w:w="8391"/>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center"/>
            </w:pPr>
            <w:r>
              <w:rPr>
                <w:rFonts w:ascii="Cambria Math" w:hAnsi="Cambria Math" w:eastAsia="Cambria Math"/>
                <w:sz w:val="20"/>
              </w:rPr>
              <w:t>Π_E,N := H³(J_N) ∘ κ_N : 𝒪_B(N) → H³(E•(N)).</w:t>
            </w:r>
          </w:p>
        </w:tc>
        <w:tc>
          <w:tcPr>
            <w:tcW w:type="dxa" w:w="1020"/>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right"/>
            </w:pPr>
            <w:r>
              <w:rPr>
                <w:rFonts w:ascii="Liberation Serif" w:hAnsi="Liberation Serif"/>
                <w:sz w:val="18"/>
              </w:rPr>
              <w:t>(T2.13.2)</w:t>
            </w:r>
          </w:p>
        </w:tc>
      </w:tr>
    </w:tbl>
    <w:p>
      <w:pPr>
        <w:spacing w:after="0"/>
        <w:widowControl/>
      </w:pPr>
    </w:p>
    <w:p>
      <w:pPr>
        <w:pStyle w:val="ListBullet"/>
        <w:widowControl/>
      </w:pPr>
      <w:r>
        <w:rPr>
          <w:lang w:val="ru-RU"/>
        </w:rPr>
        <w:t>B1–B2: E• является комплексом и J является цепной картой.</w:t>
      </w:r>
    </w:p>
    <w:p>
      <w:pPr>
        <w:pStyle w:val="ListBullet"/>
        <w:widowControl/>
      </w:pPr>
      <w:r>
        <w:rPr>
          <w:lang w:val="ru-RU"/>
        </w:rPr>
        <w:t>B3–B5: конструкции естественны относительно морфизмов NAPG.</w:t>
      </w:r>
    </w:p>
    <w:p>
      <w:pPr>
        <w:pStyle w:val="ListBullet"/>
        <w:widowControl/>
      </w:pPr>
      <w:r>
        <w:rPr>
          <w:lang w:val="ru-RU"/>
        </w:rPr>
        <w:t>B6: инъективность нужна для обратной детекции ненулевого препятствия.</w:t>
      </w:r>
    </w:p>
    <w:p>
      <w:pPr>
        <w:pStyle w:val="ListBullet"/>
        <w:widowControl/>
      </w:pPr>
      <w:r>
        <w:rPr>
          <w:lang w:val="ru-RU"/>
        </w:rPr>
        <w:t>B7: ассоциаторный канал β_Ass строится отдельно.</w:t>
      </w:r>
    </w:p>
    <w:p>
      <w:pPr>
        <w:pStyle w:val="ListBullet"/>
        <w:widowControl/>
      </w:pPr>
      <w:r>
        <w:rPr>
          <w:lang w:val="ru-RU"/>
        </w:rPr>
        <w:t>B8: физическая или аналитическая интерпретация требует отдельной редукции и данных.</w:t>
      </w:r>
    </w:p>
    <w:p>
      <w:pPr>
        <w:pStyle w:val="Heading1"/>
        <w:widowControl/>
        <w:keepNext/>
      </w:pPr>
      <w:r>
        <w:rPr>
          <w:rFonts w:ascii="Liberation Sans" w:hAnsi="Liberation Sans" w:eastAsia="Liberation Sans"/>
          <w:b/>
          <w:color w:val="17365D"/>
          <w:sz w:val="36"/>
          <w:lang w:val="ru-RU"/>
        </w:rPr>
        <w:t>Глава 14. Пространства препятствий и проектирование</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Препятствие есть остаток, который нельзя снять разрешённым преобразованием. Его носитель определяется факторизацией, а не названием «обструкция».</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Различение X²_N, O_B, H³(C_min) и H³(E) предотвращает ложные отождествления. Карты между ними должны иметь вычислимые ядра и образы.</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фактор-пространство показывает, какие различия исчезают после разрешённых поправок и какие продолжают сопротивляться.</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Проективизация P(O_B) требует ненулевого векторного носителя; конечная размерность и поле указываются явно.</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Различить X²_N, O_B, H³(C_min), внешний H³(E•) и ассоциаторный канал.</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Диаграмма факторизации, ядра/образы, критерии потери информации, контрпримеры.</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5, 9, 12–13.</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T2-PO-027, T2-PO-028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15–16, 19–20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15. Относительные и редуцированные когомологии</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Редуцированная когомология фиксирует не все вариации, а вариации, совместимые с выбранной архитектурой и группой эквивалентностей.</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Тангенциальный класс имеет смысл после отделения тривиальных деформаций im d¹ от допустимых ker d². Эта операция и есть доказательная дисциплина модульного пространства.</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Читатель наблюдает различие между реальным изменением структуры и сменой координат описания.</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H²_red и O³_red не объявляются стандартными когомологиями без явного комплекса и проверки d²=0; связь с O_B требует отдельной теоремы.</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Задать относительные комплексы и редуцированные группы для допустимых деформаций.</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H²_red, O³_red, functoriality, relation to internal carrier.</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3–4, 10, 12–14.</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T2-PO-029, T2-PO-030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16, 18, 20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16. Деформации, модульные пространства и препятствия</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Деформация исследует, как объект может стать другим, не теряя прослеживаемость происхождения. Модульное пространство является геометрией таких допустимых становлений.</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Уравнение деформации и препятствия по порядкам дают знание не о произвольной близости, а о продолжимости формального пути.</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параметрическая семья показывает структуру в движении, а препятствие отмечает момент, когда локальное намерение не продолжается глобально.</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Формальная деформация не равна аналитической сходимости. Локальная модель не даёт глобального модульного пространства без дополнительных теорем.</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Развить формальную/локальную теорию деформаций NAPG.</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Тангенциальный класс, уравнение Маурера–Картана или его NAPG-аналог, первичные/высшие препятствия.</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4–5, 12–15.</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T2-PO-031, T2-PO-032</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18, 20–22</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17. Редукции Гильберта и Клейна</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Классические геометрии не должны исчезать в NAPG; они должны возникать как контролируемые редукции при отключении или стабилизации дополнительных слоёв.</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Теорема редукции объясняет, какие аксиомы NAPG нужны для восстановления инцидентности Гильберта и программы инвариантов Клейна.</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Читатель получает знакомую геометрию как сечение более широкой структуры, сохраняя возможность вернуться к условиям редукции.</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Исторические теоремы принадлежат prior art. Авторская новизна относится к механизму пакетно-реперной сборки и доказанным новым связям, а не к самим классическим аксиомам.</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Показать, при каких гипотезах классические геометрии являются редукциями.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Теоремы редукции, группы преобразований, инварианты, обратные ограничения.</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3, 6–7.</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T2-PO-033, T2-PO-034</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18–20, 23</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18. Комплексная, кэлерова и Calabi–Yau-ветви</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Комплексная и кэлерова геометрия требуют согласования J, ω и g; Calabi–Yau-структура добавляет интегрируемость и ненулевую голоморфную форму. Набор символов без совместимостей не образует ветвь геометрии.</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Эпистемически каждая ступень сильнее предыдущей и требует новых гипотез. Лестница условий должна быть видимой, чтобы следствие не использовало ещё не доказанную ступень.</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комплексная структура задаёт внутренний поворот, симплектическая форма — измерение ориентированных пар, а метрика — длину; их согласование создаёт единый режим опыта.</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CY- и Laplace-утверждения не экспортируются в физику и космологию в Томе II. Они остаются математическими или условно-аналитическими.</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Локализовать условия комплексной, симплектической, кэлеровой и CY-структур.</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J, ω, g, Ω, integrability, Hodge/Laplacian bridges; точные Dom.</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7–11, 13, 16–17.</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T2-PO-035, T2-PO-036</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20–23</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19. Fano barrier и конечные проективные носители</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Плоскость Фано служит барьером между семью локальными метками и одним глобальным проективным носителем. Численное совпадение семи точек не является склейкой.</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Необходимы явные identification maps, совместимые на пересечениях и с инцидентностью. Только тогда P(O_id) может быть сопоставлено P²(F₂).</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барьер показывает, как локально понятные фрагменты могут не образовать единого мира без общего закона отождествления.</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Fano carrier theorem остаётся условной вне зафиксированной трёхмерной F₂-модели и identification axiom.</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Разделить локальные носители препятствий и глобальную плоскость Фано.</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P(O_B), identification axioms, условная Fano carrier theorem, отрицательные примеры.</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12–15, 17.</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T2-PO-037, T2-PO-038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20–23</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2"/>
        <w:widowControl/>
        <w:keepNext/>
      </w:pPr>
      <w:r>
        <w:rPr>
          <w:rFonts w:ascii="Liberation Sans" w:hAnsi="Liberation Sans" w:eastAsia="Liberation Sans"/>
          <w:b/>
          <w:color w:val="2F5597"/>
          <w:sz w:val="26"/>
          <w:lang w:val="ru-RU"/>
        </w:rPr>
        <w:t>Проективный барьер</w:t>
      </w:r>
    </w:p>
    <w:tbl>
      <w:tblPr>
        <w:tblW w:type="auto" w:w="0"/>
        <w:jc w:val="center"/>
        <w:tblLayout w:type="fixed"/>
        <w:tblLook w:firstColumn="1" w:firstRow="1" w:lastColumn="0" w:lastRow="0" w:noHBand="0" w:noVBand="1" w:val="04A0"/>
      </w:tblPr>
      <w:tblGrid>
        <w:gridCol w:w="4876"/>
        <w:gridCol w:w="4876"/>
      </w:tblGrid>
      <w:tr>
        <w:tc>
          <w:tcPr>
            <w:tcW w:type="dxa" w:w="8391"/>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center"/>
            </w:pPr>
            <w:r>
              <w:rPr>
                <w:rFonts w:ascii="Cambria Math" w:hAnsi="Cambria Math" w:eastAsia="Cambria Math"/>
                <w:sz w:val="20"/>
              </w:rPr>
              <w:t>dim_{𝔽₂} 𝒪_B = 3  ⇒  P(𝒪_B) ≅ P²(𝔽₂),  после выбора базиса.</w:t>
            </w:r>
          </w:p>
        </w:tc>
        <w:tc>
          <w:tcPr>
            <w:tcW w:type="dxa" w:w="1020"/>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right"/>
            </w:pPr>
            <w:r>
              <w:rPr>
                <w:rFonts w:ascii="Liberation Serif" w:hAnsi="Liberation Serif"/>
                <w:sz w:val="18"/>
              </w:rPr>
              <w:t>(T2.19.1)</w:t>
            </w:r>
          </w:p>
        </w:tc>
      </w:tr>
    </w:tbl>
    <w:p>
      <w:pPr>
        <w:spacing w:after="0"/>
        <w:widowControl/>
      </w:pPr>
    </w:p>
    <w:tbl>
      <w:tblPr>
        <w:tblW w:type="auto" w:w="0"/>
        <w:jc w:val="center"/>
        <w:tblLayout w:type="fixed"/>
        <w:tblLook w:firstColumn="1" w:firstRow="1" w:lastColumn="0" w:lastRow="0" w:noHBand="0" w:noVBand="1" w:val="04A0"/>
      </w:tblPr>
      <w:tblGrid>
        <w:gridCol w:w="9411"/>
      </w:tblGrid>
      <w:tr>
        <w:tc>
          <w:tcPr>
            <w:tcW w:type="dxa" w:w="9752"/>
            <w:shd w:fill="FCE4D6"/>
            <w:tcMar>
              <w:top w:w="150" w:type="dxa"/>
              <w:start w:w="180" w:type="dxa"/>
              <w:bottom w:w="15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b/>
                <w:color w:val="9C0006"/>
                <w:sz w:val="21"/>
              </w:rPr>
              <w:t>ОГРАНИЧЕНИЕ</w:t>
            </w:r>
          </w:p>
          <w:p>
            <w:pPr>
              <w:spacing w:after="0" w:line="252" w:lineRule="auto"/>
            </w:pPr>
            <w:r>
              <w:rPr>
                <w:rFonts w:ascii="Liberation Serif" w:hAnsi="Liberation Serif" w:eastAsia="Liberation Serif"/>
                <w:sz w:val="18"/>
              </w:rPr>
              <w:t>Семь локальных объектов не образуют плоскость Фано только потому, что их семь. Требуются согласованные карты идентификации и доказательство сохранения инцидентности.</w:t>
            </w:r>
          </w:p>
        </w:tc>
      </w:tr>
    </w:tbl>
    <w:p>
      <w:pPr>
        <w:spacing w:after="0"/>
        <w:widowControl/>
      </w:pPr>
    </w:p>
    <w:p>
      <w:pPr>
        <w:pStyle w:val="Heading1"/>
        <w:widowControl/>
        <w:keepNext/>
      </w:pPr>
      <w:r>
        <w:rPr>
          <w:rFonts w:ascii="Liberation Sans" w:hAnsi="Liberation Sans" w:eastAsia="Liberation Sans"/>
          <w:b/>
          <w:color w:val="17365D"/>
          <w:sz w:val="36"/>
          <w:lang w:val="ru-RU"/>
        </w:rPr>
        <w:t>Глава 20. Модели, контрпримеры и вычислительные сертификаты</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Модель является местом, где определение встречается с вычислением. Контрпример столь же конструктивен, как пример: он очерчивает реальную область теоремы.</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Вычислительный сертификат подтверждает конкретные равенства, тесты и реализацию, но не заменяет общий квантор теоремы.</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Читатель должен иметь возможность повторить вычисление, изменить вход и увидеть, где ломается мост.</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Статус COMP не повышается до THM. Численный результат не считается независимым экспериментальным свидетельством.</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Собрать тестовый зоопарк, способный опровергать неверные мосты.</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Ассоциативные/неассоциативные модели, точные вычисления, сертификаты и граничные случаи.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4–19.</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T2-PO-039, T2-PO-040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21–24</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21. Реестр теорем и граф зависимостей</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Теорема существует в системе зависимостей: её гипотезы, леммы, определения и контрпримеры образуют направленный граф. Отрыв утверждения от графа уничтожает его доказательный смысл.</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Stable ID и обратная трассировка позволяют проверить не только текст доказательства, но и происхождение каждого использованного объекта.</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граф превращает монографию из линейной книги в обозримую архитектуру, где можно следовать различными маршрутами.</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Реестр не доказывает теоремы. Он отражает текущий статус и обязан показывать пропуски, а не скрывать их пустыми ссылками.</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Сделать доказательные зависимости видимыми и проверяемыми.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Theorem ledger, dependency DAG, stable IDs, backward trace to sources.</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1–20.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T2-PO-041, T2-PO-042</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22–24</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22. Доказательные обязательства и открытые задачи</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Открытое обязательство является положительным объектом исследования: оно фиксирует точное место, где структура ещё не замкнута.</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Blocker и next action превращают незнание в проверяемую программу. Это защищает проект от риторического повышения статуса.</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Читатель видит не только готовый фасад, но и строительные швы, сроки и критерии завершения.</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Закрытие PO требует доказательства, контрпримера или документированного отказа от утверждения; редакционная переформулировка сама по себе не является закрытием.</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Поддерживать blocker-safe режим: неизвестное не маскируется редактурой.</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PO matrix, blockers, next actions, gates, критерии закрытия и отката.</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1–21.</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T2-PO-043, T2-PO-044</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23–24</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23. Prior art и граница авторской новизны</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Новизна существует на границе с уже известным. Чем точнее описан prior art, тем яснее становится реальный авторский вклад.</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Первичные источники используются для классических фактов; внутренние документы — для истории проекта; правовые документы — только для юридических реквизитов.</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Читатель должен видеть классическую линию Дезарга, Гильберта, Клейна, Hodge и теории деформаций рядом с архитектурой Курпишева, но не смешанной с ней.</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Регистрация программы или базы данных не удостоверяет истинность теоремы. Авторство и научный статус устанавливаются разными доказательными каналами.</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Развести классические результаты и авторскую архитектуру Курпишева.</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Source map, attribution matrix, novelty claims with evidence level, legal boundary.</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1–22; внешние первичные источники.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T2-PO-045, T2-PO-046</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24</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2"/>
        <w:widowControl/>
        <w:keepNext/>
      </w:pPr>
      <w:r>
        <w:rPr>
          <w:rFonts w:ascii="Liberation Sans" w:hAnsi="Liberation Sans" w:eastAsia="Liberation Sans"/>
          <w:b/>
          <w:color w:val="2F5597"/>
          <w:sz w:val="26"/>
          <w:lang w:val="ru-RU"/>
        </w:rPr>
        <w:t>Матрица границ авторства</w:t>
      </w:r>
    </w:p>
    <w:tbl>
      <w:tblPr>
        <w:tblW w:type="auto" w:w="0"/>
        <w:jc w:val="center"/>
        <w:tblLayout w:type="fixed"/>
        <w:tblLook w:firstColumn="1" w:firstRow="1" w:lastColumn="0" w:lastRow="0" w:noHBand="0" w:noVBand="1" w:val="04A0"/>
      </w:tblPr>
      <w:tblGrid>
        <w:gridCol w:w="3251"/>
        <w:gridCol w:w="3251"/>
        <w:gridCol w:w="3251"/>
      </w:tblGrid>
      <w:tr>
        <w:trPr>
          <w:tblHeader w:val="true"/>
        </w:trPr>
        <w:tc>
          <w:tcPr>
            <w:tcW w:type="dxa" w:w="351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Слой</w:t>
            </w:r>
          </w:p>
        </w:tc>
        <w:tc>
          <w:tcPr>
            <w:tcW w:type="dxa" w:w="204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Атрибуция</w:t>
            </w:r>
          </w:p>
        </w:tc>
        <w:tc>
          <w:tcPr>
            <w:tcW w:type="dxa" w:w="385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Источник/правило</w:t>
            </w:r>
          </w:p>
        </w:tc>
      </w:tr>
      <w:tr>
        <w:tc>
          <w:tcPr>
            <w:tcW w:type="dxa" w:w="351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Проективное кросс-соотношение, гармоническая четвёрка</w:t>
            </w:r>
          </w:p>
        </w:tc>
        <w:tc>
          <w:tcPr>
            <w:tcW w:type="dxa" w:w="204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Классический prior art</w:t>
            </w:r>
          </w:p>
        </w:tc>
        <w:tc>
          <w:tcPr>
            <w:tcW w:type="dxa" w:w="385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Desargues; классическая проективная геометрия</w:t>
            </w:r>
          </w:p>
        </w:tc>
      </w:tr>
      <w:tr>
        <w:tc>
          <w:tcPr>
            <w:tcW w:type="dxa" w:w="351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Аксиоматическая геометрия и группы преобразований</w:t>
            </w:r>
          </w:p>
        </w:tc>
        <w:tc>
          <w:tcPr>
            <w:tcW w:type="dxa" w:w="204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Классический prior art</w:t>
            </w:r>
          </w:p>
        </w:tc>
        <w:tc>
          <w:tcPr>
            <w:tcW w:type="dxa" w:w="385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Hilbert; Klein; Veblen–Young</w:t>
            </w:r>
          </w:p>
        </w:tc>
      </w:tr>
      <w:tr>
        <w:tc>
          <w:tcPr>
            <w:tcW w:type="dxa" w:w="351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Категории и естественность</w:t>
            </w:r>
          </w:p>
        </w:tc>
        <w:tc>
          <w:tcPr>
            <w:tcW w:type="dxa" w:w="204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Классический prior art</w:t>
            </w:r>
          </w:p>
        </w:tc>
        <w:tc>
          <w:tcPr>
            <w:tcW w:type="dxa" w:w="385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Eilenberg–Mac Lane</w:t>
            </w:r>
          </w:p>
        </w:tc>
      </w:tr>
      <w:tr>
        <w:tc>
          <w:tcPr>
            <w:tcW w:type="dxa" w:w="351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Hodge-теория, Kähler/CY</w:t>
            </w:r>
          </w:p>
        </w:tc>
        <w:tc>
          <w:tcPr>
            <w:tcW w:type="dxa" w:w="204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Классический prior art</w:t>
            </w:r>
          </w:p>
        </w:tc>
        <w:tc>
          <w:tcPr>
            <w:tcW w:type="dxa" w:w="385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Hodge; Yau и последующая литература</w:t>
            </w:r>
          </w:p>
        </w:tc>
      </w:tr>
      <w:tr>
        <w:tc>
          <w:tcPr>
            <w:tcW w:type="dxa" w:w="351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Теория деформаций алгебр</w:t>
            </w:r>
          </w:p>
        </w:tc>
        <w:tc>
          <w:tcPr>
            <w:tcW w:type="dxa" w:w="204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Классический prior art</w:t>
            </w:r>
          </w:p>
        </w:tc>
        <w:tc>
          <w:tcPr>
            <w:tcW w:type="dxa" w:w="385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Gerstenhaber; Akivis; Sabinin</w:t>
            </w:r>
          </w:p>
        </w:tc>
      </w:tr>
      <w:tr>
        <w:tc>
          <w:tcPr>
            <w:tcW w:type="dxa" w:w="351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Пакетно-реперное соединение, C@C, Reper(R,I,U;D), NAPG, KLT-RBD</w:t>
            </w:r>
          </w:p>
        </w:tc>
        <w:tc>
          <w:tcPr>
            <w:tcW w:type="dxa" w:w="204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Авторская архитектура</w:t>
            </w:r>
          </w:p>
        </w:tc>
        <w:tc>
          <w:tcPr>
            <w:tcW w:type="dxa" w:w="385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Курпишев И.Б.; статус каждого нового результата по theorem ledger</w:t>
            </w:r>
          </w:p>
        </w:tc>
      </w:tr>
      <w:tr>
        <w:tc>
          <w:tcPr>
            <w:tcW w:type="dxa" w:w="351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ПН.2 и теорема Дезарга–Курпишева</w:t>
            </w:r>
          </w:p>
        </w:tc>
        <w:tc>
          <w:tcPr>
            <w:tcW w:type="dxa" w:w="204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Авторские конструкции</w:t>
            </w:r>
          </w:p>
        </w:tc>
        <w:tc>
          <w:tcPr>
            <w:tcW w:type="dxa" w:w="385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Формулировки и доказательные статусы ограничены каноническими документами</w:t>
            </w:r>
          </w:p>
        </w:tc>
      </w:tr>
    </w:tbl>
    <w:p>
      <w:pPr>
        <w:pStyle w:val="Heading1"/>
        <w:widowControl/>
        <w:keepNext/>
      </w:pPr>
      <w:r>
        <w:rPr>
          <w:rFonts w:ascii="Liberation Sans" w:hAnsi="Liberation Sans" w:eastAsia="Liberation Sans"/>
          <w:b/>
          <w:color w:val="17365D"/>
          <w:sz w:val="36"/>
          <w:lang w:val="ru-RU"/>
        </w:rPr>
        <w:t>Глава 24. Приложения и воспроизводимый доказательный пакет</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Воспроизводимость является формой продолжения объекта за пределами авторского компьютера. Пакет доказательства должен сохранять не только результат, но и путь его получения.</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Хеши, версии, инструкции и тесты создают проверяемую цепь идентичности. Однако файл остаётся носителем доказательства, а не самим доказательством.</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воспроизведение превращает чтение в повторное действие: другой исследователь проходит тот же маршрут и сравнивает состояния.</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Публикационный пакет не включает недоказанные данные и не повышает статусы. Внешний EXT-RUN отделяется от внутреннего QA.</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Задать воспроизводимую публикационную инфраструктуру без подмены доказательств файлами.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Словарь, кодовые сертификаты, контрольные хеши, протокол сборки, индекс рисунков/формул.</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1–23.</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T2-PO-047, T2-PO-048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Финальная сборка v1.0 RU</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sectPr>
          <w:headerReference w:type="default" r:id="rId15"/>
          <w:footerReference w:type="default" r:id="rId16"/>
          <w:headerReference w:type="first" r:id="rId17"/>
          <w:footerReference w:type="first" r:id="rId18"/>
          <w:headerReference w:type="even" r:id="rId53"/>
          <w:pgSz w:w="11906" w:h="16838"/>
          <w:pgMar w:top="964" w:right="1020" w:bottom="935" w:left="1134" w:header="397" w:footer="397" w:gutter="0"/>
          <w:cols w:space="720"/>
          <w:titlePg/>
          <w:docGrid w:linePitch="360"/>
        </w:sectPr>
        <w:widowControl/>
      </w:pPr>
    </w:p>
    <w:p>
      <w:pPr>
        <w:pStyle w:val="Heading1"/>
        <w:widowControl/>
        <w:keepNext/>
      </w:pPr>
      <w:r>
        <w:rPr>
          <w:rFonts w:ascii="Liberation Sans" w:hAnsi="Liberation Sans" w:eastAsia="Liberation Sans"/>
          <w:b/>
          <w:color w:val="17365D"/>
          <w:sz w:val="36"/>
          <w:lang w:val="ru-RU"/>
        </w:rPr>
        <w:t>Первичная матрица доказательных обязательств</w:t>
      </w:r>
    </w:p>
    <w:tbl>
      <w:tblPr>
        <w:tblW w:type="auto" w:w="0"/>
        <w:jc w:val="center"/>
        <w:tblLayout w:type="fixed"/>
        <w:tblLook w:firstColumn="1" w:firstRow="1" w:lastColumn="0" w:lastRow="0" w:noHBand="0" w:noVBand="1" w:val="04A0"/>
      </w:tblPr>
      <w:tblGrid>
        <w:gridCol w:w="7625"/>
        <w:gridCol w:w="7625"/>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Proof obligation существует как самостоятельный объект, связывающий утверждение, его статус, ожидаемый proof object и конкретный blocker.</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Матрица запрещает знанию появляться задним числом. Каждое повышение статуса должно иметь адрес доказательства, вычислительного сертификата или независимого свидетельства.</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Для читателя открытая строка PO является указателем будущего действия, а не признаком редакционного провала. Наука без открытых строк обычно просто хорошо спрятала их.</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В v0.1 все содержательные PO остаются OPEN; COMP используется только для выполненных процедур сборки и QA, а не для общих теорем.</w:t>
            </w:r>
          </w:p>
        </w:tc>
      </w:tr>
    </w:tbl>
    <w:p>
      <w:pPr>
        <w:spacing w:after="0"/>
        <w:widowControl/>
      </w:pPr>
    </w:p>
    <w:tbl>
      <w:tblPr>
        <w:tblW w:type="auto" w:w="0"/>
        <w:jc w:val="center"/>
        <w:tblLayout w:type="fixed"/>
        <w:tblLook w:firstColumn="1" w:firstRow="1" w:lastColumn="0" w:lastRow="0" w:noHBand="0" w:noVBand="1" w:val="04A0"/>
      </w:tblPr>
      <w:tblGrid>
        <w:gridCol w:w="2179"/>
        <w:gridCol w:w="2179"/>
        <w:gridCol w:w="2179"/>
        <w:gridCol w:w="2179"/>
        <w:gridCol w:w="2179"/>
        <w:gridCol w:w="2179"/>
        <w:gridCol w:w="2179"/>
      </w:tblGrid>
      <w:tr>
        <w:trPr>
          <w:tblHeader w:val="true"/>
        </w:trP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2"/>
              </w:rPr>
              <w:t>ID</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2"/>
              </w:rPr>
              <w:t>Гл.</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2"/>
              </w:rPr>
              <w:t>Обязательство</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2"/>
              </w:rPr>
              <w:t>Статус</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2"/>
              </w:rPr>
              <w:t>Ожидаемый proof object</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2"/>
              </w:rPr>
              <w:t>Blocker / следующее действие</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2"/>
              </w:rPr>
              <w:t>Зависимости</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T2-PO-001</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T2-PO-002</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T2-PO-003</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2</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2</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T2-PO-004</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2</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2</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T2-PO-005</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3</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3</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T2-PO-006</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3</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3</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T2-PO-007</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4</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4</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T2-PO-008</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4</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4</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T2-PO-009</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5</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5</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T2-PO-010</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5</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5</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T2-PO-011</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6</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6</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T2-PO-012</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6</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6</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T2-PO-013</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7</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7</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T2-PO-014</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7</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7</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T2-PO-015</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8</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8</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T2-PO-016</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8</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8</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T2-PO-017</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9</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9</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T2-PO-018</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9</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9</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T2-PO-019</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10</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10</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T2-PO-020</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10</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10</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T2-PO-021</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11</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11</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T2-PO-022</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11</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11</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T2-PO-023</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12</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12</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T2-PO-024</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12</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12</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T2-PO-025</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13</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13</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T2-PO-026</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13</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13</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T2-PO-027</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14</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14</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T2-PO-028</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14</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14</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T2-PO-029</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15</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15</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T2-PO-030</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15</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15</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T2-PO-031</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16</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16</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T2-PO-032</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16</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16</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T2-PO-033</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17</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17</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T2-PO-034</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17</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17</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T2-PO-035</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18</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18</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T2-PO-036</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18</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18</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T2-PO-037</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19</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19</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T2-PO-038</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19</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19</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T2-PO-039</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20</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20</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T2-PO-040</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20</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20</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T2-PO-041</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21</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21</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T2-PO-042</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21</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21</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T2-PO-043</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22</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22</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T2-PO-044</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22</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22</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T2-PO-045</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23</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23</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T2-PO-046</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23</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23</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T2-PO-047</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24</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24</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T2-PO-048</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24</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24</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T2-PO-049</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X</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Синхронность tom2_v0_1.docx и tom2_v0_1.pdf.</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COMP</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QA report</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Сравнить пагинацию, таблицы, подписи, поисковый слой.</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Все</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T2-PO-050</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X</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Юридические реквизиты подтверждены официальным документом, а не памятью.</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Legal provenance ledger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Независимо сверить открытые реестры; сохранить карточки/хеши.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 23–24</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T2-PO-051</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X</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Авторская фотография воспроизводится из утверждённого файла без стилизации.</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COMP</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Cover QA</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Заменить на более высокое разрешение при поступлении утверждённого оригинала.</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Титул</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T2-PO-052</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X</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Ни один PHY-HYP, COND или COMP не повышен до THM.</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COMP</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Status audit</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Повторять аудит на каждом выпуске; truth_layer_promotion=0.</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Все</w:t>
            </w:r>
          </w:p>
        </w:tc>
      </w:tr>
    </w:tbl>
    <w:p>
      <w:pPr>
        <w:sectPr>
          <w:headerReference w:type="default" r:id="rId63"/>
          <w:pgSz w:w="16838" w:h="11906" w:orient="landscape"/>
          <w:pgMar w:top="850" w:right="794" w:bottom="850" w:left="794" w:header="397" w:footer="397" w:gutter="0"/>
          <w:cols w:space="720"/>
          <w:titlePg/>
          <w:docGrid w:linePitch="360"/>
        </w:sectPr>
        <w:widowControl/>
      </w:pPr>
    </w:p>
    <w:p>
      <w:pPr>
        <w:pStyle w:val="Heading1"/>
        <w:widowControl/>
        <w:keepNext/>
      </w:pPr>
      <w:r>
        <w:rPr>
          <w:rFonts w:ascii="Liberation Sans" w:hAnsi="Liberation Sans" w:eastAsia="Liberation Sans"/>
          <w:b/>
          <w:color w:val="17365D"/>
          <w:sz w:val="36"/>
          <w:lang w:val="ru-RU"/>
        </w:rPr>
        <w:t>Контрольная точка T2-RP-v0.1</w:t>
      </w:r>
    </w:p>
    <w:tbl>
      <w:tblPr>
        <w:tblW w:type="auto" w:w="0"/>
        <w:jc w:val="center"/>
        <w:tblLayout w:type="fixed"/>
        <w:tblLook w:firstColumn="1" w:firstRow="1" w:lastColumn="0" w:lastRow="0" w:noHBand="0" w:noVBand="1" w:val="04A0"/>
      </w:tblPr>
      <w:tblGrid>
        <w:gridCol w:w="9411"/>
      </w:tblGrid>
      <w:tr>
        <w:tc>
          <w:tcPr>
            <w:tcW w:type="dxa" w:w="9752"/>
            <w:shd w:fill="E2F0D9"/>
            <w:tcMar>
              <w:top w:w="150" w:type="dxa"/>
              <w:start w:w="180" w:type="dxa"/>
              <w:bottom w:w="150" w:type="dxa"/>
              <w:end w:w="180" w:type="dxa"/>
            </w:tcMar>
            <w:tcBorders>
              <w:top w:val="single" w:sz="10" w:color="548235"/>
              <w:left w:val="single" w:sz="10" w:color="548235"/>
              <w:bottom w:val="single" w:sz="10" w:color="548235"/>
              <w:right w:val="single" w:sz="10" w:color="548235"/>
            </w:tcBorders>
          </w:tcPr>
          <w:p>
            <w:pPr>
              <w:spacing w:after="80"/>
            </w:pPr>
            <w:r>
              <w:rPr>
                <w:rFonts w:ascii="Liberation Sans" w:hAnsi="Liberation Sans"/>
                <w:b/>
                <w:color w:val="548235"/>
                <w:sz w:val="21"/>
              </w:rPr>
              <w:t>ВЫПОЛНЕНО</w:t>
            </w:r>
          </w:p>
          <w:p>
            <w:pPr>
              <w:spacing w:after="0" w:line="252" w:lineRule="auto"/>
            </w:pPr>
            <w:r>
              <w:rPr>
                <w:rFonts w:ascii="Liberation Serif" w:hAnsi="Liberation Serif" w:eastAsia="Liberation Serif"/>
                <w:sz w:val="18"/>
              </w:rPr>
              <w:t>Собраны: (1) карта источников P0–P5; (2) аудит канонической пары Тома I; (3) правовое досье с точными подтверждёнными реквизитами и факсимиле; (4) master-skeleton 24 глав; (5) граф зависимостей; (6) первичная матрица T2-PO-001–T2-PO-052; (7) доказательный status lock.</w:t>
            </w:r>
          </w:p>
        </w:tc>
      </w:tr>
    </w:tbl>
    <w:p>
      <w:pPr>
        <w:spacing w:after="0"/>
        <w:widowControl/>
      </w:pPr>
    </w:p>
    <w:p>
      <w:pPr>
        <w:pStyle w:val="Heading2"/>
        <w:widowControl/>
        <w:keepNext/>
      </w:pPr>
      <w:r>
        <w:rPr>
          <w:rFonts w:ascii="Liberation Sans" w:hAnsi="Liberation Sans" w:eastAsia="Liberation Sans"/>
          <w:b/>
          <w:color w:val="2F5597"/>
          <w:sz w:val="26"/>
          <w:lang w:val="ru-RU"/>
        </w:rPr>
        <w:t>Открытые блокеры</w:t>
      </w:r>
    </w:p>
    <w:tbl>
      <w:tblPr>
        <w:tblW w:type="auto" w:w="0"/>
        <w:jc w:val="center"/>
        <w:tblLayout w:type="fixed"/>
        <w:tblLook w:firstColumn="1" w:firstRow="1" w:lastColumn="0" w:lastRow="0" w:noHBand="0" w:noVBand="1" w:val="04A0"/>
      </w:tblPr>
      <w:tblGrid>
        <w:gridCol w:w="4876"/>
        <w:gridCol w:w="4876"/>
      </w:tblGrid>
      <w:tr>
        <w:trPr>
          <w:tblHeader w:val="true"/>
        </w:trPr>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6"/>
              </w:rPr>
              <w:t>Blocker</w:t>
            </w:r>
          </w:p>
        </w:tc>
        <w:tc>
          <w:tcPr>
            <w:tcW w:type="dxa" w:w="75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6"/>
              </w:rPr>
              <w:t>Следующий проверяемый шаг</w:t>
            </w:r>
          </w:p>
        </w:tc>
      </w:tr>
      <w:tr>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6"/>
              </w:rPr>
              <w:t>LEGAL-XML-01</w:t>
            </w:r>
          </w:p>
        </w:tc>
        <w:tc>
          <w:tcPr>
            <w:tcW w:type="dxa" w:w="75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6"/>
              </w:rPr>
              <w:t>Получить официальный регистрационный XML/выписку; 6612237_540.xml является картой сайта.</w:t>
            </w:r>
          </w:p>
        </w:tc>
      </w:tr>
      <w:tr>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6"/>
              </w:rPr>
              <w:t>P0-NATIVE-01</w:t>
            </w:r>
          </w:p>
        </w:tc>
        <w:tc>
          <w:tcPr>
            <w:tcW w:type="dxa" w:w="75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6"/>
              </w:rPr>
              <w:t>Постепенно восстановить нативные формулы/текст нужных фрагментов из изображения-ориентированного DOCX Тома I, сверяя с поисковым PDF.</w:t>
            </w:r>
          </w:p>
        </w:tc>
      </w:tr>
      <w:tr>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6"/>
              </w:rPr>
              <w:t>PHOTO-HIRES-01</w:t>
            </w:r>
          </w:p>
        </w:tc>
        <w:tc>
          <w:tcPr>
            <w:tcW w:type="dxa" w:w="75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6"/>
              </w:rPr>
              <w:t>При поступлении утверждённого оригинала заменить каноническую 320×320 фотографию на версию ≥900 пикселей без изменения композиции титула.</w:t>
            </w:r>
          </w:p>
        </w:tc>
      </w:tr>
      <w:tr>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6"/>
              </w:rPr>
              <w:t>NAPG-DEF-01</w:t>
            </w:r>
          </w:p>
        </w:tc>
        <w:tc>
          <w:tcPr>
            <w:tcW w:type="dxa" w:w="75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6"/>
              </w:rPr>
              <w:t>Синхронизировать Definition Core по P0/P2 и создать полный типовой словарь.</w:t>
            </w:r>
          </w:p>
        </w:tc>
      </w:tr>
      <w:tr>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6"/>
              </w:rPr>
              <w:t>BRIDGE-E-01</w:t>
            </w:r>
          </w:p>
        </w:tc>
        <w:tc>
          <w:tcPr>
            <w:tcW w:type="dxa" w:w="75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6"/>
              </w:rPr>
              <w:t>Построить или локализовать внешний E-комплекс и карты J; до этого Π_E остаётся COND.</w:t>
            </w:r>
          </w:p>
        </w:tc>
      </w:tr>
      <w:tr>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6"/>
              </w:rPr>
              <w:t>ASS-BRIDGE-01</w:t>
            </w:r>
          </w:p>
        </w:tc>
        <w:tc>
          <w:tcPr>
            <w:tcW w:type="dxa" w:w="75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6"/>
              </w:rPr>
              <w:t>Построить β_Ass и доказать область, естественность и предел детекции.</w:t>
            </w:r>
          </w:p>
        </w:tc>
      </w:tr>
      <w:tr>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6"/>
              </w:rPr>
              <w:t>HOL-ASS-01</w:t>
            </w:r>
          </w:p>
        </w:tc>
        <w:tc>
          <w:tcPr>
            <w:tcW w:type="dxa" w:w="75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6"/>
              </w:rPr>
              <w:t>Сформулировать точный мост Hol_D ↔ ассоциаторная кривизна или сохранить как OPEN.</w:t>
            </w:r>
          </w:p>
        </w:tc>
      </w:tr>
      <w:tr>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6"/>
              </w:rPr>
              <w:t>EXT-RUN-01</w:t>
            </w:r>
          </w:p>
        </w:tc>
        <w:tc>
          <w:tcPr>
            <w:tcW w:type="dxa" w:w="75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6"/>
              </w:rPr>
              <w:t>Независимая внешняя проверка не выполнена; F-1–F-14 не относятся к доказанному содержанию Тома II.</w:t>
            </w:r>
          </w:p>
        </w:tc>
      </w:tr>
    </w:tbl>
    <w:p>
      <w:pPr>
        <w:pStyle w:val="Heading2"/>
        <w:widowControl/>
        <w:keepNext/>
      </w:pPr>
      <w:r>
        <w:rPr>
          <w:rFonts w:ascii="Liberation Sans" w:hAnsi="Liberation Sans" w:eastAsia="Liberation Sans"/>
          <w:b/>
          <w:color w:val="2F5597"/>
          <w:sz w:val="26"/>
          <w:lang w:val="ru-RU"/>
        </w:rPr>
        <w:t>Следующий выпуск</w:t>
      </w: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8"/>
              </w:rPr>
              <w:t>Версия</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8"/>
              </w:rPr>
              <w:t>tom2_v0_2</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8"/>
              </w:rPr>
              <w:t>Название этапа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8"/>
              </w:rPr>
              <w:t>Notation lock and Definition Core</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8"/>
              </w:rPr>
              <w:t>Основная задача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8"/>
              </w:rPr>
              <w:t>Собрать окончательный NOTATION LEDGER; типизированные определения категории NAPG, объекта N=(𝕂,𝒜•,⊙,𝔊,ℛ;F²_N,X²_N,Ψ²_N), морфизмов и четырёх совместимостей.</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8"/>
              </w:rPr>
              <w:t>Обязательное доказательное действие</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8"/>
              </w:rPr>
              <w:t>Закрыть T2-PO-003–T2-PO-008 либо разделить их на более узкие PO с контрмоделями.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8"/>
              </w:rPr>
              <w:t>Запрет</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8"/>
              </w:rPr>
              <w:t>Не переходить к внешнему E-мосту, Hodge-теоремам и физическим интерпретациям до завершения типизации внутреннего ядра.</w:t>
            </w:r>
          </w:p>
        </w:tc>
      </w:tr>
    </w:tbl>
    <w:p>
      <w:pPr>
        <w:pStyle w:val="Heading2"/>
        <w:widowControl/>
        <w:keepNext/>
      </w:pPr>
      <w:r>
        <w:rPr>
          <w:rFonts w:ascii="Liberation Sans" w:hAnsi="Liberation Sans" w:eastAsia="Liberation Sans"/>
          <w:b/>
          <w:color w:val="2F5597"/>
          <w:sz w:val="26"/>
          <w:lang w:val="ru-RU"/>
        </w:rPr>
        <w:t>Декларация непрерывности и отсутствия повышения статуса</w:t>
      </w:r>
    </w:p>
    <w:p>
      <w:pPr>
        <w:pStyle w:val="Lead"/>
        <w:widowControl/>
      </w:pPr>
      <w:r>
        <w:rPr>
          <w:lang w:val="ru-RU"/>
        </w:rPr>
        <w:t>Настоящий выпуск принят как точка отката T2-RP-v0.1. Он наследует нулевую точку Тома I v197 RU, но не изменяет её. Все новые формулировки, не являющиеся дословным импортом или классическим фактом с источником, имеют статус DEF-A, OPEN, COND или MODEL до отдельного доказательства. ПН.2, F-1–F-14, физические мосты, внешняя детекция и ассоциаторный канал не повышены. truth_layer_promotion=0.</w:t>
      </w:r>
    </w:p>
    <w:p>
      <w:pPr>
        <w:pStyle w:val="Heading2"/>
        <w:widowControl/>
        <w:keepNext/>
      </w:pPr>
      <w:r>
        <w:rPr>
          <w:rFonts w:ascii="Liberation Sans" w:hAnsi="Liberation Sans" w:eastAsia="Liberation Sans"/>
          <w:b/>
          <w:color w:val="2F5597"/>
          <w:sz w:val="26"/>
          <w:lang w:val="ru-RU"/>
        </w:rPr>
        <w:t>Контрольные идентификаторы источников</w:t>
      </w: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T2-GUIDE-SHA256</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98fab8ceafe9088a385e2cc807bbeda6563c669273f4bd0b64577fb19a2c32ea</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T1-DOCX-SHA256</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a6b3e26daca35a7ffca14b5baa87d6c47711c167606904bb04b02841062a3518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T1-PDF-SHA256</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5a2021c02428e3e395fe81e029c46cd26b4a0e06ceb7dbfc89befddffd84a7d8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XML-SHA256</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f94b89e33dde32c9810cac9225d8009b91176a8031adc60f4ea0f8709cd95113</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Примечание</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Хеши итоговых DOCX/PDF фиксируются во внешнем журнале выдачи после завершения файлов; самореферентное включение хеша в тот же файл невозможно без изменения хеша.</w:t>
            </w:r>
          </w:p>
        </w:tc>
      </w:tr>
    </w:tbl>
    <w:p>
      <w:pPr>
        <w:pStyle w:val="Heading1"/>
        <w:widowControl/>
        <w:keepNext/>
      </w:pPr>
      <w:r>
        <w:rPr>
          <w:rFonts w:ascii="Liberation Sans" w:hAnsi="Liberation Sans" w:eastAsia="Liberation Sans"/>
          <w:b/>
          <w:color w:val="17365D"/>
          <w:sz w:val="36"/>
          <w:lang w:val="ru-RU"/>
        </w:rPr>
        <w:t>Библиографическая стартовая полка</w:t>
      </w:r>
    </w:p>
    <w:p>
      <w:pPr>
        <w:ind w:hanging="340" w:left="340"/>
        <w:widowControl/>
      </w:pPr>
      <w:r>
        <w:rPr>
          <w:sz w:val="18"/>
          <w:lang w:val="ru-RU"/>
        </w:rPr>
        <w:t>[1] Desargues, G. Brouillon project d’une atteinte aux événements des rencontres du cône avec un plan. 1639. Факсимиле: Bibliothèque nationale de France, Gallica.</w:t>
      </w:r>
    </w:p>
    <w:p>
      <w:pPr>
        <w:ind w:hanging="340" w:left="340"/>
        <w:widowControl/>
      </w:pPr>
      <w:r>
        <w:rPr>
          <w:sz w:val="18"/>
          <w:lang w:val="ru-RU"/>
        </w:rPr>
        <w:t>[2] Hilbert, D. The Foundations of Geometry. Authorized translation. Project Gutenberg edition.</w:t>
      </w:r>
    </w:p>
    <w:p>
      <w:pPr>
        <w:ind w:hanging="340" w:left="340"/>
        <w:widowControl/>
      </w:pPr>
      <w:r>
        <w:rPr>
          <w:sz w:val="18"/>
          <w:lang w:val="ru-RU"/>
        </w:rPr>
        <w:t>[3] Klein, F. Vergleichende Betrachtungen über neuere geometrische Forschungen (Erlangen Program). 1872.</w:t>
      </w:r>
    </w:p>
    <w:p>
      <w:pPr>
        <w:ind w:hanging="340" w:left="340"/>
        <w:widowControl/>
      </w:pPr>
      <w:r>
        <w:rPr>
          <w:sz w:val="18"/>
          <w:lang w:val="ru-RU"/>
        </w:rPr>
        <w:t>[4] Veblen, O.; Young, J. W. Projective Geometry. Vol. I–II.</w:t>
      </w:r>
    </w:p>
    <w:p>
      <w:pPr>
        <w:ind w:hanging="340" w:left="340"/>
        <w:widowControl/>
      </w:pPr>
      <w:r>
        <w:rPr>
          <w:sz w:val="18"/>
          <w:lang w:val="ru-RU"/>
        </w:rPr>
        <w:t>[5] Eilenberg, S.; Mac Lane, S. General Theory of Natural Equivalences. Transactions of the American Mathematical Society 58 (1945), 231–294. DOI: 10.1090/S0002-9947-1945-0013131-6.</w:t>
      </w:r>
    </w:p>
    <w:p>
      <w:pPr>
        <w:ind w:hanging="340" w:left="340"/>
        <w:widowControl/>
      </w:pPr>
      <w:r>
        <w:rPr>
          <w:sz w:val="18"/>
          <w:lang w:val="ru-RU"/>
        </w:rPr>
        <w:t>[6] Gerstenhaber, M. On the Deformation of Rings and Algebras. Annals of Mathematics 79 (1964), 59–103.</w:t>
      </w:r>
    </w:p>
    <w:p>
      <w:pPr>
        <w:ind w:hanging="340" w:left="340"/>
        <w:widowControl/>
      </w:pPr>
      <w:r>
        <w:rPr>
          <w:sz w:val="18"/>
          <w:lang w:val="ru-RU"/>
        </w:rPr>
        <w:t>[7] Akivis, M. A. Local algebras of a multidimensional three-web. Siberian Mathematical Journal 17 (1976). DOI: 10.1007/BF00969285.</w:t>
      </w:r>
    </w:p>
    <w:p>
      <w:pPr>
        <w:ind w:hanging="340" w:left="340"/>
        <w:widowControl/>
      </w:pPr>
      <w:r>
        <w:rPr>
          <w:sz w:val="18"/>
          <w:lang w:val="ru-RU"/>
        </w:rPr>
        <w:t>[8] Sabinin, L. V. Smooth Quasigroups and Loops. Kluwer/Springer, 1999. DOI: 10.1007/978-94-011-4491-9.</w:t>
      </w:r>
    </w:p>
    <w:p>
      <w:pPr>
        <w:ind w:hanging="340" w:left="340"/>
        <w:widowControl/>
      </w:pPr>
      <w:r>
        <w:rPr>
          <w:sz w:val="18"/>
          <w:lang w:val="ru-RU"/>
        </w:rPr>
        <w:t>[9] Hodge, W. V. D. The Theory and Applications of Harmonic Integrals. Cambridge University Press.</w:t>
      </w:r>
    </w:p>
    <w:p>
      <w:pPr>
        <w:ind w:hanging="340" w:left="340"/>
        <w:widowControl/>
      </w:pPr>
      <w:r>
        <w:rPr>
          <w:sz w:val="18"/>
          <w:lang w:val="ru-RU"/>
        </w:rPr>
        <w:t>[10] Yau, S.-T. On the Ricci curvature of a compact Kähler manifold and the complex Monge–Ampère equation. Communications on Pure and Applied Mathematics 31 (1978), 339–411. DOI: 10.1002/cpa.3160310304.</w:t>
      </w:r>
    </w:p>
    <w:p>
      <w:pPr>
        <w:ind w:hanging="340" w:left="340"/>
        <w:widowControl/>
      </w:pPr>
      <w:r>
        <w:rPr>
          <w:sz w:val="18"/>
          <w:lang w:val="ru-RU"/>
        </w:rPr>
        <w:t>[11] Kurpishev, I. B. Монография «Базовый проект KLT-RBD». Том I. Редакция v197 RU. 2026.</w:t>
      </w:r>
    </w:p>
    <w:p>
      <w:pPr>
        <w:ind w:hanging="340" w:left="340"/>
        <w:widowControl/>
      </w:pPr>
      <w:r>
        <w:rPr>
          <w:sz w:val="18"/>
          <w:lang w:val="ru-RU"/>
        </w:rPr>
        <w:t>[12] Kurpishev, I. B. Реперно-проективная архитектура формульных цепочек: PILOT-01. 2026.</w:t>
      </w:r>
    </w:p>
    <w:p>
      <w:pPr>
        <w:ind w:hanging="340" w:left="340"/>
        <w:widowControl/>
      </w:pPr>
      <w:r>
        <w:rPr>
          <w:sz w:val="18"/>
          <w:lang w:val="ru-RU"/>
        </w:rPr>
        <w:t>[13] Kurpishev, I. B. Авторские корпуса NAPG, KLT-RBD, теоремы Дезарга–Курпишева и ПН.2, согласно источниковому реестру проекта.</w:t>
      </w:r>
    </w:p>
    <w:p>
      <w:pPr>
        <w:widowControl/>
      </w:pPr>
      <w:r>
        <w:br w:type="page"/>
      </w:r>
    </w:p>
    <w:p>
      <w:bookmarkStart w:id="900" w:name="T2_V02_CORE"/>
      <w:pPr>
        <w:pStyle w:val="Heading1"/>
        <w:widowControl/>
        <w:keepNext/>
      </w:pPr>
      <w:r>
        <w:rPr>
          <w:rFonts w:ascii="Liberation Sans" w:hAnsi="Liberation Sans" w:eastAsia="Liberation Sans"/>
          <w:b/>
          <w:color w:val="17365D"/>
          <w:sz w:val="36"/>
        </w:rPr>
        <w:t>ЧАСТЬ II. МАТЕМАТИЧЕСКОЕ УГЛУБЛЕНИЕ v0.2</w:t>
      </w:r>
      <w:bookmarkEnd w:id="900"/>
    </w:p>
    <w:tbl>
      <w:tblPr>
        <w:tblW w:type="auto" w:w="0"/>
        <w:jc w:val="center"/>
        <w:tblLayout w:type="fixed"/>
        <w:tblLook w:firstColumn="1" w:firstRow="1" w:lastColumn="0" w:lastRow="0" w:noHBand="0" w:noVBand="1" w:val="04A0"/>
      </w:tblPr>
      <w:tblGrid>
        <w:gridCol w:w="9354"/>
      </w:tblGrid>
      <w:tr>
        <w:tc>
          <w:tcPr>
            <w:tcW w:type="dxa" w:w="9752"/>
            <w:shd w:fill="F5EBD3"/>
            <w:tcMar>
              <w:top w:w="160" w:type="dxa"/>
              <w:start w:w="180" w:type="dxa"/>
              <w:bottom w:w="160" w:type="dxa"/>
              <w:end w:w="180" w:type="dxa"/>
            </w:tcMar>
            <w:tcBorders>
              <w:top w:val="single" w:sz="10" w:color="9C6B18"/>
              <w:left w:val="single" w:sz="10" w:color="9C6B18"/>
              <w:bottom w:val="single" w:sz="10" w:color="9C6B18"/>
              <w:right w:val="single" w:sz="10" w:color="9C6B18"/>
            </w:tcBorders>
          </w:tcPr>
          <w:p>
            <w:pPr>
              <w:spacing w:after="80"/>
            </w:pPr>
            <w:r>
              <w:rPr>
                <w:rFonts w:ascii="Liberation Sans" w:hAnsi="Liberation Sans" w:eastAsia="Liberation Sans"/>
                <w:b/>
                <w:i w:val="0"/>
                <w:color w:val="9C6B18"/>
                <w:sz w:val="21"/>
              </w:rPr>
              <w:t>СТАТУС ВЫПУСКА T2-RP-v0.2</w:t>
            </w:r>
          </w:p>
          <w:p>
            <w:pPr>
              <w:spacing w:line="252" w:lineRule="auto" w:after="0"/>
              <w:jc w:val="both"/>
            </w:pPr>
            <w:r>
              <w:rPr>
                <w:rFonts w:ascii="Liberation Serif" w:hAnsi="Liberation Serif" w:eastAsia="Liberation Serif"/>
                <w:b w:val="0"/>
                <w:i w:val="0"/>
                <w:sz w:val="18"/>
              </w:rPr>
              <w:t>Этап: Notation lock and Definition Core. Закрываемая область: T2-PO-003–T2-PO-008 с разделением аналитических и внешних обязательств. Канонический импорт: Том I v197 RU, §§26.5 и 52.9–52.18. Внешний E-мост, Hodge-слой, ассоциаторная когомология и физические интерпретации в настоящий выпуск не включаются как доказанные результаты. truth_layer_promotion=0.</w:t>
            </w:r>
          </w:p>
        </w:tc>
      </w:tr>
    </w:tbl>
    <w:p>
      <w:pPr>
        <w:widowControl/>
        <w:spacing w:after="0"/>
      </w:pPr>
    </w:p>
    <w:p>
      <w:pPr>
        <w:pStyle w:val="Heading2"/>
        <w:widowControl/>
        <w:keepNext/>
      </w:pPr>
      <w:r>
        <w:rPr>
          <w:rFonts w:ascii="Liberation Sans" w:hAnsi="Liberation Sans" w:eastAsia="Liberation Sans"/>
          <w:b/>
          <w:color w:val="2F5597"/>
          <w:sz w:val="26"/>
        </w:rPr>
        <w:t>9. Паспорт математического углубления v0.2</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ОНТОЛОГИЯ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Определяющее ядро NAPG рассматривается как самостоятельный математический объект: оно состоит не из метафорических «пакетов», а из носителей, операций, областей допустимости, формального языка, вычислительных карт и фактор-объектов.</w:t>
            </w:r>
          </w:p>
        </w:tc>
      </w:tr>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ГНОСЕОЛОГИЯ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Право на утверждение возникает только после типизации каждой стрелки, проверки независимости от представителя и фиксации того, какие данные входят в объект, а какие являются внешним выбором.</w:t>
            </w:r>
          </w:p>
        </w:tc>
      </w:tr>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ФЕНОМЕНОЛОГИЯ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В вычислении ядро проявляется как цепочка «формальное выражение → вычислимый квадратичный элемент → класс обструкции». Ошибка становится видимой там, где стрелка не определена или не спускается на фактор.</w:t>
            </w:r>
          </w:p>
        </w:tc>
      </w:tr>
      <w:tr>
        <w:trPr>
          <w:cantSplit/>
        </w:trPr>
        <w:tc>
          <w:tcPr>
            <w:tcW w:type="dxa" w:w="1757"/>
            <w:shd w:fill="9C6B1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ГРАНИЦА</w:t>
            </w:r>
          </w:p>
        </w:tc>
        <w:tc>
          <w:tcPr>
            <w:tcW w:type="dxa" w:w="7597"/>
            <w:shd w:fill="F5EBD3"/>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Выпуск не отождествляет O_B с ассоциатором, Hodge-когомологией, кривизной, физическим полем или эмпирической истинностью. Эти мосты требуют отдельных объектов и доказательств.</w:t>
            </w:r>
          </w:p>
        </w:tc>
      </w:tr>
    </w:tbl>
    <w:p>
      <w:pPr>
        <w:widowControl/>
        <w:spacing w:after="0"/>
      </w:pPr>
    </w:p>
    <w:tbl>
      <w:tblPr>
        <w:tblW w:type="auto" w:w="0"/>
        <w:jc w:val="center"/>
        <w:tblLayout w:type="fixed"/>
        <w:tblLook w:firstColumn="1" w:firstRow="1" w:lastColumn="0" w:lastRow="0" w:noHBand="0" w:noVBand="1" w:val="04A0"/>
      </w:tblPr>
      <w:tblGrid>
        <w:gridCol w:w="4876"/>
        <w:gridCol w:w="4876"/>
      </w:tblGrid>
      <w:tr>
        <w:trPr>
          <w:tblHeader w:val="true"/>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7"/>
              </w:rPr>
              <w:t>Поле</w:t>
            </w:r>
          </w:p>
        </w:tc>
        <w:tc>
          <w:tcPr>
            <w:tcW w:type="dxa" w:w="691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7"/>
              </w:rPr>
              <w:t>Значение</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7"/>
              </w:rPr>
              <w:t>Версия</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7"/>
              </w:rPr>
              <w:t>tom2_v0_2; контрольная точка T2-RP-v0.2</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7"/>
              </w:rPr>
              <w:t>Главный результат</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7"/>
              </w:rPr>
              <w:t>Строгая алгебраическая категория NAPG_q и проектive-гармонический структурный селектор.</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7"/>
              </w:rPr>
              <w:t>Закрываемые PO</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7"/>
              </w:rPr>
              <w:t>T2-PO-003, 004, 005, 006, 007; T2-PO-008A и 008C.</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7"/>
              </w:rPr>
              <w:t>Разделяемые PO</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7"/>
              </w:rPr>
              <w:t>T2-PO-008B: аналитическая непрерывность и завершения; переносится в главы 10–13.</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7"/>
              </w:rPr>
              <w:t>Импорт P0</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7"/>
              </w:rPr>
              <w:t>Том I v197 RU: определения 26.16–26.19, 52.2–52.8; теоремы 52.2, 52.4, 52.6 и контрпримеры 52.1–52.6.</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7"/>
              </w:rPr>
              <w:t>Новый авторский слой</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7"/>
              </w:rPr>
              <w:t>Anchored sufficient foundation; строгий структурный селектор; теорема двойной инвариантности; локальная устойчивость λ-селектора; интервальная дисциплина воздержания.</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7"/>
              </w:rPr>
              <w:t>Статус-замок</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7"/>
              </w:rPr>
              <w:t>COND/MODEL/PHY-HYP не повышены; внешний E-слой не считается построенным.</w:t>
            </w:r>
          </w:p>
        </w:tc>
      </w:tr>
    </w:tbl>
    <w:p>
      <w:pPr>
        <w:widowControl/>
        <w:spacing w:after="20"/>
      </w:pPr>
    </w:p>
    <w:p>
      <w:pPr>
        <w:pStyle w:val="Heading1"/>
        <w:widowControl/>
        <w:keepNext/>
      </w:pPr>
      <w:r>
        <w:rPr>
          <w:rFonts w:ascii="Liberation Sans" w:hAnsi="Liberation Sans" w:eastAsia="Liberation Sans"/>
          <w:b/>
          <w:color w:val="17365D"/>
          <w:sz w:val="36"/>
        </w:rPr>
        <w:t>10. Глава 2. Замороженный реестр обозначений</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ОНТОЛОГИЯ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Обозначение является частью математического объекта: оно фиксирует тип, степень и роль символа. Смена знака без журнала коллизий способна незаметно заменить одну теорию другой.</w:t>
            </w:r>
          </w:p>
        </w:tc>
      </w:tr>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ГНОСЕОЛОГИЯ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Познание формулы начинается с ответа на четыре вопроса: где живут её аргументы, куда попадает значение, на какой области определена операция и какие выборы влияют на результат.</w:t>
            </w:r>
          </w:p>
        </w:tc>
      </w:tr>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ФЕНОМЕНОЛОГИЯ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Нотационная коллизия обнаруживается как невозможность однозначно прочитать диаграмму или композицию. Поэтому ⋆ ассоциаторного слоя и ⋆_Hdg никогда не считаются одним оператором.</w:t>
            </w:r>
          </w:p>
        </w:tc>
      </w:tr>
      <w:tr>
        <w:trPr>
          <w:cantSplit/>
        </w:trPr>
        <w:tc>
          <w:tcPr>
            <w:tcW w:type="dxa" w:w="1757"/>
            <w:shd w:fill="9C6B1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ГРАНИЦА</w:t>
            </w:r>
          </w:p>
        </w:tc>
        <w:tc>
          <w:tcPr>
            <w:tcW w:type="dxa" w:w="7597"/>
            <w:shd w:fill="F5EBD3"/>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Реестр не доказывает существование объектов. Он запрещает использовать символ раньше определения и не допускает переноса свойств между внутренним δ_min, внешним δ и δ_Hdg.</w:t>
            </w:r>
          </w:p>
        </w:tc>
      </w:tr>
    </w:tbl>
    <w:p>
      <w:pPr>
        <w:widowControl/>
        <w:spacing w:after="0"/>
      </w:pPr>
    </w:p>
    <w:p>
      <w:pPr>
        <w:pStyle w:val="Heading2"/>
        <w:widowControl/>
        <w:keepNext/>
      </w:pPr>
      <w:r>
        <w:rPr>
          <w:rFonts w:ascii="Liberation Sans" w:hAnsi="Liberation Sans" w:eastAsia="Liberation Sans"/>
          <w:b/>
          <w:color w:val="2F5597"/>
          <w:sz w:val="26"/>
        </w:rPr>
        <w:t>10.1. Базовые сортировки и типы</w:t>
      </w:r>
    </w:p>
    <w:p>
      <w:pPr>
        <w:widowControl/>
        <w:spacing w:after="100" w:line="259" w:lineRule="auto"/>
        <w:ind w:firstLine="397"/>
        <w:jc w:val="both"/>
      </w:pPr>
      <w:r>
        <w:rPr>
          <w:rFonts w:ascii="Liberation Serif" w:hAnsi="Liberation Serif" w:eastAsia="Liberation Serif"/>
          <w:b w:val="0"/>
          <w:i w:val="0"/>
          <w:sz w:val="20"/>
        </w:rPr>
        <w:t>Фиксируется коммутативное поле 𝕂. Если не оговорено иное, алгебраическое ядро строится в категории 𝕂-векторных пространств. Аналитические нормы, топологии, полнота и непрерывность не включаются автоматически: они образуют дополнительный слой данных. Множество степеней обозначается Γ; в базовом варианте Γ=ℤ, однако доказательства категории NAPG_q используют лишь наличие функции степени и совместимого закона вывода степени произведения.</w:t>
      </w: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𝒜• = ⨁_{p∈Γ} 𝒜ᵖ,     |x|=p  для  x∈𝒜ᵖ.</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(T2-F001)</w:t>
            </w:r>
          </w:p>
        </w:tc>
      </w:tr>
    </w:tbl>
    <w:p>
      <w:pPr>
        <w:widowControl/>
        <w:spacing w:after="0"/>
      </w:pPr>
    </w:p>
    <w:p>
      <w:pPr>
        <w:widowControl/>
        <w:spacing w:after="100" w:line="259" w:lineRule="auto"/>
        <w:ind w:firstLine="397"/>
        <w:jc w:val="both"/>
      </w:pPr>
      <w:r>
        <w:rPr>
          <w:rFonts w:ascii="Liberation Serif" w:hAnsi="Liberation Serif" w:eastAsia="Liberation Serif"/>
          <w:b w:val="0"/>
          <w:i w:val="0"/>
          <w:sz w:val="20"/>
        </w:rPr>
        <w:t>Структурные данные 𝔊 включают допустимые генераторы, синтаксические операции, доменные ограничения, закон степеней χ и, при необходимости, метки Reper, D/Dom и происхождения. Тем самым область операции не прячется в редакционном комментарии, а является частью объекта.</w:t>
      </w: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cantSplit/>
        </w:trPr>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Символ</w:t>
            </w:r>
          </w:p>
        </w:tc>
        <w:tc>
          <w:tcPr>
            <w:tcW w:type="dxa" w:w="311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Зафиксированное значение</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Тип</w:t>
            </w:r>
          </w:p>
        </w:tc>
        <w:tc>
          <w:tcPr>
            <w:tcW w:type="dxa" w:w="32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Предохранитель</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𝕂</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коммутативное поле основания</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объект данных</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Не заменяется ℝ без явного ограничения.</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Γ</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множество/полугруппа степеней</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индекс градуировки</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В базовой модели Γ=ℤ.</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𝒜•</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Γ-градуированное 𝕂-пространство</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носитель</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Прямая сумма, не неразмеченное множество.</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билинейная операция на указанном Dom_⊙</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операция</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Вообще неассоциативна; не Hodge star.</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Ass_⊙</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(x⊙y)⊙z−x⊙(y⊙z)</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трёхлинейный дефект</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Определён только при существовании обеих ветвей.</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R⋆R</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авторский объект ассоциаторно-пакетного слоя</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объект/нотация</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Знак ⋆ не используется для Hodge.</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⋆_Hdg</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оператор Ходжа</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аналитико-геометрический оператор</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Требует метрики, ориентации и регулярности.</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ℛ</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допустимый реперный класс</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подпространство/класс</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Условия замкнутости указываются явно.</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F²_N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формальный язык степени ≤2</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векторное пространство синтаксиса</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До вычисления; не подмножество X² автоматически.</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X²_N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тестируемый квадратичный слой</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подпространство 𝒜• или T_N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Квадратичный, не ассоциаторный канал.</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Ψ²_N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F²_N→X²_N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линейная карта вычисления</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Cod фиксирован заранее.</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O_B(N)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X²_N/Im Ψ²_N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фактор обструкции</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Зависит от выбранного языка F²_N.</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Π_N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X²_N→O_B(N)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каноническая проекция</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Не внешний E-мост.</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C_min•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минимальный внутренний комплекс</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коцепной комплекс</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Сосредоточен в степенях 2 и 3.</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δ_min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δ_min²=Ψ², δ_min³=0</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внутренний дифференциал</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Не смешивается с внешним δ.</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Θ_min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id_{X²_N}:X²_N→C_min³(N)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канонический внутренний мост</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Тождество, не физическая гипотеза.</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λ</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cr(U,I;R,D̲)</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проективная координата</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Определена вне полюсов и вырождений.</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δ_truth</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|λ+1|</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диагностический дефект</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Только при выбранной абсолютной величине/норме.</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D/Dom</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достаточное основание и область допустимости</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валидирующий барьер</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λ≈−1 не заменяет D/Dom.</w:t>
            </w:r>
          </w:p>
        </w:tc>
      </w:tr>
    </w:tbl>
    <w:p>
      <w:pPr>
        <w:widowControl/>
        <w:spacing w:after="20"/>
      </w:pPr>
    </w:p>
    <w:p>
      <w:pPr>
        <w:pStyle w:val="Heading2"/>
        <w:widowControl/>
        <w:keepNext/>
      </w:pPr>
      <w:r>
        <w:rPr>
          <w:rFonts w:ascii="Liberation Sans" w:hAnsi="Liberation Sans" w:eastAsia="Liberation Sans"/>
          <w:b/>
          <w:color w:val="2F5597"/>
          <w:sz w:val="26"/>
        </w:rPr>
        <w:t>10.2. Закон степеней и допустимые композиции</w:t>
      </w:r>
    </w:p>
    <w:p>
      <w:pPr>
        <w:widowControl/>
        <w:spacing w:after="100" w:line="259" w:lineRule="auto"/>
        <w:ind w:firstLine="397"/>
        <w:jc w:val="both"/>
      </w:pPr>
      <w:r>
        <w:rPr>
          <w:rFonts w:ascii="Liberation Serif" w:hAnsi="Liberation Serif" w:eastAsia="Liberation Serif"/>
          <w:b w:val="0"/>
          <w:i w:val="0"/>
          <w:sz w:val="20"/>
        </w:rPr>
        <w:t>Для однородных элементов вводится частичный закон степеней χ:Dom(χ)⊆Γ×Γ→Γ. Если (p,q)∈Dom(χ), то допустимое произведение 𝒜ᵖ⊗𝒜ᑫ переводится в 𝒜^{χ(p,q)}. Стандартный случай χ(p,q)=p+q+s включает операцию фиксированной степени s. Частичность χ позволяет фиксировать невозможные композиции без искусственного присвоения им нуля.</w:t>
      </w: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⊙_{p,q}: Dom_{p,q}⊆𝒜ᵖ⊗𝒜ᑫ → 𝒜^{χ(p,q)}.</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(T2-F002)</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5EBD3"/>
            <w:tcMar>
              <w:top w:w="160" w:type="dxa"/>
              <w:start w:w="180" w:type="dxa"/>
              <w:bottom w:w="160" w:type="dxa"/>
              <w:end w:w="180" w:type="dxa"/>
            </w:tcMar>
            <w:tcBorders>
              <w:top w:val="single" w:sz="10" w:color="9C6B18"/>
              <w:left w:val="single" w:sz="10" w:color="9C6B18"/>
              <w:bottom w:val="single" w:sz="10" w:color="9C6B18"/>
              <w:right w:val="single" w:sz="10" w:color="9C6B18"/>
            </w:tcBorders>
          </w:tcPr>
          <w:p>
            <w:pPr>
              <w:spacing w:after="80"/>
            </w:pPr>
            <w:r>
              <w:rPr>
                <w:rFonts w:ascii="Liberation Sans" w:hAnsi="Liberation Sans" w:eastAsia="Liberation Sans"/>
                <w:b/>
                <w:i w:val="0"/>
                <w:color w:val="9C6B18"/>
                <w:sz w:val="21"/>
              </w:rPr>
              <w:t>СМЫСЛ ТРУДНОГО ПЕРЕХОДА: нуль и неопределённость</w:t>
            </w:r>
          </w:p>
          <w:p>
            <w:pPr>
              <w:spacing w:line="252" w:lineRule="auto" w:after="0"/>
              <w:jc w:val="both"/>
            </w:pPr>
            <w:r>
              <w:rPr>
                <w:rFonts w:ascii="Liberation Serif" w:hAnsi="Liberation Serif" w:eastAsia="Liberation Serif"/>
                <w:b w:val="0"/>
                <w:i w:val="0"/>
                <w:sz w:val="18"/>
              </w:rPr>
              <w:t>Если произведение запрещено доменом, оно не равно нулю. Нулевой элемент является значением определённой операции; неопределённость означает отсутствие стрелки. Смешение этих случаев уничтожает различие между структурным запретом и фактическим взаимным погашением. В предсказательном методе это различие отвечает за честное воздержание: кандидат вне Dom не получает «плохой балл», а исключается как нетипизированный.</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Лемма 2.1. Тип ассоциатора  [THM]</w:t>
            </w:r>
          </w:p>
          <w:p>
            <w:pPr>
              <w:spacing w:line="252" w:lineRule="auto"/>
              <w:jc w:val="both"/>
            </w:pPr>
            <w:r>
              <w:rPr>
                <w:rFonts w:ascii="Liberation Serif" w:hAnsi="Liberation Serif" w:eastAsia="Liberation Serif"/>
                <w:b w:val="0"/>
                <w:i w:val="0"/>
                <w:sz w:val="18"/>
              </w:rPr>
              <w:t>Пусть x∈𝒜ᵖ, y∈𝒜ᑫ, z∈𝒜ʳ и обе скобочные ветви определены. Если χ(χ(p,q),r)=χ(p,χ(q,r))=s, то Ass_⊙(x,y,z)∈𝒜ˢ. Если степени ветвей различаются, их разность не является однородным ассоциатором и требует перехода в прямую сумму либо запрета теста.</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Каждая ветвь принадлежит компоненте, вычисляемой последовательным применением χ. Разность двух векторов определена в одном однородном компоненте при совпадении степеней; при различии компонентов она принадлежит их прямой сумме, но не имеет единой степени s. Это и даёт заявленную типовую границу. □</w:t>
      </w:r>
    </w:p>
    <w:p>
      <w:pPr>
        <w:pStyle w:val="Heading2"/>
        <w:widowControl/>
        <w:keepNext/>
      </w:pPr>
      <w:r>
        <w:rPr>
          <w:rFonts w:ascii="Liberation Sans" w:hAnsi="Liberation Sans" w:eastAsia="Liberation Sans"/>
          <w:b/>
          <w:color w:val="2F5597"/>
          <w:sz w:val="26"/>
        </w:rPr>
        <w:t>10.3. Протокол расширения NOTATION LEDGER</w:t>
      </w:r>
    </w:p>
    <w:p>
      <w:pPr>
        <w:pStyle w:val="ListNumber"/>
        <w:widowControl/>
        <w:spacing w:after="40"/>
      </w:pPr>
      <w:r>
        <w:rPr>
          <w:rFonts w:ascii="Liberation Serif" w:hAnsi="Liberation Serif" w:eastAsia="Liberation Serif"/>
          <w:b w:val="0"/>
          <w:i w:val="0"/>
          <w:sz w:val="19"/>
        </w:rPr>
        <w:t>Новое обозначение получает уникальный идентификатор NTL-xxx, Dom, Cod, степень, источник, статус и список коллизий.</w:t>
      </w:r>
    </w:p>
    <w:p>
      <w:pPr>
        <w:pStyle w:val="ListNumber"/>
        <w:widowControl/>
        <w:spacing w:after="40"/>
      </w:pPr>
      <w:r>
        <w:rPr>
          <w:rFonts w:ascii="Liberation Serif" w:hAnsi="Liberation Serif" w:eastAsia="Liberation Serif"/>
          <w:b w:val="0"/>
          <w:i w:val="0"/>
          <w:sz w:val="19"/>
        </w:rPr>
        <w:t>Символ, уже занятый в P0, не переопределяется; допускается только индексированная версия с явной картой к канону.</w:t>
      </w:r>
    </w:p>
    <w:p>
      <w:pPr>
        <w:pStyle w:val="ListNumber"/>
        <w:widowControl/>
        <w:spacing w:after="40"/>
      </w:pPr>
      <w:r>
        <w:rPr>
          <w:rFonts w:ascii="Liberation Serif" w:hAnsi="Liberation Serif" w:eastAsia="Liberation Serif"/>
          <w:b w:val="0"/>
          <w:i w:val="0"/>
          <w:sz w:val="19"/>
        </w:rPr>
        <w:t>Временное обозначение помечается TMP и не входит в теоремный пакет до снятия метки.</w:t>
      </w:r>
    </w:p>
    <w:p>
      <w:pPr>
        <w:pStyle w:val="ListNumber"/>
        <w:widowControl/>
        <w:spacing w:after="40"/>
      </w:pPr>
      <w:r>
        <w:rPr>
          <w:rFonts w:ascii="Liberation Serif" w:hAnsi="Liberation Serif" w:eastAsia="Liberation Serif"/>
          <w:b w:val="0"/>
          <w:i w:val="0"/>
          <w:sz w:val="19"/>
        </w:rPr>
        <w:t>Любой переход от алгебраического к топологическому, аналитическому или физическому смыслу фиксируется отдельным мостовым символом.</w:t>
      </w:r>
    </w:p>
    <w:p>
      <w:pPr>
        <w:pStyle w:val="ListNumber"/>
        <w:widowControl/>
        <w:spacing w:after="40"/>
      </w:pPr>
      <w:r>
        <w:rPr>
          <w:rFonts w:ascii="Liberation Serif" w:hAnsi="Liberation Serif" w:eastAsia="Liberation Serif"/>
          <w:b w:val="0"/>
          <w:i w:val="0"/>
          <w:sz w:val="19"/>
        </w:rPr>
        <w:t>В формулах прогноза слово «истина» не используется как числовая переменная; λ и δ_truth являются диагностическими координатами, а не заменой доказательства.</w:t>
      </w: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2.1. Коллизия δ</w:t>
            </w:r>
          </w:p>
          <w:p>
            <w:pPr>
              <w:spacing w:line="252" w:lineRule="auto" w:after="0"/>
              <w:jc w:val="both"/>
            </w:pPr>
            <w:r>
              <w:rPr>
                <w:rFonts w:ascii="Liberation Serif" w:hAnsi="Liberation Serif" w:eastAsia="Liberation Serif"/>
                <w:b w:val="0"/>
                <w:i w:val="0"/>
                <w:sz w:val="18"/>
              </w:rPr>
              <w:t>Пусть δ_min²=Ψ² во внутреннем двухступенчатом комплексе, а δ_Hdg обозначает кодифференциал на формах. Из δ_min³δ_min²=0 нельзя заключить δ_Hdg²=0 или наоборот: области, степени и определения различны. Одинаковая буква без индекса создаёт ложный мост.</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2.2. Неоднородный ассоциатор</w:t>
            </w:r>
          </w:p>
          <w:p>
            <w:pPr>
              <w:spacing w:line="252" w:lineRule="auto" w:after="0"/>
              <w:jc w:val="both"/>
            </w:pPr>
            <w:r>
              <w:rPr>
                <w:rFonts w:ascii="Liberation Serif" w:hAnsi="Liberation Serif" w:eastAsia="Liberation Serif"/>
                <w:b w:val="0"/>
                <w:i w:val="0"/>
                <w:sz w:val="18"/>
              </w:rPr>
              <w:t>Если χ(χ(p,q),r)≠χ(p,χ(q,r)), то ветви лежат в разных компонентах. Запись Ass_⊙∈𝒜ˢ с одним s не типизирована, даже если обе ветви вычислимы.</w:t>
            </w:r>
          </w:p>
        </w:tc>
      </w:tr>
    </w:tbl>
    <w:p>
      <w:pPr>
        <w:widowControl/>
        <w:spacing w:after="0"/>
      </w:pPr>
    </w:p>
    <w:p>
      <w:pPr>
        <w:pStyle w:val="Heading1"/>
        <w:pageBreakBefore w:val="0"/>
        <w:widowControl/>
        <w:keepNext/>
      </w:pPr>
      <w:r>
        <w:rPr>
          <w:rFonts w:ascii="Liberation Sans" w:hAnsi="Liberation Sans" w:eastAsia="Liberation Sans"/>
          <w:b/>
          <w:color w:val="17365D"/>
          <w:sz w:val="36"/>
        </w:rPr>
        <w:t>11. Глава 3. Категория NAPG_q: объекты, морфизмы и области</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ОНТОЛОГИЯ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Категория NAPG_q существует как мир строго сопоставимых квадратичных кадров. Объектом является не одна операция, а пакет данных, достаточный для построения формального языка, вычисления и фактора обструкции.</w:t>
            </w:r>
          </w:p>
        </w:tc>
      </w:tr>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ГНОСЕОЛОГИЯ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Объекты познаются через морфизмы: если класс обструкции меняется от допустимой перенумерации или изоморфизма, он не является структурным инвариантом выбранной категории.</w:t>
            </w:r>
          </w:p>
        </w:tc>
      </w:tr>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ФЕНОМЕНОЛОГИЯ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Коммутативные диаграммы проявляют корректность переноса. Несовпадение двух путей показывает не философскую «неполноту», а конкретную ошибку типизации или естественности.</w:t>
            </w:r>
          </w:p>
        </w:tc>
      </w:tr>
      <w:tr>
        <w:trPr>
          <w:cantSplit/>
        </w:trPr>
        <w:tc>
          <w:tcPr>
            <w:tcW w:type="dxa" w:w="1757"/>
            <w:shd w:fill="9C6B1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ГРАНИЦА</w:t>
            </w:r>
          </w:p>
        </w:tc>
        <w:tc>
          <w:tcPr>
            <w:tcW w:type="dxa" w:w="7597"/>
            <w:shd w:fill="F5EBD3"/>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NAPG_q является внутренней алгебраической категорией. Она не содержит автоматически многообразий, Hodge-операторов, связностей, динамики и измерительных процедур.</w:t>
            </w:r>
          </w:p>
        </w:tc>
      </w:tr>
    </w:tbl>
    <w:p>
      <w:pPr>
        <w:widowControl/>
        <w:spacing w:after="0"/>
      </w:pPr>
    </w:p>
    <w:p>
      <w:pPr>
        <w:pStyle w:val="Heading2"/>
        <w:widowControl/>
        <w:keepNext/>
      </w:pPr>
      <w:r>
        <w:rPr>
          <w:rFonts w:ascii="Liberation Sans" w:hAnsi="Liberation Sans" w:eastAsia="Liberation Sans"/>
          <w:b/>
          <w:color w:val="2F5597"/>
          <w:sz w:val="26"/>
        </w:rPr>
        <w:t>11.1. Объект категории</w:t>
      </w:r>
    </w:p>
    <w:tbl>
      <w:tblPr>
        <w:tblW w:type="auto" w:w="0"/>
        <w:jc w:val="center"/>
        <w:tblLayout w:type="fixed"/>
        <w:tblLook w:firstColumn="1" w:firstRow="1" w:lastColumn="0" w:lastRow="0" w:noHBand="0" w:noVBand="1" w:val="04A0"/>
      </w:tblPr>
      <w:tblGrid>
        <w:gridCol w:w="9354"/>
      </w:tblGrid>
      <w:tr>
        <w:tc>
          <w:tcPr>
            <w:tcW w:type="dxa" w:w="9752"/>
            <w:shd w:fill="EEF3F8"/>
            <w:tcMar>
              <w:top w:w="150" w:type="dxa"/>
              <w:start w:w="180" w:type="dxa"/>
              <w:bottom w:w="150" w:type="dxa"/>
              <w:end w:w="180" w:type="dxa"/>
            </w:tcMar>
            <w:tcBorders>
              <w:top w:val="single" w:sz="8" w:color="2F5597"/>
              <w:left w:val="single" w:sz="8" w:color="2F5597"/>
              <w:bottom w:val="single" w:sz="8" w:color="2F5597"/>
              <w:right w:val="single" w:sz="8" w:color="2F5597"/>
            </w:tcBorders>
          </w:tcPr>
          <w:p>
            <w:r>
              <w:rPr>
                <w:rFonts w:ascii="Liberation Sans" w:hAnsi="Liberation Sans" w:eastAsia="Liberation Sans"/>
                <w:b/>
                <w:i w:val="0"/>
                <w:color w:val="2F5597"/>
                <w:sz w:val="20"/>
              </w:rPr>
              <w:t>Определение 3.1. Типизированный квадратичный кадр NAPG  [DEF-A]</w:t>
            </w:r>
          </w:p>
          <w:p>
            <w:pPr>
              <w:spacing w:line="252" w:lineRule="auto"/>
              <w:jc w:val="both"/>
            </w:pPr>
            <w:r>
              <w:rPr>
                <w:rFonts w:ascii="Liberation Serif" w:hAnsi="Liberation Serif" w:eastAsia="Liberation Serif"/>
                <w:b w:val="0"/>
                <w:i w:val="0"/>
                <w:sz w:val="18"/>
              </w:rPr>
              <w:t>Объектом NAPG_q называется кортеж N=(𝕂,𝒜•,⊙,𝔊,ℛ;F²_N,X²_N,Ψ²_N), где: 𝕂 — коммутативное поле; 𝒜• — градуированное пространство; ⊙ — билинейная операция на заданных в 𝔊 областях; ℛ⊆𝒜• — допустимый класс; F²_N — векторное пространство допустимых формальных выражений степени не выше двух; X²_N — тестируемый квадратичный слой; Ψ²_N:F²_N→X²_N — линейная карта вычисления. Требуется Im Ψ²_N⊆X²_N, что встроено в кодомен.</w:t>
            </w:r>
          </w:p>
        </w:tc>
      </w:tr>
    </w:tbl>
    <w:p>
      <w:pPr>
        <w:widowControl/>
        <w:spacing w:after="0"/>
      </w:pP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X²_N = Span_𝕂{ R⊙R, R⊙S+S⊙R : R,S,R+S∈ℛ и все произведения определены }.</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(T2-F003)</w:t>
            </w:r>
          </w:p>
        </w:tc>
      </w:tr>
    </w:tbl>
    <w:p>
      <w:pPr>
        <w:widowControl/>
        <w:spacing w:after="0"/>
      </w:pP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O_B(N)=X²_N/Im Ψ²_N,     Π_N:X²_N→O_B(N).</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(T2-F004)</w:t>
            </w:r>
          </w:p>
        </w:tc>
      </w:tr>
    </w:tbl>
    <w:p>
      <w:pPr>
        <w:widowControl/>
        <w:spacing w:after="0"/>
      </w:pPr>
    </w:p>
    <w:p>
      <w:pPr>
        <w:widowControl/>
        <w:spacing w:after="100" w:line="259" w:lineRule="auto"/>
        <w:ind w:firstLine="397"/>
        <w:jc w:val="both"/>
      </w:pPr>
      <w:r>
        <w:rPr>
          <w:rFonts w:ascii="Liberation Serif" w:hAnsi="Liberation Serif" w:eastAsia="Liberation Serif"/>
          <w:b w:val="0"/>
          <w:i w:val="0"/>
          <w:sz w:val="20"/>
        </w:rPr>
        <w:t>Формальный язык F²_N должен быть отделён от вычисленного слоя X²_N. Для строгой реализации удобно брать свободное 𝕂-пространство на типизированных синтаксических деревьях высоты не более двух и затем факторизовать его по линейным синтаксическим отношениям. Ψ²_N вычисляет дерево в 𝒜•. Разные языки могут иметь одинаковую алгебру и разные O_B; поэтому O_B измеряет полноту выбранного языка относительно X²_N, а не «абсолютную неассоциативность».</w:t>
      </w:r>
    </w:p>
    <w:p>
      <w:pPr>
        <w:pStyle w:val="Heading2"/>
        <w:widowControl/>
        <w:keepNext/>
      </w:pPr>
      <w:r>
        <w:rPr>
          <w:rFonts w:ascii="Liberation Sans" w:hAnsi="Liberation Sans" w:eastAsia="Liberation Sans"/>
          <w:b/>
          <w:color w:val="2F5597"/>
          <w:sz w:val="26"/>
        </w:rPr>
        <w:t>11.2. Морфизм и четыре совместимости</w:t>
      </w:r>
    </w:p>
    <w:tbl>
      <w:tblPr>
        <w:tblW w:type="auto" w:w="0"/>
        <w:jc w:val="center"/>
        <w:tblLayout w:type="fixed"/>
        <w:tblLook w:firstColumn="1" w:firstRow="1" w:lastColumn="0" w:lastRow="0" w:noHBand="0" w:noVBand="1" w:val="04A0"/>
      </w:tblPr>
      <w:tblGrid>
        <w:gridCol w:w="9354"/>
      </w:tblGrid>
      <w:tr>
        <w:tc>
          <w:tcPr>
            <w:tcW w:type="dxa" w:w="9752"/>
            <w:shd w:fill="EEF3F8"/>
            <w:tcMar>
              <w:top w:w="150" w:type="dxa"/>
              <w:start w:w="180" w:type="dxa"/>
              <w:bottom w:w="150" w:type="dxa"/>
              <w:end w:w="180" w:type="dxa"/>
            </w:tcMar>
            <w:tcBorders>
              <w:top w:val="single" w:sz="8" w:color="2F5597"/>
              <w:left w:val="single" w:sz="8" w:color="2F5597"/>
              <w:bottom w:val="single" w:sz="8" w:color="2F5597"/>
              <w:right w:val="single" w:sz="8" w:color="2F5597"/>
            </w:tcBorders>
          </w:tcPr>
          <w:p>
            <w:r>
              <w:rPr>
                <w:rFonts w:ascii="Liberation Sans" w:hAnsi="Liberation Sans" w:eastAsia="Liberation Sans"/>
                <w:b/>
                <w:i w:val="0"/>
                <w:color w:val="2F5597"/>
                <w:sz w:val="20"/>
              </w:rPr>
              <w:t>Определение 3.2. Морфизм квадратичных кадров  [DEF-A]</w:t>
            </w:r>
          </w:p>
          <w:p>
            <w:pPr>
              <w:spacing w:line="252" w:lineRule="auto"/>
              <w:jc w:val="both"/>
            </w:pPr>
            <w:r>
              <w:rPr>
                <w:rFonts w:ascii="Liberation Serif" w:hAnsi="Liberation Serif" w:eastAsia="Liberation Serif"/>
                <w:b w:val="0"/>
                <w:i w:val="0"/>
                <w:sz w:val="18"/>
              </w:rPr>
              <w:t>Морфизм f:N→N′ есть семейство f=(Φ•,φ_G,φ_F,φ_X,φ_O). Здесь Φ•:𝒜•→𝒜′• — градуированная линейная карта; φ_G переносит генераторы, домены и метки; φ_F:F²_N→F²_N′ переносит формальный язык; φ_X:X²_N→X²_N′ переносит вычисленные элементы; φ_O:O_B(N)→O_B(N′) — индуцированная карта. Семейство считается морфизмом лишь при выполнении M1–M4.</w:t>
            </w:r>
          </w:p>
        </w:tc>
      </w:tr>
    </w:tbl>
    <w:p>
      <w:pPr>
        <w:widowControl/>
        <w:spacing w:after="0"/>
      </w:pP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cantSplit/>
        </w:trPr>
        <w:tc>
          <w:tcPr>
            <w:tcW w:type="dxa" w:w="62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6"/>
              </w:rPr>
              <w:t>Код</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6"/>
              </w:rPr>
              <w:t>Совместимость</w:t>
            </w:r>
          </w:p>
        </w:tc>
        <w:tc>
          <w:tcPr>
            <w:tcW w:type="dxa" w:w="368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6"/>
              </w:rPr>
              <w:t>Формула/требование</w:t>
            </w:r>
          </w:p>
        </w:tc>
        <w:tc>
          <w:tcPr>
            <w:tcW w:type="dxa" w:w="334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6"/>
              </w:rPr>
              <w:t>Назначение</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6"/>
              </w:rPr>
              <w:t>M1</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Алгебра и Dom</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Φ(x⊙y)=Φ(x)⊙′Φ(y) для всех допустимых пар; Φ(ℛ)⊆ℛ′.</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Сохраняет операцию и не расширяет область молча.</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6"/>
              </w:rPr>
              <w:t>M2</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Синтаксис</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φ_F совместима с φ_G и подстановкой Φ в листья выражений.</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Не позволяет формальному языку менять смысл.</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6"/>
              </w:rPr>
              <w:t>M3</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Вычисление</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φ_X∘Ψ²_N=Ψ²_N′∘φ_F.</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Коммутативность квадрата вычисления.</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6"/>
              </w:rPr>
              <w:t>M4</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Фактор</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φ_O∘Π_N=Π_N′∘φ_X.</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Естественность класса обструкции.</w:t>
            </w:r>
          </w:p>
        </w:tc>
      </w:tr>
    </w:tbl>
    <w:p>
      <w:pPr>
        <w:widowControl/>
        <w:spacing w:after="20"/>
      </w:pP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φ_X Ψ²_N = Ψ²_N′ φ_F,      φ_O Π_N = Π_N′ φ_X.</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(T2-F005)</w:t>
            </w:r>
          </w:p>
        </w:tc>
      </w:tr>
    </w:tbl>
    <w:p>
      <w:pPr>
        <w:widowControl/>
        <w:spacing w:after="0"/>
      </w:pPr>
    </w:p>
    <w:p>
      <w:pPr>
        <w:pStyle w:val="Heading2"/>
        <w:widowControl/>
        <w:keepNext/>
      </w:pPr>
      <w:r>
        <w:rPr>
          <w:rFonts w:ascii="Liberation Sans" w:hAnsi="Liberation Sans" w:eastAsia="Liberation Sans"/>
          <w:b/>
          <w:color w:val="2F5597"/>
          <w:sz w:val="26"/>
        </w:rPr>
        <w:t>11.3. Корректность факторного переноса</w:t>
      </w: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Лемма 3.1. Спуск на фактор  [THM]</w:t>
            </w:r>
          </w:p>
          <w:p>
            <w:pPr>
              <w:spacing w:line="252" w:lineRule="auto"/>
              <w:jc w:val="both"/>
            </w:pPr>
            <w:r>
              <w:rPr>
                <w:rFonts w:ascii="Liberation Serif" w:hAnsi="Liberation Serif" w:eastAsia="Liberation Serif"/>
                <w:b w:val="0"/>
                <w:i w:val="0"/>
                <w:sz w:val="18"/>
              </w:rPr>
              <w:t>Если выполнено M3, то φ_X(Im Ψ²_N)⊆Im Ψ²_N′. Поэтому формула φ_O([x])=[φ_X(x)] корректно определяет единственную линейную карту, удовлетворяющую M4.</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Для y=Ψ²_N(a) имеем φ_X(y)=φ_XΨ²_N(a)=Ψ²_N′φ_F(a), то есть φ_X(y) принадлежит Im Ψ²_N′. Следовательно, два представителя x и x+y одного класса переходят в элементы, различающиеся на элемент образа Ψ²_N′. Корректность и единственность следуют из универсального свойства факторпространства. □</w:t>
      </w: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Теорема 3.1. Существование категории NAPG_q  [THM]</w:t>
            </w:r>
          </w:p>
          <w:p>
            <w:pPr>
              <w:spacing w:line="252" w:lineRule="auto"/>
              <w:jc w:val="both"/>
            </w:pPr>
            <w:r>
              <w:rPr>
                <w:rFonts w:ascii="Liberation Serif" w:hAnsi="Liberation Serif" w:eastAsia="Liberation Serif"/>
                <w:b w:val="0"/>
                <w:i w:val="0"/>
                <w:sz w:val="18"/>
              </w:rPr>
              <w:t>Типизированные квадратичные кадры с морфизмами M1–M4 образуют категорию. Тождественный морфизм задаётся тождественными компонентами; композиция определяется покомпонентно и снова удовлетворяет M1–M4.</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Тождественные карты сохраняют все данные и делают обе диаграммы тождественно коммутативными. Для f:N→N′ и g:N′→N″ произведение сохраняется композицией Φ_gΦ_f; перенос синтаксиса и вычисления удовлетворяет M3, поскольку φ_X^gφ_X^fΨ_N=φ_X^gΨ_N′φ_F^f=Ψ_N″φ_F^gφ_F^f. Аналогично M4. Ассоциативность композиции и законы единицы наследуются от категории векторных пространств. □</w:t>
      </w: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Предложение 3.2. Критерий изоморфизма  [THM]</w:t>
            </w:r>
          </w:p>
          <w:p>
            <w:pPr>
              <w:spacing w:line="252" w:lineRule="auto"/>
              <w:jc w:val="both"/>
            </w:pPr>
            <w:r>
              <w:rPr>
                <w:rFonts w:ascii="Liberation Serif" w:hAnsi="Liberation Serif" w:eastAsia="Liberation Serif"/>
                <w:b w:val="0"/>
                <w:i w:val="0"/>
                <w:sz w:val="18"/>
              </w:rPr>
              <w:t>Морфизм f является изоморфизмом NAPG_q, если его компоненты Φ•, φ_G, φ_F и φ_X обратимы и обратные карты сохраняют M1–M3. Тогда φ_O автоматически обратима и индуцируется φ_X^{-1}.</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Обратные компоненты задают морфизм f^{-1}; факторная карта корректна по Лемме 3.1. Композиции на представителях дают тождества, следовательно, φ_O^{-1}([x′])=[φ_X^{-1}(x′)]. □</w:t>
      </w:r>
    </w:p>
    <w:p>
      <w:pPr>
        <w:pStyle w:val="Heading2"/>
        <w:widowControl/>
        <w:keepNext/>
      </w:pPr>
      <w:r>
        <w:rPr>
          <w:rFonts w:ascii="Liberation Sans" w:hAnsi="Liberation Sans" w:eastAsia="Liberation Sans"/>
          <w:b/>
          <w:color w:val="2F5597"/>
          <w:sz w:val="26"/>
        </w:rPr>
        <w:t>11.4. Функторы внутреннего ядра</w:t>
      </w: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Теорема 3.3. Функтор квадратичной обструкции  [THM]</w:t>
            </w:r>
          </w:p>
          <w:p>
            <w:pPr>
              <w:spacing w:line="252" w:lineRule="auto"/>
              <w:jc w:val="both"/>
            </w:pPr>
            <w:r>
              <w:rPr>
                <w:rFonts w:ascii="Liberation Serif" w:hAnsi="Liberation Serif" w:eastAsia="Liberation Serif"/>
                <w:b w:val="0"/>
                <w:i w:val="0"/>
                <w:sz w:val="18"/>
              </w:rPr>
              <w:t>Назначения N↦O_B(N) и f↦φ_O образуют функтор O_B:NAPG_q→Vect_𝕂.</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Тождественный морфизм индуцирует тождество на классах. Для композиции g∘f имеем [x]↦[φ_X^f(x)]↦[φ_X^gφ_X^f(x)], что совпадает с факторной картой композиции. □</w:t>
      </w: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Теорема 3.4. Минимальный комплекс как функтор  [THM]</w:t>
            </w:r>
          </w:p>
          <w:p>
            <w:pPr>
              <w:spacing w:line="252" w:lineRule="auto"/>
              <w:jc w:val="both"/>
            </w:pPr>
            <w:r>
              <w:rPr>
                <w:rFonts w:ascii="Liberation Serif" w:hAnsi="Liberation Serif" w:eastAsia="Liberation Serif"/>
                <w:b w:val="0"/>
                <w:i w:val="0"/>
                <w:sz w:val="18"/>
              </w:rPr>
              <w:t>Положим C_min²(N)=F²_N, C_min³(N)=X²_N, остальные степени нулевыми; δ_min²=Ψ²_N, δ_min³=0. Тогда C_min•:NAPG_q→CoCh_𝕂 является функтором, а κ_N:O_B(N)→H³(C_min•(N)), κ_N([x])=[x], образует естественный изоморфизм.</w:t>
            </w:r>
          </w:p>
        </w:tc>
      </w:tr>
    </w:tbl>
    <w:p>
      <w:pPr>
        <w:widowControl/>
        <w:spacing w:after="0"/>
      </w:pP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H³(C_min•(N))=Ker δ_min³/Im δ_min²=X²_N/Im Ψ²_N=O_B(N).</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(T2-F006)</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Нильпотентность следует из δ_min³=0. M3 является ровно условием коцепного отображения в степени 2. Каноническая идентификация факторпространств не зависит от представителя. Естественность проверяется на классе [x]: оба пути дают [φ_X(x)]. □</w:t>
      </w:r>
    </w:p>
    <w:p>
      <w:pPr>
        <w:widowControl/>
        <w:jc w:val="center"/>
      </w:pPr>
      <w:r>
        <w:drawing>
          <wp:inline xmlns:a="http://schemas.openxmlformats.org/drawingml/2006/main" xmlns:pic="http://schemas.openxmlformats.org/drawingml/2006/picture">
            <wp:extent cx="5832000" cy="2916000"/>
            <wp:docPr id="7" name="Picture 7"/>
            <wp:cNvGraphicFramePr>
              <a:graphicFrameLocks noChangeAspect="1"/>
            </wp:cNvGraphicFramePr>
            <a:graphic>
              <a:graphicData uri="http://schemas.openxmlformats.org/drawingml/2006/picture">
                <pic:pic>
                  <pic:nvPicPr>
                    <pic:cNvPr id="0" name="diag_core_v02.png"/>
                    <pic:cNvPicPr/>
                  </pic:nvPicPr>
                  <pic:blipFill>
                    <a:blip r:embed="rId19"/>
                    <a:stretch>
                      <a:fillRect/>
                    </a:stretch>
                  </pic:blipFill>
                  <pic:spPr>
                    <a:xfrm>
                      <a:off x="0" y="0"/>
                      <a:ext cx="5832000" cy="2916000"/>
                    </a:xfrm>
                    <a:prstGeom prst="rect"/>
                  </pic:spPr>
                </pic:pic>
              </a:graphicData>
            </a:graphic>
          </wp:inline>
        </w:drawing>
      </w:r>
    </w:p>
    <w:p>
      <w:pPr>
        <w:widowControl/>
        <w:jc w:val="center"/>
      </w:pPr>
      <w:r>
        <w:rPr>
          <w:rFonts w:ascii="Liberation Serif" w:hAnsi="Liberation Serif" w:eastAsia="Liberation Serif"/>
          <w:b w:val="0"/>
          <w:i/>
          <w:color w:val="5B6573"/>
          <w:sz w:val="17"/>
        </w:rPr>
        <w:t>Рисунок 3. Внутреннее определяющее ядро NAPG_q и минимальный комплекс. Собственная схема Тома II.</w:t>
      </w:r>
    </w:p>
    <w:p>
      <w:pPr>
        <w:pStyle w:val="Heading2"/>
        <w:widowControl/>
        <w:keepNext/>
      </w:pPr>
      <w:r>
        <w:rPr>
          <w:rFonts w:ascii="Liberation Sans" w:hAnsi="Liberation Sans" w:eastAsia="Liberation Sans"/>
          <w:b/>
          <w:color w:val="2F5597"/>
          <w:sz w:val="26"/>
        </w:rPr>
        <w:t>11.5. Контрмодели к ослаблению морфизмов</w:t>
      </w: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3.1. Нарушение M1</w:t>
            </w:r>
          </w:p>
          <w:p>
            <w:pPr>
              <w:spacing w:line="252" w:lineRule="auto" w:after="0"/>
              <w:jc w:val="both"/>
            </w:pPr>
            <w:r>
              <w:rPr>
                <w:rFonts w:ascii="Liberation Serif" w:hAnsi="Liberation Serif" w:eastAsia="Liberation Serif"/>
                <w:b w:val="0"/>
                <w:i w:val="0"/>
                <w:sz w:val="18"/>
              </w:rPr>
              <w:t>Пусть 𝒜=𝕂e с e⊙e=e, 𝒜′=𝕂e′ с e′⊙′e′=0, а Φ(e)=e′. Линейность сохраняется, но Φ(e⊙e)=e′≠0=Φ(e)⊙′Φ(e). Такая карта не переносит алгебру и не может быть морфизмом NAPG_q.</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3.2. Нарушение M3</w:t>
            </w:r>
          </w:p>
          <w:p>
            <w:pPr>
              <w:spacing w:line="252" w:lineRule="auto" w:after="0"/>
              <w:jc w:val="both"/>
            </w:pPr>
            <w:r>
              <w:rPr>
                <w:rFonts w:ascii="Liberation Serif" w:hAnsi="Liberation Serif" w:eastAsia="Liberation Serif"/>
                <w:b w:val="0"/>
                <w:i w:val="0"/>
                <w:sz w:val="18"/>
              </w:rPr>
              <w:t>Пусть F²=X²=𝕂, Ψ=id, а в цели Ψ′=0. Возьмём φ_F=id и φ_X=id. Тогда φ_XΨ=id, но Ψ′φ_F=0. Образ формально реализуемого элемента перестаёт быть формально реализуемым; факторный перенос не определён канонически.</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3.3. Произвольная карта классов</w:t>
            </w:r>
          </w:p>
          <w:p>
            <w:pPr>
              <w:spacing w:line="252" w:lineRule="auto" w:after="0"/>
              <w:jc w:val="both"/>
            </w:pPr>
            <w:r>
              <w:rPr>
                <w:rFonts w:ascii="Liberation Serif" w:hAnsi="Liberation Serif" w:eastAsia="Liberation Serif"/>
                <w:b w:val="0"/>
                <w:i w:val="0"/>
                <w:sz w:val="18"/>
              </w:rPr>
              <w:t>Даже если O_B(N) и O_B(N′) изоморфны как векторные пространства, произвольно выбранный изоморфизм между ними не является компонентой морфизма, пока не выполнено M4. Иначе класс перестаёт быть результатом переноса исходного квадратичного элемента.</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3.4. Забытый Dom</w:t>
            </w:r>
          </w:p>
          <w:p>
            <w:pPr>
              <w:spacing w:line="252" w:lineRule="auto" w:after="0"/>
              <w:jc w:val="both"/>
            </w:pPr>
            <w:r>
              <w:rPr>
                <w:rFonts w:ascii="Liberation Serif" w:hAnsi="Liberation Serif" w:eastAsia="Liberation Serif"/>
                <w:b w:val="0"/>
                <w:i w:val="0"/>
                <w:sz w:val="18"/>
              </w:rPr>
              <w:t>Карта Φ может сохранять формулу произведения на общей части областей, но переводить допустимую пару в запрещённую. Тогда правая часть M1 не определена. Сохранение Dom является частью морфизма, а не последующей проверкой.</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3.5. O_B не детектирует ассоциатор</w:t>
            </w:r>
          </w:p>
          <w:p>
            <w:pPr>
              <w:spacing w:line="252" w:lineRule="auto" w:after="0"/>
              <w:jc w:val="both"/>
            </w:pPr>
            <w:r>
              <w:rPr>
                <w:rFonts w:ascii="Liberation Serif" w:hAnsi="Liberation Serif" w:eastAsia="Liberation Serif"/>
                <w:b w:val="0"/>
                <w:i w:val="0"/>
                <w:sz w:val="18"/>
              </w:rPr>
              <w:t>Можно выбрать Ψ² сюръективной, так что O_B=0, в неассоциативной алгебре. Обратно, в ассоциативной алгебре бедный язык F² даёт O_B≠0. Следовательно, функтор O_B не является функтором ассоциатора без отдельной карты β_Ass.</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3.6. Неестественный выбор базиса</w:t>
            </w:r>
          </w:p>
          <w:p>
            <w:pPr>
              <w:spacing w:line="252" w:lineRule="auto" w:after="0"/>
              <w:jc w:val="both"/>
            </w:pPr>
            <w:r>
              <w:rPr>
                <w:rFonts w:ascii="Liberation Serif" w:hAnsi="Liberation Serif" w:eastAsia="Liberation Serif"/>
                <w:b w:val="0"/>
                <w:i w:val="0"/>
                <w:sz w:val="18"/>
              </w:rPr>
              <w:t>Если φ_X меняет знак, а назначенная вручную «внешняя» идентификация классов знак не меняет, квадрат M4 не коммутирует. Инвариантность относительно изоморфизма требует естественной, а не одинаково названной карты.</w:t>
            </w:r>
          </w:p>
        </w:tc>
      </w:tr>
    </w:tbl>
    <w:p>
      <w:pPr>
        <w:widowControl/>
        <w:spacing w:after="0"/>
      </w:pPr>
    </w:p>
    <w:p>
      <w:pPr>
        <w:pStyle w:val="Heading1"/>
        <w:pageBreakBefore w:val="0"/>
        <w:widowControl/>
        <w:keepNext/>
      </w:pPr>
      <w:r>
        <w:rPr>
          <w:rFonts w:ascii="Liberation Sans" w:hAnsi="Liberation Sans" w:eastAsia="Liberation Sans"/>
          <w:b/>
          <w:color w:val="17365D"/>
          <w:sz w:val="36"/>
        </w:rPr>
        <w:t>12. Глава 4. Градуированная пакетная алгебра и строгий селектор</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ОНТОЛОГИЯ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Предсказательный реперный метод получает математический смысл только как композиция инвариантов и барьеров: проективная гармония оценивает конфигурацию точек, D/Dom удостоверяет допустимость, а NAPG-обструкция проверяет внутреннюю выразимость выбранного языка.</w:t>
            </w:r>
          </w:p>
        </w:tc>
      </w:tr>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ГНОСЕОЛОГИЯ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Ни одна числовая близость не даёт знания сама по себе. Знание возникает из инвариантности, устойчивости к допустимому переносу, контроля полюсов и явного правила воздержания.</w:t>
            </w:r>
          </w:p>
        </w:tc>
      </w:tr>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ФЕНОМЕНОЛОГИЯ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В данных метод проявляется как множество кандидатов, которое сужается при улучшении измерений и не меняет структурного вердикта при смене проективных координат или базиса NAPG.</w:t>
            </w:r>
          </w:p>
        </w:tc>
      </w:tr>
      <w:tr>
        <w:trPr>
          <w:cantSplit/>
        </w:trPr>
        <w:tc>
          <w:tcPr>
            <w:tcW w:type="dxa" w:w="1757"/>
            <w:shd w:fill="9C6B1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ГРАНИЦА</w:t>
            </w:r>
          </w:p>
        </w:tc>
        <w:tc>
          <w:tcPr>
            <w:tcW w:type="dxa" w:w="7597"/>
            <w:shd w:fill="F5EBD3"/>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Выпуск строит селектор структурной допустимости, а не теорему о наступлении физических событий. Статистическая калибровка, причинность и независимая внешняя проверка остаются последующими слоями.</w:t>
            </w:r>
          </w:p>
        </w:tc>
      </w:tr>
    </w:tbl>
    <w:p>
      <w:pPr>
        <w:widowControl/>
        <w:spacing w:after="0"/>
      </w:pPr>
    </w:p>
    <w:p>
      <w:pPr>
        <w:pStyle w:val="Heading2"/>
        <w:widowControl/>
        <w:keepNext/>
      </w:pPr>
      <w:r>
        <w:rPr>
          <w:rFonts w:ascii="Liberation Sans" w:hAnsi="Liberation Sans" w:eastAsia="Liberation Sans"/>
          <w:b/>
          <w:color w:val="2F5597"/>
          <w:sz w:val="26"/>
        </w:rPr>
        <w:t>12.1. Градуированная операция и ассоциатор</w:t>
      </w:r>
    </w:p>
    <w:tbl>
      <w:tblPr>
        <w:tblW w:type="auto" w:w="0"/>
        <w:jc w:val="center"/>
        <w:tblLayout w:type="fixed"/>
        <w:tblLook w:firstColumn="1" w:firstRow="1" w:lastColumn="0" w:lastRow="0" w:noHBand="0" w:noVBand="1" w:val="04A0"/>
      </w:tblPr>
      <w:tblGrid>
        <w:gridCol w:w="9354"/>
      </w:tblGrid>
      <w:tr>
        <w:tc>
          <w:tcPr>
            <w:tcW w:type="dxa" w:w="9752"/>
            <w:shd w:fill="EEF3F8"/>
            <w:tcMar>
              <w:top w:w="150" w:type="dxa"/>
              <w:start w:w="180" w:type="dxa"/>
              <w:bottom w:w="150" w:type="dxa"/>
              <w:end w:w="180" w:type="dxa"/>
            </w:tcMar>
            <w:tcBorders>
              <w:top w:val="single" w:sz="8" w:color="2F5597"/>
              <w:left w:val="single" w:sz="8" w:color="2F5597"/>
              <w:bottom w:val="single" w:sz="8" w:color="2F5597"/>
              <w:right w:val="single" w:sz="8" w:color="2F5597"/>
            </w:tcBorders>
          </w:tcPr>
          <w:p>
            <w:r>
              <w:rPr>
                <w:rFonts w:ascii="Liberation Sans" w:hAnsi="Liberation Sans" w:eastAsia="Liberation Sans"/>
                <w:b/>
                <w:i w:val="0"/>
                <w:color w:val="2F5597"/>
                <w:sz w:val="20"/>
              </w:rPr>
              <w:t>Определение 4.1. Градуированная пакетная алгебра  [DEF-A]</w:t>
            </w:r>
          </w:p>
          <w:p>
            <w:pPr>
              <w:spacing w:line="252" w:lineRule="auto"/>
              <w:jc w:val="both"/>
            </w:pPr>
            <w:r>
              <w:rPr>
                <w:rFonts w:ascii="Liberation Serif" w:hAnsi="Liberation Serif" w:eastAsia="Liberation Serif"/>
                <w:b w:val="0"/>
                <w:i w:val="0"/>
                <w:sz w:val="18"/>
              </w:rPr>
              <w:t>Градуированной пакетной алгеброй называется (𝕂,𝒜•,⊙,𝔊), где 𝒜•=⨁_{p∈Γ}𝒜ᵖ, а для каждой допустимой пары степеней (p,q) задана билинейная карта ⊙_{p,q}:Dom_{p,q}→𝒜^{χ(p,q)}. Операция может быть частичной по Dom и не обязана быть ассоциативной, коммутативной, альтернативной или унитальной.</w:t>
            </w:r>
          </w:p>
        </w:tc>
      </w:tr>
    </w:tbl>
    <w:p>
      <w:pPr>
        <w:widowControl/>
        <w:spacing w:after="0"/>
      </w:pP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Ass_⊙(x,y,z)=(x⊙y)⊙z−x⊙(y⊙z).</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(T2-F007)</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Лемма 4.1. Трёхлинейность на общей области  [THM]</w:t>
            </w:r>
          </w:p>
          <w:p>
            <w:pPr>
              <w:spacing w:line="252" w:lineRule="auto"/>
              <w:jc w:val="both"/>
            </w:pPr>
            <w:r>
              <w:rPr>
                <w:rFonts w:ascii="Liberation Serif" w:hAnsi="Liberation Serif" w:eastAsia="Liberation Serif"/>
                <w:b w:val="0"/>
                <w:i w:val="0"/>
                <w:sz w:val="18"/>
              </w:rPr>
              <w:t>Если обе скобочные ветви определены на линейном подпространстве T_Ass⊆𝒜•⊗³ и ⊙ билинейна, то Ass_⊙:T_Ass→𝒜• является линейной по формальным тройкам и трёхлинейной по аргументам на прямоугольных доменных компонентах.</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Каждая ветвь является композицией билинейных карт и потому трёхлинейна на общей области. Разность трёхлинейных отображений трёхлинейна. □</w:t>
      </w:r>
    </w:p>
    <w:p>
      <w:pPr>
        <w:pStyle w:val="Heading2"/>
        <w:widowControl/>
        <w:keepNext/>
      </w:pPr>
      <w:r>
        <w:rPr>
          <w:rFonts w:ascii="Liberation Sans" w:hAnsi="Liberation Sans" w:eastAsia="Liberation Sans"/>
          <w:b/>
          <w:color w:val="2F5597"/>
          <w:sz w:val="26"/>
        </w:rPr>
        <w:t>12.2. Формальный квадратичный язык</w:t>
      </w:r>
    </w:p>
    <w:p>
      <w:pPr>
        <w:widowControl/>
        <w:spacing w:after="100" w:line="259" w:lineRule="auto"/>
        <w:ind w:firstLine="397"/>
        <w:jc w:val="both"/>
      </w:pPr>
      <w:r>
        <w:rPr>
          <w:rFonts w:ascii="Liberation Serif" w:hAnsi="Liberation Serif" w:eastAsia="Liberation Serif"/>
          <w:b w:val="0"/>
          <w:i w:val="0"/>
          <w:sz w:val="20"/>
        </w:rPr>
        <w:t>Пусть Syn₂(N) — множество типизированных синтаксических деревьев, листьями которых являются элементы ℛ и допустимые генераторы 𝔊, а внутренними вершинами — линейные операции и одно применение ⊙. Определим F²_N как свободное 𝕂-пространство на Syn₂(N), факторизованное по линейным синтаксическим отношениям. Эта конструкция делает фразу «формальные выражения степени не выше двух» математически воспроизводимой.</w:t>
      </w: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F²_N := 𝕂[Syn₂(N)] / J_syn,      Ψ²_N([t]) := eval_N(t).</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(T2-F008)</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Теорема 4.2. Критерий квадратичной полноты  [THM]</w:t>
            </w:r>
          </w:p>
          <w:p>
            <w:pPr>
              <w:spacing w:line="252" w:lineRule="auto"/>
              <w:jc w:val="both"/>
            </w:pPr>
            <w:r>
              <w:rPr>
                <w:rFonts w:ascii="Liberation Serif" w:hAnsi="Liberation Serif" w:eastAsia="Liberation Serif"/>
                <w:b w:val="0"/>
                <w:i w:val="0"/>
                <w:sz w:val="18"/>
              </w:rPr>
              <w:t>Для квадратичного кадра N эквивалентны: (i) каждый элемент X²_N вычисляется допустимым выражением F²_N; (ii) Ψ²_N сюръективна; (iii) O_B(N)=0.</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Пункт (i) является определением сюръективности. Фактор X²_N/Im Ψ²_N равен нулю тогда и только тогда, когда Im Ψ²_N=X²_N. □</w:t>
      </w:r>
    </w:p>
    <w:p>
      <w:pPr>
        <w:pStyle w:val="Heading2"/>
        <w:widowControl/>
        <w:keepNext/>
      </w:pPr>
      <w:r>
        <w:rPr>
          <w:rFonts w:ascii="Liberation Sans" w:hAnsi="Liberation Sans" w:eastAsia="Liberation Sans"/>
          <w:b/>
          <w:color w:val="2F5597"/>
          <w:sz w:val="26"/>
        </w:rPr>
        <w:t>12.3. Явные нетривиальные модели</w:t>
      </w:r>
    </w:p>
    <w:tbl>
      <w:tblPr>
        <w:tblW w:type="auto" w:w="0"/>
        <w:jc w:val="center"/>
        <w:tblLayout w:type="fixed"/>
        <w:tblLook w:firstColumn="1" w:firstRow="1" w:lastColumn="0" w:lastRow="0" w:noHBand="0" w:noVBand="1" w:val="04A0"/>
      </w:tblPr>
      <w:tblGrid>
        <w:gridCol w:w="9354"/>
      </w:tblGrid>
      <w:tr>
        <w:tc>
          <w:tcPr>
            <w:tcW w:type="dxa" w:w="9752"/>
            <w:shd w:fill="F5EBD3"/>
            <w:tcMar>
              <w:top w:w="150" w:type="dxa"/>
              <w:start w:w="180" w:type="dxa"/>
              <w:bottom w:w="150" w:type="dxa"/>
              <w:end w:w="180" w:type="dxa"/>
            </w:tcMar>
            <w:tcBorders>
              <w:top w:val="single" w:sz="8" w:color="9C6B18"/>
              <w:left w:val="single" w:sz="8" w:color="9C6B18"/>
              <w:bottom w:val="single" w:sz="8" w:color="9C6B18"/>
              <w:right w:val="single" w:sz="8" w:color="9C6B18"/>
            </w:tcBorders>
          </w:tcPr>
          <w:p>
            <w:r>
              <w:rPr>
                <w:rFonts w:ascii="Liberation Sans" w:hAnsi="Liberation Sans" w:eastAsia="Liberation Sans"/>
                <w:b/>
                <w:i w:val="0"/>
                <w:color w:val="9C6B18"/>
                <w:sz w:val="20"/>
              </w:rPr>
              <w:t>Пример 4.1. Двухмерная неассоциативная модель  [MODEL]</w:t>
            </w:r>
          </w:p>
          <w:p>
            <w:pPr>
              <w:spacing w:line="252" w:lineRule="auto"/>
              <w:jc w:val="both"/>
            </w:pPr>
            <w:r>
              <w:rPr>
                <w:rFonts w:ascii="Liberation Serif" w:hAnsi="Liberation Serif" w:eastAsia="Liberation Serif"/>
                <w:b w:val="0"/>
                <w:i w:val="0"/>
                <w:sz w:val="18"/>
              </w:rPr>
              <w:t>Пусть 𝒜=Span_𝕂{e₁,e₂}, e₁⊙e₁=e₂, e₂⊙e₁=e₁, а остальные произведения нулевые. Тогда Ass_⊙(e₁,e₁,e₁)=e₁≠0. При ℛ=𝒜 и полном квадратичном языке Ψ² сюръективна, поэтому O_B=0 при ненулевом ассоциаторе.</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(e₁⊙e₁)⊙e₁=e₂⊙e₁=e₁, тогда как e₁⊙(e₁⊙e₁)=e₁⊙e₂=0. Полный язык содержит все базисные квадратичные выражения, поэтому его образ совпадает с X². □</w:t>
      </w:r>
    </w:p>
    <w:tbl>
      <w:tblPr>
        <w:tblW w:type="auto" w:w="0"/>
        <w:jc w:val="center"/>
        <w:tblLayout w:type="fixed"/>
        <w:tblLook w:firstColumn="1" w:firstRow="1" w:lastColumn="0" w:lastRow="0" w:noHBand="0" w:noVBand="1" w:val="04A0"/>
      </w:tblPr>
      <w:tblGrid>
        <w:gridCol w:w="9354"/>
      </w:tblGrid>
      <w:tr>
        <w:tc>
          <w:tcPr>
            <w:tcW w:type="dxa" w:w="9752"/>
            <w:shd w:fill="F5EBD3"/>
            <w:tcMar>
              <w:top w:w="150" w:type="dxa"/>
              <w:start w:w="180" w:type="dxa"/>
              <w:bottom w:w="150" w:type="dxa"/>
              <w:end w:w="180" w:type="dxa"/>
            </w:tcMar>
            <w:tcBorders>
              <w:top w:val="single" w:sz="8" w:color="9C6B18"/>
              <w:left w:val="single" w:sz="8" w:color="9C6B18"/>
              <w:bottom w:val="single" w:sz="8" w:color="9C6B18"/>
              <w:right w:val="single" w:sz="8" w:color="9C6B18"/>
            </w:tcBorders>
          </w:tcPr>
          <w:p>
            <w:r>
              <w:rPr>
                <w:rFonts w:ascii="Liberation Sans" w:hAnsi="Liberation Sans" w:eastAsia="Liberation Sans"/>
                <w:b/>
                <w:i w:val="0"/>
                <w:color w:val="9C6B18"/>
                <w:sz w:val="20"/>
              </w:rPr>
              <w:t>Пример 4.2. Ассоциативная модель с языковой обструкцией  [MODEL]</w:t>
            </w:r>
          </w:p>
          <w:p>
            <w:pPr>
              <w:spacing w:line="252" w:lineRule="auto"/>
              <w:jc w:val="both"/>
            </w:pPr>
            <w:r>
              <w:rPr>
                <w:rFonts w:ascii="Liberation Serif" w:hAnsi="Liberation Serif" w:eastAsia="Liberation Serif"/>
                <w:b w:val="0"/>
                <w:i w:val="0"/>
                <w:sz w:val="18"/>
              </w:rPr>
              <w:t>Пусть char(𝕂)≠2 и 𝒜=𝕂[t]/(t²) с обычным ассоциативным умножением, ℛ=𝒜, X²=Span{1,t}, а F² выбран так, что Im Ψ²=Span{1}. Тогда O_B≅Span{[t]}≠0 при Ass_⊙=0.</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Ассоциативность наследуется от фактор-кольца. Фактор двумерного X² по одномерному образу имеет размерность один. □</w:t>
      </w:r>
    </w:p>
    <w:p>
      <w:pPr>
        <w:pStyle w:val="Heading2"/>
        <w:widowControl/>
        <w:keepNext/>
      </w:pPr>
      <w:r>
        <w:rPr>
          <w:rFonts w:ascii="Liberation Sans" w:hAnsi="Liberation Sans" w:eastAsia="Liberation Sans"/>
          <w:b/>
          <w:color w:val="2F5597"/>
          <w:sz w:val="26"/>
        </w:rPr>
        <w:t>12.4. Anchored sufficient foundation и строгий Reper</w:t>
      </w:r>
    </w:p>
    <w:p>
      <w:pPr>
        <w:widowControl/>
        <w:spacing w:after="100" w:line="259" w:lineRule="auto"/>
        <w:ind w:firstLine="397"/>
        <w:jc w:val="both"/>
      </w:pPr>
      <w:r>
        <w:rPr>
          <w:rFonts w:ascii="Liberation Serif" w:hAnsi="Liberation Serif" w:eastAsia="Liberation Serif"/>
          <w:b w:val="0"/>
          <w:i w:val="0"/>
          <w:sz w:val="20"/>
        </w:rPr>
        <w:t>Для устранения двусмысленности между D как четвёртой проективной точкой и D как достаточным основанием вводится типизированная конструкция anchored sufficient foundation. Она не меняет каноническую запись (R,I,U;D), но раскрывает внутренний тип D.</w:t>
      </w:r>
    </w:p>
    <w:tbl>
      <w:tblPr>
        <w:tblW w:type="auto" w:w="0"/>
        <w:jc w:val="center"/>
        <w:tblLayout w:type="fixed"/>
        <w:tblLook w:firstColumn="1" w:firstRow="1" w:lastColumn="0" w:lastRow="0" w:noHBand="0" w:noVBand="1" w:val="04A0"/>
      </w:tblPr>
      <w:tblGrid>
        <w:gridCol w:w="9354"/>
      </w:tblGrid>
      <w:tr>
        <w:tc>
          <w:tcPr>
            <w:tcW w:type="dxa" w:w="9752"/>
            <w:shd w:fill="EEF3F8"/>
            <w:tcMar>
              <w:top w:w="150" w:type="dxa"/>
              <w:start w:w="180" w:type="dxa"/>
              <w:bottom w:w="150" w:type="dxa"/>
              <w:end w:w="180" w:type="dxa"/>
            </w:tcMar>
            <w:tcBorders>
              <w:top w:val="single" w:sz="8" w:color="2F5597"/>
              <w:left w:val="single" w:sz="8" w:color="2F5597"/>
              <w:bottom w:val="single" w:sz="8" w:color="2F5597"/>
              <w:right w:val="single" w:sz="8" w:color="2F5597"/>
            </w:tcBorders>
          </w:tcPr>
          <w:p>
            <w:r>
              <w:rPr>
                <w:rFonts w:ascii="Liberation Sans" w:hAnsi="Liberation Sans" w:eastAsia="Liberation Sans"/>
                <w:b/>
                <w:i w:val="0"/>
                <w:color w:val="2F5597"/>
                <w:sz w:val="20"/>
              </w:rPr>
              <w:t>Определение 4.2. Якорное достаточное основание  [DEF-A]</w:t>
            </w:r>
          </w:p>
          <w:p>
            <w:pPr>
              <w:spacing w:line="252" w:lineRule="auto"/>
              <w:jc w:val="both"/>
            </w:pPr>
            <w:r>
              <w:rPr>
                <w:rFonts w:ascii="Liberation Serif" w:hAnsi="Liberation Serif" w:eastAsia="Liberation Serif"/>
                <w:b w:val="0"/>
                <w:i w:val="0"/>
                <w:sz w:val="18"/>
              </w:rPr>
              <w:t>Пусть L — двумерное 𝕂-пространство, ℙ(L) — проективная прямая, а 𝔇_Ω — класс доказательных объектов домена Ω. Якорным основанием называется пара D=(d,E_D), где d∈ℙ(L) — проективный якорь, E_D∈𝔇_Ω — доказательный объект. Запишем D̲=d и Valid_Ω(D)∈{0,1}. Типизированный Reper есть ρ=(R,I,U;D), где R,I,U,D̲∈ℙ(L).</w:t>
            </w:r>
          </w:p>
        </w:tc>
      </w:tr>
    </w:tbl>
    <w:p>
      <w:pPr>
        <w:widowControl/>
        <w:spacing w:after="0"/>
      </w:pPr>
    </w:p>
    <w:p>
      <w:pPr>
        <w:widowControl/>
        <w:spacing w:after="100" w:line="259" w:lineRule="auto"/>
        <w:ind w:firstLine="397"/>
        <w:jc w:val="both"/>
      </w:pPr>
      <w:r>
        <w:rPr>
          <w:rFonts w:ascii="Liberation Serif" w:hAnsi="Liberation Serif" w:eastAsia="Liberation Serif"/>
          <w:b w:val="0"/>
          <w:i w:val="0"/>
          <w:sz w:val="20"/>
        </w:rPr>
        <w:t>Проективная координата использует D̲; доказательная авторизация использует Valid_Ω(D). Таким образом, одна буква сохраняет авторскую семантику достаточного основания, но математическая запись больше не смешивает точку и документ.</w:t>
      </w:r>
    </w:p>
    <w:p>
      <w:pPr>
        <w:pStyle w:val="Heading2"/>
        <w:widowControl/>
        <w:keepNext/>
      </w:pPr>
      <w:r>
        <w:rPr>
          <w:rFonts w:ascii="Liberation Sans" w:hAnsi="Liberation Sans" w:eastAsia="Liberation Sans"/>
          <w:b/>
          <w:color w:val="2F5597"/>
          <w:sz w:val="26"/>
        </w:rPr>
        <w:t>12.5. Проективно-гармоническая координата</w:t>
      </w:r>
    </w:p>
    <w:p>
      <w:pPr>
        <w:widowControl/>
        <w:spacing w:after="100" w:line="259" w:lineRule="auto"/>
        <w:ind w:firstLine="397"/>
        <w:jc w:val="both"/>
      </w:pPr>
      <w:r>
        <w:rPr>
          <w:rFonts w:ascii="Liberation Serif" w:hAnsi="Liberation Serif" w:eastAsia="Liberation Serif"/>
          <w:b w:val="0"/>
          <w:i w:val="0"/>
          <w:sz w:val="20"/>
        </w:rPr>
        <w:t>Для ненулевых представителей r,i,u,d∈L обозначим [x,y]=det(x,y) относительно любой выбранной ориентации базиса. Отношение детерминантов не зависит от масштаба представителей и от общего множителя при смене базиса.</w:t>
      </w: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λ(ρ)=cr(U,I;R,D̲)=([u,r][i,d])/([u,d][i,r]).</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(T2-F009)</w:t>
            </w:r>
          </w:p>
        </w:tc>
      </w:tr>
    </w:tbl>
    <w:p>
      <w:pPr>
        <w:widowControl/>
        <w:spacing w:after="0"/>
      </w:pPr>
    </w:p>
    <w:p>
      <w:pPr>
        <w:widowControl/>
        <w:spacing w:after="100" w:line="259" w:lineRule="auto"/>
        <w:ind w:firstLine="397"/>
        <w:jc w:val="both"/>
      </w:pPr>
      <w:r>
        <w:rPr>
          <w:rFonts w:ascii="Liberation Serif" w:hAnsi="Liberation Serif" w:eastAsia="Liberation Serif"/>
          <w:b w:val="0"/>
          <w:i w:val="0"/>
          <w:sz w:val="20"/>
        </w:rPr>
        <w:t>Область определения состоит из четвёрок, для которых [u,d]≠0 и [i,r]≠0. Для попарно различных точек это условие выполнено. В аффинной карте формула принимает канонический вид ((u−r)(i−d))/((u−d)(i−r)). Для гармонического условия λ=−1 далее предполагается char(𝕂)≠2; в характеристике 2 требуется отдельная формулировка.</w:t>
      </w: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Теорема 4.3. Проективная инвариантность λ  [THM]</w:t>
            </w:r>
          </w:p>
          <w:p>
            <w:pPr>
              <w:spacing w:line="252" w:lineRule="auto"/>
              <w:jc w:val="both"/>
            </w:pPr>
            <w:r>
              <w:rPr>
                <w:rFonts w:ascii="Liberation Serif" w:hAnsi="Liberation Serif" w:eastAsia="Liberation Serif"/>
                <w:b w:val="0"/>
                <w:i w:val="0"/>
                <w:sz w:val="18"/>
              </w:rPr>
              <w:t>Для любого g∈PGL(L) и любого ρ из области определения выполняется λ(gρ)=λ(ρ). В частности, условие λ=−1 является проективным инвариантом.</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Выберем линейного представителя G∈GL(L) преобразования g. Для любых x,y имеем det(Gx,Gy)=det(G)det(x,y). В числителе и знаменателе формулы λ возникает по два одинаковых множителя det(G), которые сокращаются. Масштабы отдельных представителей также сокращаются попарно. □</w:t>
      </w: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4.1. Полюс кросс-соотношения</w:t>
            </w:r>
          </w:p>
          <w:p>
            <w:pPr>
              <w:spacing w:line="252" w:lineRule="auto" w:after="0"/>
              <w:jc w:val="both"/>
            </w:pPr>
            <w:r>
              <w:rPr>
                <w:rFonts w:ascii="Liberation Serif" w:hAnsi="Liberation Serif" w:eastAsia="Liberation Serif"/>
                <w:b w:val="0"/>
                <w:i w:val="0"/>
                <w:sz w:val="18"/>
              </w:rPr>
              <w:t>Если U=D̲ или I=R, знаменатель равен нулю. Числовой λ не определён; присвоение ему большого значения или нуля является редакционной подменой Dom.</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4.2. Гармония без основания</w:t>
            </w:r>
          </w:p>
          <w:p>
            <w:pPr>
              <w:spacing w:line="252" w:lineRule="auto" w:after="0"/>
              <w:jc w:val="both"/>
            </w:pPr>
            <w:r>
              <w:rPr>
                <w:rFonts w:ascii="Liberation Serif" w:hAnsi="Liberation Serif" w:eastAsia="Liberation Serif"/>
                <w:b w:val="0"/>
                <w:i w:val="0"/>
                <w:sz w:val="18"/>
              </w:rPr>
              <w:t>Можно выбрать четыре точки с λ=−1 и одновременно Valid_Ω(D)=0. Проективная конфигурация гармонична, но структурный селектор обязан воздержаться: D/Dom-барьер не пройден.</w:t>
            </w:r>
          </w:p>
        </w:tc>
      </w:tr>
    </w:tbl>
    <w:p>
      <w:pPr>
        <w:widowControl/>
        <w:spacing w:after="0"/>
      </w:pPr>
    </w:p>
    <w:p>
      <w:pPr>
        <w:pStyle w:val="Heading2"/>
        <w:widowControl/>
        <w:keepNext/>
      </w:pPr>
      <w:r>
        <w:rPr>
          <w:rFonts w:ascii="Liberation Sans" w:hAnsi="Liberation Sans" w:eastAsia="Liberation Sans"/>
          <w:b/>
          <w:color w:val="2F5597"/>
          <w:sz w:val="26"/>
        </w:rPr>
        <w:t>12.6. Строгий структурный селектор предсказательного метода</w:t>
      </w:r>
    </w:p>
    <w:tbl>
      <w:tblPr>
        <w:tblW w:type="auto" w:w="0"/>
        <w:jc w:val="center"/>
        <w:tblLayout w:type="fixed"/>
        <w:tblLook w:firstColumn="1" w:firstRow="1" w:lastColumn="0" w:lastRow="0" w:noHBand="0" w:noVBand="1" w:val="04A0"/>
      </w:tblPr>
      <w:tblGrid>
        <w:gridCol w:w="9354"/>
      </w:tblGrid>
      <w:tr>
        <w:tc>
          <w:tcPr>
            <w:tcW w:type="dxa" w:w="9752"/>
            <w:shd w:fill="EEF3F8"/>
            <w:tcMar>
              <w:top w:w="150" w:type="dxa"/>
              <w:start w:w="180" w:type="dxa"/>
              <w:bottom w:w="150" w:type="dxa"/>
              <w:end w:w="180" w:type="dxa"/>
            </w:tcMar>
            <w:tcBorders>
              <w:top w:val="single" w:sz="8" w:color="2F5597"/>
              <w:left w:val="single" w:sz="8" w:color="2F5597"/>
              <w:bottom w:val="single" w:sz="8" w:color="2F5597"/>
              <w:right w:val="single" w:sz="8" w:color="2F5597"/>
            </w:tcBorders>
          </w:tcPr>
          <w:p>
            <w:r>
              <w:rPr>
                <w:rFonts w:ascii="Liberation Sans" w:hAnsi="Liberation Sans" w:eastAsia="Liberation Sans"/>
                <w:b/>
                <w:i w:val="0"/>
                <w:color w:val="2F5597"/>
                <w:sz w:val="20"/>
              </w:rPr>
              <w:t>Определение 4.3. Структурный селектор  [DEF-A]</w:t>
            </w:r>
          </w:p>
          <w:p>
            <w:pPr>
              <w:spacing w:line="252" w:lineRule="auto"/>
              <w:jc w:val="both"/>
            </w:pPr>
            <w:r>
              <w:rPr>
                <w:rFonts w:ascii="Liberation Serif" w:hAnsi="Liberation Serif" w:eastAsia="Liberation Serif"/>
                <w:b w:val="0"/>
                <w:i w:val="0"/>
                <w:sz w:val="18"/>
              </w:rPr>
              <w:t>Пусть N∈NAPG_q, ρ=(R,I,U;D) — типизированный Reper и x∈X²_N — квадратичный тест кандидата. Определим Sel_N(ρ,x)=1 тогда и только тогда, когда: (S1) ρ принадлежит Dom λ; (S2) Valid_Ω(D)=1; (S3) λ(ρ)=−1; (S4) Π_N(x)=0. В остальных случаях Sel_N=0, а при нарушении S1 или отсутствующем D вводится отдельный статус ABSTAIN, не смешиваемый с отрицательным вердиктом.</w:t>
            </w:r>
          </w:p>
        </w:tc>
      </w:tr>
    </w:tbl>
    <w:p>
      <w:pPr>
        <w:widowControl/>
        <w:spacing w:after="0"/>
      </w:pP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Sel_N(ρ,x)=1 ⇔ Dom_λ(ρ) ∧ Valid_Ω(D) ∧ λ(ρ)=−1 ∧ Π_N(x)=0.</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(T2-F010)</w:t>
            </w:r>
          </w:p>
        </w:tc>
      </w:tr>
    </w:tbl>
    <w:p>
      <w:pPr>
        <w:widowControl/>
        <w:spacing w:after="0"/>
      </w:pPr>
    </w:p>
    <w:p>
      <w:pPr>
        <w:widowControl/>
        <w:spacing w:after="100" w:line="259" w:lineRule="auto"/>
        <w:ind w:firstLine="397"/>
        <w:jc w:val="both"/>
      </w:pPr>
      <w:r>
        <w:rPr>
          <w:rFonts w:ascii="Liberation Serif" w:hAnsi="Liberation Serif" w:eastAsia="Liberation Serif"/>
          <w:b w:val="0"/>
          <w:i w:val="0"/>
          <w:sz w:val="20"/>
        </w:rPr>
        <w:t>Условие Π_N(x)=0 означает x∈Im Ψ²_N: выбранный квадратичный тест воспроизводим формальным языком кадра. Оно не означает Ass_⊙=0 и не доказывает физическую реализуемость кандидата.</w:t>
      </w: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Теорема 4.4. Двойная инвариантность селектора  [THM]</w:t>
            </w:r>
          </w:p>
          <w:p>
            <w:pPr>
              <w:spacing w:line="252" w:lineRule="auto"/>
              <w:jc w:val="both"/>
            </w:pPr>
            <w:r>
              <w:rPr>
                <w:rFonts w:ascii="Liberation Serif" w:hAnsi="Liberation Serif" w:eastAsia="Liberation Serif"/>
                <w:b w:val="0"/>
                <w:i w:val="0"/>
                <w:sz w:val="18"/>
              </w:rPr>
              <w:t>Пусть g∈PGL(L), f:N→N′ — изоморфизм NAPG_q, а доказательный перенос D↦gD сохраняет Valid_Ω. Тогда для всех допустимых (ρ,x) выполняется Sel_N(ρ,x)=Sel_N′(gρ,φ_X(x)).</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S1 и S3 сохраняются проективной инвариантностью λ. S2 сохраняется по гипотезе доказательного переноса. Для S4 используем M4: Π_N′(φ_Xx)=φ_O(Π_Nx). Поскольку φ_O — изоморфизм, Π_Nx=0 тогда и только тогда, когда Π_N′φ_Xx=0. Все четыре условия эквивалентны после переноса. □</w:t>
      </w:r>
    </w:p>
    <w:p>
      <w:pPr>
        <w:widowControl/>
        <w:jc w:val="center"/>
      </w:pPr>
      <w:r>
        <w:drawing>
          <wp:inline xmlns:a="http://schemas.openxmlformats.org/drawingml/2006/main" xmlns:pic="http://schemas.openxmlformats.org/drawingml/2006/picture">
            <wp:extent cx="5832000" cy="3087529"/>
            <wp:docPr id="8" name="Picture 8"/>
            <wp:cNvGraphicFramePr>
              <a:graphicFrameLocks noChangeAspect="1"/>
            </wp:cNvGraphicFramePr>
            <a:graphic>
              <a:graphicData uri="http://schemas.openxmlformats.org/drawingml/2006/picture">
                <pic:pic>
                  <pic:nvPicPr>
                    <pic:cNvPr id="0" name="diag_double_inv_v02.png"/>
                    <pic:cNvPicPr/>
                  </pic:nvPicPr>
                  <pic:blipFill>
                    <a:blip r:embed="rId20"/>
                    <a:stretch>
                      <a:fillRect/>
                    </a:stretch>
                  </pic:blipFill>
                  <pic:spPr>
                    <a:xfrm>
                      <a:off x="0" y="0"/>
                      <a:ext cx="5832000" cy="3087529"/>
                    </a:xfrm>
                    <a:prstGeom prst="rect"/>
                  </pic:spPr>
                </pic:pic>
              </a:graphicData>
            </a:graphic>
          </wp:inline>
        </w:drawing>
      </w:r>
    </w:p>
    <w:p>
      <w:pPr>
        <w:widowControl/>
        <w:jc w:val="center"/>
      </w:pPr>
      <w:r>
        <w:rPr>
          <w:rFonts w:ascii="Liberation Serif" w:hAnsi="Liberation Serif" w:eastAsia="Liberation Serif"/>
          <w:b w:val="0"/>
          <w:i/>
          <w:color w:val="5B6573"/>
          <w:sz w:val="17"/>
        </w:rPr>
        <w:t>Рисунок 4. Двойная инвариантность структурного селектора. Собственная схема Тома II.</w:t>
      </w:r>
    </w:p>
    <w:p>
      <w:pPr>
        <w:pStyle w:val="Heading2"/>
        <w:widowControl/>
        <w:keepNext/>
      </w:pPr>
      <w:r>
        <w:rPr>
          <w:rFonts w:ascii="Liberation Sans" w:hAnsi="Liberation Sans" w:eastAsia="Liberation Sans"/>
          <w:b/>
          <w:color w:val="2F5597"/>
          <w:sz w:val="26"/>
        </w:rPr>
        <w:t>12.7. Приближённая гармония и локальная устойчивость</w:t>
      </w:r>
    </w:p>
    <w:p>
      <w:pPr>
        <w:widowControl/>
        <w:spacing w:after="100" w:line="259" w:lineRule="auto"/>
        <w:ind w:firstLine="397"/>
        <w:jc w:val="both"/>
      </w:pPr>
      <w:r>
        <w:rPr>
          <w:rFonts w:ascii="Liberation Serif" w:hAnsi="Liberation Serif" w:eastAsia="Liberation Serif"/>
          <w:b w:val="0"/>
          <w:i w:val="0"/>
          <w:sz w:val="20"/>
        </w:rPr>
        <w:t>Для 𝕂=ℝ или ℂ с фиксированной абсолютной величиной определим δ_truth(ρ)=|λ(ρ)+1|. Этот дефект имеет смысл только внутри Dom λ. Для τ≥0 введём τ-гармонический сектор H_τ={ρ:δ_truth(ρ)≤τ}.</w:t>
      </w: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δ_truth(ρ)=|λ(ρ)+1|,      H_τ={ρ∈Dom λ : δ_truth(ρ)≤τ}.</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(T2-F011)</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Теорема 4.5. Локальная липшицева устойчивость  [THM]</w:t>
            </w:r>
          </w:p>
          <w:p>
            <w:pPr>
              <w:spacing w:line="252" w:lineRule="auto"/>
              <w:jc w:val="both"/>
            </w:pPr>
            <w:r>
              <w:rPr>
                <w:rFonts w:ascii="Liberation Serif" w:hAnsi="Liberation Serif" w:eastAsia="Liberation Serif"/>
                <w:b w:val="0"/>
                <w:i w:val="0"/>
                <w:sz w:val="18"/>
              </w:rPr>
              <w:t>Пусть Ω⊂ℝ⁴ — компактное выпуклое множество аффинных координат (u,i,r,d), на котором |u−d|≥m&gt;0 и |i−r|≥m&gt;0. Тогда существует конечная константа L_Ω такая, что |δ_truth(q)−δ_truth(q′)|≤L_Ω‖q−q′‖ для всех q,q′∈Ω, соединяемых отрезком внутри области определения.</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Рациональная функция λ гладка на открытом множестве, где знаменатель ненулевой. На компактном Ω её градиент ограничен: L_Ω:=sup_{q∈Ω}‖∇λ(q)‖&lt;∞. По теореме о среднем |λ(q)−λ(q′)|≤L_Ω‖q−q′‖. Неравенство ||a+1|−|b+1||≤|a−b| завершает доказательство. □</w:t>
      </w:r>
    </w:p>
    <w:tbl>
      <w:tblPr>
        <w:tblW w:type="auto" w:w="0"/>
        <w:jc w:val="center"/>
        <w:tblLayout w:type="fixed"/>
        <w:tblLook w:firstColumn="1" w:firstRow="1" w:lastColumn="0" w:lastRow="0" w:noHBand="0" w:noVBand="1" w:val="04A0"/>
      </w:tblPr>
      <w:tblGrid>
        <w:gridCol w:w="9354"/>
      </w:tblGrid>
      <w:tr>
        <w:tc>
          <w:tcPr>
            <w:tcW w:type="dxa" w:w="9752"/>
            <w:shd w:fill="F5EBD3"/>
            <w:tcMar>
              <w:top w:w="160" w:type="dxa"/>
              <w:start w:w="180" w:type="dxa"/>
              <w:bottom w:w="160" w:type="dxa"/>
              <w:end w:w="180" w:type="dxa"/>
            </w:tcMar>
            <w:tcBorders>
              <w:top w:val="single" w:sz="10" w:color="9C6B18"/>
              <w:left w:val="single" w:sz="10" w:color="9C6B18"/>
              <w:bottom w:val="single" w:sz="10" w:color="9C6B18"/>
              <w:right w:val="single" w:sz="10" w:color="9C6B18"/>
            </w:tcBorders>
          </w:tcPr>
          <w:p>
            <w:pPr>
              <w:spacing w:after="80"/>
            </w:pPr>
            <w:r>
              <w:rPr>
                <w:rFonts w:ascii="Liberation Sans" w:hAnsi="Liberation Sans" w:eastAsia="Liberation Sans"/>
                <w:b/>
                <w:i w:val="0"/>
                <w:color w:val="9C6B18"/>
                <w:sz w:val="21"/>
              </w:rPr>
              <w:t>ОГРАНИЧЕНИЕ УСТОЙЧИВОСТИ</w:t>
            </w:r>
          </w:p>
          <w:p>
            <w:pPr>
              <w:spacing w:line="252" w:lineRule="auto" w:after="0"/>
              <w:jc w:val="both"/>
            </w:pPr>
            <w:r>
              <w:rPr>
                <w:rFonts w:ascii="Liberation Serif" w:hAnsi="Liberation Serif" w:eastAsia="Liberation Serif"/>
                <w:b w:val="0"/>
                <w:i w:val="0"/>
                <w:sz w:val="18"/>
              </w:rPr>
              <w:t>Константа L_Ω может резко возрастать при приближении к полюсам u=d или i=r. Поэтому малый численный шум не гарантирует малую ошибку λ без явной оценки расстояния до вырожденного множества. В программном слое KLT это требует отдельного pole-margin, а не одного δ_truth.</w:t>
            </w:r>
          </w:p>
        </w:tc>
      </w:tr>
    </w:tbl>
    <w:p>
      <w:pPr>
        <w:widowControl/>
        <w:spacing w:after="0"/>
      </w:pPr>
    </w:p>
    <w:p>
      <w:pPr>
        <w:pStyle w:val="Heading2"/>
        <w:widowControl/>
        <w:keepNext/>
      </w:pPr>
      <w:r>
        <w:rPr>
          <w:rFonts w:ascii="Liberation Sans" w:hAnsi="Liberation Sans" w:eastAsia="Liberation Sans"/>
          <w:b/>
          <w:color w:val="2F5597"/>
          <w:sz w:val="26"/>
        </w:rPr>
        <w:t>12.8. Интервальный Reper и правило воздержания</w:t>
      </w:r>
    </w:p>
    <w:tbl>
      <w:tblPr>
        <w:tblW w:type="auto" w:w="0"/>
        <w:jc w:val="center"/>
        <w:tblLayout w:type="fixed"/>
        <w:tblLook w:firstColumn="1" w:firstRow="1" w:lastColumn="0" w:lastRow="0" w:noHBand="0" w:noVBand="1" w:val="04A0"/>
      </w:tblPr>
      <w:tblGrid>
        <w:gridCol w:w="9354"/>
      </w:tblGrid>
      <w:tr>
        <w:tc>
          <w:tcPr>
            <w:tcW w:type="dxa" w:w="9752"/>
            <w:shd w:fill="EEF3F8"/>
            <w:tcMar>
              <w:top w:w="150" w:type="dxa"/>
              <w:start w:w="180" w:type="dxa"/>
              <w:bottom w:w="150" w:type="dxa"/>
              <w:end w:w="180" w:type="dxa"/>
            </w:tcMar>
            <w:tcBorders>
              <w:top w:val="single" w:sz="8" w:color="2F5597"/>
              <w:left w:val="single" w:sz="8" w:color="2F5597"/>
              <w:bottom w:val="single" w:sz="8" w:color="2F5597"/>
              <w:right w:val="single" w:sz="8" w:color="2F5597"/>
            </w:tcBorders>
          </w:tcPr>
          <w:p>
            <w:r>
              <w:rPr>
                <w:rFonts w:ascii="Liberation Sans" w:hAnsi="Liberation Sans" w:eastAsia="Liberation Sans"/>
                <w:b/>
                <w:i w:val="0"/>
                <w:color w:val="2F5597"/>
                <w:sz w:val="20"/>
              </w:rPr>
              <w:t>Определение 4.4. Интервальный образ λ  [DEF-A]</w:t>
            </w:r>
          </w:p>
          <w:p>
            <w:pPr>
              <w:spacing w:line="252" w:lineRule="auto"/>
              <w:jc w:val="both"/>
            </w:pPr>
            <w:r>
              <w:rPr>
                <w:rFonts w:ascii="Liberation Serif" w:hAnsi="Liberation Serif" w:eastAsia="Liberation Serif"/>
                <w:b w:val="0"/>
                <w:i w:val="0"/>
                <w:sz w:val="18"/>
              </w:rPr>
              <w:t>Пусть B⊂Dom λ — множество всех четвёрок, совместимых с погрешностями исходных данных. Определим Λ(B)={λ(q):q∈B}. Кандидат τ-сертифицирован, если sup_{z∈Λ(B)}|z+1|≤τ и inf_{q∈B}|u−d||i−r|&gt;0. Если B пересекает полюс, статус равен ABSTAIN_POLE.</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Лемма 4.2. Монотонность уточнения  [THM]</w:t>
            </w:r>
          </w:p>
          <w:p>
            <w:pPr>
              <w:spacing w:line="252" w:lineRule="auto"/>
              <w:jc w:val="both"/>
            </w:pPr>
            <w:r>
              <w:rPr>
                <w:rFonts w:ascii="Liberation Serif" w:hAnsi="Liberation Serif" w:eastAsia="Liberation Serif"/>
                <w:b w:val="0"/>
                <w:i w:val="0"/>
                <w:sz w:val="18"/>
              </w:rPr>
              <w:t>Если B′⊆B, то Λ(B′)⊆Λ(B). Следовательно, верхняя граница sup_{Λ(B′)}|z+1| не превосходит соответствующей границы для B.</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Образ под отображением сохраняет включение множеств. Монотонность супремума по включению следует непосредственно. □</w:t>
      </w:r>
    </w:p>
    <w:p>
      <w:pPr>
        <w:pStyle w:val="Heading2"/>
        <w:widowControl/>
        <w:keepNext/>
      </w:pPr>
      <w:r>
        <w:rPr>
          <w:rFonts w:ascii="Liberation Sans" w:hAnsi="Liberation Sans" w:eastAsia="Liberation Sans"/>
          <w:b/>
          <w:color w:val="2F5597"/>
          <w:sz w:val="26"/>
        </w:rPr>
        <w:t>12.9. Множество структурно допустимых кандидатов</w:t>
      </w:r>
    </w:p>
    <w:p>
      <w:pPr>
        <w:widowControl/>
        <w:spacing w:after="100" w:line="259" w:lineRule="auto"/>
        <w:ind w:firstLine="397"/>
        <w:jc w:val="both"/>
      </w:pPr>
      <w:r>
        <w:rPr>
          <w:rFonts w:ascii="Liberation Serif" w:hAnsi="Liberation Serif" w:eastAsia="Liberation Serif"/>
          <w:b w:val="0"/>
          <w:i w:val="0"/>
          <w:sz w:val="20"/>
        </w:rPr>
        <w:t>Пусть Cand(y) — множество кандидатов состояния или события, порождённых наблюдением y, причём каждому c сопоставлены Reper ρ_c, квадратичный тест x_c∈X²_N и доказательное основание D_c. Определим точное и робастное множества структурной допустимости.</w:t>
      </w: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C₀(y;N)={c∈Cand(y): Sel_N(ρ_c,x_c)=1}.</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(T2-F012)</w:t>
            </w:r>
          </w:p>
        </w:tc>
      </w:tr>
    </w:tbl>
    <w:p>
      <w:pPr>
        <w:widowControl/>
        <w:spacing w:after="0"/>
      </w:pP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C_{τ,η}(y;N)={c: Valid(D_c), δ_truth(ρ_c)≤τ, dist(x_c,Im Ψ²_N)≤η}.</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(T2-F013)</w:t>
            </w:r>
          </w:p>
        </w:tc>
      </w:tr>
    </w:tbl>
    <w:p>
      <w:pPr>
        <w:widowControl/>
        <w:spacing w:after="0"/>
      </w:pPr>
    </w:p>
    <w:p>
      <w:pPr>
        <w:widowControl/>
        <w:spacing w:after="100" w:line="259" w:lineRule="auto"/>
        <w:ind w:firstLine="397"/>
        <w:jc w:val="both"/>
      </w:pPr>
      <w:r>
        <w:rPr>
          <w:rFonts w:ascii="Liberation Serif" w:hAnsi="Liberation Serif" w:eastAsia="Liberation Serif"/>
          <w:b w:val="0"/>
          <w:i w:val="0"/>
          <w:sz w:val="20"/>
        </w:rPr>
        <w:t>Формула с dist требует нормы на X²_N и потому имеет статус MODEL до выбора аналитического слоя. Точное множество C₀ является чисто алгебраическим. Если C₀ пусто, метод не обязан выбирать «наименее плохой» исход: корректный выход ABSTAIN сообщает о недостаточности текущего языка, домена или основания.</w:t>
      </w: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Следствие 4.1. Координатная независимость точного множества  [THM]</w:t>
            </w:r>
          </w:p>
          <w:p>
            <w:pPr>
              <w:spacing w:line="252" w:lineRule="auto"/>
              <w:jc w:val="both"/>
            </w:pPr>
            <w:r>
              <w:rPr>
                <w:rFonts w:ascii="Liberation Serif" w:hAnsi="Liberation Serif" w:eastAsia="Liberation Serif"/>
                <w:b w:val="0"/>
                <w:i w:val="0"/>
                <w:sz w:val="18"/>
              </w:rPr>
              <w:t>При гипотезах Теоремы 4.4 изоморфизм кандидатов c↦c′ индуцирует биекцию C₀(y;N)≅C₀(g y;N′).</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Членство каждого кандидата сохраняется Теоремой 4.4; обратимость g и f даёт обратное соответствие. □</w:t>
      </w:r>
    </w:p>
    <w:p>
      <w:pPr>
        <w:pStyle w:val="Heading2"/>
        <w:widowControl/>
        <w:keepNext/>
      </w:pPr>
      <w:r>
        <w:rPr>
          <w:rFonts w:ascii="Liberation Sans" w:hAnsi="Liberation Sans" w:eastAsia="Liberation Sans"/>
          <w:b/>
          <w:color w:val="2F5597"/>
          <w:sz w:val="26"/>
        </w:rPr>
        <w:t>12.10. Отрицательные результаты и запретные сокращения</w:t>
      </w: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4.3. λ≈−1 не даёт truth-status</w:t>
            </w:r>
          </w:p>
          <w:p>
            <w:pPr>
              <w:spacing w:line="252" w:lineRule="auto" w:after="0"/>
              <w:jc w:val="both"/>
            </w:pPr>
            <w:r>
              <w:rPr>
                <w:rFonts w:ascii="Liberation Serif" w:hAnsi="Liberation Serif" w:eastAsia="Liberation Serif"/>
                <w:b w:val="0"/>
                <w:i w:val="0"/>
                <w:sz w:val="18"/>
              </w:rPr>
              <w:t>Пусть δ_truth мало, но D невалидно или кандидат находится вне предметного Dom. Тогда числовая близость сохраняется, однако Sel=ABSTAIN. Любой автоматический переход «δ_truth мало ⇒ истинно» нарушает S2.</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4.4. O_B=0 не даёт физику</w:t>
            </w:r>
          </w:p>
          <w:p>
            <w:pPr>
              <w:spacing w:line="252" w:lineRule="auto" w:after="0"/>
              <w:jc w:val="both"/>
            </w:pPr>
            <w:r>
              <w:rPr>
                <w:rFonts w:ascii="Liberation Serif" w:hAnsi="Liberation Serif" w:eastAsia="Liberation Serif"/>
                <w:b w:val="0"/>
                <w:i w:val="0"/>
                <w:sz w:val="18"/>
              </w:rPr>
              <w:t>Минимальный комплекс и O_B определены для конечномерной формальной алгебры без топологии, времени и наблюдаемых. Нулевой класс сообщает лишь о квадратичной выразимости выбранным языком.</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4.5. Ассоциатор не живёт в X² автоматически</w:t>
            </w:r>
          </w:p>
          <w:p>
            <w:pPr>
              <w:spacing w:line="252" w:lineRule="auto" w:after="0"/>
              <w:jc w:val="both"/>
            </w:pPr>
            <w:r>
              <w:rPr>
                <w:rFonts w:ascii="Liberation Serif" w:hAnsi="Liberation Serif" w:eastAsia="Liberation Serif"/>
                <w:b w:val="0"/>
                <w:i w:val="0"/>
                <w:sz w:val="18"/>
              </w:rPr>
              <w:t>Ass_⊙ зависит от трёх аргументов и двух скобочных ветвей, тогда как X² построен из квадратичных выражений. Без β_Ass:T_Ass→X² формула Π(Ass_⊙)=0 не типизирована.</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4.6. Нестабильность у полюса</w:t>
            </w:r>
          </w:p>
          <w:p>
            <w:pPr>
              <w:spacing w:line="252" w:lineRule="auto" w:after="0"/>
              <w:jc w:val="both"/>
            </w:pPr>
            <w:r>
              <w:rPr>
                <w:rFonts w:ascii="Liberation Serif" w:hAnsi="Liberation Serif" w:eastAsia="Liberation Serif"/>
                <w:b w:val="0"/>
                <w:i w:val="0"/>
                <w:sz w:val="18"/>
              </w:rPr>
              <w:t>Последовательность четвёрок может сходиться к U=D̲, при этом λ неограниченно растёт. Поэтому глобальной липшицевой константы на всей аффинной области нет.</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4.7. Сужение кандидатов не равно причинному прогнозу</w:t>
            </w:r>
          </w:p>
          <w:p>
            <w:pPr>
              <w:spacing w:line="252" w:lineRule="auto" w:after="0"/>
              <w:jc w:val="both"/>
            </w:pPr>
            <w:r>
              <w:rPr>
                <w:rFonts w:ascii="Liberation Serif" w:hAnsi="Liberation Serif" w:eastAsia="Liberation Serif"/>
                <w:b w:val="0"/>
                <w:i w:val="0"/>
                <w:sz w:val="18"/>
              </w:rPr>
              <w:t>Даже если C₀(y;N) состоит из одного элемента, это доказывает уникальность внутри заданного формального языка и домена, но не причинное наступление события во внешнем мире.</w:t>
            </w:r>
          </w:p>
        </w:tc>
      </w:tr>
    </w:tbl>
    <w:p>
      <w:pPr>
        <w:widowControl/>
        <w:spacing w:after="0"/>
      </w:pPr>
    </w:p>
    <w:p>
      <w:pPr>
        <w:pStyle w:val="Heading1"/>
        <w:pageBreakBefore w:val="0"/>
        <w:widowControl/>
        <w:keepNext/>
      </w:pPr>
      <w:r>
        <w:rPr>
          <w:rFonts w:ascii="Liberation Sans" w:hAnsi="Liberation Sans" w:eastAsia="Liberation Sans"/>
          <w:b/>
          <w:color w:val="17365D"/>
          <w:sz w:val="36"/>
        </w:rPr>
        <w:t>13. Теоремный пакет v0.2</w:t>
      </w:r>
    </w:p>
    <w:p>
      <w:pPr>
        <w:widowControl/>
        <w:spacing w:after="100" w:line="259" w:lineRule="auto"/>
        <w:ind w:firstLine="397"/>
        <w:jc w:val="both"/>
      </w:pPr>
      <w:r>
        <w:rPr>
          <w:rFonts w:ascii="Liberation Serif" w:hAnsi="Liberation Serif" w:eastAsia="Liberation Serif"/>
          <w:b w:val="0"/>
          <w:i w:val="0"/>
          <w:sz w:val="20"/>
        </w:rPr>
        <w:t>Ниже собраны утверждения, которые считаются закрытыми в алгебраическом объёме выпуска. Они не переносятся автоматически на топологические, аналитические или физические реализации.</w:t>
      </w:r>
    </w:p>
    <w:tbl>
      <w:tblPr>
        <w:tblW w:type="auto" w:w="0"/>
        <w:jc w:val="center"/>
        <w:tblLayout w:type="fixed"/>
        <w:tblLook w:firstColumn="1" w:firstRow="1" w:lastColumn="0" w:lastRow="0" w:noHBand="0" w:noVBand="1" w:val="04A0"/>
      </w:tblPr>
      <w:tblGrid>
        <w:gridCol w:w="1950"/>
        <w:gridCol w:w="1950"/>
        <w:gridCol w:w="1950"/>
        <w:gridCol w:w="1950"/>
        <w:gridCol w:w="1950"/>
      </w:tblGrid>
      <w:tr>
        <w:trPr>
          <w:tblHeader w:val="true"/>
          <w:cantSplit/>
        </w:trP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ID</w:t>
            </w:r>
          </w:p>
        </w:tc>
        <w:tc>
          <w:tcPr>
            <w:tcW w:type="dxa" w:w="24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Утверждение</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Статус</w:t>
            </w:r>
          </w:p>
        </w:tc>
        <w:tc>
          <w:tcPr>
            <w:tcW w:type="dxa" w:w="24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Гипотезы</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Не доказывает</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T2-TH-201</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Тип ассоциатора</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THM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Совпадение степеней ветвей; общий Dom.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Существование всех произведений.</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T2-TH-202</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Спуск φ_X на O_B</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THM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M3.</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Инъективность или полноту детекции.</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T2-TH-203</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Категория NAPG_q</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THM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Объекты Def. 3.1; M1–M4.</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Геометрическую/аналитическую реализацию.</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T2-TH-204</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Функтор O_B</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THM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Категория NAPG_q.</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Связь с ассоциатором.</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T2-TH-205</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Естественный C_min и κ</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THM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Минимальный внутренний комплекс.</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Внешнюю Hodge/Hochschild-когомологию.</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T2-TH-206</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Критерий квадратичной полноты</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THM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Ψ²:F²→X².</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Ассоциативность.</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T2-TH-207</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Проективная инвариантность λ</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THM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Четвёрка в Dom; g∈PGL₂.</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Достаточное основание.</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T2-TH-208</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Двойная инвариантность Sel</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THM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g, изоморфизм NAPG_q, сохранение Valid.</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Физический прогноз.</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T2-TH-209</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Локальная устойчивость δ_truth</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THM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Компактность и отрыв от полюсов.</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Глобальную устойчивость.</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T2-TH-210</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Монотонность интервального уточнения</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THM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B′⊆B⊂Dom λ.</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Статистическое покрытие.</w:t>
            </w:r>
          </w:p>
        </w:tc>
      </w:tr>
    </w:tbl>
    <w:p>
      <w:pPr>
        <w:widowControl/>
        <w:spacing w:after="20"/>
      </w:pPr>
    </w:p>
    <w:p>
      <w:pPr>
        <w:pStyle w:val="Heading1"/>
        <w:pageBreakBefore w:val="0"/>
        <w:widowControl/>
        <w:keepNext/>
      </w:pPr>
      <w:r>
        <w:rPr>
          <w:rFonts w:ascii="Liberation Sans" w:hAnsi="Liberation Sans" w:eastAsia="Liberation Sans"/>
          <w:b/>
          <w:color w:val="17365D"/>
          <w:sz w:val="36"/>
        </w:rPr>
        <w:t>14. Закрытие и разделение доказательных обязательств</w:t>
      </w:r>
    </w:p>
    <w:tbl>
      <w:tblPr>
        <w:tblW w:type="auto" w:w="0"/>
        <w:jc w:val="center"/>
        <w:tblLayout w:type="fixed"/>
        <w:tblLook w:firstColumn="1" w:firstRow="1" w:lastColumn="0" w:lastRow="0" w:noHBand="0" w:noVBand="1" w:val="04A0"/>
      </w:tblPr>
      <w:tblGrid>
        <w:gridCol w:w="1950"/>
        <w:gridCol w:w="1950"/>
        <w:gridCol w:w="1950"/>
        <w:gridCol w:w="1950"/>
        <w:gridCol w:w="1950"/>
      </w:tblGrid>
      <w:tr>
        <w:trPr>
          <w:tblHeader w:val="true"/>
          <w:cantSplit/>
        </w:trP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PO</w:t>
            </w:r>
          </w:p>
        </w:tc>
        <w:tc>
          <w:tcPr>
            <w:tcW w:type="dxa" w:w="294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Результат v0.2</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Статус</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Закрывающий объект</w:t>
            </w:r>
          </w:p>
        </w:tc>
        <w:tc>
          <w:tcPr>
            <w:tcW w:type="dxa" w:w="187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Следующий шаг</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T2-PO-003</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Полный NOTATION LEDGER, типы и резервирование символов.</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CLOSED</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§10.1–10.3</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Поддерживать при каждой новой главе.</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T2-PO-004</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Коллизии ⊙/⋆/⋆_Hdg/δ/δ_min устранены.</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CLOSED</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Лемма 2.1; контрпримеры 2.1–2.2</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Автоматический notation audit в приложении.</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T2-PO-005</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Объекты, морфизмы, тождества и композиция NAPG_q определены.</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CLOSED</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Def. 3.1–3.2; Thm. 3.1</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Расширить до топологических кадров.</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T2-PO-006</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Построены контрмодели к M1–M4 и Dom.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CLOSED</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Контрпримеры 3.1–3.6</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Добавить машинные тесты.</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T2-PO-007</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Градуированная билинейная алгебра и формальный язык типизированы.</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CLOSED ALG</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§12.1–12.3</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Аналитические нормы отдельно.</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T2-PO-008A</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Непустота: явные ассоциативная и неассоциативная модели.</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CLOSED</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Примеры 4.1–4.2</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Классификация малых размерностей.</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T2-PO-008B</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Непрерывность, завершения, Banach/Hilbert-реализации.</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OPEN</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Не входит в алгебраическое ядро</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Глава 10 и Hodge-слой.</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T2-PO-008C</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Проективно-гармонический интерфейс и Sel.</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CLOSED ALG</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Def. 4.2–4.4; Thm. 4.3–4.5</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Статистическая калибровка в последующих главах.</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T2-PO-009</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Полная теория ассоциатора, ядер и центров.</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NEXT</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Глава 5</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tom2_v0_3.</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T2-PO-010</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Естественный ассоциаторный инвариант/β_Ass.</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OPEN</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Контрпример 4.5</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tom2_v0_3; не смешивать с O_B.</w:t>
            </w:r>
          </w:p>
        </w:tc>
      </w:tr>
    </w:tbl>
    <w:p>
      <w:pPr>
        <w:widowControl/>
        <w:spacing w:after="20"/>
      </w:pPr>
    </w:p>
    <w:p>
      <w:pPr>
        <w:pStyle w:val="Heading1"/>
        <w:pageBreakBefore w:val="0"/>
        <w:widowControl/>
        <w:keepNext/>
      </w:pPr>
      <w:r>
        <w:rPr>
          <w:rFonts w:ascii="Liberation Sans" w:hAnsi="Liberation Sans" w:eastAsia="Liberation Sans"/>
          <w:b/>
          <w:color w:val="17365D"/>
          <w:sz w:val="36"/>
        </w:rPr>
        <w:t>15. Карта зависимостей после v0.2</w:t>
      </w: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cantSplit/>
        </w:trPr>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6"/>
              </w:rPr>
              <w:t>Узел</w:t>
            </w:r>
          </w:p>
        </w:tc>
        <w:tc>
          <w:tcPr>
            <w:tcW w:type="dxa" w:w="255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6"/>
              </w:rPr>
              <w:t>Зависит от</w:t>
            </w:r>
          </w:p>
        </w:tc>
        <w:tc>
          <w:tcPr>
            <w:tcW w:type="dxa" w:w="255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6"/>
              </w:rPr>
              <w:t>Порождает</w:t>
            </w:r>
          </w:p>
        </w:tc>
        <w:tc>
          <w:tcPr>
            <w:tcW w:type="dxa" w:w="255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6"/>
              </w:rPr>
              <w:t>Статус границы</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6"/>
              </w:rPr>
              <w:t>NOTATION LEDGER</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P0; T2-PO-003/004</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Типовую проверку всех глав</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Закрыт, но обновляем.</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6"/>
              </w:rPr>
              <w:t>NAPG_q</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Гл. 2; M1–M4</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O_B, C_min, морфизмы</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Алгебраический.</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6"/>
              </w:rPr>
              <w:t>F²→X²→O_B</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Квадратичный язык и вычисление</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Критерий полноты</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Не ассоциаторный канал.</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6"/>
              </w:rPr>
              <w:t>C_min, κ</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NAPG_q</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Внутренний H³</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Не внешний E-слой.</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6"/>
              </w:rPr>
              <w:t>Anchored D</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Проективная точка + evidence</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D/Dom-барьер</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Авторское определение.</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6"/>
              </w:rPr>
              <w:t>λ и δ_truth</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ℙ¹, Dom λ</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Гармонический фильтр</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Не truth-status.</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6"/>
              </w:rPr>
              <w:t>Sel_N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λ, Valid, Π</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Точное множество C₀</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Не физический прогноз.</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6"/>
              </w:rPr>
              <w:t>β_Ass</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T_Ass и целевой слой</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Ассоциаторный канал</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OPEN.</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6"/>
              </w:rPr>
              <w:t>E/Hodge</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Внешний комплекс и мост J</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Главы 10–16</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Не начат в v0.2.</w:t>
            </w:r>
          </w:p>
        </w:tc>
      </w:tr>
    </w:tbl>
    <w:p>
      <w:pPr>
        <w:widowControl/>
        <w:spacing w:after="20"/>
      </w:pPr>
    </w:p>
    <w:p>
      <w:pPr>
        <w:pStyle w:val="Heading1"/>
        <w:pageBreakBefore w:val="0"/>
        <w:widowControl/>
        <w:keepNext/>
      </w:pPr>
      <w:r>
        <w:rPr>
          <w:rFonts w:ascii="Liberation Sans" w:hAnsi="Liberation Sans" w:eastAsia="Liberation Sans"/>
          <w:b/>
          <w:color w:val="17365D"/>
          <w:sz w:val="36"/>
        </w:rPr>
        <w:t>16. Библиографическая синхронизация v0.2</w:t>
      </w:r>
    </w:p>
    <w:p>
      <w:pPr>
        <w:widowControl/>
        <w:spacing w:after="100" w:line="259" w:lineRule="auto"/>
        <w:ind w:firstLine="397"/>
        <w:jc w:val="both"/>
      </w:pPr>
      <w:r>
        <w:rPr>
          <w:rFonts w:ascii="Liberation Serif" w:hAnsi="Liberation Serif" w:eastAsia="Liberation Serif"/>
          <w:b w:val="0"/>
          <w:i w:val="0"/>
          <w:sz w:val="20"/>
        </w:rPr>
        <w:t>Выпуск использует классические источники как prior art и не приписывает проекту авторство категорий, кросс-соотношения, факторпространств или общей теории деформаций. Авторский вклад настоящей редакции состоит в их типизированной сборке в NAPG_q, anchored sufficient foundation, структурном селекторе и доказательной дисциплине D/Dom.</w:t>
      </w:r>
    </w:p>
    <w:p>
      <w:pPr>
        <w:widowControl/>
        <w:spacing w:after="40" w:line="259" w:lineRule="auto"/>
        <w:jc w:val="both"/>
      </w:pPr>
      <w:r>
        <w:rPr>
          <w:rFonts w:ascii="Liberation Serif" w:hAnsi="Liberation Serif" w:eastAsia="Liberation Serif"/>
          <w:b w:val="0"/>
          <w:i w:val="0"/>
          <w:sz w:val="20"/>
        </w:rPr>
        <w:t>[S1] Eilenberg, S.; Mac Lane, S. General Theory of Natural Equivalences. Transactions of the AMS 58 (1945), 231–294. DOI 10.1090/S0002-9947-1945-0013131-6.</w:t>
      </w:r>
    </w:p>
    <w:p>
      <w:pPr>
        <w:widowControl/>
        <w:spacing w:after="40" w:line="259" w:lineRule="auto"/>
        <w:jc w:val="both"/>
      </w:pPr>
      <w:r>
        <w:rPr>
          <w:rFonts w:ascii="Liberation Serif" w:hAnsi="Liberation Serif" w:eastAsia="Liberation Serif"/>
          <w:b w:val="0"/>
          <w:i w:val="0"/>
          <w:sz w:val="20"/>
        </w:rPr>
        <w:t>[S2] Mac Lane, S. Categories for the Working Mathematician. 2nd ed. Springer. DOI 10.1007/978-1-4757-4721-8.</w:t>
      </w:r>
    </w:p>
    <w:p>
      <w:pPr>
        <w:widowControl/>
        <w:spacing w:after="40" w:line="259" w:lineRule="auto"/>
        <w:jc w:val="both"/>
      </w:pPr>
      <w:r>
        <w:rPr>
          <w:rFonts w:ascii="Liberation Serif" w:hAnsi="Liberation Serif" w:eastAsia="Liberation Serif"/>
          <w:b w:val="0"/>
          <w:i w:val="0"/>
          <w:sz w:val="20"/>
        </w:rPr>
        <w:t>[S3] Gerstenhaber, M. On the Deformation of Rings and Algebras. Annals of Mathematics 79 (1964), 59–103. DOI 10.2307/1970484.</w:t>
      </w:r>
    </w:p>
    <w:p>
      <w:pPr>
        <w:widowControl/>
        <w:spacing w:after="40" w:line="259" w:lineRule="auto"/>
        <w:jc w:val="both"/>
      </w:pPr>
      <w:r>
        <w:rPr>
          <w:rFonts w:ascii="Liberation Serif" w:hAnsi="Liberation Serif" w:eastAsia="Liberation Serif"/>
          <w:b w:val="0"/>
          <w:i w:val="0"/>
          <w:sz w:val="20"/>
        </w:rPr>
        <w:t>[S4] Veblen, O.; Young, J. W. Projective Geometry. Vol. I. Ginn, 1910. Public-domain scan: University of Michigan Historical Mathematics Collection.</w:t>
      </w:r>
    </w:p>
    <w:p>
      <w:pPr>
        <w:widowControl/>
        <w:spacing w:after="40" w:line="259" w:lineRule="auto"/>
        <w:jc w:val="both"/>
      </w:pPr>
      <w:r>
        <w:rPr>
          <w:rFonts w:ascii="Liberation Serif" w:hAnsi="Liberation Serif" w:eastAsia="Liberation Serif"/>
          <w:b w:val="0"/>
          <w:i w:val="0"/>
          <w:sz w:val="20"/>
        </w:rPr>
        <w:t>[S5] Kurpishev, I. B. Базовый проект KLT-RBD. Том I. Редакция v197 RU. §§26.5, 52.9–52.18. 2026.</w:t>
      </w:r>
    </w:p>
    <w:p>
      <w:pPr>
        <w:widowControl/>
        <w:spacing w:after="40" w:line="259" w:lineRule="auto"/>
        <w:jc w:val="both"/>
      </w:pPr>
      <w:r>
        <w:rPr>
          <w:rFonts w:ascii="Liberation Serif" w:hAnsi="Liberation Serif" w:eastAsia="Liberation Serif"/>
          <w:b w:val="0"/>
          <w:i w:val="0"/>
          <w:sz w:val="20"/>
        </w:rPr>
        <w:t>[S6] Kurpishev, I. B. Реперно-проективная архитектура формульных цепочек: PILOT-01. 2026.</w:t>
      </w:r>
    </w:p>
    <w:p>
      <w:pPr>
        <w:widowControl/>
        <w:spacing w:after="40" w:line="259" w:lineRule="auto"/>
        <w:jc w:val="both"/>
      </w:pPr>
      <w:r>
        <w:rPr>
          <w:rFonts w:ascii="Liberation Serif" w:hAnsi="Liberation Serif" w:eastAsia="Liberation Serif"/>
          <w:b w:val="0"/>
          <w:i w:val="0"/>
          <w:sz w:val="20"/>
        </w:rPr>
        <w:t>[S7] Kurpishev, I. B. KURPISHEV’S THEORY OF STRATIFIED TIME: ASSOCIATOR RIGIDITY AND NONASSOCIATIVE PACKET GEOMETRY. Канонический SIGMA-корпус проекта, 2026.</w:t>
      </w:r>
    </w:p>
    <w:p>
      <w:pPr>
        <w:pStyle w:val="Heading1"/>
        <w:pageBreakBefore w:val="0"/>
        <w:widowControl/>
        <w:keepNext/>
      </w:pPr>
      <w:r>
        <w:rPr>
          <w:rFonts w:ascii="Liberation Sans" w:hAnsi="Liberation Sans" w:eastAsia="Liberation Sans"/>
          <w:b/>
          <w:color w:val="17365D"/>
          <w:sz w:val="36"/>
        </w:rPr>
        <w:t>17. Контрольная точка T2-RP-v0.2</w:t>
      </w:r>
    </w:p>
    <w:tbl>
      <w:tblPr>
        <w:tblW w:type="auto" w:w="0"/>
        <w:jc w:val="center"/>
        <w:tblLayout w:type="fixed"/>
        <w:tblLook w:firstColumn="1" w:firstRow="1" w:lastColumn="0" w:lastRow="0" w:noHBand="0" w:noVBand="1" w:val="04A0"/>
      </w:tblPr>
      <w:tblGrid>
        <w:gridCol w:w="9354"/>
      </w:tblGrid>
      <w:tr>
        <w:tc>
          <w:tcPr>
            <w:tcW w:type="dxa" w:w="9752"/>
            <w:shd w:fill="F5EBD3"/>
            <w:tcMar>
              <w:top w:w="160" w:type="dxa"/>
              <w:start w:w="180" w:type="dxa"/>
              <w:bottom w:w="160" w:type="dxa"/>
              <w:end w:w="180" w:type="dxa"/>
            </w:tcMar>
            <w:tcBorders>
              <w:top w:val="single" w:sz="10" w:color="9C6B18"/>
              <w:left w:val="single" w:sz="10" w:color="9C6B18"/>
              <w:bottom w:val="single" w:sz="10" w:color="9C6B18"/>
              <w:right w:val="single" w:sz="10" w:color="9C6B18"/>
            </w:tcBorders>
          </w:tcPr>
          <w:p>
            <w:pPr>
              <w:spacing w:after="80"/>
            </w:pPr>
            <w:r>
              <w:rPr>
                <w:rFonts w:ascii="Liberation Sans" w:hAnsi="Liberation Sans" w:eastAsia="Liberation Sans"/>
                <w:b/>
                <w:i w:val="0"/>
                <w:color w:val="9C6B18"/>
                <w:sz w:val="21"/>
              </w:rPr>
              <w:t>ДЕКЛАРАЦИЯ НЕПРЕРЫВНОСТИ</w:t>
            </w:r>
          </w:p>
          <w:p>
            <w:pPr>
              <w:spacing w:line="252" w:lineRule="auto" w:after="0"/>
              <w:jc w:val="both"/>
            </w:pPr>
            <w:r>
              <w:rPr>
                <w:rFonts w:ascii="Liberation Serif" w:hAnsi="Liberation Serif" w:eastAsia="Liberation Serif"/>
                <w:b w:val="0"/>
                <w:i w:val="0"/>
                <w:sz w:val="18"/>
              </w:rPr>
              <w:t>Выпуск tom2_v0_2 наследует T2-RP-v0.1 и не изменяет замороженный Том I v197 RU. Внутренний алгебраический результат усилен, но внешний E-мост, Hodge-слой, ассоциаторная когомология, ПН.2 как физический принцип и F-1–F-14 не повышены. truth_layer_promotion=0.</w:t>
            </w:r>
          </w:p>
        </w:tc>
      </w:tr>
    </w:tbl>
    <w:p>
      <w:pPr>
        <w:widowControl/>
        <w:spacing w:after="0"/>
      </w:pPr>
    </w:p>
    <w:tbl>
      <w:tblPr>
        <w:tblW w:type="auto" w:w="0"/>
        <w:jc w:val="center"/>
        <w:tblLayout w:type="fixed"/>
        <w:tblLook w:firstColumn="1" w:firstRow="1" w:lastColumn="0" w:lastRow="0" w:noHBand="0" w:noVBand="1" w:val="04A0"/>
      </w:tblPr>
      <w:tblGrid>
        <w:gridCol w:w="4876"/>
        <w:gridCol w:w="4876"/>
      </w:tblGrid>
      <w:tr>
        <w:trPr>
          <w:tblHeader w:val="true"/>
          <w:cantSplit/>
        </w:trPr>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7"/>
              </w:rPr>
              <w:t>Поле</w:t>
            </w:r>
          </w:p>
        </w:tc>
        <w:tc>
          <w:tcPr>
            <w:tcW w:type="dxa" w:w="697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7"/>
              </w:rPr>
              <w:t>Фиксация</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7"/>
              </w:rPr>
              <w:t>Версия</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7"/>
              </w:rPr>
              <w:t>tom2_v0_2.docx + tom2_v0_2.pdf</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7"/>
              </w:rPr>
              <w:t>Контрольная точка</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7"/>
              </w:rPr>
              <w:t>T2-RP-v0.2</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7"/>
              </w:rPr>
              <w:t>Завершённые математические блоки</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7"/>
              </w:rPr>
              <w:t>NOTATION LEDGER; категория NAPG_q; морфизмы M1–M4; O_B и C_min; projective-harmonic Sel; устойчивость и интервальное воздержание.</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7"/>
              </w:rPr>
              <w:t>Закрытые обязательства</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7"/>
              </w:rPr>
              <w:t>T2-PO-003–007; T2-PO-008A; T2-PO-008C.</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7"/>
              </w:rPr>
              <w:t>Открытые обязательства</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7"/>
              </w:rPr>
              <w:t>T2-PO-008B, T2-PO-009, T2-PO-010; все внешние E/Hodge/physical bridges.</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7"/>
              </w:rPr>
              <w:t>Следующая версия</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7"/>
              </w:rPr>
              <w:t>tom2_v0_3: глава 5 «Ассоциатор, R⋆R, ядра, центры и инварианты».</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7"/>
              </w:rPr>
              <w:t>Обязательное действие v0.3</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7"/>
              </w:rPr>
              <w:t>Построить типизированные левое/среднее/правое ядра, nucleus, центр, радикалы; классифицировать явные тройки; сформулировать β_Ass либо доказать невозможность универсального квадратичного кодирования.</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7"/>
              </w:rPr>
              <w:t>Запрет v0.3</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7"/>
              </w:rPr>
              <w:t>Не объявлять O_B ассоциаторной когомологией без естественного β_Ass и не переходить к физической кривизне.</w:t>
            </w:r>
          </w:p>
        </w:tc>
      </w:tr>
    </w:tbl>
    <w:p>
      <w:pPr>
        <w:widowControl/>
        <w:spacing w:after="20"/>
      </w:pPr>
    </w:p>
    <w:p>
      <w:pPr>
        <w:widowControl/>
      </w:pPr>
      <w:r>
        <w:br w:type="page"/>
      </w:r>
    </w:p>
    <w:p>
      <w:pPr>
        <w:pStyle w:val="Heading1"/>
        <w:widowControl/>
        <w:keepNext/>
      </w:pPr>
      <w:r>
        <w:rPr>
          <w:rFonts w:ascii="Liberation Sans" w:hAnsi="Liberation Sans" w:eastAsia="Liberation Sans"/>
          <w:b/>
          <w:color w:val="17365D"/>
          <w:sz w:val="36"/>
        </w:rPr>
        <w:t>ЧАСТЬ III. АССОЦИАТОРНАЯ ГЕОМЕТРИЯ И ПРЕДСКАЗАТЕЛЬНЫЕ ИНВАРИАНТЫ v0.3</w:t>
      </w:r>
    </w:p>
    <w:tbl>
      <w:tblPr>
        <w:tblW w:type="auto" w:w="0"/>
        <w:jc w:val="center"/>
        <w:tblLayout w:type="fixed"/>
        <w:tblLook w:firstColumn="1" w:firstRow="1" w:lastColumn="0" w:lastRow="0" w:noHBand="0" w:noVBand="1" w:val="04A0"/>
      </w:tblPr>
      <w:tblGrid>
        <w:gridCol w:w="9752"/>
      </w:tblGrid>
      <w:tr>
        <w:tc>
          <w:tcPr>
            <w:tcW w:type="dxa" w:w="9071"/>
            <w:shd w:fill="E8F0F8"/>
            <w:tcMar>
              <w:top w:w="140" w:type="dxa"/>
              <w:start w:w="180" w:type="dxa"/>
              <w:bottom w:w="140" w:type="dxa"/>
              <w:end w:w="180" w:type="dxa"/>
            </w:tcMar>
          </w:tcPr>
          <w:p>
            <w:pPr>
              <w:spacing w:after="80"/>
            </w:pPr>
            <w:r>
              <w:rPr>
                <w:b/>
                <w:color w:val="1F4468"/>
                <w:sz w:val="21"/>
              </w:rPr>
              <w:t>ОНТОЛОГИЧЕСКИЙ БЛОК</w:t>
            </w:r>
          </w:p>
          <w:p>
            <w:pPr>
              <w:spacing w:after="0"/>
            </w:pPr>
            <w:r>
              <w:rPr>
                <w:sz w:val="19"/>
              </w:rPr>
              <w:t>Неассоциативность означает не беспорядок, а зависимость результата от маршрута композиции. Поэтому ассоциатор фиксирует различие двух допустимых способов сборки одного тройного пакета. В предсказательном методе существенна не величина «вообще», а локус, где инвариантный профиль операции способен измениться.</w:t>
            </w:r>
          </w:p>
        </w:tc>
      </w:tr>
    </w:tbl>
    <w:p>
      <w:pPr>
        <w:widowControl/>
        <w:spacing w:after="20"/>
      </w:pPr>
    </w:p>
    <w:tbl>
      <w:tblPr>
        <w:tblW w:type="auto" w:w="0"/>
        <w:jc w:val="center"/>
        <w:tblLayout w:type="fixed"/>
        <w:tblLook w:firstColumn="1" w:firstRow="1" w:lastColumn="0" w:lastRow="0" w:noHBand="0" w:noVBand="1" w:val="04A0"/>
      </w:tblPr>
      <w:tblGrid>
        <w:gridCol w:w="9752"/>
      </w:tblGrid>
      <w:tr>
        <w:tc>
          <w:tcPr>
            <w:tcW w:type="dxa" w:w="9071"/>
            <w:shd w:fill="F8E9E7"/>
            <w:tcMar>
              <w:top w:w="140" w:type="dxa"/>
              <w:start w:w="180" w:type="dxa"/>
              <w:bottom w:w="140" w:type="dxa"/>
              <w:end w:w="180" w:type="dxa"/>
            </w:tcMar>
          </w:tcPr>
          <w:p>
            <w:pPr>
              <w:spacing w:after="80"/>
            </w:pPr>
            <w:r>
              <w:rPr>
                <w:b/>
                <w:color w:val="1F4468"/>
                <w:sz w:val="21"/>
              </w:rPr>
              <w:t>ОГРАНИЧИТЕЛЬНЫЙ БЛОК</w:t>
            </w:r>
          </w:p>
          <w:p>
            <w:pPr>
              <w:spacing w:after="0"/>
            </w:pPr>
            <w:r>
              <w:rPr>
                <w:sz w:val="19"/>
              </w:rPr>
              <w:t>Все результаты настоящей части являются алгебраическими. Детерминантный горизонт локализует возможные изменения типа в заданной параметрической семье, но не доказывает физическое событие, причинность или универсальную применимость. Общий мост между Ass_⊙, геометрической кривизной и Hol_D остаётся открытым обязательством.</w:t>
            </w:r>
          </w:p>
        </w:tc>
      </w:tr>
    </w:tbl>
    <w:p>
      <w:pPr>
        <w:widowControl/>
        <w:spacing w:after="20"/>
      </w:pPr>
    </w:p>
    <w:p>
      <w:pPr>
        <w:pStyle w:val="Heading2"/>
        <w:widowControl/>
        <w:keepNext/>
      </w:pPr>
      <w:r>
        <w:rPr>
          <w:rFonts w:ascii="Liberation Sans" w:hAnsi="Liberation Sans" w:eastAsia="Liberation Sans"/>
          <w:b/>
          <w:color w:val="2F5597"/>
          <w:sz w:val="26"/>
        </w:rPr>
        <w:t>18. Паспорт математического углубления v0.3</w:t>
      </w:r>
    </w:p>
    <w:tbl>
      <w:tblPr>
        <w:tblW w:type="auto" w:w="0"/>
        <w:jc w:val="center"/>
        <w:tblLayout w:type="fixed"/>
        <w:tblLook w:firstColumn="1" w:firstRow="1" w:lastColumn="0" w:lastRow="0" w:noHBand="0" w:noVBand="1" w:val="04A0"/>
      </w:tblPr>
      <w:tblGrid>
        <w:gridCol w:w="4876"/>
        <w:gridCol w:w="4876"/>
      </w:tblGrid>
      <w:tr>
        <w:trPr>
          <w:tblHeader w:val="true"/>
        </w:trPr>
        <w:tc>
          <w:tcPr>
            <w:tcW w:type="dxa" w:w="2494"/>
            <w:shd w:fill="DCE7F2"/>
            <w:tcMar>
              <w:top w:w="90" w:type="dxa"/>
              <w:start w:w="100" w:type="dxa"/>
              <w:bottom w:w="90" w:type="dxa"/>
              <w:end w:w="100" w:type="dxa"/>
            </w:tcMar>
            <w:vAlign w:val="center"/>
          </w:tcPr>
          <w:p>
            <w:pPr>
              <w:jc w:val="center"/>
            </w:pPr>
            <w:r>
              <w:rPr>
                <w:b/>
                <w:sz w:val="18"/>
              </w:rPr>
              <w:t>Параметр</w:t>
            </w:r>
          </w:p>
        </w:tc>
        <w:tc>
          <w:tcPr>
            <w:tcW w:type="dxa" w:w="6463"/>
            <w:shd w:fill="DCE7F2"/>
            <w:tcMar>
              <w:top w:w="90" w:type="dxa"/>
              <w:start w:w="100" w:type="dxa"/>
              <w:bottom w:w="90" w:type="dxa"/>
              <w:end w:w="100" w:type="dxa"/>
            </w:tcMar>
            <w:vAlign w:val="center"/>
          </w:tcPr>
          <w:p>
            <w:pPr>
              <w:jc w:val="center"/>
            </w:pPr>
            <w:r>
              <w:rPr>
                <w:b/>
                <w:sz w:val="18"/>
              </w:rPr>
              <w:t>Фиксация</w:t>
            </w:r>
          </w:p>
        </w:tc>
      </w:tr>
      <w:tr>
        <w:tc>
          <w:tcPr>
            <w:tcW w:type="dxa" w:w="2494"/>
            <w:tcMar>
              <w:top w:w="90" w:type="dxa"/>
              <w:start w:w="100" w:type="dxa"/>
              <w:bottom w:w="90" w:type="dxa"/>
              <w:end w:w="100" w:type="dxa"/>
            </w:tcMar>
            <w:vAlign w:val="center"/>
          </w:tcPr>
          <w:p>
            <w:pPr>
              <w:spacing w:after="0"/>
            </w:pPr>
            <w:r>
              <w:rPr>
                <w:sz w:val="18"/>
              </w:rPr>
              <w:t>Контрольная точка</w:t>
            </w:r>
          </w:p>
        </w:tc>
        <w:tc>
          <w:tcPr>
            <w:tcW w:type="dxa" w:w="6463"/>
            <w:tcMar>
              <w:top w:w="90" w:type="dxa"/>
              <w:start w:w="100" w:type="dxa"/>
              <w:bottom w:w="90" w:type="dxa"/>
              <w:end w:w="100" w:type="dxa"/>
            </w:tcMar>
            <w:vAlign w:val="center"/>
          </w:tcPr>
          <w:p>
            <w:pPr>
              <w:spacing w:after="0"/>
            </w:pPr>
            <w:r>
              <w:rPr>
                <w:sz w:val="18"/>
              </w:rPr>
              <w:t>T2-RP-v0.3</w:t>
            </w:r>
          </w:p>
        </w:tc>
      </w:tr>
      <w:tr>
        <w:tc>
          <w:tcPr>
            <w:tcW w:type="dxa" w:w="2494"/>
            <w:tcMar>
              <w:top w:w="90" w:type="dxa"/>
              <w:start w:w="100" w:type="dxa"/>
              <w:bottom w:w="90" w:type="dxa"/>
              <w:end w:w="100" w:type="dxa"/>
            </w:tcMar>
            <w:vAlign w:val="center"/>
          </w:tcPr>
          <w:p>
            <w:pPr>
              <w:spacing w:after="0"/>
            </w:pPr>
            <w:r>
              <w:rPr>
                <w:sz w:val="18"/>
              </w:rPr>
              <w:t>Каноническая основа</w:t>
            </w:r>
          </w:p>
        </w:tc>
        <w:tc>
          <w:tcPr>
            <w:tcW w:type="dxa" w:w="6463"/>
            <w:tcMar>
              <w:top w:w="90" w:type="dxa"/>
              <w:start w:w="100" w:type="dxa"/>
              <w:bottom w:w="90" w:type="dxa"/>
              <w:end w:w="100" w:type="dxa"/>
            </w:tcMar>
            <w:vAlign w:val="center"/>
          </w:tcPr>
          <w:p>
            <w:pPr>
              <w:spacing w:after="0"/>
            </w:pPr>
            <w:r>
              <w:rPr>
                <w:sz w:val="18"/>
              </w:rPr>
              <w:t>T2-RP-v0.2 + Том I v197 RU</w:t>
            </w:r>
          </w:p>
        </w:tc>
      </w:tr>
      <w:tr>
        <w:tc>
          <w:tcPr>
            <w:tcW w:type="dxa" w:w="2494"/>
            <w:tcMar>
              <w:top w:w="90" w:type="dxa"/>
              <w:start w:w="100" w:type="dxa"/>
              <w:bottom w:w="90" w:type="dxa"/>
              <w:end w:w="100" w:type="dxa"/>
            </w:tcMar>
            <w:vAlign w:val="center"/>
          </w:tcPr>
          <w:p>
            <w:pPr>
              <w:spacing w:after="0"/>
            </w:pPr>
            <w:r>
              <w:rPr>
                <w:sz w:val="18"/>
              </w:rPr>
              <w:t>Развиваемая глава</w:t>
            </w:r>
          </w:p>
        </w:tc>
        <w:tc>
          <w:tcPr>
            <w:tcW w:type="dxa" w:w="6463"/>
            <w:tcMar>
              <w:top w:w="90" w:type="dxa"/>
              <w:start w:w="100" w:type="dxa"/>
              <w:bottom w:w="90" w:type="dxa"/>
              <w:end w:w="100" w:type="dxa"/>
            </w:tcMar>
            <w:vAlign w:val="center"/>
          </w:tcPr>
          <w:p>
            <w:pPr>
              <w:spacing w:after="0"/>
            </w:pPr>
            <w:r>
              <w:rPr>
                <w:sz w:val="18"/>
              </w:rPr>
              <w:t>Глава 5: ассоциатор, R⋆R, ядра, центры и инварианты</w:t>
            </w:r>
          </w:p>
        </w:tc>
      </w:tr>
      <w:tr>
        <w:tc>
          <w:tcPr>
            <w:tcW w:type="dxa" w:w="2494"/>
            <w:tcMar>
              <w:top w:w="90" w:type="dxa"/>
              <w:start w:w="100" w:type="dxa"/>
              <w:bottom w:w="90" w:type="dxa"/>
              <w:end w:w="100" w:type="dxa"/>
            </w:tcMar>
            <w:vAlign w:val="center"/>
          </w:tcPr>
          <w:p>
            <w:pPr>
              <w:spacing w:after="0"/>
            </w:pPr>
            <w:r>
              <w:rPr>
                <w:sz w:val="18"/>
              </w:rPr>
              <w:t>Главный результат</w:t>
            </w:r>
          </w:p>
        </w:tc>
        <w:tc>
          <w:tcPr>
            <w:tcW w:type="dxa" w:w="6463"/>
            <w:tcMar>
              <w:top w:w="90" w:type="dxa"/>
              <w:start w:w="100" w:type="dxa"/>
              <w:bottom w:w="90" w:type="dxa"/>
              <w:end w:w="100" w:type="dxa"/>
            </w:tcMar>
            <w:vAlign w:val="center"/>
          </w:tcPr>
          <w:p>
            <w:pPr>
              <w:spacing w:after="0"/>
            </w:pPr>
            <w:r>
              <w:rPr>
                <w:sz w:val="18"/>
              </w:rPr>
              <w:t>Детерминантная теорема локализации структурных переходов</w:t>
            </w:r>
          </w:p>
        </w:tc>
      </w:tr>
      <w:tr>
        <w:tc>
          <w:tcPr>
            <w:tcW w:type="dxa" w:w="2494"/>
            <w:tcMar>
              <w:top w:w="90" w:type="dxa"/>
              <w:start w:w="100" w:type="dxa"/>
              <w:bottom w:w="90" w:type="dxa"/>
              <w:end w:w="100" w:type="dxa"/>
            </w:tcMar>
            <w:vAlign w:val="center"/>
          </w:tcPr>
          <w:p>
            <w:pPr>
              <w:spacing w:after="0"/>
            </w:pPr>
            <w:r>
              <w:rPr>
                <w:sz w:val="18"/>
              </w:rPr>
              <w:t>Отрицательный результат</w:t>
            </w:r>
          </w:p>
        </w:tc>
        <w:tc>
          <w:tcPr>
            <w:tcW w:type="dxa" w:w="6463"/>
            <w:tcMar>
              <w:top w:w="90" w:type="dxa"/>
              <w:start w:w="100" w:type="dxa"/>
              <w:bottom w:w="90" w:type="dxa"/>
              <w:end w:w="100" w:type="dxa"/>
            </w:tcMar>
            <w:vAlign w:val="center"/>
          </w:tcPr>
          <w:p>
            <w:pPr>
              <w:spacing w:after="0"/>
            </w:pPr>
            <w:r>
              <w:rPr>
                <w:sz w:val="18"/>
              </w:rPr>
              <w:t>Диагонально-квадратичные данные не восстанавливают общий ассоциатор</w:t>
            </w:r>
          </w:p>
        </w:tc>
      </w:tr>
      <w:tr>
        <w:tc>
          <w:tcPr>
            <w:tcW w:type="dxa" w:w="2494"/>
            <w:tcMar>
              <w:top w:w="90" w:type="dxa"/>
              <w:start w:w="100" w:type="dxa"/>
              <w:bottom w:w="90" w:type="dxa"/>
              <w:end w:w="100" w:type="dxa"/>
            </w:tcMar>
            <w:vAlign w:val="center"/>
          </w:tcPr>
          <w:p>
            <w:pPr>
              <w:spacing w:after="0"/>
            </w:pPr>
            <w:r>
              <w:rPr>
                <w:sz w:val="18"/>
              </w:rPr>
              <w:t>Статус внешних мостов</w:t>
            </w:r>
          </w:p>
        </w:tc>
        <w:tc>
          <w:tcPr>
            <w:tcW w:type="dxa" w:w="6463"/>
            <w:tcMar>
              <w:top w:w="90" w:type="dxa"/>
              <w:start w:w="100" w:type="dxa"/>
              <w:bottom w:w="90" w:type="dxa"/>
              <w:end w:w="100" w:type="dxa"/>
            </w:tcMar>
            <w:vAlign w:val="center"/>
          </w:tcPr>
          <w:p>
            <w:pPr>
              <w:spacing w:after="0"/>
            </w:pPr>
            <w:r>
              <w:rPr>
                <w:sz w:val="18"/>
              </w:rPr>
              <w:t>OPEN; без повышения ПН.2, F-1–F-14 и физических гипотез</w:t>
            </w:r>
          </w:p>
        </w:tc>
      </w:tr>
      <w:tr>
        <w:tc>
          <w:tcPr>
            <w:tcW w:type="dxa" w:w="2494"/>
            <w:tcMar>
              <w:top w:w="90" w:type="dxa"/>
              <w:start w:w="100" w:type="dxa"/>
              <w:bottom w:w="90" w:type="dxa"/>
              <w:end w:w="100" w:type="dxa"/>
            </w:tcMar>
            <w:vAlign w:val="center"/>
          </w:tcPr>
          <w:p>
            <w:pPr>
              <w:spacing w:after="0"/>
            </w:pPr>
            <w:r>
              <w:rPr>
                <w:sz w:val="18"/>
              </w:rPr>
              <w:t>Статус-замок</w:t>
            </w:r>
          </w:p>
        </w:tc>
        <w:tc>
          <w:tcPr>
            <w:tcW w:type="dxa" w:w="6463"/>
            <w:tcMar>
              <w:top w:w="90" w:type="dxa"/>
              <w:start w:w="100" w:type="dxa"/>
              <w:bottom w:w="90" w:type="dxa"/>
              <w:end w:w="100" w:type="dxa"/>
            </w:tcMar>
            <w:vAlign w:val="center"/>
          </w:tcPr>
          <w:p>
            <w:pPr>
              <w:spacing w:after="0"/>
            </w:pPr>
            <w:r>
              <w:rPr>
                <w:sz w:val="18"/>
              </w:rPr>
              <w:t>truth_layer_promotion=0</w:t>
            </w:r>
          </w:p>
        </w:tc>
      </w:tr>
    </w:tbl>
    <w:p>
      <w:pPr>
        <w:widowControl/>
        <w:spacing w:after="40"/>
      </w:pPr>
    </w:p>
    <w:p>
      <w:pPr>
        <w:pStyle w:val="Heading1"/>
        <w:widowControl/>
        <w:keepNext/>
      </w:pPr>
      <w:r>
        <w:rPr>
          <w:rFonts w:ascii="Liberation Sans" w:hAnsi="Liberation Sans" w:eastAsia="Liberation Sans"/>
          <w:b/>
          <w:color w:val="17365D"/>
          <w:sz w:val="36"/>
        </w:rPr>
        <w:t>19. Глава 5. Ассоциатор, R⋆R, ядра, центры и инварианты</w:t>
      </w:r>
    </w:p>
    <w:tbl>
      <w:tblPr>
        <w:tblW w:type="auto" w:w="0"/>
        <w:jc w:val="center"/>
        <w:tblLayout w:type="fixed"/>
        <w:tblLook w:firstColumn="1" w:firstRow="1" w:lastColumn="0" w:lastRow="0" w:noHBand="0" w:noVBand="1" w:val="04A0"/>
      </w:tblPr>
      <w:tblGrid>
        <w:gridCol w:w="9752"/>
      </w:tblGrid>
      <w:tr>
        <w:tc>
          <w:tcPr>
            <w:tcW w:type="dxa" w:w="9071"/>
            <w:shd w:fill="F1ECE3"/>
            <w:tcMar>
              <w:top w:w="140" w:type="dxa"/>
              <w:start w:w="180" w:type="dxa"/>
              <w:bottom w:w="140" w:type="dxa"/>
              <w:end w:w="180" w:type="dxa"/>
            </w:tcMar>
          </w:tcPr>
          <w:p>
            <w:pPr>
              <w:spacing w:after="80"/>
            </w:pPr>
            <w:r>
              <w:rPr>
                <w:b/>
                <w:color w:val="1F4468"/>
                <w:sz w:val="21"/>
              </w:rPr>
              <w:t>ГНОСЕОЛОГИЧЕСКИЙ БЛОК</w:t>
            </w:r>
          </w:p>
          <w:p>
            <w:pPr>
              <w:spacing w:after="0"/>
            </w:pPr>
            <w:r>
              <w:rPr>
                <w:sz w:val="19"/>
              </w:rPr>
              <w:t>Наблюдение одной диагонали многолинейного объекта неизбежно теряет информацию. Для ассоциатора это особенно важно: альтернативная алгебра может иметь нулевую диагональ Ass(x,x,x) и всё же оставаться существенно неассоциативной. Знание должно хранить не только значение, но и тип канала, порядок аргументов и область допустимости.</w:t>
            </w:r>
          </w:p>
        </w:tc>
      </w:tr>
    </w:tbl>
    <w:p>
      <w:pPr>
        <w:widowControl/>
        <w:spacing w:after="20"/>
      </w:pPr>
    </w:p>
    <w:p>
      <w:pPr>
        <w:pStyle w:val="Heading2"/>
        <w:widowControl/>
        <w:keepNext/>
      </w:pPr>
      <w:r>
        <w:rPr>
          <w:rFonts w:ascii="Liberation Sans" w:hAnsi="Liberation Sans" w:eastAsia="Liberation Sans"/>
          <w:b/>
          <w:color w:val="2F5597"/>
          <w:sz w:val="26"/>
        </w:rPr>
        <w:t>19.1. Типизированная область ассоциатора</w:t>
      </w:r>
    </w:p>
    <w:p>
      <w:pPr>
        <w:widowControl/>
      </w:pPr>
      <w:r>
        <w:rPr>
          <w:b/>
          <w:color w:val="1B3F60"/>
        </w:rPr>
        <w:t xml:space="preserve">Определение 5.1 (DEF-A). Область ассоциатора. </w:t>
      </w:r>
      <w:r>
        <w:t>Пусть (𝒜,⊙) — пакетная алгебра с, возможно, частичной операцией. Область Dom_Ass состоит из троек (a,b,c), для которых определены a⊙b, b⊙c, (a⊙b)⊙c и a⊙(b⊙c). На Dom_Ass полагаем Ass_⊙(a,b,c)=(a⊙b)⊙c−a⊙(b⊙c).</w:t>
      </w:r>
    </w:p>
    <w:p>
      <w:pPr>
        <w:widowControl/>
        <w:spacing w:before="80" w:after="120"/>
        <w:jc w:val="center"/>
      </w:pPr>
      <w:r>
        <w:rPr>
          <w:rFonts w:ascii="Cambria Math" w:hAnsi="Cambria Math" w:eastAsia="Cambria Math"/>
          <w:sz w:val="23"/>
        </w:rPr>
        <w:t>Dom_Ass = {(a,b,c): (a,b),(b,c),(a⊙b,c),(a,b⊙c) ∈ Dom_⊙}.</w:t>
      </w:r>
    </w:p>
    <w:p>
      <w:pPr>
        <w:keepNext/>
        <w:widowControl/>
      </w:pPr>
      <w:r>
        <w:rPr>
          <w:b/>
          <w:color w:val="1B3F60"/>
        </w:rPr>
        <w:t xml:space="preserve">Лемма 5.2 (THM). Трёхлинейность на полном домене. </w:t>
      </w:r>
      <w:r>
        <w:t>Если ⊙ — всюду определённая 𝕂-билинейная операция, то Ass_⊙:𝒜⊗𝒜⊗𝒜→𝒜 является 𝕂-линейным отображением.</w:t>
      </w:r>
    </w:p>
    <w:p>
      <w:pPr>
        <w:widowControl/>
      </w:pPr>
      <w:r>
        <w:rPr>
          <w:b/>
        </w:rPr>
        <w:t xml:space="preserve">Доказательство. </w:t>
      </w:r>
      <w:r>
        <w:t>Каждый из двух членов является композицией билинейных отображений и потому трёхлинеен. Их разность трёхлинейна.</w:t>
      </w:r>
    </w:p>
    <w:p>
      <w:pPr>
        <w:widowControl/>
      </w:pPr>
      <w:r>
        <w:t>Для частичной операции трёхлинейность утверждается только внутри совместимых линейных срезов Dom_Ass. Расширять её за пределы домена по формальному сходству запрещено.</w:t>
      </w:r>
    </w:p>
    <w:p>
      <w:pPr>
        <w:pStyle w:val="Heading2"/>
        <w:widowControl/>
        <w:keepNext/>
      </w:pPr>
      <w:r>
        <w:rPr>
          <w:rFonts w:ascii="Liberation Sans" w:hAnsi="Liberation Sans" w:eastAsia="Liberation Sans"/>
          <w:b/>
          <w:color w:val="2F5597"/>
          <w:sz w:val="26"/>
        </w:rPr>
        <w:t>19.2. Левое, среднее и правое ядра</w:t>
      </w:r>
    </w:p>
    <w:p>
      <w:pPr>
        <w:widowControl/>
      </w:pPr>
      <w:r>
        <w:rPr>
          <w:b/>
          <w:color w:val="1B3F60"/>
        </w:rPr>
        <w:t xml:space="preserve">Определение 5.3 (DEF-A). Три ядра и nucleus. </w:t>
      </w:r>
      <w:r>
        <w:t>Для всюду определённой алгебры 𝒜 определим N_l={a:Ass(a,x,y)=0 для всех x,y}, N_m={a:Ass(x,a,y)=0 для всех x,y}, N_r={a:Ass(x,y,a)=0 для всех x,y}. Полное ядро N(𝒜)=N_l∩N_m∩N_r.</w:t>
      </w:r>
    </w:p>
    <w:p>
      <w:pPr>
        <w:widowControl/>
        <w:spacing w:before="80" w:after="120"/>
        <w:jc w:val="center"/>
      </w:pPr>
      <w:r>
        <w:rPr>
          <w:rFonts w:ascii="Cambria Math" w:hAnsi="Cambria Math" w:eastAsia="Cambria Math"/>
          <w:sz w:val="23"/>
        </w:rPr>
        <w:t>N_l = ker L_Ass,   N_m = ker M_Ass,   N_r = ker R_Ass,</w:t>
      </w:r>
    </w:p>
    <w:p>
      <w:pPr>
        <w:widowControl/>
        <w:spacing w:before="80" w:after="120"/>
        <w:jc w:val="center"/>
      </w:pPr>
      <w:r>
        <w:rPr>
          <w:rFonts w:ascii="Cambria Math" w:hAnsi="Cambria Math" w:eastAsia="Cambria Math"/>
          <w:sz w:val="23"/>
        </w:rPr>
        <w:t>L_Ass(a)(x,y)=Ass(a,x,y),  M_Ass(a)(x,y)=Ass(x,a,y),  R_Ass(a)(x,y)=Ass(x,y,a).</w:t>
      </w:r>
    </w:p>
    <w:p>
      <w:pPr>
        <w:keepNext/>
        <w:widowControl/>
      </w:pPr>
      <w:r>
        <w:rPr>
          <w:b/>
          <w:color w:val="1B3F60"/>
        </w:rPr>
        <w:t xml:space="preserve">Предложение 5.4 (THM). Линейность ядер. </w:t>
      </w:r>
      <w:r>
        <w:t>Если 𝒜 — билинейная алгебра, то N_l, N_m, N_r и N(𝒜) являются линейными подпространствами.</w:t>
      </w:r>
    </w:p>
    <w:p>
      <w:pPr>
        <w:widowControl/>
      </w:pPr>
      <w:r>
        <w:rPr>
          <w:b/>
        </w:rPr>
        <w:t xml:space="preserve">Доказательство. </w:t>
      </w:r>
      <w:r>
        <w:t>Карты L_Ass, M_Ass и R_Ass линейны по выделенному аргументу. Их ядра являются подпространствами; пересечение подпространств является подпространством.</w:t>
      </w:r>
    </w:p>
    <w:p>
      <w:pPr>
        <w:widowControl/>
      </w:pPr>
      <w:r>
        <w:rPr>
          <w:b/>
          <w:color w:val="1B3F60"/>
        </w:rPr>
        <w:t xml:space="preserve">Определение 5.5 (DEF-A). Коммутант и центр. </w:t>
      </w:r>
      <w:r>
        <w:t>Коммутант C_comm(𝒜) состоит из z, удовлетворяющих z⊙x=x⊙z для всех x. Центр определяется как Z(𝒜)=N(𝒜)∩C_comm(𝒜).</w:t>
      </w:r>
    </w:p>
    <w:tbl>
      <w:tblPr>
        <w:tblW w:type="auto" w:w="0"/>
        <w:jc w:val="center"/>
        <w:tblLayout w:type="fixed"/>
        <w:tblLook w:firstColumn="1" w:firstRow="1" w:lastColumn="0" w:lastRow="0" w:noHBand="0" w:noVBand="1" w:val="04A0"/>
      </w:tblPr>
      <w:tblGrid>
        <w:gridCol w:w="9752"/>
      </w:tblGrid>
      <w:tr>
        <w:tc>
          <w:tcPr>
            <w:tcW w:type="dxa" w:w="9071"/>
            <w:shd w:fill="EEF4EA"/>
            <w:tcMar>
              <w:top w:w="140" w:type="dxa"/>
              <w:start w:w="180" w:type="dxa"/>
              <w:bottom w:w="140" w:type="dxa"/>
              <w:end w:w="180" w:type="dxa"/>
            </w:tcMar>
          </w:tcPr>
          <w:p>
            <w:pPr>
              <w:spacing w:after="80"/>
            </w:pPr>
            <w:r>
              <w:rPr>
                <w:b/>
                <w:color w:val="1F4468"/>
                <w:sz w:val="21"/>
              </w:rPr>
              <w:t>ФЕНОМЕНОЛОГИЧЕСКИЙ БЛОК</w:t>
            </w:r>
          </w:p>
          <w:p>
            <w:pPr>
              <w:spacing w:after="0"/>
            </w:pPr>
            <w:r>
              <w:rPr>
                <w:sz w:val="19"/>
              </w:rPr>
              <w:t>Элемент центра не просто «не мешает» умножению. Он нечувствителен и к перестановке, и к изменению скобок. Поэтому центр задаёт устойчивый слой, относительно которого разные маршруты пакетной сборки совпадают.</w:t>
            </w:r>
          </w:p>
        </w:tc>
      </w:tr>
    </w:tbl>
    <w:p>
      <w:pPr>
        <w:widowControl/>
        <w:spacing w:after="20"/>
      </w:pPr>
    </w:p>
    <w:p>
      <w:pPr>
        <w:pStyle w:val="Heading2"/>
        <w:widowControl/>
        <w:keepNext/>
      </w:pPr>
      <w:r>
        <w:rPr>
          <w:rFonts w:ascii="Liberation Sans" w:hAnsi="Liberation Sans" w:eastAsia="Liberation Sans"/>
          <w:b/>
          <w:color w:val="2F5597"/>
          <w:sz w:val="26"/>
        </w:rPr>
        <w:t>19.3. Идеал ассоциаторов и универсальное ассоциативное отражение</w:t>
      </w:r>
    </w:p>
    <w:p>
      <w:pPr>
        <w:widowControl/>
      </w:pPr>
      <w:r>
        <w:rPr>
          <w:b/>
          <w:color w:val="1B3F60"/>
        </w:rPr>
        <w:t xml:space="preserve">Определение 5.6 (DEF-A). Идеал ассоциаторов. </w:t>
      </w:r>
      <w:r>
        <w:t>J_Ass(𝒜) — наименьший двусторонний идеал 𝒜, содержащий все значения Ass_⊙(a,b,c). Во внутренней терминологии KLT-RBD допускается обозначение Rad_Ass(𝒜):=J_Ass(𝒜), но оно не отождествляется с радикалом Джекобсона или другим классическим радикалом.</w:t>
      </w:r>
    </w:p>
    <w:p>
      <w:pPr>
        <w:keepNext/>
        <w:widowControl/>
      </w:pPr>
      <w:r>
        <w:rPr>
          <w:b/>
          <w:color w:val="1B3F60"/>
        </w:rPr>
        <w:t xml:space="preserve">Теорема 5.7 (THM). Универсальное ассоциативное отражение. </w:t>
      </w:r>
      <w:r>
        <w:t>Для любой всюду определённой билинейной алгебры 𝒜 фактор 𝒜_as:=𝒜/J_Ass(𝒜) ассоциативен. Более того, любой гомоморфизм f:𝒜→B в ассоциативную алгебру B единственным образом факторизуется через q:𝒜→𝒜_as.</w:t>
      </w:r>
    </w:p>
    <w:p>
      <w:pPr>
        <w:widowControl/>
      </w:pPr>
      <w:r>
        <w:rPr>
          <w:b/>
        </w:rPr>
        <w:t xml:space="preserve">Доказательство. </w:t>
      </w:r>
      <w:r>
        <w:t>В факторе образ каждого ассоциатора равен нулю, следовательно, умножение ассоциативно. Если B ассоциативна, то f(Ass(a,b,c))=Ass(fa,fb,fc)=0; поэтому J_Ass⊆ker f. Универсальное свойство фактора даёт единственный f̄ с f=f̄∘q.</w:t>
      </w:r>
    </w:p>
    <w:p>
      <w:pPr>
        <w:widowControl/>
        <w:jc w:val="center"/>
      </w:pPr>
      <w:r>
        <w:drawing>
          <wp:inline xmlns:a="http://schemas.openxmlformats.org/drawingml/2006/main" xmlns:pic="http://schemas.openxmlformats.org/drawingml/2006/picture">
            <wp:extent cx="5580000" cy="2424997"/>
            <wp:docPr id="9" name="Picture 9"/>
            <wp:cNvGraphicFramePr>
              <a:graphicFrameLocks noChangeAspect="1"/>
            </wp:cNvGraphicFramePr>
            <a:graphic>
              <a:graphicData uri="http://schemas.openxmlformats.org/drawingml/2006/picture">
                <pic:pic>
                  <pic:nvPicPr>
                    <pic:cNvPr id="0" name="reflection.png"/>
                    <pic:cNvPicPr/>
                  </pic:nvPicPr>
                  <pic:blipFill>
                    <a:blip r:embed="rId21"/>
                    <a:stretch>
                      <a:fillRect/>
                    </a:stretch>
                  </pic:blipFill>
                  <pic:spPr>
                    <a:xfrm>
                      <a:off x="0" y="0"/>
                      <a:ext cx="5580000" cy="2424997"/>
                    </a:xfrm>
                    <a:prstGeom prst="rect"/>
                  </pic:spPr>
                </pic:pic>
              </a:graphicData>
            </a:graphic>
          </wp:inline>
        </w:drawing>
      </w:r>
    </w:p>
    <w:p>
      <w:pPr>
        <w:pStyle w:val="Caption"/>
        <w:keepNext/>
        <w:widowControl/>
        <w:jc w:val="center"/>
      </w:pPr>
      <w:r>
        <w:t>Рисунок 5. Универсальное ассоциативное отражение. Собственная схема Тома II.</w:t>
      </w:r>
    </w:p>
    <w:p>
      <w:pPr>
        <w:widowControl/>
      </w:pPr>
      <w:r>
        <w:t>Это отражение даёт строгую меру потери информации при принудительной ассоциативизации. Если J_Ass=0, алгебра уже ассоциативна; если J_Ass=𝒜, ассоциативное отражение нулевое.</w:t>
      </w:r>
    </w:p>
    <w:p>
      <w:pPr>
        <w:pStyle w:val="Heading2"/>
        <w:widowControl/>
        <w:keepNext/>
      </w:pPr>
      <w:r>
        <w:rPr>
          <w:rFonts w:ascii="Liberation Sans" w:hAnsi="Liberation Sans" w:eastAsia="Liberation Sans"/>
          <w:b/>
          <w:color w:val="2F5597"/>
          <w:sz w:val="26"/>
        </w:rPr>
        <w:t>19.4. Запрет универсального диагонально-квадратичного кодирования</w:t>
      </w:r>
    </w:p>
    <w:p>
      <w:pPr>
        <w:keepNext/>
        <w:widowControl/>
      </w:pPr>
      <w:r>
        <w:rPr>
          <w:b/>
          <w:color w:val="1B3F60"/>
        </w:rPr>
        <w:t xml:space="preserve">Теорема 5.8 (THM). Степенной запрет. </w:t>
      </w:r>
      <w:r>
        <w:t>Не существует ненулевого однородного квадратичного отображения Q:𝒜→W, которое для всех билинейных алгебр и всех x functorially совпадало бы с диагональным ассоциатором Ass(x,x,x).</w:t>
      </w:r>
    </w:p>
    <w:p>
      <w:pPr>
        <w:widowControl/>
      </w:pPr>
      <w:r>
        <w:rPr>
          <w:b/>
        </w:rPr>
        <w:t xml:space="preserve">Доказательство. </w:t>
      </w:r>
      <w:r>
        <w:t>Для скаляра t имеем Q(tx)=t²Q(x), тогда как Ass(tx,tx,tx)=t³Ass(x,x,x). При поле с более чем двумя элементами равенство для всех t возможно только при Ass(x,x,x)=0. Следовательно, общий кубический диагональный канал не является квадратичным.</w:t>
      </w:r>
    </w:p>
    <w:p>
      <w:pPr>
        <w:keepNext/>
        <w:widowControl/>
      </w:pPr>
      <w:r>
        <w:rPr>
          <w:b/>
          <w:color w:val="1B3F60"/>
        </w:rPr>
        <w:t xml:space="preserve">Теорема 5.9 (THM). Недостаточность даже кубической диагонали. </w:t>
      </w:r>
      <w:r>
        <w:t>Отображение q_Ass(x)=Ass(x,x,x) в общем случае не определяет полный трёхлинейный ассоциатор.</w:t>
      </w:r>
    </w:p>
    <w:p>
      <w:pPr>
        <w:widowControl/>
      </w:pPr>
      <w:r>
        <w:rPr>
          <w:b/>
        </w:rPr>
        <w:t xml:space="preserve">Доказательство. </w:t>
      </w:r>
      <w:r>
        <w:t>В альтернативной алгебре ассоциатор чередующийся, поэтому Ass(x,x,x)=0 для каждого x. Реальные октонионы неассоциативны и дают ненулевые значения на тройках различных единиц. Значит, q_Ass≡0 не влечёт Ass≡0.</w:t>
      </w:r>
    </w:p>
    <w:tbl>
      <w:tblPr>
        <w:tblW w:type="auto" w:w="0"/>
        <w:jc w:val="center"/>
        <w:tblLayout w:type="fixed"/>
        <w:tblLook w:firstColumn="1" w:firstRow="1" w:lastColumn="0" w:lastRow="0" w:noHBand="0" w:noVBand="1" w:val="04A0"/>
      </w:tblPr>
      <w:tblGrid>
        <w:gridCol w:w="9752"/>
      </w:tblGrid>
      <w:tr>
        <w:tc>
          <w:tcPr>
            <w:tcW w:type="dxa" w:w="9071"/>
            <w:shd w:fill="F8E9E7"/>
            <w:tcMar>
              <w:top w:w="140" w:type="dxa"/>
              <w:start w:w="180" w:type="dxa"/>
              <w:bottom w:w="140" w:type="dxa"/>
              <w:end w:w="180" w:type="dxa"/>
            </w:tcMar>
          </w:tcPr>
          <w:p>
            <w:pPr>
              <w:spacing w:after="80"/>
            </w:pPr>
            <w:r>
              <w:rPr>
                <w:b/>
                <w:color w:val="1F4468"/>
                <w:sz w:val="21"/>
              </w:rPr>
              <w:t>ОГРАНИЧИТЕЛЬНЫЙ БЛОК</w:t>
            </w:r>
          </w:p>
          <w:p>
            <w:pPr>
              <w:spacing w:after="0"/>
            </w:pPr>
            <w:r>
              <w:rPr>
                <w:sz w:val="19"/>
              </w:rPr>
              <w:t>Символ R⋆R нельзя понимать как единственное число или одну диагональную квадратичную форму, способную восстановить произвольную неассоциативность. Для полного сертификата необходимы несколько поляризованных каналов и отдельная чередующаяся компонента.</w:t>
            </w:r>
          </w:p>
        </w:tc>
      </w:tr>
    </w:tbl>
    <w:p>
      <w:pPr>
        <w:widowControl/>
        <w:spacing w:after="20"/>
      </w:pPr>
    </w:p>
    <w:p>
      <w:pPr>
        <w:pStyle w:val="Heading2"/>
        <w:widowControl/>
        <w:keepNext/>
      </w:pPr>
      <w:r>
        <w:rPr>
          <w:rFonts w:ascii="Liberation Sans" w:hAnsi="Liberation Sans" w:eastAsia="Liberation Sans"/>
          <w:b/>
          <w:color w:val="2F5597"/>
          <w:sz w:val="26"/>
        </w:rPr>
        <w:t>19.5. Квадратично-чередующийся сертификат R⋆R</w:t>
      </w:r>
    </w:p>
    <w:p>
      <w:pPr>
        <w:widowControl/>
      </w:pPr>
      <w:r>
        <w:rPr>
          <w:b/>
          <w:color w:val="1B3F60"/>
        </w:rPr>
        <w:t xml:space="preserve">Определение 5.10 (DEF-A). Три квадратичных карандаша. </w:t>
      </w:r>
      <w:r>
        <w:t>Для трёхлинейного T=Ass_⊙ зададим Q₁₂(c;x)=T(x,x,c), Q₁₃(b;x)=T(x,b,x), Q₂₃(a;x)=T(a,x,x). При char 𝕂≠2 их поляризации восстанавливают симметризации T по соответствующим парам слотов.</w:t>
      </w:r>
    </w:p>
    <w:p>
      <w:pPr>
        <w:widowControl/>
        <w:spacing w:before="80" w:after="120"/>
        <w:jc w:val="center"/>
      </w:pPr>
      <w:r>
        <w:rPr>
          <w:rFonts w:ascii="Cambria Math" w:hAnsi="Cambria Math" w:eastAsia="Cambria Math"/>
          <w:sz w:val="23"/>
        </w:rPr>
        <w:t>S₁₂T(x,y,c) = ½[Q₁₂(c;x+y)−Q₁₂(c;x)−Q₁₂(c;y)] = ½[T(x,y,c)+T(y,x,c)],</w:t>
      </w:r>
    </w:p>
    <w:p>
      <w:pPr>
        <w:widowControl/>
        <w:spacing w:before="80" w:after="120"/>
        <w:jc w:val="center"/>
      </w:pPr>
      <w:r>
        <w:rPr>
          <w:rFonts w:ascii="Cambria Math" w:hAnsi="Cambria Math" w:eastAsia="Cambria Math"/>
          <w:sz w:val="23"/>
        </w:rPr>
        <w:t>S₁₃T(x,b,y) = ½[T(x,b,y)+T(y,b,x)],</w:t>
      </w:r>
    </w:p>
    <w:p>
      <w:pPr>
        <w:widowControl/>
        <w:spacing w:before="80" w:after="120"/>
        <w:jc w:val="center"/>
      </w:pPr>
      <w:r>
        <w:rPr>
          <w:rFonts w:ascii="Cambria Math" w:hAnsi="Cambria Math" w:eastAsia="Cambria Math"/>
          <w:sz w:val="23"/>
        </w:rPr>
        <w:t>S₂₃T(a,x,y) = ½[T(a,x,y)+T(a,y,x)].</w:t>
      </w:r>
    </w:p>
    <w:p>
      <w:pPr>
        <w:widowControl/>
      </w:pPr>
      <w:r>
        <w:rPr>
          <w:b/>
          <w:color w:val="1B3F60"/>
        </w:rPr>
        <w:t xml:space="preserve">Определение 5.11 (DEF-A). Чередующаяся компонента. </w:t>
      </w:r>
      <w:r>
        <w:t>При char 𝕂≠2,3 полагаем Alt(T)=(1/6)Σ_{σ∈S₃}sgn(σ)·T∘σ.</w:t>
      </w:r>
    </w:p>
    <w:p>
      <w:pPr>
        <w:keepNext/>
        <w:widowControl/>
      </w:pPr>
      <w:r>
        <w:rPr>
          <w:b/>
          <w:color w:val="1B3F60"/>
        </w:rPr>
        <w:t xml:space="preserve">Теорема 5.12 (THM). Полнота квадратично-чередующегося сертификата. </w:t>
      </w:r>
      <w:r>
        <w:t>При char 𝕂≠2,3 отображение T↦(S₁₂T,S₁₃T,S₂₃T,Alt(T)) инъективно. Следовательно, три поляризованных квадратичных карандаша вместе с Alt(T) однозначно определяют T.</w:t>
      </w:r>
    </w:p>
    <w:p>
      <w:pPr>
        <w:widowControl/>
      </w:pPr>
      <w:r>
        <w:rPr>
          <w:b/>
        </w:rPr>
        <w:t xml:space="preserve">Доказательство. </w:t>
      </w:r>
      <w:r>
        <w:t>Пусть все четыре компоненты образа равны нулю. Равенство S_ijT=0 означает, что T меняет знак при каждой транспозиции соответствующих слотов. Поэтому T является чередующимся. Для чередующегося T имеем Alt(T)=T, а по гипотезе Alt(T)=0. Значит, T=0.</w:t>
      </w:r>
    </w:p>
    <w:p>
      <w:pPr>
        <w:widowControl/>
      </w:pPr>
      <w:r>
        <w:rPr>
          <w:b/>
          <w:color w:val="1B3F60"/>
        </w:rPr>
        <w:t xml:space="preserve">Определение 5.13 (DEF-A). Строгая реализация авторского объекта R⋆R. </w:t>
      </w:r>
      <w:r>
        <w:t>Для допустимого реперного слоя ℛ⊆𝒜 объект R⋆R определяется как сертификат (Dom_Ass|ℛ³, Q₁₂, Q₁₃, Q₂₃, Alt(Ass), J_Ass, Prof_Ass). Это не новое умножение и не Hodge-оператор; знак ⋆ резервируется за ассоциаторным пакетным слоем.</w:t>
      </w:r>
    </w:p>
    <w:p>
      <w:pPr>
        <w:widowControl/>
        <w:jc w:val="center"/>
      </w:pPr>
      <w:r>
        <w:drawing>
          <wp:inline xmlns:a="http://schemas.openxmlformats.org/drawingml/2006/main" xmlns:pic="http://schemas.openxmlformats.org/drawingml/2006/picture">
            <wp:extent cx="5580000" cy="2873026"/>
            <wp:docPr id="10" name="Picture 10"/>
            <wp:cNvGraphicFramePr>
              <a:graphicFrameLocks noChangeAspect="1"/>
            </wp:cNvGraphicFramePr>
            <a:graphic>
              <a:graphicData uri="http://schemas.openxmlformats.org/drawingml/2006/picture">
                <pic:pic>
                  <pic:nvPicPr>
                    <pic:cNvPr id="0" name="encoding.png"/>
                    <pic:cNvPicPr/>
                  </pic:nvPicPr>
                  <pic:blipFill>
                    <a:blip r:embed="rId22"/>
                    <a:stretch>
                      <a:fillRect/>
                    </a:stretch>
                  </pic:blipFill>
                  <pic:spPr>
                    <a:xfrm>
                      <a:off x="0" y="0"/>
                      <a:ext cx="5580000" cy="2873026"/>
                    </a:xfrm>
                    <a:prstGeom prst="rect"/>
                  </pic:spPr>
                </pic:pic>
              </a:graphicData>
            </a:graphic>
          </wp:inline>
        </w:drawing>
      </w:r>
    </w:p>
    <w:p>
      <w:pPr>
        <w:pStyle w:val="Caption"/>
        <w:keepNext/>
        <w:widowControl/>
        <w:jc w:val="center"/>
      </w:pPr>
      <w:r>
        <w:t>Рисунок 6. Полный R⋆R-сертификат: квадратичные каналы и чередующаяся компонента. Собственная схема Тома II.</w:t>
      </w:r>
    </w:p>
    <w:p>
      <w:pPr>
        <w:pStyle w:val="Heading2"/>
        <w:widowControl/>
        <w:keepNext/>
      </w:pPr>
      <w:r>
        <w:rPr>
          <w:rFonts w:ascii="Liberation Sans" w:hAnsi="Liberation Sans" w:eastAsia="Liberation Sans"/>
          <w:b/>
          <w:color w:val="2F5597"/>
          <w:sz w:val="26"/>
        </w:rPr>
        <w:t>19.6. Явные модели и контрпримеры</w:t>
      </w:r>
    </w:p>
    <w:p>
      <w:pPr>
        <w:widowControl/>
      </w:pPr>
      <w:r>
        <w:t>Модель A₂. Пусть 𝒜₂=span{u,v} и произведение задаётся таблицей u⊙u=u, u⊙v=v, v⊙u=0, v⊙v=u.</w:t>
      </w:r>
    </w:p>
    <w:tbl>
      <w:tblPr>
        <w:tblW w:type="auto" w:w="0"/>
        <w:jc w:val="center"/>
        <w:tblLayout w:type="fixed"/>
        <w:tblLook w:firstColumn="1" w:firstRow="1" w:lastColumn="0" w:lastRow="0" w:noHBand="0" w:noVBand="1" w:val="04A0"/>
      </w:tblPr>
      <w:tblGrid>
        <w:gridCol w:w="3251"/>
        <w:gridCol w:w="3251"/>
        <w:gridCol w:w="3251"/>
      </w:tblGrid>
      <w:tr>
        <w:trPr>
          <w:tblHeader w:val="true"/>
        </w:trPr>
        <w:tc>
          <w:tcPr>
            <w:tcW w:type="dxa" w:w="1417"/>
            <w:shd w:fill="DCE7F2"/>
            <w:tcMar>
              <w:top w:w="90" w:type="dxa"/>
              <w:start w:w="100" w:type="dxa"/>
              <w:bottom w:w="90" w:type="dxa"/>
              <w:end w:w="100" w:type="dxa"/>
            </w:tcMar>
            <w:vAlign w:val="center"/>
          </w:tcPr>
          <w:p>
            <w:pPr>
              <w:jc w:val="center"/>
            </w:pPr>
            <w:r>
              <w:rPr>
                <w:b/>
                <w:sz w:val="20"/>
              </w:rPr>
              <w:t>⊙</w:t>
            </w:r>
          </w:p>
        </w:tc>
        <w:tc>
          <w:tcPr>
            <w:tcW w:type="dxa" w:w="3288"/>
            <w:shd w:fill="DCE7F2"/>
            <w:tcMar>
              <w:top w:w="90" w:type="dxa"/>
              <w:start w:w="100" w:type="dxa"/>
              <w:bottom w:w="90" w:type="dxa"/>
              <w:end w:w="100" w:type="dxa"/>
            </w:tcMar>
            <w:vAlign w:val="center"/>
          </w:tcPr>
          <w:p>
            <w:pPr>
              <w:jc w:val="center"/>
            </w:pPr>
            <w:r>
              <w:rPr>
                <w:b/>
                <w:sz w:val="20"/>
              </w:rPr>
              <w:t>u</w:t>
            </w:r>
          </w:p>
        </w:tc>
        <w:tc>
          <w:tcPr>
            <w:tcW w:type="dxa" w:w="3288"/>
            <w:shd w:fill="DCE7F2"/>
            <w:tcMar>
              <w:top w:w="90" w:type="dxa"/>
              <w:start w:w="100" w:type="dxa"/>
              <w:bottom w:w="90" w:type="dxa"/>
              <w:end w:w="100" w:type="dxa"/>
            </w:tcMar>
            <w:vAlign w:val="center"/>
          </w:tcPr>
          <w:p>
            <w:pPr>
              <w:jc w:val="center"/>
            </w:pPr>
            <w:r>
              <w:rPr>
                <w:b/>
                <w:sz w:val="20"/>
              </w:rPr>
              <w:t>v</w:t>
            </w:r>
          </w:p>
        </w:tc>
      </w:tr>
      <w:tr>
        <w:tc>
          <w:tcPr>
            <w:tcW w:type="dxa" w:w="1417"/>
            <w:tcMar>
              <w:top w:w="90" w:type="dxa"/>
              <w:start w:w="100" w:type="dxa"/>
              <w:bottom w:w="90" w:type="dxa"/>
              <w:end w:w="100" w:type="dxa"/>
            </w:tcMar>
            <w:vAlign w:val="center"/>
          </w:tcPr>
          <w:p>
            <w:pPr>
              <w:spacing w:after="0"/>
              <w:jc w:val="center"/>
            </w:pPr>
            <w:r>
              <w:rPr>
                <w:sz w:val="20"/>
              </w:rPr>
              <w:t>u</w:t>
            </w:r>
          </w:p>
        </w:tc>
        <w:tc>
          <w:tcPr>
            <w:tcW w:type="dxa" w:w="3288"/>
            <w:tcMar>
              <w:top w:w="90" w:type="dxa"/>
              <w:start w:w="100" w:type="dxa"/>
              <w:bottom w:w="90" w:type="dxa"/>
              <w:end w:w="100" w:type="dxa"/>
            </w:tcMar>
            <w:vAlign w:val="center"/>
          </w:tcPr>
          <w:p>
            <w:pPr>
              <w:spacing w:after="0"/>
            </w:pPr>
            <w:r>
              <w:rPr>
                <w:sz w:val="20"/>
              </w:rPr>
              <w:t>u</w:t>
            </w:r>
          </w:p>
        </w:tc>
        <w:tc>
          <w:tcPr>
            <w:tcW w:type="dxa" w:w="3288"/>
            <w:tcMar>
              <w:top w:w="90" w:type="dxa"/>
              <w:start w:w="100" w:type="dxa"/>
              <w:bottom w:w="90" w:type="dxa"/>
              <w:end w:w="100" w:type="dxa"/>
            </w:tcMar>
            <w:vAlign w:val="center"/>
          </w:tcPr>
          <w:p>
            <w:pPr>
              <w:spacing w:after="0"/>
            </w:pPr>
            <w:r>
              <w:rPr>
                <w:sz w:val="20"/>
              </w:rPr>
              <w:t>v</w:t>
            </w:r>
          </w:p>
        </w:tc>
      </w:tr>
      <w:tr>
        <w:tc>
          <w:tcPr>
            <w:tcW w:type="dxa" w:w="1417"/>
            <w:tcMar>
              <w:top w:w="90" w:type="dxa"/>
              <w:start w:w="100" w:type="dxa"/>
              <w:bottom w:w="90" w:type="dxa"/>
              <w:end w:w="100" w:type="dxa"/>
            </w:tcMar>
            <w:vAlign w:val="center"/>
          </w:tcPr>
          <w:p>
            <w:pPr>
              <w:spacing w:after="0"/>
              <w:jc w:val="center"/>
            </w:pPr>
            <w:r>
              <w:rPr>
                <w:sz w:val="20"/>
              </w:rPr>
              <w:t>v</w:t>
            </w:r>
          </w:p>
        </w:tc>
        <w:tc>
          <w:tcPr>
            <w:tcW w:type="dxa" w:w="3288"/>
            <w:tcMar>
              <w:top w:w="90" w:type="dxa"/>
              <w:start w:w="100" w:type="dxa"/>
              <w:bottom w:w="90" w:type="dxa"/>
              <w:end w:w="100" w:type="dxa"/>
            </w:tcMar>
            <w:vAlign w:val="center"/>
          </w:tcPr>
          <w:p>
            <w:pPr>
              <w:spacing w:after="0"/>
            </w:pPr>
            <w:r>
              <w:rPr>
                <w:sz w:val="20"/>
              </w:rPr>
              <w:t>0</w:t>
            </w:r>
          </w:p>
        </w:tc>
        <w:tc>
          <w:tcPr>
            <w:tcW w:type="dxa" w:w="3288"/>
            <w:tcMar>
              <w:top w:w="90" w:type="dxa"/>
              <w:start w:w="100" w:type="dxa"/>
              <w:bottom w:w="90" w:type="dxa"/>
              <w:end w:w="100" w:type="dxa"/>
            </w:tcMar>
            <w:vAlign w:val="center"/>
          </w:tcPr>
          <w:p>
            <w:pPr>
              <w:spacing w:after="0"/>
            </w:pPr>
            <w:r>
              <w:rPr>
                <w:sz w:val="20"/>
              </w:rPr>
              <w:t>u</w:t>
            </w:r>
          </w:p>
        </w:tc>
      </w:tr>
    </w:tbl>
    <w:p>
      <w:pPr>
        <w:widowControl/>
        <w:spacing w:after="40"/>
      </w:pPr>
    </w:p>
    <w:p>
      <w:pPr>
        <w:widowControl/>
        <w:spacing w:before="80" w:after="120"/>
        <w:jc w:val="center"/>
      </w:pPr>
      <w:r>
        <w:rPr>
          <w:rFonts w:ascii="Cambria Math" w:hAnsi="Cambria Math" w:eastAsia="Cambria Math"/>
          <w:sz w:val="23"/>
        </w:rPr>
        <w:t>Ass(v,u,v)=−u,   Ass(v,v,u)=u,   Ass(v,v,v)=v.</w:t>
      </w:r>
    </w:p>
    <w:p>
      <w:pPr>
        <w:keepNext/>
        <w:widowControl/>
      </w:pPr>
      <w:r>
        <w:rPr>
          <w:b/>
          <w:color w:val="1B3F60"/>
        </w:rPr>
        <w:t xml:space="preserve">Предложение 5.14 (THM). Профиль модели A₂. </w:t>
      </w:r>
      <w:r>
        <w:t>Для 𝒜₂ имеем N_l=𝕂u, N_m=0, N_r=0, N=0, Z=0 и J_Ass=𝒜₂.</w:t>
      </w:r>
    </w:p>
    <w:p>
      <w:pPr>
        <w:widowControl/>
      </w:pPr>
      <w:r>
        <w:rPr>
          <w:b/>
        </w:rPr>
        <w:t xml:space="preserve">Доказательство. </w:t>
      </w:r>
      <w:r>
        <w:t>Прямое вычисление на базисных тройках даёт указанные ассоциаторы. Условия для ядер сводятся к линейной системе; левое ядро порождается u, а среднее и правое тривиальны. Значения Ass(v,v,u)=u и Ass(v,v,v)=v порождают всю алгебру, поэтому J_Ass=𝒜₂.</w:t>
      </w:r>
    </w:p>
    <w:p>
      <w:pPr>
        <w:widowControl/>
      </w:pPr>
      <w:r>
        <w:t>Модель M₂. Для матричной алгебры M₂(𝕂) ассоциатор тождественно равен нулю, все три ядра совпадают с M₂(𝕂), J_Ass=0, а центр состоит из скалярных матриц.</w:t>
      </w:r>
    </w:p>
    <w:p>
      <w:pPr>
        <w:widowControl/>
      </w:pPr>
      <w:r>
        <w:t>Модель 𝕆. В реальных октонионах выберем ориентированные циклы (123), (145), (176), (246), (257), (347), (365). Тогда</w:t>
      </w:r>
    </w:p>
    <w:p>
      <w:pPr>
        <w:widowControl/>
        <w:spacing w:before="80" w:after="120"/>
        <w:jc w:val="center"/>
      </w:pPr>
      <w:r>
        <w:rPr>
          <w:rFonts w:ascii="Cambria Math" w:hAnsi="Cambria Math" w:eastAsia="Cambria Math"/>
          <w:sz w:val="23"/>
        </w:rPr>
        <w:t>Ass(e₁,e₂,e₄) = (e₁e₂)e₄ − e₁(e₂e₄) = e₇ − (−e₇) = 2e₇ ≠ 0,</w:t>
      </w:r>
    </w:p>
    <w:p>
      <w:pPr>
        <w:widowControl/>
      </w:pPr>
      <w:r>
        <w:t>но альтернативность даёт Ass(x,x,y)=Ass(y,x,x)=0 и, в частности, Ass(x,x,x)=0. Этот пример является сертификатом против диагонального восстановления.</w:t>
      </w:r>
    </w:p>
    <w:tbl>
      <w:tblPr>
        <w:tblW w:type="auto" w:w="0"/>
        <w:jc w:val="center"/>
        <w:tblLayout w:type="fixed"/>
        <w:tblLook w:firstColumn="1" w:firstRow="1" w:lastColumn="0" w:lastRow="0" w:noHBand="0" w:noVBand="1" w:val="04A0"/>
      </w:tblPr>
      <w:tblGrid>
        <w:gridCol w:w="1625"/>
        <w:gridCol w:w="1625"/>
        <w:gridCol w:w="1625"/>
        <w:gridCol w:w="1625"/>
        <w:gridCol w:w="1625"/>
        <w:gridCol w:w="1625"/>
      </w:tblGrid>
      <w:tr>
        <w:trPr>
          <w:tblHeader w:val="true"/>
        </w:trPr>
        <w:tc>
          <w:tcPr>
            <w:tcW w:type="dxa" w:w="1247"/>
            <w:shd w:fill="DCE7F2"/>
            <w:tcMar>
              <w:top w:w="90" w:type="dxa"/>
              <w:start w:w="100" w:type="dxa"/>
              <w:bottom w:w="90" w:type="dxa"/>
              <w:end w:w="100" w:type="dxa"/>
            </w:tcMar>
            <w:vAlign w:val="center"/>
          </w:tcPr>
          <w:p>
            <w:pPr>
              <w:jc w:val="center"/>
            </w:pPr>
            <w:r>
              <w:rPr>
                <w:b/>
                <w:sz w:val="16"/>
              </w:rPr>
              <w:t>Модель</w:t>
            </w:r>
          </w:p>
        </w:tc>
        <w:tc>
          <w:tcPr>
            <w:tcW w:type="dxa" w:w="1020"/>
            <w:shd w:fill="DCE7F2"/>
            <w:tcMar>
              <w:top w:w="90" w:type="dxa"/>
              <w:start w:w="100" w:type="dxa"/>
              <w:bottom w:w="90" w:type="dxa"/>
              <w:end w:w="100" w:type="dxa"/>
            </w:tcMar>
            <w:vAlign w:val="center"/>
          </w:tcPr>
          <w:p>
            <w:pPr>
              <w:jc w:val="center"/>
            </w:pPr>
            <w:r>
              <w:rPr>
                <w:b/>
                <w:sz w:val="16"/>
              </w:rPr>
              <w:t>rank Ass</w:t>
            </w:r>
          </w:p>
        </w:tc>
        <w:tc>
          <w:tcPr>
            <w:tcW w:type="dxa" w:w="1871"/>
            <w:shd w:fill="DCE7F2"/>
            <w:tcMar>
              <w:top w:w="90" w:type="dxa"/>
              <w:start w:w="100" w:type="dxa"/>
              <w:bottom w:w="90" w:type="dxa"/>
              <w:end w:w="100" w:type="dxa"/>
            </w:tcMar>
            <w:vAlign w:val="center"/>
          </w:tcPr>
          <w:p>
            <w:pPr>
              <w:jc w:val="center"/>
            </w:pPr>
            <w:r>
              <w:rPr>
                <w:b/>
                <w:sz w:val="16"/>
              </w:rPr>
              <w:t>N_l/N_m/N_r</w:t>
            </w:r>
          </w:p>
        </w:tc>
        <w:tc>
          <w:tcPr>
            <w:tcW w:type="dxa" w:w="850"/>
            <w:shd w:fill="DCE7F2"/>
            <w:tcMar>
              <w:top w:w="90" w:type="dxa"/>
              <w:start w:w="100" w:type="dxa"/>
              <w:bottom w:w="90" w:type="dxa"/>
              <w:end w:w="100" w:type="dxa"/>
            </w:tcMar>
            <w:vAlign w:val="center"/>
          </w:tcPr>
          <w:p>
            <w:pPr>
              <w:jc w:val="center"/>
            </w:pPr>
            <w:r>
              <w:rPr>
                <w:b/>
                <w:sz w:val="16"/>
              </w:rPr>
              <w:t>Z</w:t>
            </w:r>
          </w:p>
        </w:tc>
        <w:tc>
          <w:tcPr>
            <w:tcW w:type="dxa" w:w="1247"/>
            <w:shd w:fill="DCE7F2"/>
            <w:tcMar>
              <w:top w:w="90" w:type="dxa"/>
              <w:start w:w="100" w:type="dxa"/>
              <w:bottom w:w="90" w:type="dxa"/>
              <w:end w:w="100" w:type="dxa"/>
            </w:tcMar>
            <w:vAlign w:val="center"/>
          </w:tcPr>
          <w:p>
            <w:pPr>
              <w:jc w:val="center"/>
            </w:pPr>
            <w:r>
              <w:rPr>
                <w:b/>
                <w:sz w:val="16"/>
              </w:rPr>
              <w:t>J_Ass</w:t>
            </w:r>
          </w:p>
        </w:tc>
        <w:tc>
          <w:tcPr>
            <w:tcW w:type="dxa" w:w="2835"/>
            <w:shd w:fill="DCE7F2"/>
            <w:tcMar>
              <w:top w:w="90" w:type="dxa"/>
              <w:start w:w="100" w:type="dxa"/>
              <w:bottom w:w="90" w:type="dxa"/>
              <w:end w:w="100" w:type="dxa"/>
            </w:tcMar>
            <w:vAlign w:val="center"/>
          </w:tcPr>
          <w:p>
            <w:pPr>
              <w:jc w:val="center"/>
            </w:pPr>
            <w:r>
              <w:rPr>
                <w:b/>
                <w:sz w:val="16"/>
              </w:rPr>
              <w:t>Роль</w:t>
            </w:r>
          </w:p>
        </w:tc>
      </w:tr>
      <w:tr>
        <w:tc>
          <w:tcPr>
            <w:tcW w:type="dxa" w:w="1247"/>
            <w:tcMar>
              <w:top w:w="90" w:type="dxa"/>
              <w:start w:w="100" w:type="dxa"/>
              <w:bottom w:w="90" w:type="dxa"/>
              <w:end w:w="100" w:type="dxa"/>
            </w:tcMar>
            <w:vAlign w:val="center"/>
          </w:tcPr>
          <w:p>
            <w:pPr>
              <w:spacing w:after="0"/>
              <w:jc w:val="center"/>
            </w:pPr>
            <w:r>
              <w:rPr>
                <w:sz w:val="16"/>
              </w:rPr>
              <w:t>M₂(𝕂)</w:t>
            </w:r>
          </w:p>
        </w:tc>
        <w:tc>
          <w:tcPr>
            <w:tcW w:type="dxa" w:w="1020"/>
            <w:tcMar>
              <w:top w:w="90" w:type="dxa"/>
              <w:start w:w="100" w:type="dxa"/>
              <w:bottom w:w="90" w:type="dxa"/>
              <w:end w:w="100" w:type="dxa"/>
            </w:tcMar>
            <w:vAlign w:val="center"/>
          </w:tcPr>
          <w:p>
            <w:pPr>
              <w:spacing w:after="0"/>
            </w:pPr>
            <w:r>
              <w:rPr>
                <w:sz w:val="16"/>
              </w:rPr>
              <w:t>0</w:t>
            </w:r>
          </w:p>
        </w:tc>
        <w:tc>
          <w:tcPr>
            <w:tcW w:type="dxa" w:w="1871"/>
            <w:tcMar>
              <w:top w:w="90" w:type="dxa"/>
              <w:start w:w="100" w:type="dxa"/>
              <w:bottom w:w="90" w:type="dxa"/>
              <w:end w:w="100" w:type="dxa"/>
            </w:tcMar>
            <w:vAlign w:val="center"/>
          </w:tcPr>
          <w:p>
            <w:pPr>
              <w:spacing w:after="0"/>
            </w:pPr>
            <w:r>
              <w:rPr>
                <w:sz w:val="16"/>
              </w:rPr>
              <w:t>вся алгебра</w:t>
            </w:r>
          </w:p>
        </w:tc>
        <w:tc>
          <w:tcPr>
            <w:tcW w:type="dxa" w:w="850"/>
            <w:tcMar>
              <w:top w:w="90" w:type="dxa"/>
              <w:start w:w="100" w:type="dxa"/>
              <w:bottom w:w="90" w:type="dxa"/>
              <w:end w:w="100" w:type="dxa"/>
            </w:tcMar>
            <w:vAlign w:val="center"/>
          </w:tcPr>
          <w:p>
            <w:pPr>
              <w:spacing w:after="0"/>
            </w:pPr>
            <w:r>
              <w:rPr>
                <w:sz w:val="16"/>
              </w:rPr>
              <w:t>𝕂·I</w:t>
            </w:r>
          </w:p>
        </w:tc>
        <w:tc>
          <w:tcPr>
            <w:tcW w:type="dxa" w:w="1247"/>
            <w:tcMar>
              <w:top w:w="90" w:type="dxa"/>
              <w:start w:w="100" w:type="dxa"/>
              <w:bottom w:w="90" w:type="dxa"/>
              <w:end w:w="100" w:type="dxa"/>
            </w:tcMar>
            <w:vAlign w:val="center"/>
          </w:tcPr>
          <w:p>
            <w:pPr>
              <w:spacing w:after="0"/>
            </w:pPr>
            <w:r>
              <w:rPr>
                <w:sz w:val="16"/>
              </w:rPr>
              <w:t>0</w:t>
            </w:r>
          </w:p>
        </w:tc>
        <w:tc>
          <w:tcPr>
            <w:tcW w:type="dxa" w:w="2835"/>
            <w:tcMar>
              <w:top w:w="90" w:type="dxa"/>
              <w:start w:w="100" w:type="dxa"/>
              <w:bottom w:w="90" w:type="dxa"/>
              <w:end w:w="100" w:type="dxa"/>
            </w:tcMar>
            <w:vAlign w:val="center"/>
          </w:tcPr>
          <w:p>
            <w:pPr>
              <w:spacing w:after="0"/>
            </w:pPr>
            <w:r>
              <w:rPr>
                <w:sz w:val="16"/>
              </w:rPr>
              <w:t>ассоциативный нулевой контроль</w:t>
            </w:r>
          </w:p>
        </w:tc>
      </w:tr>
      <w:tr>
        <w:tc>
          <w:tcPr>
            <w:tcW w:type="dxa" w:w="1247"/>
            <w:tcMar>
              <w:top w:w="90" w:type="dxa"/>
              <w:start w:w="100" w:type="dxa"/>
              <w:bottom w:w="90" w:type="dxa"/>
              <w:end w:w="100" w:type="dxa"/>
            </w:tcMar>
            <w:vAlign w:val="center"/>
          </w:tcPr>
          <w:p>
            <w:pPr>
              <w:spacing w:after="0"/>
              <w:jc w:val="center"/>
            </w:pPr>
            <w:r>
              <w:rPr>
                <w:sz w:val="16"/>
              </w:rPr>
              <w:t>𝒜₂</w:t>
            </w:r>
          </w:p>
        </w:tc>
        <w:tc>
          <w:tcPr>
            <w:tcW w:type="dxa" w:w="1020"/>
            <w:tcMar>
              <w:top w:w="90" w:type="dxa"/>
              <w:start w:w="100" w:type="dxa"/>
              <w:bottom w:w="90" w:type="dxa"/>
              <w:end w:w="100" w:type="dxa"/>
            </w:tcMar>
            <w:vAlign w:val="center"/>
          </w:tcPr>
          <w:p>
            <w:pPr>
              <w:spacing w:after="0"/>
            </w:pPr>
            <w:r>
              <w:rPr>
                <w:sz w:val="16"/>
              </w:rPr>
              <w:t>&gt;0</w:t>
            </w:r>
          </w:p>
        </w:tc>
        <w:tc>
          <w:tcPr>
            <w:tcW w:type="dxa" w:w="1871"/>
            <w:tcMar>
              <w:top w:w="90" w:type="dxa"/>
              <w:start w:w="100" w:type="dxa"/>
              <w:bottom w:w="90" w:type="dxa"/>
              <w:end w:w="100" w:type="dxa"/>
            </w:tcMar>
            <w:vAlign w:val="center"/>
          </w:tcPr>
          <w:p>
            <w:pPr>
              <w:spacing w:after="0"/>
            </w:pPr>
            <w:r>
              <w:rPr>
                <w:sz w:val="16"/>
              </w:rPr>
              <w:t>1 / 0 / 0</w:t>
            </w:r>
          </w:p>
        </w:tc>
        <w:tc>
          <w:tcPr>
            <w:tcW w:type="dxa" w:w="850"/>
            <w:tcMar>
              <w:top w:w="90" w:type="dxa"/>
              <w:start w:w="100" w:type="dxa"/>
              <w:bottom w:w="90" w:type="dxa"/>
              <w:end w:w="100" w:type="dxa"/>
            </w:tcMar>
            <w:vAlign w:val="center"/>
          </w:tcPr>
          <w:p>
            <w:pPr>
              <w:spacing w:after="0"/>
            </w:pPr>
            <w:r>
              <w:rPr>
                <w:sz w:val="16"/>
              </w:rPr>
              <w:t>0</w:t>
            </w:r>
          </w:p>
        </w:tc>
        <w:tc>
          <w:tcPr>
            <w:tcW w:type="dxa" w:w="1247"/>
            <w:tcMar>
              <w:top w:w="90" w:type="dxa"/>
              <w:start w:w="100" w:type="dxa"/>
              <w:bottom w:w="90" w:type="dxa"/>
              <w:end w:w="100" w:type="dxa"/>
            </w:tcMar>
            <w:vAlign w:val="center"/>
          </w:tcPr>
          <w:p>
            <w:pPr>
              <w:spacing w:after="0"/>
            </w:pPr>
            <w:r>
              <w:rPr>
                <w:sz w:val="16"/>
              </w:rPr>
              <w:t>𝒜₂</w:t>
            </w:r>
          </w:p>
        </w:tc>
        <w:tc>
          <w:tcPr>
            <w:tcW w:type="dxa" w:w="2835"/>
            <w:tcMar>
              <w:top w:w="90" w:type="dxa"/>
              <w:start w:w="100" w:type="dxa"/>
              <w:bottom w:w="90" w:type="dxa"/>
              <w:end w:w="100" w:type="dxa"/>
            </w:tcMar>
            <w:vAlign w:val="center"/>
          </w:tcPr>
          <w:p>
            <w:pPr>
              <w:spacing w:after="0"/>
            </w:pPr>
            <w:r>
              <w:rPr>
                <w:sz w:val="16"/>
              </w:rPr>
              <w:t>явное полное разрушение ассоциативного отражения</w:t>
            </w:r>
          </w:p>
        </w:tc>
      </w:tr>
      <w:tr>
        <w:tc>
          <w:tcPr>
            <w:tcW w:type="dxa" w:w="1247"/>
            <w:tcMar>
              <w:top w:w="90" w:type="dxa"/>
              <w:start w:w="100" w:type="dxa"/>
              <w:bottom w:w="90" w:type="dxa"/>
              <w:end w:w="100" w:type="dxa"/>
            </w:tcMar>
            <w:vAlign w:val="center"/>
          </w:tcPr>
          <w:p>
            <w:pPr>
              <w:spacing w:after="0"/>
              <w:jc w:val="center"/>
            </w:pPr>
            <w:r>
              <w:rPr>
                <w:sz w:val="16"/>
              </w:rPr>
              <w:t>𝕆</w:t>
            </w:r>
          </w:p>
        </w:tc>
        <w:tc>
          <w:tcPr>
            <w:tcW w:type="dxa" w:w="1020"/>
            <w:tcMar>
              <w:top w:w="90" w:type="dxa"/>
              <w:start w:w="100" w:type="dxa"/>
              <w:bottom w:w="90" w:type="dxa"/>
              <w:end w:w="100" w:type="dxa"/>
            </w:tcMar>
            <w:vAlign w:val="center"/>
          </w:tcPr>
          <w:p>
            <w:pPr>
              <w:spacing w:after="0"/>
            </w:pPr>
            <w:r>
              <w:rPr>
                <w:sz w:val="16"/>
              </w:rPr>
              <w:t>&gt;0</w:t>
            </w:r>
          </w:p>
        </w:tc>
        <w:tc>
          <w:tcPr>
            <w:tcW w:type="dxa" w:w="1871"/>
            <w:tcMar>
              <w:top w:w="90" w:type="dxa"/>
              <w:start w:w="100" w:type="dxa"/>
              <w:bottom w:w="90" w:type="dxa"/>
              <w:end w:w="100" w:type="dxa"/>
            </w:tcMar>
            <w:vAlign w:val="center"/>
          </w:tcPr>
          <w:p>
            <w:pPr>
              <w:spacing w:after="0"/>
            </w:pPr>
            <w:r>
              <w:rPr>
                <w:sz w:val="16"/>
              </w:rPr>
              <w:t>𝕂 / 𝕂 / 𝕂</w:t>
            </w:r>
          </w:p>
        </w:tc>
        <w:tc>
          <w:tcPr>
            <w:tcW w:type="dxa" w:w="850"/>
            <w:tcMar>
              <w:top w:w="90" w:type="dxa"/>
              <w:start w:w="100" w:type="dxa"/>
              <w:bottom w:w="90" w:type="dxa"/>
              <w:end w:w="100" w:type="dxa"/>
            </w:tcMar>
            <w:vAlign w:val="center"/>
          </w:tcPr>
          <w:p>
            <w:pPr>
              <w:spacing w:after="0"/>
            </w:pPr>
            <w:r>
              <w:rPr>
                <w:sz w:val="16"/>
              </w:rPr>
              <w:t>𝕂</w:t>
            </w:r>
          </w:p>
        </w:tc>
        <w:tc>
          <w:tcPr>
            <w:tcW w:type="dxa" w:w="1247"/>
            <w:tcMar>
              <w:top w:w="90" w:type="dxa"/>
              <w:start w:w="100" w:type="dxa"/>
              <w:bottom w:w="90" w:type="dxa"/>
              <w:end w:w="100" w:type="dxa"/>
            </w:tcMar>
            <w:vAlign w:val="center"/>
          </w:tcPr>
          <w:p>
            <w:pPr>
              <w:spacing w:after="0"/>
            </w:pPr>
            <w:r>
              <w:rPr>
                <w:sz w:val="16"/>
              </w:rPr>
              <w:t>не фиксируется здесь</w:t>
            </w:r>
          </w:p>
        </w:tc>
        <w:tc>
          <w:tcPr>
            <w:tcW w:type="dxa" w:w="2835"/>
            <w:tcMar>
              <w:top w:w="90" w:type="dxa"/>
              <w:start w:w="100" w:type="dxa"/>
              <w:bottom w:w="90" w:type="dxa"/>
              <w:end w:w="100" w:type="dxa"/>
            </w:tcMar>
            <w:vAlign w:val="center"/>
          </w:tcPr>
          <w:p>
            <w:pPr>
              <w:spacing w:after="0"/>
            </w:pPr>
            <w:r>
              <w:rPr>
                <w:sz w:val="16"/>
              </w:rPr>
              <w:t>контрпример к диагональному кодированию</w:t>
            </w:r>
          </w:p>
        </w:tc>
      </w:tr>
    </w:tbl>
    <w:p>
      <w:pPr>
        <w:widowControl/>
        <w:spacing w:after="40"/>
      </w:pPr>
    </w:p>
    <w:p>
      <w:pPr>
        <w:pStyle w:val="Heading2"/>
        <w:widowControl/>
        <w:keepNext/>
      </w:pPr>
      <w:r>
        <w:rPr>
          <w:rFonts w:ascii="Liberation Sans" w:hAnsi="Liberation Sans" w:eastAsia="Liberation Sans"/>
          <w:b/>
          <w:color w:val="2F5597"/>
          <w:sz w:val="26"/>
        </w:rPr>
        <w:t>19.7. Ассоциаторный инвариантный профиль</w:t>
      </w:r>
    </w:p>
    <w:p>
      <w:pPr>
        <w:widowControl/>
      </w:pPr>
      <w:r>
        <w:rPr>
          <w:b/>
          <w:color w:val="1B3F60"/>
        </w:rPr>
        <w:t xml:space="preserve">Определение 5.15 (DEF-A). Основной профиль. </w:t>
      </w:r>
      <w:r>
        <w:t>Для конечномерной алгебры определим Prof_Ass(𝒜)=(n,r_Ass,n_l,n_m,n_r,n_N,n_Z), где n=dim𝒜, r_Ass=rank(Ass:𝒜^{⊗3}→𝒜), а остальные координаты являются размерностями трёх ядер, их пересечения и центра. Расширенный профиль добавляет dim J_Ass и ранги выбранных квадратичных каналов.</w:t>
      </w:r>
    </w:p>
    <w:p>
      <w:pPr>
        <w:keepNext/>
        <w:widowControl/>
      </w:pPr>
      <w:r>
        <w:rPr>
          <w:b/>
          <w:color w:val="1B3F60"/>
        </w:rPr>
        <w:t xml:space="preserve">Теорема 5.16 (THM). Изоморфная инвариантность профиля. </w:t>
      </w:r>
      <w:r>
        <w:t>Если Φ:𝒜→ℬ — изоморфизм алгебр, то Prof_Ass(𝒜)=Prof_Ass(ℬ).</w:t>
      </w:r>
    </w:p>
    <w:p>
      <w:pPr>
        <w:widowControl/>
      </w:pPr>
      <w:r>
        <w:rPr>
          <w:b/>
        </w:rPr>
        <w:t xml:space="preserve">Доказательство. </w:t>
      </w:r>
      <w:r>
        <w:t>Из равенства Φ(Ass_𝒜(a,b,c))=Ass_ℬ(Φa,Φb,Φc) следует сопряжённость соответствующих линейных карт. Ранги сохраняются, а Φ взаимно однозначно переносит N_l,N_m,N_r,N,Z.</w:t>
      </w:r>
    </w:p>
    <w:p>
      <w:pPr>
        <w:widowControl/>
      </w:pPr>
      <w:r>
        <w:rPr>
          <w:b/>
          <w:color w:val="1B3F60"/>
        </w:rPr>
        <w:t xml:space="preserve">Определение 5.17 (DEF-A). Псевдодистанция профилей. </w:t>
      </w:r>
      <w:r>
        <w:t>Для весов w_j≥0 полагаем d_prof(𝒜,ℬ)=Σ_j w_j|p_j(𝒜)−p_j(ℬ)|. Это грубая изоморфно-инвариантная диагностика, но не полный классификатор: d_prof=0 не влечёт изоморфизм.</w:t>
      </w:r>
    </w:p>
    <w:p>
      <w:pPr>
        <w:pStyle w:val="Heading2"/>
        <w:widowControl/>
        <w:keepNext/>
      </w:pPr>
      <w:r>
        <w:rPr>
          <w:rFonts w:ascii="Liberation Sans" w:hAnsi="Liberation Sans" w:eastAsia="Liberation Sans"/>
          <w:b/>
          <w:color w:val="2F5597"/>
          <w:sz w:val="26"/>
        </w:rPr>
        <w:t>19.8. Детерминантный горизонт структурных переходов</w:t>
      </w:r>
    </w:p>
    <w:tbl>
      <w:tblPr>
        <w:tblW w:type="auto" w:w="0"/>
        <w:jc w:val="center"/>
        <w:tblLayout w:type="fixed"/>
        <w:tblLook w:firstColumn="1" w:firstRow="1" w:lastColumn="0" w:lastRow="0" w:noHBand="0" w:noVBand="1" w:val="04A0"/>
      </w:tblPr>
      <w:tblGrid>
        <w:gridCol w:w="9752"/>
      </w:tblGrid>
      <w:tr>
        <w:tc>
          <w:tcPr>
            <w:tcW w:type="dxa" w:w="9071"/>
            <w:shd w:fill="E8F0F8"/>
            <w:tcMar>
              <w:top w:w="140" w:type="dxa"/>
              <w:start w:w="180" w:type="dxa"/>
              <w:bottom w:w="140" w:type="dxa"/>
              <w:end w:w="180" w:type="dxa"/>
            </w:tcMar>
          </w:tcPr>
          <w:p>
            <w:pPr>
              <w:spacing w:after="80"/>
            </w:pPr>
            <w:r>
              <w:rPr>
                <w:b/>
                <w:color w:val="1F4468"/>
                <w:sz w:val="21"/>
              </w:rPr>
              <w:t>ОНТОЛОГИЧЕСКИЙ БЛОК</w:t>
            </w:r>
          </w:p>
          <w:p>
            <w:pPr>
              <w:spacing w:after="0"/>
            </w:pPr>
            <w:r>
              <w:rPr>
                <w:sz w:val="19"/>
              </w:rPr>
              <w:t>Структурное изменение не обязано быть видимым в значениях отдельных коэффициентов. Оно становится математически фиксируемым в тот момент, когда меняется ранг тензора, размер ядра или центра. Такие изменения не могут происходить произвольно: они локализованы нулями определителей.</w:t>
            </w:r>
          </w:p>
        </w:tc>
      </w:tr>
    </w:tbl>
    <w:p>
      <w:pPr>
        <w:widowControl/>
        <w:spacing w:after="20"/>
      </w:pPr>
    </w:p>
    <w:p>
      <w:pPr>
        <w:widowControl/>
      </w:pPr>
      <w:r>
        <w:rPr>
          <w:b/>
          <w:color w:val="1B3F60"/>
        </w:rPr>
        <w:t xml:space="preserve">Определение 5.18 (DEF-A). Полиномиальная семья алгебр. </w:t>
      </w:r>
      <w:r>
        <w:t>Пусть V — n-мерное пространство, T — неприводимое алгебраическое многообразие параметров и μ_t∈Hom(V⊗V,V) имеет структурные константы, полиномиальные по t. Обозначим через A_t, L_t, M_t, R_t и C_t матрицы ассоциатора, трёх ядер и коммутаторного канала.</w:t>
      </w:r>
    </w:p>
    <w:p>
      <w:pPr>
        <w:widowControl/>
      </w:pPr>
      <w:r>
        <w:rPr>
          <w:b/>
          <w:color w:val="1B3F60"/>
        </w:rPr>
        <w:t xml:space="preserve">Определение 5.19 (DEF-A). Детерминантный горизонт. </w:t>
      </w:r>
      <w:r>
        <w:t>Δ_NAPG — объединение детерминантных локусов, на которых ранг хотя бы одной из матриц A_t,L_t,M_t,R_t, блочной матрицы nucleus N_t=(L_t,M_t,R_t) или блочной матрицы центра Z_t=(L_t,M_t,R_t,C_t) меньше её общего ранга на непустом открытом подмножестве T.</w:t>
      </w:r>
    </w:p>
    <w:p>
      <w:pPr>
        <w:keepNext/>
        <w:widowControl/>
      </w:pPr>
      <w:r>
        <w:rPr>
          <w:b/>
          <w:color w:val="1B3F60"/>
        </w:rPr>
        <w:t xml:space="preserve">Теорема 5.20 (THM). Локализация структурных переходов. </w:t>
      </w:r>
      <w:r>
        <w:t>На непустом Zariski-открытом множестве T°=T∖Δ_NAPG основной профиль Prof_Ass(𝒜_t) постоянен. В частности, вдоль непрерывного пути γ, лежащего в одной связной компоненте T°, профиль не меняется. Любое изменение профиля требует пересечения Δ_NAPG.</w:t>
      </w:r>
    </w:p>
    <w:p>
      <w:pPr>
        <w:widowControl/>
      </w:pPr>
      <w:r>
        <w:rPr>
          <w:b/>
        </w:rPr>
        <w:t xml:space="preserve">Доказательство. </w:t>
      </w:r>
      <w:r>
        <w:t>Элементы указанных матриц полиномиальны по t. Условие rank≤r задаётся обращением в нуль всех миноров порядка r+1. Общий ранг каждой матрицы достигается на непустом Zariski-открытом множестве. После удаления объединения соответствующих детерминантных локусов все ранги постоянны. Размерности трёх ядер, nucleus и центра равны n минус ранги соответствующих линейных или блочных карт. Следовательно, все координаты Prof_Ass постоянны.</w:t>
      </w:r>
    </w:p>
    <w:p>
      <w:pPr>
        <w:keepNext/>
        <w:widowControl/>
      </w:pPr>
      <w:r>
        <w:rPr>
          <w:b/>
          <w:color w:val="1B3F60"/>
        </w:rPr>
        <w:t xml:space="preserve">Следствие 5.21 (THM). Теорема отрицательного прогноза. </w:t>
      </w:r>
      <w:r>
        <w:t>Если γ([t₀,t₁])∩Δ_NAPG=∅, то в модели на всём интервале исключено изменение основного ассоциаторного профиля.</w:t>
      </w:r>
    </w:p>
    <w:p>
      <w:pPr>
        <w:widowControl/>
      </w:pPr>
      <w:r>
        <w:rPr>
          <w:b/>
        </w:rPr>
        <w:t xml:space="preserve">Доказательство. </w:t>
      </w:r>
      <w:r>
        <w:t>Это непосредственное следствие Теоремы 5.20. Утверждение является точным внутри заданной семьи μ_t и не переносится автоматически на физические системы.</w:t>
      </w:r>
    </w:p>
    <w:p>
      <w:pPr>
        <w:widowControl/>
        <w:jc w:val="center"/>
      </w:pPr>
      <w:r>
        <w:drawing>
          <wp:inline xmlns:a="http://schemas.openxmlformats.org/drawingml/2006/main" xmlns:pic="http://schemas.openxmlformats.org/drawingml/2006/picture">
            <wp:extent cx="5580000" cy="2604897"/>
            <wp:docPr id="11" name="Picture 11"/>
            <wp:cNvGraphicFramePr>
              <a:graphicFrameLocks noChangeAspect="1"/>
            </wp:cNvGraphicFramePr>
            <a:graphic>
              <a:graphicData uri="http://schemas.openxmlformats.org/drawingml/2006/picture">
                <pic:pic>
                  <pic:nvPicPr>
                    <pic:cNvPr id="0" name="horizon.png"/>
                    <pic:cNvPicPr/>
                  </pic:nvPicPr>
                  <pic:blipFill>
                    <a:blip r:embed="rId23"/>
                    <a:stretch>
                      <a:fillRect/>
                    </a:stretch>
                  </pic:blipFill>
                  <pic:spPr>
                    <a:xfrm>
                      <a:off x="0" y="0"/>
                      <a:ext cx="5580000" cy="2604897"/>
                    </a:xfrm>
                    <a:prstGeom prst="rect"/>
                  </pic:spPr>
                </pic:pic>
              </a:graphicData>
            </a:graphic>
          </wp:inline>
        </w:drawing>
      </w:r>
    </w:p>
    <w:p>
      <w:pPr>
        <w:pStyle w:val="Caption"/>
        <w:keepNext/>
        <w:widowControl/>
        <w:jc w:val="center"/>
      </w:pPr>
      <w:r>
        <w:t>Рисунок 7. Детерминантный горизонт возможных структурных переходов. Собственная схема Тома II.</w:t>
      </w:r>
    </w:p>
    <w:p>
      <w:pPr>
        <w:pStyle w:val="Heading2"/>
        <w:widowControl/>
        <w:keepNext/>
      </w:pPr>
      <w:r>
        <w:rPr>
          <w:rFonts w:ascii="Liberation Sans" w:hAnsi="Liberation Sans" w:eastAsia="Liberation Sans"/>
          <w:b/>
          <w:color w:val="2F5597"/>
          <w:sz w:val="26"/>
        </w:rPr>
        <w:t>19.9. Проективно-гармоническая локализация кандидатов</w:t>
      </w:r>
    </w:p>
    <w:p>
      <w:pPr>
        <w:widowControl/>
      </w:pPr>
      <w:r>
        <w:rPr>
          <w:b/>
          <w:color w:val="1B3F60"/>
        </w:rPr>
        <w:t xml:space="preserve">Определение 5.22 (DEF-A). Прогнозный горизонт вдоль пути. </w:t>
      </w:r>
      <w:r>
        <w:t>Для наблюдаемого параметра t₀ и пути γ:[t₀,t₁]→T полагаем Hor_Ass(γ)=γ^{-1}(Δ_NAPG). Это множество моментов параметрического времени, в которых структурный переход не исключён детерминантной теоремой.</w:t>
      </w:r>
    </w:p>
    <w:p>
      <w:pPr>
        <w:widowControl/>
      </w:pPr>
      <w:r>
        <w:rPr>
          <w:b/>
          <w:color w:val="1B3F60"/>
        </w:rPr>
        <w:t xml:space="preserve">Определение 5.23 (DEF-A). Гармонический кандидат перехода. </w:t>
      </w:r>
      <w:r>
        <w:t>Пусть параметрическая прямая компактифицирована до P¹(𝕂), а ρ=(r,i,u;d) — Reper с u∈Δ_NAPG. Кандидат называется гармоническим, если λ(u,i;r,d)=−1, Valid(D)=1, ρ∈Dom_λ и вычислительный сертификат миноров воспроизводим.</w:t>
      </w:r>
    </w:p>
    <w:p>
      <w:pPr>
        <w:widowControl/>
        <w:spacing w:before="80" w:after="120"/>
        <w:jc w:val="center"/>
      </w:pPr>
      <w:r>
        <w:rPr>
          <w:rFonts w:ascii="Cambria Math" w:hAnsi="Cambria Math" w:eastAsia="Cambria Math"/>
          <w:sz w:val="23"/>
        </w:rPr>
        <w:t>Cand_H = {ρ : u∈Δ_NAPG, λ(ρ)=−1, Valid(D)=1, Cert_det(u)=PASS}.</w:t>
      </w:r>
    </w:p>
    <w:p>
      <w:pPr>
        <w:widowControl/>
      </w:pPr>
      <w:r>
        <w:t>Три уровня статуса различаются жёстко:</w:t>
      </w:r>
    </w:p>
    <w:tbl>
      <w:tblPr>
        <w:tblW w:type="auto" w:w="0"/>
        <w:jc w:val="center"/>
        <w:tblLayout w:type="fixed"/>
        <w:tblLook w:firstColumn="1" w:firstRow="1" w:lastColumn="0" w:lastRow="0" w:noHBand="0" w:noVBand="1" w:val="04A0"/>
      </w:tblPr>
      <w:tblGrid>
        <w:gridCol w:w="3251"/>
        <w:gridCol w:w="3251"/>
        <w:gridCol w:w="3251"/>
      </w:tblGrid>
      <w:tr>
        <w:trPr>
          <w:tblHeader w:val="true"/>
        </w:trPr>
        <w:tc>
          <w:tcPr>
            <w:tcW w:type="dxa" w:w="1814"/>
            <w:shd w:fill="DCE7F2"/>
            <w:tcMar>
              <w:top w:w="90" w:type="dxa"/>
              <w:start w:w="100" w:type="dxa"/>
              <w:bottom w:w="90" w:type="dxa"/>
              <w:end w:w="100" w:type="dxa"/>
            </w:tcMar>
            <w:vAlign w:val="center"/>
          </w:tcPr>
          <w:p>
            <w:pPr>
              <w:jc w:val="center"/>
            </w:pPr>
            <w:r>
              <w:rPr>
                <w:b/>
                <w:sz w:val="17"/>
              </w:rPr>
              <w:t>Уровень</w:t>
            </w:r>
          </w:p>
        </w:tc>
        <w:tc>
          <w:tcPr>
            <w:tcW w:type="dxa" w:w="3175"/>
            <w:shd w:fill="DCE7F2"/>
            <w:tcMar>
              <w:top w:w="90" w:type="dxa"/>
              <w:start w:w="100" w:type="dxa"/>
              <w:bottom w:w="90" w:type="dxa"/>
              <w:end w:w="100" w:type="dxa"/>
            </w:tcMar>
            <w:vAlign w:val="center"/>
          </w:tcPr>
          <w:p>
            <w:pPr>
              <w:jc w:val="center"/>
            </w:pPr>
            <w:r>
              <w:rPr>
                <w:b/>
                <w:sz w:val="17"/>
              </w:rPr>
              <w:t>Условие</w:t>
            </w:r>
          </w:p>
        </w:tc>
        <w:tc>
          <w:tcPr>
            <w:tcW w:type="dxa" w:w="3969"/>
            <w:shd w:fill="DCE7F2"/>
            <w:tcMar>
              <w:top w:w="90" w:type="dxa"/>
              <w:start w:w="100" w:type="dxa"/>
              <w:bottom w:w="90" w:type="dxa"/>
              <w:end w:w="100" w:type="dxa"/>
            </w:tcMar>
            <w:vAlign w:val="center"/>
          </w:tcPr>
          <w:p>
            <w:pPr>
              <w:jc w:val="center"/>
            </w:pPr>
            <w:r>
              <w:rPr>
                <w:b/>
                <w:sz w:val="17"/>
              </w:rPr>
              <w:t>Разрешённый вывод</w:t>
            </w:r>
          </w:p>
        </w:tc>
      </w:tr>
      <w:tr>
        <w:tc>
          <w:tcPr>
            <w:tcW w:type="dxa" w:w="1814"/>
            <w:tcMar>
              <w:top w:w="90" w:type="dxa"/>
              <w:start w:w="100" w:type="dxa"/>
              <w:bottom w:w="90" w:type="dxa"/>
              <w:end w:w="100" w:type="dxa"/>
            </w:tcMar>
            <w:vAlign w:val="center"/>
          </w:tcPr>
          <w:p>
            <w:pPr>
              <w:spacing w:after="0"/>
              <w:jc w:val="center"/>
            </w:pPr>
            <w:r>
              <w:rPr>
                <w:sz w:val="17"/>
              </w:rPr>
              <w:t>Алгебраический локус</w:t>
            </w:r>
          </w:p>
        </w:tc>
        <w:tc>
          <w:tcPr>
            <w:tcW w:type="dxa" w:w="3175"/>
            <w:tcMar>
              <w:top w:w="90" w:type="dxa"/>
              <w:start w:w="100" w:type="dxa"/>
              <w:bottom w:w="90" w:type="dxa"/>
              <w:end w:w="100" w:type="dxa"/>
            </w:tcMar>
            <w:vAlign w:val="center"/>
          </w:tcPr>
          <w:p>
            <w:pPr>
              <w:spacing w:after="0"/>
            </w:pPr>
            <w:r>
              <w:rPr>
                <w:sz w:val="17"/>
              </w:rPr>
              <w:t>u∈Δ_NAPG</w:t>
            </w:r>
          </w:p>
        </w:tc>
        <w:tc>
          <w:tcPr>
            <w:tcW w:type="dxa" w:w="3969"/>
            <w:tcMar>
              <w:top w:w="90" w:type="dxa"/>
              <w:start w:w="100" w:type="dxa"/>
              <w:bottom w:w="90" w:type="dxa"/>
              <w:end w:w="100" w:type="dxa"/>
            </w:tcMar>
            <w:vAlign w:val="center"/>
          </w:tcPr>
          <w:p>
            <w:pPr>
              <w:spacing w:after="0"/>
            </w:pPr>
            <w:r>
              <w:rPr>
                <w:sz w:val="17"/>
              </w:rPr>
              <w:t>структурный переход не исключён</w:t>
            </w:r>
          </w:p>
        </w:tc>
      </w:tr>
      <w:tr>
        <w:tc>
          <w:tcPr>
            <w:tcW w:type="dxa" w:w="1814"/>
            <w:tcMar>
              <w:top w:w="90" w:type="dxa"/>
              <w:start w:w="100" w:type="dxa"/>
              <w:bottom w:w="90" w:type="dxa"/>
              <w:end w:w="100" w:type="dxa"/>
            </w:tcMar>
            <w:vAlign w:val="center"/>
          </w:tcPr>
          <w:p>
            <w:pPr>
              <w:spacing w:after="0"/>
              <w:jc w:val="center"/>
            </w:pPr>
            <w:r>
              <w:rPr>
                <w:sz w:val="17"/>
              </w:rPr>
              <w:t>Гармонический кандидат</w:t>
            </w:r>
          </w:p>
        </w:tc>
        <w:tc>
          <w:tcPr>
            <w:tcW w:type="dxa" w:w="3175"/>
            <w:tcMar>
              <w:top w:w="90" w:type="dxa"/>
              <w:start w:w="100" w:type="dxa"/>
              <w:bottom w:w="90" w:type="dxa"/>
              <w:end w:w="100" w:type="dxa"/>
            </w:tcMar>
            <w:vAlign w:val="center"/>
          </w:tcPr>
          <w:p>
            <w:pPr>
              <w:spacing w:after="0"/>
            </w:pPr>
            <w:r>
              <w:rPr>
                <w:sz w:val="17"/>
              </w:rPr>
              <w:t>u∈Δ_NAPG и λ=−1 с D/Dom</w:t>
            </w:r>
          </w:p>
        </w:tc>
        <w:tc>
          <w:tcPr>
            <w:tcW w:type="dxa" w:w="3969"/>
            <w:tcMar>
              <w:top w:w="90" w:type="dxa"/>
              <w:start w:w="100" w:type="dxa"/>
              <w:bottom w:w="90" w:type="dxa"/>
              <w:end w:w="100" w:type="dxa"/>
            </w:tcMar>
            <w:vAlign w:val="center"/>
          </w:tcPr>
          <w:p>
            <w:pPr>
              <w:spacing w:after="0"/>
            </w:pPr>
            <w:r>
              <w:rPr>
                <w:sz w:val="17"/>
              </w:rPr>
              <w:t>координатно-инвариантный кандидат для проверки</w:t>
            </w:r>
          </w:p>
        </w:tc>
      </w:tr>
      <w:tr>
        <w:tc>
          <w:tcPr>
            <w:tcW w:type="dxa" w:w="1814"/>
            <w:tcMar>
              <w:top w:w="90" w:type="dxa"/>
              <w:start w:w="100" w:type="dxa"/>
              <w:bottom w:w="90" w:type="dxa"/>
              <w:end w:w="100" w:type="dxa"/>
            </w:tcMar>
            <w:vAlign w:val="center"/>
          </w:tcPr>
          <w:p>
            <w:pPr>
              <w:spacing w:after="0"/>
              <w:jc w:val="center"/>
            </w:pPr>
            <w:r>
              <w:rPr>
                <w:sz w:val="17"/>
              </w:rPr>
              <w:t>Сертифицированный переход</w:t>
            </w:r>
          </w:p>
        </w:tc>
        <w:tc>
          <w:tcPr>
            <w:tcW w:type="dxa" w:w="3175"/>
            <w:tcMar>
              <w:top w:w="90" w:type="dxa"/>
              <w:start w:w="100" w:type="dxa"/>
              <w:bottom w:w="90" w:type="dxa"/>
              <w:end w:w="100" w:type="dxa"/>
            </w:tcMar>
            <w:vAlign w:val="center"/>
          </w:tcPr>
          <w:p>
            <w:pPr>
              <w:spacing w:after="0"/>
            </w:pPr>
            <w:r>
              <w:rPr>
                <w:sz w:val="17"/>
              </w:rPr>
              <w:t>односторонние профили различаются и вычисления воспроизводимы</w:t>
            </w:r>
          </w:p>
        </w:tc>
        <w:tc>
          <w:tcPr>
            <w:tcW w:type="dxa" w:w="3969"/>
            <w:tcMar>
              <w:top w:w="90" w:type="dxa"/>
              <w:start w:w="100" w:type="dxa"/>
              <w:bottom w:w="90" w:type="dxa"/>
              <w:end w:w="100" w:type="dxa"/>
            </w:tcMar>
            <w:vAlign w:val="center"/>
          </w:tcPr>
          <w:p>
            <w:pPr>
              <w:spacing w:after="0"/>
            </w:pPr>
            <w:r>
              <w:rPr>
                <w:sz w:val="17"/>
              </w:rPr>
              <w:t>в данной модели профиль действительно изменяется</w:t>
            </w:r>
          </w:p>
        </w:tc>
      </w:tr>
      <w:tr>
        <w:tc>
          <w:tcPr>
            <w:tcW w:type="dxa" w:w="1814"/>
            <w:tcMar>
              <w:top w:w="90" w:type="dxa"/>
              <w:start w:w="100" w:type="dxa"/>
              <w:bottom w:w="90" w:type="dxa"/>
              <w:end w:w="100" w:type="dxa"/>
            </w:tcMar>
            <w:vAlign w:val="center"/>
          </w:tcPr>
          <w:p>
            <w:pPr>
              <w:spacing w:after="0"/>
              <w:jc w:val="center"/>
            </w:pPr>
            <w:r>
              <w:rPr>
                <w:sz w:val="17"/>
              </w:rPr>
              <w:t>Физическое событие</w:t>
            </w:r>
          </w:p>
        </w:tc>
        <w:tc>
          <w:tcPr>
            <w:tcW w:type="dxa" w:w="3175"/>
            <w:tcMar>
              <w:top w:w="90" w:type="dxa"/>
              <w:start w:w="100" w:type="dxa"/>
              <w:bottom w:w="90" w:type="dxa"/>
              <w:end w:w="100" w:type="dxa"/>
            </w:tcMar>
            <w:vAlign w:val="center"/>
          </w:tcPr>
          <w:p>
            <w:pPr>
              <w:spacing w:after="0"/>
            </w:pPr>
            <w:r>
              <w:rPr>
                <w:sz w:val="17"/>
              </w:rPr>
              <w:t>независимые данные и операционализация</w:t>
            </w:r>
          </w:p>
        </w:tc>
        <w:tc>
          <w:tcPr>
            <w:tcW w:type="dxa" w:w="3969"/>
            <w:tcMar>
              <w:top w:w="90" w:type="dxa"/>
              <w:start w:w="100" w:type="dxa"/>
              <w:bottom w:w="90" w:type="dxa"/>
              <w:end w:w="100" w:type="dxa"/>
            </w:tcMar>
            <w:vAlign w:val="center"/>
          </w:tcPr>
          <w:p>
            <w:pPr>
              <w:spacing w:after="0"/>
            </w:pPr>
            <w:r>
              <w:rPr>
                <w:sz w:val="17"/>
              </w:rPr>
              <w:t>только после отдельного внешнего протокола</w:t>
            </w:r>
          </w:p>
        </w:tc>
      </w:tr>
    </w:tbl>
    <w:p>
      <w:pPr>
        <w:widowControl/>
        <w:spacing w:after="40"/>
      </w:pPr>
    </w:p>
    <w:p>
      <w:pPr>
        <w:keepNext/>
        <w:widowControl/>
      </w:pPr>
      <w:r>
        <w:rPr>
          <w:b/>
          <w:color w:val="1B3F60"/>
        </w:rPr>
        <w:t xml:space="preserve">Теорема 5.24 (THM). Проективная инвариантность гармонического кандидата. </w:t>
      </w:r>
      <w:r>
        <w:t>При проективной замене координаты параметрической прямой условие λ=−1 сохраняется, а детерминантный локус переносится изоморфизмом семейства. Поэтому Cand_H инвариантно при согласованной проективной репараметризации и переносе доказательного пакета D.</w:t>
      </w:r>
    </w:p>
    <w:p>
      <w:pPr>
        <w:widowControl/>
      </w:pPr>
      <w:r>
        <w:rPr>
          <w:b/>
        </w:rPr>
        <w:t xml:space="preserve">Доказательство. </w:t>
      </w:r>
      <w:r>
        <w:t>Кросс-соотношение проективно инвариантно. Матрицы структурных карт при изоморфном переносе сопряжены обратимыми матрицами, поэтому их ранги и детерминантные локусы сохраняются. Valid(D) переносится по отдельной гипотезе доказательной эквивалентности.</w:t>
      </w:r>
    </w:p>
    <w:tbl>
      <w:tblPr>
        <w:tblW w:type="auto" w:w="0"/>
        <w:jc w:val="center"/>
        <w:tblLayout w:type="fixed"/>
        <w:tblLook w:firstColumn="1" w:firstRow="1" w:lastColumn="0" w:lastRow="0" w:noHBand="0" w:noVBand="1" w:val="04A0"/>
      </w:tblPr>
      <w:tblGrid>
        <w:gridCol w:w="9752"/>
      </w:tblGrid>
      <w:tr>
        <w:tc>
          <w:tcPr>
            <w:tcW w:type="dxa" w:w="9071"/>
            <w:shd w:fill="F8E9E7"/>
            <w:tcMar>
              <w:top w:w="140" w:type="dxa"/>
              <w:start w:w="180" w:type="dxa"/>
              <w:bottom w:w="140" w:type="dxa"/>
              <w:end w:w="180" w:type="dxa"/>
            </w:tcMar>
          </w:tcPr>
          <w:p>
            <w:pPr>
              <w:spacing w:after="80"/>
            </w:pPr>
            <w:r>
              <w:rPr>
                <w:b/>
                <w:color w:val="1F4468"/>
                <w:sz w:val="21"/>
              </w:rPr>
              <w:t>ОГРАНИЧИТЕЛЬНЫЙ БЛОК</w:t>
            </w:r>
          </w:p>
          <w:p>
            <w:pPr>
              <w:spacing w:after="0"/>
            </w:pPr>
            <w:r>
              <w:rPr>
                <w:sz w:val="19"/>
              </w:rPr>
              <w:t>Гармония λ=−1 не создаёт переход. Она маркирует проективно-инвариантное отношение между четырьмя уже определёнными точками. Положительный вывод возникает только при совместном выполнении детерминантного, доменного, доказательного и воспроизводимого вычислительного условий.</w:t>
            </w:r>
          </w:p>
        </w:tc>
      </w:tr>
    </w:tbl>
    <w:p>
      <w:pPr>
        <w:widowControl/>
        <w:spacing w:after="20"/>
      </w:pPr>
    </w:p>
    <w:p>
      <w:pPr>
        <w:pStyle w:val="Heading2"/>
        <w:widowControl/>
        <w:keepNext/>
      </w:pPr>
      <w:r>
        <w:rPr>
          <w:rFonts w:ascii="Liberation Sans" w:hAnsi="Liberation Sans" w:eastAsia="Liberation Sans"/>
          <w:b/>
          <w:color w:val="2F5597"/>
          <w:sz w:val="26"/>
        </w:rPr>
        <w:t>19.10. Вычислительный сертификат v0.3</w:t>
      </w:r>
    </w:p>
    <w:p>
      <w:pPr>
        <w:widowControl/>
      </w:pPr>
      <w:r>
        <w:t>Для базиса e₁,…,e_n и структурных констант μ(e_i,e_j)=Σ_k c^k_{ij}e_k сертификат должен выполнять следующую последовательность:</w:t>
      </w:r>
    </w:p>
    <w:tbl>
      <w:tblPr>
        <w:tblW w:type="auto" w:w="0"/>
        <w:jc w:val="center"/>
        <w:tblLayout w:type="fixed"/>
        <w:tblLook w:firstColumn="1" w:firstRow="1" w:lastColumn="0" w:lastRow="0" w:noHBand="0" w:noVBand="1" w:val="04A0"/>
      </w:tblPr>
      <w:tblGrid>
        <w:gridCol w:w="3251"/>
        <w:gridCol w:w="3251"/>
        <w:gridCol w:w="3251"/>
      </w:tblGrid>
      <w:tr>
        <w:trPr>
          <w:tblHeader w:val="true"/>
        </w:trPr>
        <w:tc>
          <w:tcPr>
            <w:tcW w:type="dxa" w:w="737"/>
            <w:shd w:fill="DCE7F2"/>
            <w:tcMar>
              <w:top w:w="90" w:type="dxa"/>
              <w:start w:w="100" w:type="dxa"/>
              <w:bottom w:w="90" w:type="dxa"/>
              <w:end w:w="100" w:type="dxa"/>
            </w:tcMar>
            <w:vAlign w:val="center"/>
          </w:tcPr>
          <w:p>
            <w:pPr>
              <w:jc w:val="center"/>
            </w:pPr>
            <w:r>
              <w:rPr>
                <w:b/>
                <w:sz w:val="16"/>
              </w:rPr>
              <w:t>Шаг</w:t>
            </w:r>
          </w:p>
        </w:tc>
        <w:tc>
          <w:tcPr>
            <w:tcW w:type="dxa" w:w="4535"/>
            <w:shd w:fill="DCE7F2"/>
            <w:tcMar>
              <w:top w:w="90" w:type="dxa"/>
              <w:start w:w="100" w:type="dxa"/>
              <w:bottom w:w="90" w:type="dxa"/>
              <w:end w:w="100" w:type="dxa"/>
            </w:tcMar>
            <w:vAlign w:val="center"/>
          </w:tcPr>
          <w:p>
            <w:pPr>
              <w:jc w:val="center"/>
            </w:pPr>
            <w:r>
              <w:rPr>
                <w:b/>
                <w:sz w:val="16"/>
              </w:rPr>
              <w:t>Операция</w:t>
            </w:r>
          </w:p>
        </w:tc>
        <w:tc>
          <w:tcPr>
            <w:tcW w:type="dxa" w:w="3685"/>
            <w:shd w:fill="DCE7F2"/>
            <w:tcMar>
              <w:top w:w="90" w:type="dxa"/>
              <w:start w:w="100" w:type="dxa"/>
              <w:bottom w:w="90" w:type="dxa"/>
              <w:end w:w="100" w:type="dxa"/>
            </w:tcMar>
            <w:vAlign w:val="center"/>
          </w:tcPr>
          <w:p>
            <w:pPr>
              <w:jc w:val="center"/>
            </w:pPr>
            <w:r>
              <w:rPr>
                <w:b/>
                <w:sz w:val="16"/>
              </w:rPr>
              <w:t>Проверка</w:t>
            </w:r>
          </w:p>
        </w:tc>
      </w:tr>
      <w:tr>
        <w:tc>
          <w:tcPr>
            <w:tcW w:type="dxa" w:w="737"/>
            <w:tcMar>
              <w:top w:w="90" w:type="dxa"/>
              <w:start w:w="100" w:type="dxa"/>
              <w:bottom w:w="90" w:type="dxa"/>
              <w:end w:w="100" w:type="dxa"/>
            </w:tcMar>
            <w:vAlign w:val="center"/>
          </w:tcPr>
          <w:p>
            <w:pPr>
              <w:spacing w:after="0"/>
              <w:jc w:val="center"/>
            </w:pPr>
            <w:r>
              <w:rPr>
                <w:sz w:val="16"/>
              </w:rPr>
              <w:t>C1</w:t>
            </w:r>
          </w:p>
        </w:tc>
        <w:tc>
          <w:tcPr>
            <w:tcW w:type="dxa" w:w="4535"/>
            <w:tcMar>
              <w:top w:w="90" w:type="dxa"/>
              <w:start w:w="100" w:type="dxa"/>
              <w:bottom w:w="90" w:type="dxa"/>
              <w:end w:w="100" w:type="dxa"/>
            </w:tcMar>
            <w:vAlign w:val="center"/>
          </w:tcPr>
          <w:p>
            <w:pPr>
              <w:spacing w:after="0"/>
            </w:pPr>
            <w:r>
              <w:rPr>
                <w:sz w:val="16"/>
              </w:rPr>
              <w:t>построить матрицу Ass:V^{⊗3}→V</w:t>
            </w:r>
          </w:p>
        </w:tc>
        <w:tc>
          <w:tcPr>
            <w:tcW w:type="dxa" w:w="3685"/>
            <w:tcMar>
              <w:top w:w="90" w:type="dxa"/>
              <w:start w:w="100" w:type="dxa"/>
              <w:bottom w:w="90" w:type="dxa"/>
              <w:end w:w="100" w:type="dxa"/>
            </w:tcMar>
            <w:vAlign w:val="center"/>
          </w:tcPr>
          <w:p>
            <w:pPr>
              <w:spacing w:after="0"/>
            </w:pPr>
            <w:r>
              <w:rPr>
                <w:sz w:val="16"/>
              </w:rPr>
              <w:t>точные коэффициенты или контролируемая арифметика</w:t>
            </w:r>
          </w:p>
        </w:tc>
      </w:tr>
      <w:tr>
        <w:tc>
          <w:tcPr>
            <w:tcW w:type="dxa" w:w="737"/>
            <w:tcMar>
              <w:top w:w="90" w:type="dxa"/>
              <w:start w:w="100" w:type="dxa"/>
              <w:bottom w:w="90" w:type="dxa"/>
              <w:end w:w="100" w:type="dxa"/>
            </w:tcMar>
            <w:vAlign w:val="center"/>
          </w:tcPr>
          <w:p>
            <w:pPr>
              <w:spacing w:after="0"/>
              <w:jc w:val="center"/>
            </w:pPr>
            <w:r>
              <w:rPr>
                <w:sz w:val="16"/>
              </w:rPr>
              <w:t>C2</w:t>
            </w:r>
          </w:p>
        </w:tc>
        <w:tc>
          <w:tcPr>
            <w:tcW w:type="dxa" w:w="4535"/>
            <w:tcMar>
              <w:top w:w="90" w:type="dxa"/>
              <w:start w:w="100" w:type="dxa"/>
              <w:bottom w:w="90" w:type="dxa"/>
              <w:end w:w="100" w:type="dxa"/>
            </w:tcMar>
            <w:vAlign w:val="center"/>
          </w:tcPr>
          <w:p>
            <w:pPr>
              <w:spacing w:after="0"/>
            </w:pPr>
            <w:r>
              <w:rPr>
                <w:sz w:val="16"/>
              </w:rPr>
              <w:t>построить L_Ass,M_Ass,R_Ass,C_comm</w:t>
            </w:r>
          </w:p>
        </w:tc>
        <w:tc>
          <w:tcPr>
            <w:tcW w:type="dxa" w:w="3685"/>
            <w:tcMar>
              <w:top w:w="90" w:type="dxa"/>
              <w:start w:w="100" w:type="dxa"/>
              <w:bottom w:w="90" w:type="dxa"/>
              <w:end w:w="100" w:type="dxa"/>
            </w:tcMar>
            <w:vAlign w:val="center"/>
          </w:tcPr>
          <w:p>
            <w:pPr>
              <w:spacing w:after="0"/>
            </w:pPr>
            <w:r>
              <w:rPr>
                <w:sz w:val="16"/>
              </w:rPr>
              <w:t>соответствие выбранному порядку базиса</w:t>
            </w:r>
          </w:p>
        </w:tc>
      </w:tr>
      <w:tr>
        <w:tc>
          <w:tcPr>
            <w:tcW w:type="dxa" w:w="737"/>
            <w:tcMar>
              <w:top w:w="90" w:type="dxa"/>
              <w:start w:w="100" w:type="dxa"/>
              <w:bottom w:w="90" w:type="dxa"/>
              <w:end w:w="100" w:type="dxa"/>
            </w:tcMar>
            <w:vAlign w:val="center"/>
          </w:tcPr>
          <w:p>
            <w:pPr>
              <w:spacing w:after="0"/>
              <w:jc w:val="center"/>
            </w:pPr>
            <w:r>
              <w:rPr>
                <w:sz w:val="16"/>
              </w:rPr>
              <w:t>C3</w:t>
            </w:r>
          </w:p>
        </w:tc>
        <w:tc>
          <w:tcPr>
            <w:tcW w:type="dxa" w:w="4535"/>
            <w:tcMar>
              <w:top w:w="90" w:type="dxa"/>
              <w:start w:w="100" w:type="dxa"/>
              <w:bottom w:w="90" w:type="dxa"/>
              <w:end w:w="100" w:type="dxa"/>
            </w:tcMar>
            <w:vAlign w:val="center"/>
          </w:tcPr>
          <w:p>
            <w:pPr>
              <w:spacing w:after="0"/>
            </w:pPr>
            <w:r>
              <w:rPr>
                <w:sz w:val="16"/>
              </w:rPr>
              <w:t>вычислить ранги и ядра</w:t>
            </w:r>
          </w:p>
        </w:tc>
        <w:tc>
          <w:tcPr>
            <w:tcW w:type="dxa" w:w="3685"/>
            <w:tcMar>
              <w:top w:w="90" w:type="dxa"/>
              <w:start w:w="100" w:type="dxa"/>
              <w:bottom w:w="90" w:type="dxa"/>
              <w:end w:w="100" w:type="dxa"/>
            </w:tcMar>
            <w:vAlign w:val="center"/>
          </w:tcPr>
          <w:p>
            <w:pPr>
              <w:spacing w:after="0"/>
            </w:pPr>
            <w:r>
              <w:rPr>
                <w:sz w:val="16"/>
              </w:rPr>
              <w:t>точные значения и базисы ядер</w:t>
            </w:r>
          </w:p>
        </w:tc>
      </w:tr>
      <w:tr>
        <w:tc>
          <w:tcPr>
            <w:tcW w:type="dxa" w:w="737"/>
            <w:tcMar>
              <w:top w:w="90" w:type="dxa"/>
              <w:start w:w="100" w:type="dxa"/>
              <w:bottom w:w="90" w:type="dxa"/>
              <w:end w:w="100" w:type="dxa"/>
            </w:tcMar>
            <w:vAlign w:val="center"/>
          </w:tcPr>
          <w:p>
            <w:pPr>
              <w:spacing w:after="0"/>
              <w:jc w:val="center"/>
            </w:pPr>
            <w:r>
              <w:rPr>
                <w:sz w:val="16"/>
              </w:rPr>
              <w:t>C4</w:t>
            </w:r>
          </w:p>
        </w:tc>
        <w:tc>
          <w:tcPr>
            <w:tcW w:type="dxa" w:w="4535"/>
            <w:tcMar>
              <w:top w:w="90" w:type="dxa"/>
              <w:start w:w="100" w:type="dxa"/>
              <w:bottom w:w="90" w:type="dxa"/>
              <w:end w:w="100" w:type="dxa"/>
            </w:tcMar>
            <w:vAlign w:val="center"/>
          </w:tcPr>
          <w:p>
            <w:pPr>
              <w:spacing w:after="0"/>
            </w:pPr>
            <w:r>
              <w:rPr>
                <w:sz w:val="16"/>
              </w:rPr>
              <w:t>построить J_Ass итерацией I_{k+1}=I_k+VI_k+I_kV</w:t>
            </w:r>
          </w:p>
        </w:tc>
        <w:tc>
          <w:tcPr>
            <w:tcW w:type="dxa" w:w="3685"/>
            <w:tcMar>
              <w:top w:w="90" w:type="dxa"/>
              <w:start w:w="100" w:type="dxa"/>
              <w:bottom w:w="90" w:type="dxa"/>
              <w:end w:w="100" w:type="dxa"/>
            </w:tcMar>
            <w:vAlign w:val="center"/>
          </w:tcPr>
          <w:p>
            <w:pPr>
              <w:spacing w:after="0"/>
            </w:pPr>
            <w:r>
              <w:rPr>
                <w:sz w:val="16"/>
              </w:rPr>
              <w:t>стабилизация не позднее n шагов</w:t>
            </w:r>
          </w:p>
        </w:tc>
      </w:tr>
      <w:tr>
        <w:tc>
          <w:tcPr>
            <w:tcW w:type="dxa" w:w="737"/>
            <w:tcMar>
              <w:top w:w="90" w:type="dxa"/>
              <w:start w:w="100" w:type="dxa"/>
              <w:bottom w:w="90" w:type="dxa"/>
              <w:end w:w="100" w:type="dxa"/>
            </w:tcMar>
            <w:vAlign w:val="center"/>
          </w:tcPr>
          <w:p>
            <w:pPr>
              <w:spacing w:after="0"/>
              <w:jc w:val="center"/>
            </w:pPr>
            <w:r>
              <w:rPr>
                <w:sz w:val="16"/>
              </w:rPr>
              <w:t>C5</w:t>
            </w:r>
          </w:p>
        </w:tc>
        <w:tc>
          <w:tcPr>
            <w:tcW w:type="dxa" w:w="4535"/>
            <w:tcMar>
              <w:top w:w="90" w:type="dxa"/>
              <w:start w:w="100" w:type="dxa"/>
              <w:bottom w:w="90" w:type="dxa"/>
              <w:end w:w="100" w:type="dxa"/>
            </w:tcMar>
            <w:vAlign w:val="center"/>
          </w:tcPr>
          <w:p>
            <w:pPr>
              <w:spacing w:after="0"/>
            </w:pPr>
            <w:r>
              <w:rPr>
                <w:sz w:val="16"/>
              </w:rPr>
              <w:t>проверить Q₁₂,Q₁₃,Q₂₃ и Alt(Ass)</w:t>
            </w:r>
          </w:p>
        </w:tc>
        <w:tc>
          <w:tcPr>
            <w:tcW w:type="dxa" w:w="3685"/>
            <w:tcMar>
              <w:top w:w="90" w:type="dxa"/>
              <w:start w:w="100" w:type="dxa"/>
              <w:bottom w:w="90" w:type="dxa"/>
              <w:end w:w="100" w:type="dxa"/>
            </w:tcMar>
            <w:vAlign w:val="center"/>
          </w:tcPr>
          <w:p>
            <w:pPr>
              <w:spacing w:after="0"/>
            </w:pPr>
            <w:r>
              <w:rPr>
                <w:sz w:val="16"/>
              </w:rPr>
              <w:t>реконструкция Ass при char≠2,3</w:t>
            </w:r>
          </w:p>
        </w:tc>
      </w:tr>
      <w:tr>
        <w:tc>
          <w:tcPr>
            <w:tcW w:type="dxa" w:w="737"/>
            <w:tcMar>
              <w:top w:w="90" w:type="dxa"/>
              <w:start w:w="100" w:type="dxa"/>
              <w:bottom w:w="90" w:type="dxa"/>
              <w:end w:w="100" w:type="dxa"/>
            </w:tcMar>
            <w:vAlign w:val="center"/>
          </w:tcPr>
          <w:p>
            <w:pPr>
              <w:spacing w:after="0"/>
              <w:jc w:val="center"/>
            </w:pPr>
            <w:r>
              <w:rPr>
                <w:sz w:val="16"/>
              </w:rPr>
              <w:t>C6</w:t>
            </w:r>
          </w:p>
        </w:tc>
        <w:tc>
          <w:tcPr>
            <w:tcW w:type="dxa" w:w="4535"/>
            <w:tcMar>
              <w:top w:w="90" w:type="dxa"/>
              <w:start w:w="100" w:type="dxa"/>
              <w:bottom w:w="90" w:type="dxa"/>
              <w:end w:w="100" w:type="dxa"/>
            </w:tcMar>
            <w:vAlign w:val="center"/>
          </w:tcPr>
          <w:p>
            <w:pPr>
              <w:spacing w:after="0"/>
            </w:pPr>
            <w:r>
              <w:rPr>
                <w:sz w:val="16"/>
              </w:rPr>
              <w:t>для семьи μ_t вычислить максимальные миноры</w:t>
            </w:r>
          </w:p>
        </w:tc>
        <w:tc>
          <w:tcPr>
            <w:tcW w:type="dxa" w:w="3685"/>
            <w:tcMar>
              <w:top w:w="90" w:type="dxa"/>
              <w:start w:w="100" w:type="dxa"/>
              <w:bottom w:w="90" w:type="dxa"/>
              <w:end w:w="100" w:type="dxa"/>
            </w:tcMar>
            <w:vAlign w:val="center"/>
          </w:tcPr>
          <w:p>
            <w:pPr>
              <w:spacing w:after="0"/>
            </w:pPr>
            <w:r>
              <w:rPr>
                <w:sz w:val="16"/>
              </w:rPr>
              <w:t>получить Δ_NAPG и контрольные полиномы</w:t>
            </w:r>
          </w:p>
        </w:tc>
      </w:tr>
      <w:tr>
        <w:tc>
          <w:tcPr>
            <w:tcW w:type="dxa" w:w="737"/>
            <w:tcMar>
              <w:top w:w="90" w:type="dxa"/>
              <w:start w:w="100" w:type="dxa"/>
              <w:bottom w:w="90" w:type="dxa"/>
              <w:end w:w="100" w:type="dxa"/>
            </w:tcMar>
            <w:vAlign w:val="center"/>
          </w:tcPr>
          <w:p>
            <w:pPr>
              <w:spacing w:after="0"/>
              <w:jc w:val="center"/>
            </w:pPr>
            <w:r>
              <w:rPr>
                <w:sz w:val="16"/>
              </w:rPr>
              <w:t>C7</w:t>
            </w:r>
          </w:p>
        </w:tc>
        <w:tc>
          <w:tcPr>
            <w:tcW w:type="dxa" w:w="4535"/>
            <w:tcMar>
              <w:top w:w="90" w:type="dxa"/>
              <w:start w:w="100" w:type="dxa"/>
              <w:bottom w:w="90" w:type="dxa"/>
              <w:end w:w="100" w:type="dxa"/>
            </w:tcMar>
            <w:vAlign w:val="center"/>
          </w:tcPr>
          <w:p>
            <w:pPr>
              <w:spacing w:after="0"/>
            </w:pPr>
            <w:r>
              <w:rPr>
                <w:sz w:val="16"/>
              </w:rPr>
              <w:t>проверить λ,D/Dom и хеши источников</w:t>
            </w:r>
          </w:p>
        </w:tc>
        <w:tc>
          <w:tcPr>
            <w:tcW w:type="dxa" w:w="3685"/>
            <w:tcMar>
              <w:top w:w="90" w:type="dxa"/>
              <w:start w:w="100" w:type="dxa"/>
              <w:bottom w:w="90" w:type="dxa"/>
              <w:end w:w="100" w:type="dxa"/>
            </w:tcMar>
            <w:vAlign w:val="center"/>
          </w:tcPr>
          <w:p>
            <w:pPr>
              <w:spacing w:after="0"/>
            </w:pPr>
            <w:r>
              <w:rPr>
                <w:sz w:val="16"/>
              </w:rPr>
              <w:t>не смешивать алгебраический и физический статусы</w:t>
            </w:r>
          </w:p>
        </w:tc>
      </w:tr>
    </w:tbl>
    <w:p>
      <w:pPr>
        <w:widowControl/>
        <w:spacing w:after="40"/>
      </w:pPr>
    </w:p>
    <w:p>
      <w:pPr>
        <w:keepNext/>
        <w:widowControl/>
      </w:pPr>
      <w:r>
        <w:rPr>
          <w:b/>
          <w:color w:val="1B3F60"/>
        </w:rPr>
        <w:t xml:space="preserve">Предложение 5.25 (THM). Конечность построения J_Ass. </w:t>
      </w:r>
      <w:r>
        <w:t>В n-мерной алгебре возрастающая цепь I₀⊆I₁⊆… с I₀=span Im Ass и I_{k+1}=I_k+𝒜I_k+I_k𝒜 стабилизируется не более чем после n строгих увеличений; предел равен J_Ass.</w:t>
      </w:r>
    </w:p>
    <w:p>
      <w:pPr>
        <w:widowControl/>
      </w:pPr>
      <w:r>
        <w:rPr>
          <w:b/>
        </w:rPr>
        <w:t xml:space="preserve">Доказательство. </w:t>
      </w:r>
      <w:r>
        <w:t>Каждое строгое включение увеличивает размерность как минимум на единицу, а размерность ограничена n. Стабильное подпространство содержит Im Ass и замкнуто относительно умножения слева и справа, следовательно, является требуемым наименьшим идеалом.</w:t>
      </w:r>
    </w:p>
    <w:p>
      <w:pPr>
        <w:pStyle w:val="Heading1"/>
        <w:widowControl/>
        <w:keepNext/>
      </w:pPr>
      <w:r>
        <w:rPr>
          <w:rFonts w:ascii="Liberation Sans" w:hAnsi="Liberation Sans" w:eastAsia="Liberation Sans"/>
          <w:b/>
          <w:color w:val="17365D"/>
          <w:sz w:val="36"/>
        </w:rPr>
        <w:t>20. Теоремный пакет v0.3</w:t>
      </w: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trPr>
        <w:tc>
          <w:tcPr>
            <w:tcW w:type="dxa" w:w="1134"/>
            <w:shd w:fill="DCE7F2"/>
            <w:tcMar>
              <w:top w:w="90" w:type="dxa"/>
              <w:start w:w="100" w:type="dxa"/>
              <w:bottom w:w="90" w:type="dxa"/>
              <w:end w:w="100" w:type="dxa"/>
            </w:tcMar>
            <w:vAlign w:val="center"/>
          </w:tcPr>
          <w:p>
            <w:pPr>
              <w:jc w:val="center"/>
            </w:pPr>
            <w:r>
              <w:rPr>
                <w:b/>
                <w:sz w:val="16"/>
              </w:rPr>
              <w:t>ID</w:t>
            </w:r>
          </w:p>
        </w:tc>
        <w:tc>
          <w:tcPr>
            <w:tcW w:type="dxa" w:w="3798"/>
            <w:shd w:fill="DCE7F2"/>
            <w:tcMar>
              <w:top w:w="90" w:type="dxa"/>
              <w:start w:w="100" w:type="dxa"/>
              <w:bottom w:w="90" w:type="dxa"/>
              <w:end w:w="100" w:type="dxa"/>
            </w:tcMar>
            <w:vAlign w:val="center"/>
          </w:tcPr>
          <w:p>
            <w:pPr>
              <w:jc w:val="center"/>
            </w:pPr>
            <w:r>
              <w:rPr>
                <w:b/>
                <w:sz w:val="16"/>
              </w:rPr>
              <w:t>Результат</w:t>
            </w:r>
          </w:p>
        </w:tc>
        <w:tc>
          <w:tcPr>
            <w:tcW w:type="dxa" w:w="1020"/>
            <w:shd w:fill="DCE7F2"/>
            <w:tcMar>
              <w:top w:w="90" w:type="dxa"/>
              <w:start w:w="100" w:type="dxa"/>
              <w:bottom w:w="90" w:type="dxa"/>
              <w:end w:w="100" w:type="dxa"/>
            </w:tcMar>
            <w:vAlign w:val="center"/>
          </w:tcPr>
          <w:p>
            <w:pPr>
              <w:jc w:val="center"/>
            </w:pPr>
            <w:r>
              <w:rPr>
                <w:b/>
                <w:sz w:val="16"/>
              </w:rPr>
              <w:t>Статус</w:t>
            </w:r>
          </w:p>
        </w:tc>
        <w:tc>
          <w:tcPr>
            <w:tcW w:type="dxa" w:w="3005"/>
            <w:shd w:fill="DCE7F2"/>
            <w:tcMar>
              <w:top w:w="90" w:type="dxa"/>
              <w:start w:w="100" w:type="dxa"/>
              <w:bottom w:w="90" w:type="dxa"/>
              <w:end w:w="100" w:type="dxa"/>
            </w:tcMar>
            <w:vAlign w:val="center"/>
          </w:tcPr>
          <w:p>
            <w:pPr>
              <w:jc w:val="center"/>
            </w:pPr>
            <w:r>
              <w:rPr>
                <w:b/>
                <w:sz w:val="16"/>
              </w:rPr>
              <w:t>Гипотезы</w:t>
            </w:r>
          </w:p>
        </w:tc>
      </w:tr>
      <w:tr>
        <w:tc>
          <w:tcPr>
            <w:tcW w:type="dxa" w:w="1134"/>
            <w:tcMar>
              <w:top w:w="90" w:type="dxa"/>
              <w:start w:w="100" w:type="dxa"/>
              <w:bottom w:w="90" w:type="dxa"/>
              <w:end w:w="100" w:type="dxa"/>
            </w:tcMar>
            <w:vAlign w:val="center"/>
          </w:tcPr>
          <w:p>
            <w:pPr>
              <w:spacing w:after="0"/>
              <w:jc w:val="center"/>
            </w:pPr>
            <w:r>
              <w:rPr>
                <w:sz w:val="16"/>
              </w:rPr>
              <w:t>T2-THM-053</w:t>
            </w:r>
          </w:p>
        </w:tc>
        <w:tc>
          <w:tcPr>
            <w:tcW w:type="dxa" w:w="3798"/>
            <w:tcMar>
              <w:top w:w="90" w:type="dxa"/>
              <w:start w:w="100" w:type="dxa"/>
              <w:bottom w:w="90" w:type="dxa"/>
              <w:end w:w="100" w:type="dxa"/>
            </w:tcMar>
            <w:vAlign w:val="center"/>
          </w:tcPr>
          <w:p>
            <w:pPr>
              <w:spacing w:after="0"/>
            </w:pPr>
            <w:r>
              <w:rPr>
                <w:sz w:val="16"/>
              </w:rPr>
              <w:t>Универсальное ассоциативное отражение</w:t>
            </w:r>
          </w:p>
        </w:tc>
        <w:tc>
          <w:tcPr>
            <w:tcW w:type="dxa" w:w="1020"/>
            <w:tcMar>
              <w:top w:w="90" w:type="dxa"/>
              <w:start w:w="100" w:type="dxa"/>
              <w:bottom w:w="90" w:type="dxa"/>
              <w:end w:w="100" w:type="dxa"/>
            </w:tcMar>
            <w:vAlign w:val="center"/>
          </w:tcPr>
          <w:p>
            <w:pPr>
              <w:spacing w:after="0"/>
            </w:pPr>
            <w:r>
              <w:rPr>
                <w:sz w:val="16"/>
              </w:rPr>
              <w:t>THM</w:t>
            </w:r>
          </w:p>
        </w:tc>
        <w:tc>
          <w:tcPr>
            <w:tcW w:type="dxa" w:w="3005"/>
            <w:tcMar>
              <w:top w:w="90" w:type="dxa"/>
              <w:start w:w="100" w:type="dxa"/>
              <w:bottom w:w="90" w:type="dxa"/>
              <w:end w:w="100" w:type="dxa"/>
            </w:tcMar>
            <w:vAlign w:val="center"/>
          </w:tcPr>
          <w:p>
            <w:pPr>
              <w:spacing w:after="0"/>
            </w:pPr>
            <w:r>
              <w:rPr>
                <w:sz w:val="16"/>
              </w:rPr>
              <w:t>всюду определённая билинейная алгебра</w:t>
            </w:r>
          </w:p>
        </w:tc>
      </w:tr>
      <w:tr>
        <w:tc>
          <w:tcPr>
            <w:tcW w:type="dxa" w:w="1134"/>
            <w:tcMar>
              <w:top w:w="90" w:type="dxa"/>
              <w:start w:w="100" w:type="dxa"/>
              <w:bottom w:w="90" w:type="dxa"/>
              <w:end w:w="100" w:type="dxa"/>
            </w:tcMar>
            <w:vAlign w:val="center"/>
          </w:tcPr>
          <w:p>
            <w:pPr>
              <w:spacing w:after="0"/>
              <w:jc w:val="center"/>
            </w:pPr>
            <w:r>
              <w:rPr>
                <w:sz w:val="16"/>
              </w:rPr>
              <w:t>T2-THM-054</w:t>
            </w:r>
          </w:p>
        </w:tc>
        <w:tc>
          <w:tcPr>
            <w:tcW w:type="dxa" w:w="3798"/>
            <w:tcMar>
              <w:top w:w="90" w:type="dxa"/>
              <w:start w:w="100" w:type="dxa"/>
              <w:bottom w:w="90" w:type="dxa"/>
              <w:end w:w="100" w:type="dxa"/>
            </w:tcMar>
            <w:vAlign w:val="center"/>
          </w:tcPr>
          <w:p>
            <w:pPr>
              <w:spacing w:after="0"/>
            </w:pPr>
            <w:r>
              <w:rPr>
                <w:sz w:val="16"/>
              </w:rPr>
              <w:t>Степенной запрет квадратичного кодирования</w:t>
            </w:r>
          </w:p>
        </w:tc>
        <w:tc>
          <w:tcPr>
            <w:tcW w:type="dxa" w:w="1020"/>
            <w:tcMar>
              <w:top w:w="90" w:type="dxa"/>
              <w:start w:w="100" w:type="dxa"/>
              <w:bottom w:w="90" w:type="dxa"/>
              <w:end w:w="100" w:type="dxa"/>
            </w:tcMar>
            <w:vAlign w:val="center"/>
          </w:tcPr>
          <w:p>
            <w:pPr>
              <w:spacing w:after="0"/>
            </w:pPr>
            <w:r>
              <w:rPr>
                <w:sz w:val="16"/>
              </w:rPr>
              <w:t>THM</w:t>
            </w:r>
          </w:p>
        </w:tc>
        <w:tc>
          <w:tcPr>
            <w:tcW w:type="dxa" w:w="3005"/>
            <w:tcMar>
              <w:top w:w="90" w:type="dxa"/>
              <w:start w:w="100" w:type="dxa"/>
              <w:bottom w:w="90" w:type="dxa"/>
              <w:end w:w="100" w:type="dxa"/>
            </w:tcMar>
            <w:vAlign w:val="center"/>
          </w:tcPr>
          <w:p>
            <w:pPr>
              <w:spacing w:after="0"/>
            </w:pPr>
            <w:r>
              <w:rPr>
                <w:sz w:val="16"/>
              </w:rPr>
              <w:t>поле с достаточным числом скаляров</w:t>
            </w:r>
          </w:p>
        </w:tc>
      </w:tr>
      <w:tr>
        <w:tc>
          <w:tcPr>
            <w:tcW w:type="dxa" w:w="1134"/>
            <w:tcMar>
              <w:top w:w="90" w:type="dxa"/>
              <w:start w:w="100" w:type="dxa"/>
              <w:bottom w:w="90" w:type="dxa"/>
              <w:end w:w="100" w:type="dxa"/>
            </w:tcMar>
            <w:vAlign w:val="center"/>
          </w:tcPr>
          <w:p>
            <w:pPr>
              <w:spacing w:after="0"/>
              <w:jc w:val="center"/>
            </w:pPr>
            <w:r>
              <w:rPr>
                <w:sz w:val="16"/>
              </w:rPr>
              <w:t>T2-THM-055</w:t>
            </w:r>
          </w:p>
        </w:tc>
        <w:tc>
          <w:tcPr>
            <w:tcW w:type="dxa" w:w="3798"/>
            <w:tcMar>
              <w:top w:w="90" w:type="dxa"/>
              <w:start w:w="100" w:type="dxa"/>
              <w:bottom w:w="90" w:type="dxa"/>
              <w:end w:w="100" w:type="dxa"/>
            </w:tcMar>
            <w:vAlign w:val="center"/>
          </w:tcPr>
          <w:p>
            <w:pPr>
              <w:spacing w:after="0"/>
            </w:pPr>
            <w:r>
              <w:rPr>
                <w:sz w:val="16"/>
              </w:rPr>
              <w:t>Недостаточность кубической диагонали</w:t>
            </w:r>
          </w:p>
        </w:tc>
        <w:tc>
          <w:tcPr>
            <w:tcW w:type="dxa" w:w="1020"/>
            <w:tcMar>
              <w:top w:w="90" w:type="dxa"/>
              <w:start w:w="100" w:type="dxa"/>
              <w:bottom w:w="90" w:type="dxa"/>
              <w:end w:w="100" w:type="dxa"/>
            </w:tcMar>
            <w:vAlign w:val="center"/>
          </w:tcPr>
          <w:p>
            <w:pPr>
              <w:spacing w:after="0"/>
            </w:pPr>
            <w:r>
              <w:rPr>
                <w:sz w:val="16"/>
              </w:rPr>
              <w:t>THM</w:t>
            </w:r>
          </w:p>
        </w:tc>
        <w:tc>
          <w:tcPr>
            <w:tcW w:type="dxa" w:w="3005"/>
            <w:tcMar>
              <w:top w:w="90" w:type="dxa"/>
              <w:start w:w="100" w:type="dxa"/>
              <w:bottom w:w="90" w:type="dxa"/>
              <w:end w:w="100" w:type="dxa"/>
            </w:tcMar>
            <w:vAlign w:val="center"/>
          </w:tcPr>
          <w:p>
            <w:pPr>
              <w:spacing w:after="0"/>
            </w:pPr>
            <w:r>
              <w:rPr>
                <w:sz w:val="16"/>
              </w:rPr>
              <w:t>существование альтернативной неассоциативной модели</w:t>
            </w:r>
          </w:p>
        </w:tc>
      </w:tr>
      <w:tr>
        <w:tc>
          <w:tcPr>
            <w:tcW w:type="dxa" w:w="1134"/>
            <w:tcMar>
              <w:top w:w="90" w:type="dxa"/>
              <w:start w:w="100" w:type="dxa"/>
              <w:bottom w:w="90" w:type="dxa"/>
              <w:end w:w="100" w:type="dxa"/>
            </w:tcMar>
            <w:vAlign w:val="center"/>
          </w:tcPr>
          <w:p>
            <w:pPr>
              <w:spacing w:after="0"/>
              <w:jc w:val="center"/>
            </w:pPr>
            <w:r>
              <w:rPr>
                <w:sz w:val="16"/>
              </w:rPr>
              <w:t>T2-THM-056</w:t>
            </w:r>
          </w:p>
        </w:tc>
        <w:tc>
          <w:tcPr>
            <w:tcW w:type="dxa" w:w="3798"/>
            <w:tcMar>
              <w:top w:w="90" w:type="dxa"/>
              <w:start w:w="100" w:type="dxa"/>
              <w:bottom w:w="90" w:type="dxa"/>
              <w:end w:w="100" w:type="dxa"/>
            </w:tcMar>
            <w:vAlign w:val="center"/>
          </w:tcPr>
          <w:p>
            <w:pPr>
              <w:spacing w:after="0"/>
            </w:pPr>
            <w:r>
              <w:rPr>
                <w:sz w:val="16"/>
              </w:rPr>
              <w:t>Полнота Q₁₂,Q₁₃,Q₂₃ плюс Alt</w:t>
            </w:r>
          </w:p>
        </w:tc>
        <w:tc>
          <w:tcPr>
            <w:tcW w:type="dxa" w:w="1020"/>
            <w:tcMar>
              <w:top w:w="90" w:type="dxa"/>
              <w:start w:w="100" w:type="dxa"/>
              <w:bottom w:w="90" w:type="dxa"/>
              <w:end w:w="100" w:type="dxa"/>
            </w:tcMar>
            <w:vAlign w:val="center"/>
          </w:tcPr>
          <w:p>
            <w:pPr>
              <w:spacing w:after="0"/>
            </w:pPr>
            <w:r>
              <w:rPr>
                <w:sz w:val="16"/>
              </w:rPr>
              <w:t>THM</w:t>
            </w:r>
          </w:p>
        </w:tc>
        <w:tc>
          <w:tcPr>
            <w:tcW w:type="dxa" w:w="3005"/>
            <w:tcMar>
              <w:top w:w="90" w:type="dxa"/>
              <w:start w:w="100" w:type="dxa"/>
              <w:bottom w:w="90" w:type="dxa"/>
              <w:end w:w="100" w:type="dxa"/>
            </w:tcMar>
            <w:vAlign w:val="center"/>
          </w:tcPr>
          <w:p>
            <w:pPr>
              <w:spacing w:after="0"/>
            </w:pPr>
            <w:r>
              <w:rPr>
                <w:sz w:val="16"/>
              </w:rPr>
              <w:t>char 𝕂≠2,3</w:t>
            </w:r>
          </w:p>
        </w:tc>
      </w:tr>
      <w:tr>
        <w:tc>
          <w:tcPr>
            <w:tcW w:type="dxa" w:w="1134"/>
            <w:tcMar>
              <w:top w:w="90" w:type="dxa"/>
              <w:start w:w="100" w:type="dxa"/>
              <w:bottom w:w="90" w:type="dxa"/>
              <w:end w:w="100" w:type="dxa"/>
            </w:tcMar>
            <w:vAlign w:val="center"/>
          </w:tcPr>
          <w:p>
            <w:pPr>
              <w:spacing w:after="0"/>
              <w:jc w:val="center"/>
            </w:pPr>
            <w:r>
              <w:rPr>
                <w:sz w:val="16"/>
              </w:rPr>
              <w:t>T2-THM-057</w:t>
            </w:r>
          </w:p>
        </w:tc>
        <w:tc>
          <w:tcPr>
            <w:tcW w:type="dxa" w:w="3798"/>
            <w:tcMar>
              <w:top w:w="90" w:type="dxa"/>
              <w:start w:w="100" w:type="dxa"/>
              <w:bottom w:w="90" w:type="dxa"/>
              <w:end w:w="100" w:type="dxa"/>
            </w:tcMar>
            <w:vAlign w:val="center"/>
          </w:tcPr>
          <w:p>
            <w:pPr>
              <w:spacing w:after="0"/>
            </w:pPr>
            <w:r>
              <w:rPr>
                <w:sz w:val="16"/>
              </w:rPr>
              <w:t>Изоморфная инвариантность Prof_Ass</w:t>
            </w:r>
          </w:p>
        </w:tc>
        <w:tc>
          <w:tcPr>
            <w:tcW w:type="dxa" w:w="1020"/>
            <w:tcMar>
              <w:top w:w="90" w:type="dxa"/>
              <w:start w:w="100" w:type="dxa"/>
              <w:bottom w:w="90" w:type="dxa"/>
              <w:end w:w="100" w:type="dxa"/>
            </w:tcMar>
            <w:vAlign w:val="center"/>
          </w:tcPr>
          <w:p>
            <w:pPr>
              <w:spacing w:after="0"/>
            </w:pPr>
            <w:r>
              <w:rPr>
                <w:sz w:val="16"/>
              </w:rPr>
              <w:t>THM</w:t>
            </w:r>
          </w:p>
        </w:tc>
        <w:tc>
          <w:tcPr>
            <w:tcW w:type="dxa" w:w="3005"/>
            <w:tcMar>
              <w:top w:w="90" w:type="dxa"/>
              <w:start w:w="100" w:type="dxa"/>
              <w:bottom w:w="90" w:type="dxa"/>
              <w:end w:w="100" w:type="dxa"/>
            </w:tcMar>
            <w:vAlign w:val="center"/>
          </w:tcPr>
          <w:p>
            <w:pPr>
              <w:spacing w:after="0"/>
            </w:pPr>
            <w:r>
              <w:rPr>
                <w:sz w:val="16"/>
              </w:rPr>
              <w:t>конечномерная билинейная алгебра</w:t>
            </w:r>
          </w:p>
        </w:tc>
      </w:tr>
      <w:tr>
        <w:tc>
          <w:tcPr>
            <w:tcW w:type="dxa" w:w="1134"/>
            <w:tcMar>
              <w:top w:w="90" w:type="dxa"/>
              <w:start w:w="100" w:type="dxa"/>
              <w:bottom w:w="90" w:type="dxa"/>
              <w:end w:w="100" w:type="dxa"/>
            </w:tcMar>
            <w:vAlign w:val="center"/>
          </w:tcPr>
          <w:p>
            <w:pPr>
              <w:spacing w:after="0"/>
              <w:jc w:val="center"/>
            </w:pPr>
            <w:r>
              <w:rPr>
                <w:sz w:val="16"/>
              </w:rPr>
              <w:t>T2-THM-058</w:t>
            </w:r>
          </w:p>
        </w:tc>
        <w:tc>
          <w:tcPr>
            <w:tcW w:type="dxa" w:w="3798"/>
            <w:tcMar>
              <w:top w:w="90" w:type="dxa"/>
              <w:start w:w="100" w:type="dxa"/>
              <w:bottom w:w="90" w:type="dxa"/>
              <w:end w:w="100" w:type="dxa"/>
            </w:tcMar>
            <w:vAlign w:val="center"/>
          </w:tcPr>
          <w:p>
            <w:pPr>
              <w:spacing w:after="0"/>
            </w:pPr>
            <w:r>
              <w:rPr>
                <w:sz w:val="16"/>
              </w:rPr>
              <w:t>Детерминантная локализация переходов</w:t>
            </w:r>
          </w:p>
        </w:tc>
        <w:tc>
          <w:tcPr>
            <w:tcW w:type="dxa" w:w="1020"/>
            <w:tcMar>
              <w:top w:w="90" w:type="dxa"/>
              <w:start w:w="100" w:type="dxa"/>
              <w:bottom w:w="90" w:type="dxa"/>
              <w:end w:w="100" w:type="dxa"/>
            </w:tcMar>
            <w:vAlign w:val="center"/>
          </w:tcPr>
          <w:p>
            <w:pPr>
              <w:spacing w:after="0"/>
            </w:pPr>
            <w:r>
              <w:rPr>
                <w:sz w:val="16"/>
              </w:rPr>
              <w:t>THM</w:t>
            </w:r>
          </w:p>
        </w:tc>
        <w:tc>
          <w:tcPr>
            <w:tcW w:type="dxa" w:w="3005"/>
            <w:tcMar>
              <w:top w:w="90" w:type="dxa"/>
              <w:start w:w="100" w:type="dxa"/>
              <w:bottom w:w="90" w:type="dxa"/>
              <w:end w:w="100" w:type="dxa"/>
            </w:tcMar>
            <w:vAlign w:val="center"/>
          </w:tcPr>
          <w:p>
            <w:pPr>
              <w:spacing w:after="0"/>
            </w:pPr>
            <w:r>
              <w:rPr>
                <w:sz w:val="16"/>
              </w:rPr>
              <w:t>полиномиальная семья на неприводимой базе</w:t>
            </w:r>
          </w:p>
        </w:tc>
      </w:tr>
      <w:tr>
        <w:tc>
          <w:tcPr>
            <w:tcW w:type="dxa" w:w="1134"/>
            <w:tcMar>
              <w:top w:w="90" w:type="dxa"/>
              <w:start w:w="100" w:type="dxa"/>
              <w:bottom w:w="90" w:type="dxa"/>
              <w:end w:w="100" w:type="dxa"/>
            </w:tcMar>
            <w:vAlign w:val="center"/>
          </w:tcPr>
          <w:p>
            <w:pPr>
              <w:spacing w:after="0"/>
              <w:jc w:val="center"/>
            </w:pPr>
            <w:r>
              <w:rPr>
                <w:sz w:val="16"/>
              </w:rPr>
              <w:t>T2-THM-059</w:t>
            </w:r>
          </w:p>
        </w:tc>
        <w:tc>
          <w:tcPr>
            <w:tcW w:type="dxa" w:w="3798"/>
            <w:tcMar>
              <w:top w:w="90" w:type="dxa"/>
              <w:start w:w="100" w:type="dxa"/>
              <w:bottom w:w="90" w:type="dxa"/>
              <w:end w:w="100" w:type="dxa"/>
            </w:tcMar>
            <w:vAlign w:val="center"/>
          </w:tcPr>
          <w:p>
            <w:pPr>
              <w:spacing w:after="0"/>
            </w:pPr>
            <w:r>
              <w:rPr>
                <w:sz w:val="16"/>
              </w:rPr>
              <w:t>Проективная инвариантность Cand_H</w:t>
            </w:r>
          </w:p>
        </w:tc>
        <w:tc>
          <w:tcPr>
            <w:tcW w:type="dxa" w:w="1020"/>
            <w:tcMar>
              <w:top w:w="90" w:type="dxa"/>
              <w:start w:w="100" w:type="dxa"/>
              <w:bottom w:w="90" w:type="dxa"/>
              <w:end w:w="100" w:type="dxa"/>
            </w:tcMar>
            <w:vAlign w:val="center"/>
          </w:tcPr>
          <w:p>
            <w:pPr>
              <w:spacing w:after="0"/>
            </w:pPr>
            <w:r>
              <w:rPr>
                <w:sz w:val="16"/>
              </w:rPr>
              <w:t>COND</w:t>
            </w:r>
          </w:p>
        </w:tc>
        <w:tc>
          <w:tcPr>
            <w:tcW w:type="dxa" w:w="3005"/>
            <w:tcMar>
              <w:top w:w="90" w:type="dxa"/>
              <w:start w:w="100" w:type="dxa"/>
              <w:bottom w:w="90" w:type="dxa"/>
              <w:end w:w="100" w:type="dxa"/>
            </w:tcMar>
            <w:vAlign w:val="center"/>
          </w:tcPr>
          <w:p>
            <w:pPr>
              <w:spacing w:after="0"/>
            </w:pPr>
            <w:r>
              <w:rPr>
                <w:sz w:val="16"/>
              </w:rPr>
              <w:t>согласованный перенос семьи и D</w:t>
            </w:r>
          </w:p>
        </w:tc>
      </w:tr>
    </w:tbl>
    <w:p>
      <w:pPr>
        <w:widowControl/>
        <w:spacing w:after="40"/>
      </w:pPr>
    </w:p>
    <w:p>
      <w:pPr>
        <w:pStyle w:val="Heading1"/>
        <w:widowControl/>
        <w:keepNext/>
      </w:pPr>
      <w:r>
        <w:rPr>
          <w:rFonts w:ascii="Liberation Sans" w:hAnsi="Liberation Sans" w:eastAsia="Liberation Sans"/>
          <w:b/>
          <w:color w:val="17365D"/>
          <w:sz w:val="36"/>
        </w:rPr>
        <w:t>21. Обновление матрицы доказательных обязательств</w:t>
      </w: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trPr>
        <w:tc>
          <w:tcPr>
            <w:tcW w:type="dxa" w:w="1134"/>
            <w:shd w:fill="DCE7F2"/>
            <w:tcMar>
              <w:top w:w="90" w:type="dxa"/>
              <w:start w:w="100" w:type="dxa"/>
              <w:bottom w:w="90" w:type="dxa"/>
              <w:end w:w="100" w:type="dxa"/>
            </w:tcMar>
            <w:vAlign w:val="center"/>
          </w:tcPr>
          <w:p>
            <w:pPr>
              <w:jc w:val="center"/>
            </w:pPr>
            <w:r>
              <w:rPr>
                <w:b/>
                <w:sz w:val="16"/>
              </w:rPr>
              <w:t>PO</w:t>
            </w:r>
          </w:p>
        </w:tc>
        <w:tc>
          <w:tcPr>
            <w:tcW w:type="dxa" w:w="3572"/>
            <w:shd w:fill="DCE7F2"/>
            <w:tcMar>
              <w:top w:w="90" w:type="dxa"/>
              <w:start w:w="100" w:type="dxa"/>
              <w:bottom w:w="90" w:type="dxa"/>
              <w:end w:w="100" w:type="dxa"/>
            </w:tcMar>
            <w:vAlign w:val="center"/>
          </w:tcPr>
          <w:p>
            <w:pPr>
              <w:jc w:val="center"/>
            </w:pPr>
            <w:r>
              <w:rPr>
                <w:b/>
                <w:sz w:val="16"/>
              </w:rPr>
              <w:t>Содержание</w:t>
            </w:r>
          </w:p>
        </w:tc>
        <w:tc>
          <w:tcPr>
            <w:tcW w:type="dxa" w:w="1417"/>
            <w:shd w:fill="DCE7F2"/>
            <w:tcMar>
              <w:top w:w="90" w:type="dxa"/>
              <w:start w:w="100" w:type="dxa"/>
              <w:bottom w:w="90" w:type="dxa"/>
              <w:end w:w="100" w:type="dxa"/>
            </w:tcMar>
            <w:vAlign w:val="center"/>
          </w:tcPr>
          <w:p>
            <w:pPr>
              <w:jc w:val="center"/>
            </w:pPr>
            <w:r>
              <w:rPr>
                <w:b/>
                <w:sz w:val="16"/>
              </w:rPr>
              <w:t>Статус v0.3</w:t>
            </w:r>
          </w:p>
        </w:tc>
        <w:tc>
          <w:tcPr>
            <w:tcW w:type="dxa" w:w="2835"/>
            <w:shd w:fill="DCE7F2"/>
            <w:tcMar>
              <w:top w:w="90" w:type="dxa"/>
              <w:start w:w="100" w:type="dxa"/>
              <w:bottom w:w="90" w:type="dxa"/>
              <w:end w:w="100" w:type="dxa"/>
            </w:tcMar>
            <w:vAlign w:val="center"/>
          </w:tcPr>
          <w:p>
            <w:pPr>
              <w:jc w:val="center"/>
            </w:pPr>
            <w:r>
              <w:rPr>
                <w:b/>
                <w:sz w:val="16"/>
              </w:rPr>
              <w:t>Следующий шаг</w:t>
            </w:r>
          </w:p>
        </w:tc>
      </w:tr>
      <w:tr>
        <w:tc>
          <w:tcPr>
            <w:tcW w:type="dxa" w:w="1134"/>
            <w:tcMar>
              <w:top w:w="90" w:type="dxa"/>
              <w:start w:w="100" w:type="dxa"/>
              <w:bottom w:w="90" w:type="dxa"/>
              <w:end w:w="100" w:type="dxa"/>
            </w:tcMar>
            <w:vAlign w:val="center"/>
          </w:tcPr>
          <w:p>
            <w:pPr>
              <w:spacing w:after="0"/>
              <w:jc w:val="center"/>
            </w:pPr>
            <w:r>
              <w:rPr>
                <w:sz w:val="16"/>
              </w:rPr>
              <w:t>T2-PO-009</w:t>
            </w:r>
          </w:p>
        </w:tc>
        <w:tc>
          <w:tcPr>
            <w:tcW w:type="dxa" w:w="3572"/>
            <w:tcMar>
              <w:top w:w="90" w:type="dxa"/>
              <w:start w:w="100" w:type="dxa"/>
              <w:bottom w:w="90" w:type="dxa"/>
              <w:end w:w="100" w:type="dxa"/>
            </w:tcMar>
            <w:vAlign w:val="center"/>
          </w:tcPr>
          <w:p>
            <w:pPr>
              <w:spacing w:after="0"/>
            </w:pPr>
            <w:r>
              <w:rPr>
                <w:sz w:val="16"/>
              </w:rPr>
              <w:t>Общий мост Ass_⊙ ↔ curvature/Hol_D</w:t>
            </w:r>
          </w:p>
        </w:tc>
        <w:tc>
          <w:tcPr>
            <w:tcW w:type="dxa" w:w="1417"/>
            <w:tcMar>
              <w:top w:w="90" w:type="dxa"/>
              <w:start w:w="100" w:type="dxa"/>
              <w:bottom w:w="90" w:type="dxa"/>
              <w:end w:w="100" w:type="dxa"/>
            </w:tcMar>
            <w:vAlign w:val="center"/>
          </w:tcPr>
          <w:p>
            <w:pPr>
              <w:spacing w:after="0"/>
            </w:pPr>
            <w:r>
              <w:rPr>
                <w:sz w:val="16"/>
              </w:rPr>
              <w:t>OPEN</w:t>
            </w:r>
          </w:p>
        </w:tc>
        <w:tc>
          <w:tcPr>
            <w:tcW w:type="dxa" w:w="2835"/>
            <w:tcMar>
              <w:top w:w="90" w:type="dxa"/>
              <w:start w:w="100" w:type="dxa"/>
              <w:bottom w:w="90" w:type="dxa"/>
              <w:end w:w="100" w:type="dxa"/>
            </w:tcMar>
            <w:vAlign w:val="center"/>
          </w:tcPr>
          <w:p>
            <w:pPr>
              <w:spacing w:after="0"/>
            </w:pPr>
            <w:r>
              <w:rPr>
                <w:sz w:val="16"/>
              </w:rPr>
              <w:t>сначала задать геометрическую связность и типы обоих носителей</w:t>
            </w:r>
          </w:p>
        </w:tc>
      </w:tr>
      <w:tr>
        <w:tc>
          <w:tcPr>
            <w:tcW w:type="dxa" w:w="1134"/>
            <w:tcMar>
              <w:top w:w="90" w:type="dxa"/>
              <w:start w:w="100" w:type="dxa"/>
              <w:bottom w:w="90" w:type="dxa"/>
              <w:end w:w="100" w:type="dxa"/>
            </w:tcMar>
            <w:vAlign w:val="center"/>
          </w:tcPr>
          <w:p>
            <w:pPr>
              <w:spacing w:after="0"/>
              <w:jc w:val="center"/>
            </w:pPr>
            <w:r>
              <w:rPr>
                <w:sz w:val="16"/>
              </w:rPr>
              <w:t>T2-PO-011</w:t>
            </w:r>
          </w:p>
        </w:tc>
        <w:tc>
          <w:tcPr>
            <w:tcW w:type="dxa" w:w="3572"/>
            <w:tcMar>
              <w:top w:w="90" w:type="dxa"/>
              <w:start w:w="100" w:type="dxa"/>
              <w:bottom w:w="90" w:type="dxa"/>
              <w:end w:w="100" w:type="dxa"/>
            </w:tcMar>
            <w:vAlign w:val="center"/>
          </w:tcPr>
          <w:p>
            <w:pPr>
              <w:spacing w:after="0"/>
            </w:pPr>
            <w:r>
              <w:rPr>
                <w:sz w:val="16"/>
              </w:rPr>
              <w:t>Типизированные ядра, центр и J_Ass</w:t>
            </w:r>
          </w:p>
        </w:tc>
        <w:tc>
          <w:tcPr>
            <w:tcW w:type="dxa" w:w="1417"/>
            <w:tcMar>
              <w:top w:w="90" w:type="dxa"/>
              <w:start w:w="100" w:type="dxa"/>
              <w:bottom w:w="90" w:type="dxa"/>
              <w:end w:w="100" w:type="dxa"/>
            </w:tcMar>
            <w:vAlign w:val="center"/>
          </w:tcPr>
          <w:p>
            <w:pPr>
              <w:spacing w:after="0"/>
            </w:pPr>
            <w:r>
              <w:rPr>
                <w:sz w:val="16"/>
              </w:rPr>
              <w:t>CLOSED</w:t>
            </w:r>
          </w:p>
        </w:tc>
        <w:tc>
          <w:tcPr>
            <w:tcW w:type="dxa" w:w="2835"/>
            <w:tcMar>
              <w:top w:w="90" w:type="dxa"/>
              <w:start w:w="100" w:type="dxa"/>
              <w:bottom w:w="90" w:type="dxa"/>
              <w:end w:w="100" w:type="dxa"/>
            </w:tcMar>
            <w:vAlign w:val="center"/>
          </w:tcPr>
          <w:p>
            <w:pPr>
              <w:spacing w:after="0"/>
            </w:pPr>
            <w:r>
              <w:rPr>
                <w:sz w:val="16"/>
              </w:rPr>
              <w:t>перенос в итоговую главу 5</w:t>
            </w:r>
          </w:p>
        </w:tc>
      </w:tr>
      <w:tr>
        <w:tc>
          <w:tcPr>
            <w:tcW w:type="dxa" w:w="1134"/>
            <w:tcMar>
              <w:top w:w="90" w:type="dxa"/>
              <w:start w:w="100" w:type="dxa"/>
              <w:bottom w:w="90" w:type="dxa"/>
              <w:end w:w="100" w:type="dxa"/>
            </w:tcMar>
            <w:vAlign w:val="center"/>
          </w:tcPr>
          <w:p>
            <w:pPr>
              <w:spacing w:after="0"/>
              <w:jc w:val="center"/>
            </w:pPr>
            <w:r>
              <w:rPr>
                <w:sz w:val="16"/>
              </w:rPr>
              <w:t>T2-PO-012</w:t>
            </w:r>
          </w:p>
        </w:tc>
        <w:tc>
          <w:tcPr>
            <w:tcW w:type="dxa" w:w="3572"/>
            <w:tcMar>
              <w:top w:w="90" w:type="dxa"/>
              <w:start w:w="100" w:type="dxa"/>
              <w:bottom w:w="90" w:type="dxa"/>
              <w:end w:w="100" w:type="dxa"/>
            </w:tcMar>
            <w:vAlign w:val="center"/>
          </w:tcPr>
          <w:p>
            <w:pPr>
              <w:spacing w:after="0"/>
            </w:pPr>
            <w:r>
              <w:rPr>
                <w:sz w:val="16"/>
              </w:rPr>
              <w:t>Универсальность ассоциативного фактора</w:t>
            </w:r>
          </w:p>
        </w:tc>
        <w:tc>
          <w:tcPr>
            <w:tcW w:type="dxa" w:w="1417"/>
            <w:tcMar>
              <w:top w:w="90" w:type="dxa"/>
              <w:start w:w="100" w:type="dxa"/>
              <w:bottom w:w="90" w:type="dxa"/>
              <w:end w:w="100" w:type="dxa"/>
            </w:tcMar>
            <w:vAlign w:val="center"/>
          </w:tcPr>
          <w:p>
            <w:pPr>
              <w:spacing w:after="0"/>
            </w:pPr>
            <w:r>
              <w:rPr>
                <w:sz w:val="16"/>
              </w:rPr>
              <w:t>CLOSED</w:t>
            </w:r>
          </w:p>
        </w:tc>
        <w:tc>
          <w:tcPr>
            <w:tcW w:type="dxa" w:w="2835"/>
            <w:tcMar>
              <w:top w:w="90" w:type="dxa"/>
              <w:start w:w="100" w:type="dxa"/>
              <w:bottom w:w="90" w:type="dxa"/>
              <w:end w:w="100" w:type="dxa"/>
            </w:tcMar>
            <w:vAlign w:val="center"/>
          </w:tcPr>
          <w:p>
            <w:pPr>
              <w:spacing w:after="0"/>
            </w:pPr>
            <w:r>
              <w:rPr>
                <w:sz w:val="16"/>
              </w:rPr>
              <w:t>добавить категориальную формулировку как левый сопряжённый функтор</w:t>
            </w:r>
          </w:p>
        </w:tc>
      </w:tr>
      <w:tr>
        <w:tc>
          <w:tcPr>
            <w:tcW w:type="dxa" w:w="1134"/>
            <w:tcMar>
              <w:top w:w="90" w:type="dxa"/>
              <w:start w:w="100" w:type="dxa"/>
              <w:bottom w:w="90" w:type="dxa"/>
              <w:end w:w="100" w:type="dxa"/>
            </w:tcMar>
            <w:vAlign w:val="center"/>
          </w:tcPr>
          <w:p>
            <w:pPr>
              <w:spacing w:after="0"/>
              <w:jc w:val="center"/>
            </w:pPr>
            <w:r>
              <w:rPr>
                <w:sz w:val="16"/>
              </w:rPr>
              <w:t>T2-PO-013</w:t>
            </w:r>
          </w:p>
        </w:tc>
        <w:tc>
          <w:tcPr>
            <w:tcW w:type="dxa" w:w="3572"/>
            <w:tcMar>
              <w:top w:w="90" w:type="dxa"/>
              <w:start w:w="100" w:type="dxa"/>
              <w:bottom w:w="90" w:type="dxa"/>
              <w:end w:w="100" w:type="dxa"/>
            </w:tcMar>
            <w:vAlign w:val="center"/>
          </w:tcPr>
          <w:p>
            <w:pPr>
              <w:spacing w:after="0"/>
            </w:pPr>
            <w:r>
              <w:rPr>
                <w:sz w:val="16"/>
              </w:rPr>
              <w:t>No-go для диагонального кодирования</w:t>
            </w:r>
          </w:p>
        </w:tc>
        <w:tc>
          <w:tcPr>
            <w:tcW w:type="dxa" w:w="1417"/>
            <w:tcMar>
              <w:top w:w="90" w:type="dxa"/>
              <w:start w:w="100" w:type="dxa"/>
              <w:bottom w:w="90" w:type="dxa"/>
              <w:end w:w="100" w:type="dxa"/>
            </w:tcMar>
            <w:vAlign w:val="center"/>
          </w:tcPr>
          <w:p>
            <w:pPr>
              <w:spacing w:after="0"/>
            </w:pPr>
            <w:r>
              <w:rPr>
                <w:sz w:val="16"/>
              </w:rPr>
              <w:t>CLOSED</w:t>
            </w:r>
          </w:p>
        </w:tc>
        <w:tc>
          <w:tcPr>
            <w:tcW w:type="dxa" w:w="2835"/>
            <w:tcMar>
              <w:top w:w="90" w:type="dxa"/>
              <w:start w:w="100" w:type="dxa"/>
              <w:bottom w:w="90" w:type="dxa"/>
              <w:end w:w="100" w:type="dxa"/>
            </w:tcMar>
            <w:vAlign w:val="center"/>
          </w:tcPr>
          <w:p>
            <w:pPr>
              <w:spacing w:after="0"/>
            </w:pPr>
            <w:r>
              <w:rPr>
                <w:sz w:val="16"/>
              </w:rPr>
              <w:t>вычислительные тесты на октонионах</w:t>
            </w:r>
          </w:p>
        </w:tc>
      </w:tr>
      <w:tr>
        <w:tc>
          <w:tcPr>
            <w:tcW w:type="dxa" w:w="1134"/>
            <w:tcMar>
              <w:top w:w="90" w:type="dxa"/>
              <w:start w:w="100" w:type="dxa"/>
              <w:bottom w:w="90" w:type="dxa"/>
              <w:end w:w="100" w:type="dxa"/>
            </w:tcMar>
            <w:vAlign w:val="center"/>
          </w:tcPr>
          <w:p>
            <w:pPr>
              <w:spacing w:after="0"/>
              <w:jc w:val="center"/>
            </w:pPr>
            <w:r>
              <w:rPr>
                <w:sz w:val="16"/>
              </w:rPr>
              <w:t>T2-PO-014</w:t>
            </w:r>
          </w:p>
        </w:tc>
        <w:tc>
          <w:tcPr>
            <w:tcW w:type="dxa" w:w="3572"/>
            <w:tcMar>
              <w:top w:w="90" w:type="dxa"/>
              <w:start w:w="100" w:type="dxa"/>
              <w:bottom w:w="90" w:type="dxa"/>
              <w:end w:w="100" w:type="dxa"/>
            </w:tcMar>
            <w:vAlign w:val="center"/>
          </w:tcPr>
          <w:p>
            <w:pPr>
              <w:spacing w:after="0"/>
            </w:pPr>
            <w:r>
              <w:rPr>
                <w:sz w:val="16"/>
              </w:rPr>
              <w:t>Полный R⋆R-сертификат</w:t>
            </w:r>
          </w:p>
        </w:tc>
        <w:tc>
          <w:tcPr>
            <w:tcW w:type="dxa" w:w="1417"/>
            <w:tcMar>
              <w:top w:w="90" w:type="dxa"/>
              <w:start w:w="100" w:type="dxa"/>
              <w:bottom w:w="90" w:type="dxa"/>
              <w:end w:w="100" w:type="dxa"/>
            </w:tcMar>
            <w:vAlign w:val="center"/>
          </w:tcPr>
          <w:p>
            <w:pPr>
              <w:spacing w:after="0"/>
            </w:pPr>
            <w:r>
              <w:rPr>
                <w:sz w:val="16"/>
              </w:rPr>
              <w:t>CLOSED/COND</w:t>
            </w:r>
          </w:p>
        </w:tc>
        <w:tc>
          <w:tcPr>
            <w:tcW w:type="dxa" w:w="2835"/>
            <w:tcMar>
              <w:top w:w="90" w:type="dxa"/>
              <w:start w:w="100" w:type="dxa"/>
              <w:bottom w:w="90" w:type="dxa"/>
              <w:end w:w="100" w:type="dxa"/>
            </w:tcMar>
            <w:vAlign w:val="center"/>
          </w:tcPr>
          <w:p>
            <w:pPr>
              <w:spacing w:after="0"/>
            </w:pPr>
            <w:r>
              <w:rPr>
                <w:sz w:val="16"/>
              </w:rPr>
              <w:t>char≠2,3; исследовать характеристики 2 и 3</w:t>
            </w:r>
          </w:p>
        </w:tc>
      </w:tr>
      <w:tr>
        <w:tc>
          <w:tcPr>
            <w:tcW w:type="dxa" w:w="1134"/>
            <w:tcMar>
              <w:top w:w="90" w:type="dxa"/>
              <w:start w:w="100" w:type="dxa"/>
              <w:bottom w:w="90" w:type="dxa"/>
              <w:end w:w="100" w:type="dxa"/>
            </w:tcMar>
            <w:vAlign w:val="center"/>
          </w:tcPr>
          <w:p>
            <w:pPr>
              <w:spacing w:after="0"/>
              <w:jc w:val="center"/>
            </w:pPr>
            <w:r>
              <w:rPr>
                <w:sz w:val="16"/>
              </w:rPr>
              <w:t>T2-PO-015</w:t>
            </w:r>
          </w:p>
        </w:tc>
        <w:tc>
          <w:tcPr>
            <w:tcW w:type="dxa" w:w="3572"/>
            <w:tcMar>
              <w:top w:w="90" w:type="dxa"/>
              <w:start w:w="100" w:type="dxa"/>
              <w:bottom w:w="90" w:type="dxa"/>
              <w:end w:w="100" w:type="dxa"/>
            </w:tcMar>
            <w:vAlign w:val="center"/>
          </w:tcPr>
          <w:p>
            <w:pPr>
              <w:spacing w:after="0"/>
            </w:pPr>
            <w:r>
              <w:rPr>
                <w:sz w:val="16"/>
              </w:rPr>
              <w:t>Детерминантный горизонт переходов</w:t>
            </w:r>
          </w:p>
        </w:tc>
        <w:tc>
          <w:tcPr>
            <w:tcW w:type="dxa" w:w="1417"/>
            <w:tcMar>
              <w:top w:w="90" w:type="dxa"/>
              <w:start w:w="100" w:type="dxa"/>
              <w:bottom w:w="90" w:type="dxa"/>
              <w:end w:w="100" w:type="dxa"/>
            </w:tcMar>
            <w:vAlign w:val="center"/>
          </w:tcPr>
          <w:p>
            <w:pPr>
              <w:spacing w:after="0"/>
            </w:pPr>
            <w:r>
              <w:rPr>
                <w:sz w:val="16"/>
              </w:rPr>
              <w:t>CLOSED</w:t>
            </w:r>
          </w:p>
        </w:tc>
        <w:tc>
          <w:tcPr>
            <w:tcW w:type="dxa" w:w="2835"/>
            <w:tcMar>
              <w:top w:w="90" w:type="dxa"/>
              <w:start w:w="100" w:type="dxa"/>
              <w:bottom w:w="90" w:type="dxa"/>
              <w:end w:w="100" w:type="dxa"/>
            </w:tcMar>
            <w:vAlign w:val="center"/>
          </w:tcPr>
          <w:p>
            <w:pPr>
              <w:spacing w:after="0"/>
            </w:pPr>
            <w:r>
              <w:rPr>
                <w:sz w:val="16"/>
              </w:rPr>
              <w:t>реализовать символьный сертификат</w:t>
            </w:r>
          </w:p>
        </w:tc>
      </w:tr>
      <w:tr>
        <w:tc>
          <w:tcPr>
            <w:tcW w:type="dxa" w:w="1134"/>
            <w:tcMar>
              <w:top w:w="90" w:type="dxa"/>
              <w:start w:w="100" w:type="dxa"/>
              <w:bottom w:w="90" w:type="dxa"/>
              <w:end w:w="100" w:type="dxa"/>
            </w:tcMar>
            <w:vAlign w:val="center"/>
          </w:tcPr>
          <w:p>
            <w:pPr>
              <w:spacing w:after="0"/>
              <w:jc w:val="center"/>
            </w:pPr>
            <w:r>
              <w:rPr>
                <w:sz w:val="16"/>
              </w:rPr>
              <w:t>T2-PO-016</w:t>
            </w:r>
          </w:p>
        </w:tc>
        <w:tc>
          <w:tcPr>
            <w:tcW w:type="dxa" w:w="3572"/>
            <w:tcMar>
              <w:top w:w="90" w:type="dxa"/>
              <w:start w:w="100" w:type="dxa"/>
              <w:bottom w:w="90" w:type="dxa"/>
              <w:end w:w="100" w:type="dxa"/>
            </w:tcMar>
            <w:vAlign w:val="center"/>
          </w:tcPr>
          <w:p>
            <w:pPr>
              <w:spacing w:after="0"/>
            </w:pPr>
            <w:r>
              <w:rPr>
                <w:sz w:val="16"/>
              </w:rPr>
              <w:t>Banach/Hilbert-обобщение профиля</w:t>
            </w:r>
          </w:p>
        </w:tc>
        <w:tc>
          <w:tcPr>
            <w:tcW w:type="dxa" w:w="1417"/>
            <w:tcMar>
              <w:top w:w="90" w:type="dxa"/>
              <w:start w:w="100" w:type="dxa"/>
              <w:bottom w:w="90" w:type="dxa"/>
              <w:end w:w="100" w:type="dxa"/>
            </w:tcMar>
            <w:vAlign w:val="center"/>
          </w:tcPr>
          <w:p>
            <w:pPr>
              <w:spacing w:after="0"/>
            </w:pPr>
            <w:r>
              <w:rPr>
                <w:sz w:val="16"/>
              </w:rPr>
              <w:t>OPEN</w:t>
            </w:r>
          </w:p>
        </w:tc>
        <w:tc>
          <w:tcPr>
            <w:tcW w:type="dxa" w:w="2835"/>
            <w:tcMar>
              <w:top w:w="90" w:type="dxa"/>
              <w:start w:w="100" w:type="dxa"/>
              <w:bottom w:w="90" w:type="dxa"/>
              <w:end w:w="100" w:type="dxa"/>
            </w:tcMar>
            <w:vAlign w:val="center"/>
          </w:tcPr>
          <w:p>
            <w:pPr>
              <w:spacing w:after="0"/>
            </w:pPr>
            <w:r>
              <w:rPr>
                <w:sz w:val="16"/>
              </w:rPr>
              <w:t>заменить ранги на Fredholm/essential invariants</w:t>
            </w:r>
          </w:p>
        </w:tc>
      </w:tr>
      <w:tr>
        <w:tc>
          <w:tcPr>
            <w:tcW w:type="dxa" w:w="1134"/>
            <w:tcMar>
              <w:top w:w="90" w:type="dxa"/>
              <w:start w:w="100" w:type="dxa"/>
              <w:bottom w:w="90" w:type="dxa"/>
              <w:end w:w="100" w:type="dxa"/>
            </w:tcMar>
            <w:vAlign w:val="center"/>
          </w:tcPr>
          <w:p>
            <w:pPr>
              <w:spacing w:after="0"/>
              <w:jc w:val="center"/>
            </w:pPr>
            <w:r>
              <w:rPr>
                <w:sz w:val="16"/>
              </w:rPr>
              <w:t>T2-PO-017</w:t>
            </w:r>
          </w:p>
        </w:tc>
        <w:tc>
          <w:tcPr>
            <w:tcW w:type="dxa" w:w="3572"/>
            <w:tcMar>
              <w:top w:w="90" w:type="dxa"/>
              <w:start w:w="100" w:type="dxa"/>
              <w:bottom w:w="90" w:type="dxa"/>
              <w:end w:w="100" w:type="dxa"/>
            </w:tcMar>
            <w:vAlign w:val="center"/>
          </w:tcPr>
          <w:p>
            <w:pPr>
              <w:spacing w:after="0"/>
            </w:pPr>
            <w:r>
              <w:rPr>
                <w:sz w:val="16"/>
              </w:rPr>
              <w:t>Независимая проверка переходных локусов</w:t>
            </w:r>
          </w:p>
        </w:tc>
        <w:tc>
          <w:tcPr>
            <w:tcW w:type="dxa" w:w="1417"/>
            <w:tcMar>
              <w:top w:w="90" w:type="dxa"/>
              <w:start w:w="100" w:type="dxa"/>
              <w:bottom w:w="90" w:type="dxa"/>
              <w:end w:w="100" w:type="dxa"/>
            </w:tcMar>
            <w:vAlign w:val="center"/>
          </w:tcPr>
          <w:p>
            <w:pPr>
              <w:spacing w:after="0"/>
            </w:pPr>
            <w:r>
              <w:rPr>
                <w:sz w:val="16"/>
              </w:rPr>
              <w:t>OPEN</w:t>
            </w:r>
          </w:p>
        </w:tc>
        <w:tc>
          <w:tcPr>
            <w:tcW w:type="dxa" w:w="2835"/>
            <w:tcMar>
              <w:top w:w="90" w:type="dxa"/>
              <w:start w:w="100" w:type="dxa"/>
              <w:bottom w:w="90" w:type="dxa"/>
              <w:end w:w="100" w:type="dxa"/>
            </w:tcMar>
            <w:vAlign w:val="center"/>
          </w:tcPr>
          <w:p>
            <w:pPr>
              <w:spacing w:after="0"/>
            </w:pPr>
            <w:r>
              <w:rPr>
                <w:sz w:val="16"/>
              </w:rPr>
              <w:t>подготовить внешний набор семей алгебр</w:t>
            </w:r>
          </w:p>
        </w:tc>
      </w:tr>
    </w:tbl>
    <w:p>
      <w:pPr>
        <w:widowControl/>
        <w:spacing w:after="40"/>
      </w:pPr>
    </w:p>
    <w:p>
      <w:pPr>
        <w:pStyle w:val="Heading1"/>
        <w:widowControl/>
        <w:keepNext/>
      </w:pPr>
      <w:r>
        <w:rPr>
          <w:rFonts w:ascii="Liberation Sans" w:hAnsi="Liberation Sans" w:eastAsia="Liberation Sans"/>
          <w:b/>
          <w:color w:val="17365D"/>
          <w:sz w:val="36"/>
        </w:rPr>
        <w:t>22. Библиографическая синхронизация v0.3</w:t>
      </w:r>
    </w:p>
    <w:p>
      <w:pPr>
        <w:widowControl/>
      </w:pPr>
      <w:r>
        <w:t>[1] Schafer, R. D. Structure and representation of nonassociative algebras. Bulletin of the American Mathematical Society 61 (1955), 469–484.</w:t>
      </w:r>
    </w:p>
    <w:p>
      <w:pPr>
        <w:widowControl/>
      </w:pPr>
      <w:r>
        <w:t>[2] Baez, J. C. The Octonions. Bulletin of the American Mathematical Society 39 (2002), 145–205; arXiv:math/0105155.</w:t>
      </w:r>
    </w:p>
    <w:p>
      <w:pPr>
        <w:widowControl/>
      </w:pPr>
      <w:r>
        <w:t>[3] Glassman, N. D. Cohomology of nonassociative algebras. Pacific Journal of Mathematics 33 (1970), 617–631.</w:t>
      </w:r>
    </w:p>
    <w:p>
      <w:pPr>
        <w:widowControl/>
      </w:pPr>
      <w:r>
        <w:t>[4] Salzmann, H. et al. The Role of Nonassociative Algebra in Projective Geometry. Graduate Studies in Mathematics 159, American Mathematical Society, 2014.</w:t>
      </w:r>
    </w:p>
    <w:p>
      <w:pPr>
        <w:widowControl/>
      </w:pPr>
      <w:r>
        <w:t>[5] Kaygorodov, I. Non-associative algebraic structures: classification and structure. arXiv:2306.00425, revised 2023.</w:t>
      </w:r>
    </w:p>
    <w:p>
      <w:pPr>
        <w:widowControl/>
      </w:pPr>
      <w:r>
        <w:t>[6] Курпишев И. Б. Том I v197 RU и T2-RP-v0.2: канонические внутренние источники настоящей редакции.</w:t>
      </w:r>
    </w:p>
    <w:p>
      <w:pPr>
        <w:widowControl/>
      </w:pPr>
      <w:r>
        <w:t>Классические определения ассоциатора, ядер, центра, альтернативности и октонионов используются как prior art. Авторская новизна настоящего слоя заявляется в строгом R⋆R-сертификате, соединении с D/Dom и λ-селектором, ассоциаторном профиле KLT-RBD и детерминантном горизонте предсказательного исключения.</w:t>
      </w:r>
    </w:p>
    <w:p>
      <w:pPr>
        <w:pStyle w:val="Heading1"/>
        <w:widowControl/>
        <w:keepNext/>
      </w:pPr>
      <w:r>
        <w:rPr>
          <w:rFonts w:ascii="Liberation Sans" w:hAnsi="Liberation Sans" w:eastAsia="Liberation Sans"/>
          <w:b/>
          <w:color w:val="17365D"/>
          <w:sz w:val="36"/>
        </w:rPr>
        <w:t>23. Контрольная точка T2-RP-v0.3</w:t>
      </w:r>
    </w:p>
    <w:tbl>
      <w:tblPr>
        <w:tblW w:type="auto" w:w="0"/>
        <w:jc w:val="center"/>
        <w:tblLayout w:type="fixed"/>
        <w:tblLook w:firstColumn="1" w:firstRow="1" w:lastColumn="0" w:lastRow="0" w:noHBand="0" w:noVBand="1" w:val="04A0"/>
      </w:tblPr>
      <w:tblGrid>
        <w:gridCol w:w="4876"/>
        <w:gridCol w:w="4876"/>
      </w:tblGrid>
      <w:tr>
        <w:trPr>
          <w:tblHeader w:val="true"/>
        </w:trPr>
        <w:tc>
          <w:tcPr>
            <w:tcW w:type="dxa" w:w="2608"/>
            <w:shd w:fill="DCE7F2"/>
            <w:tcMar>
              <w:top w:w="90" w:type="dxa"/>
              <w:start w:w="100" w:type="dxa"/>
              <w:bottom w:w="90" w:type="dxa"/>
              <w:end w:w="100" w:type="dxa"/>
            </w:tcMar>
            <w:vAlign w:val="center"/>
          </w:tcPr>
          <w:p>
            <w:pPr>
              <w:jc w:val="center"/>
            </w:pPr>
            <w:r>
              <w:rPr>
                <w:b/>
                <w:sz w:val="18"/>
              </w:rPr>
              <w:t>Контроль</w:t>
            </w:r>
          </w:p>
        </w:tc>
        <w:tc>
          <w:tcPr>
            <w:tcW w:type="dxa" w:w="6350"/>
            <w:shd w:fill="DCE7F2"/>
            <w:tcMar>
              <w:top w:w="90" w:type="dxa"/>
              <w:start w:w="100" w:type="dxa"/>
              <w:bottom w:w="90" w:type="dxa"/>
              <w:end w:w="100" w:type="dxa"/>
            </w:tcMar>
            <w:vAlign w:val="center"/>
          </w:tcPr>
          <w:p>
            <w:pPr>
              <w:jc w:val="center"/>
            </w:pPr>
            <w:r>
              <w:rPr>
                <w:b/>
                <w:sz w:val="18"/>
              </w:rPr>
              <w:t>Результат</w:t>
            </w:r>
          </w:p>
        </w:tc>
      </w:tr>
      <w:tr>
        <w:tc>
          <w:tcPr>
            <w:tcW w:type="dxa" w:w="2608"/>
            <w:tcMar>
              <w:top w:w="90" w:type="dxa"/>
              <w:start w:w="100" w:type="dxa"/>
              <w:bottom w:w="90" w:type="dxa"/>
              <w:end w:w="100" w:type="dxa"/>
            </w:tcMar>
            <w:vAlign w:val="center"/>
          </w:tcPr>
          <w:p>
            <w:pPr>
              <w:spacing w:after="0"/>
            </w:pPr>
            <w:r>
              <w:rPr>
                <w:sz w:val="18"/>
              </w:rPr>
              <w:t>Кумулятивность</w:t>
            </w:r>
          </w:p>
        </w:tc>
        <w:tc>
          <w:tcPr>
            <w:tcW w:type="dxa" w:w="6350"/>
            <w:tcMar>
              <w:top w:w="90" w:type="dxa"/>
              <w:start w:w="100" w:type="dxa"/>
              <w:bottom w:w="90" w:type="dxa"/>
              <w:end w:w="100" w:type="dxa"/>
            </w:tcMar>
            <w:vAlign w:val="center"/>
          </w:tcPr>
          <w:p>
            <w:pPr>
              <w:spacing w:after="0"/>
            </w:pPr>
            <w:r>
              <w:rPr>
                <w:sz w:val="18"/>
              </w:rPr>
              <w:t>v0.1 и v0.2 сохранены без удаления</w:t>
            </w:r>
          </w:p>
        </w:tc>
      </w:tr>
      <w:tr>
        <w:tc>
          <w:tcPr>
            <w:tcW w:type="dxa" w:w="2608"/>
            <w:tcMar>
              <w:top w:w="90" w:type="dxa"/>
              <w:start w:w="100" w:type="dxa"/>
              <w:bottom w:w="90" w:type="dxa"/>
              <w:end w:w="100" w:type="dxa"/>
            </w:tcMar>
            <w:vAlign w:val="center"/>
          </w:tcPr>
          <w:p>
            <w:pPr>
              <w:spacing w:after="0"/>
            </w:pPr>
            <w:r>
              <w:rPr>
                <w:sz w:val="18"/>
              </w:rPr>
              <w:t>Глава 5</w:t>
            </w:r>
          </w:p>
        </w:tc>
        <w:tc>
          <w:tcPr>
            <w:tcW w:type="dxa" w:w="6350"/>
            <w:tcMar>
              <w:top w:w="90" w:type="dxa"/>
              <w:start w:w="100" w:type="dxa"/>
              <w:bottom w:w="90" w:type="dxa"/>
              <w:end w:w="100" w:type="dxa"/>
            </w:tcMar>
            <w:vAlign w:val="center"/>
          </w:tcPr>
          <w:p>
            <w:pPr>
              <w:spacing w:after="0"/>
            </w:pPr>
            <w:r>
              <w:rPr>
                <w:sz w:val="18"/>
              </w:rPr>
              <w:t>создано строгое ассоциаторное ядро</w:t>
            </w:r>
          </w:p>
        </w:tc>
      </w:tr>
      <w:tr>
        <w:tc>
          <w:tcPr>
            <w:tcW w:type="dxa" w:w="2608"/>
            <w:tcMar>
              <w:top w:w="90" w:type="dxa"/>
              <w:start w:w="100" w:type="dxa"/>
              <w:bottom w:w="90" w:type="dxa"/>
              <w:end w:w="100" w:type="dxa"/>
            </w:tcMar>
            <w:vAlign w:val="center"/>
          </w:tcPr>
          <w:p>
            <w:pPr>
              <w:spacing w:after="0"/>
            </w:pPr>
            <w:r>
              <w:rPr>
                <w:sz w:val="18"/>
              </w:rPr>
              <w:t>R⋆R</w:t>
            </w:r>
          </w:p>
        </w:tc>
        <w:tc>
          <w:tcPr>
            <w:tcW w:type="dxa" w:w="6350"/>
            <w:tcMar>
              <w:top w:w="90" w:type="dxa"/>
              <w:start w:w="100" w:type="dxa"/>
              <w:bottom w:w="90" w:type="dxa"/>
              <w:end w:w="100" w:type="dxa"/>
            </w:tcMar>
            <w:vAlign w:val="center"/>
          </w:tcPr>
          <w:p>
            <w:pPr>
              <w:spacing w:after="0"/>
            </w:pPr>
            <w:r>
              <w:rPr>
                <w:sz w:val="18"/>
              </w:rPr>
              <w:t>реализован как полный квадратично-чередующийся сертификат</w:t>
            </w:r>
          </w:p>
        </w:tc>
      </w:tr>
      <w:tr>
        <w:tc>
          <w:tcPr>
            <w:tcW w:type="dxa" w:w="2608"/>
            <w:tcMar>
              <w:top w:w="90" w:type="dxa"/>
              <w:start w:w="100" w:type="dxa"/>
              <w:bottom w:w="90" w:type="dxa"/>
              <w:end w:w="100" w:type="dxa"/>
            </w:tcMar>
            <w:vAlign w:val="center"/>
          </w:tcPr>
          <w:p>
            <w:pPr>
              <w:spacing w:after="0"/>
            </w:pPr>
            <w:r>
              <w:rPr>
                <w:sz w:val="18"/>
              </w:rPr>
              <w:t>Предсказательный результат</w:t>
            </w:r>
          </w:p>
        </w:tc>
        <w:tc>
          <w:tcPr>
            <w:tcW w:type="dxa" w:w="6350"/>
            <w:tcMar>
              <w:top w:w="90" w:type="dxa"/>
              <w:start w:w="100" w:type="dxa"/>
              <w:bottom w:w="90" w:type="dxa"/>
              <w:end w:w="100" w:type="dxa"/>
            </w:tcMar>
            <w:vAlign w:val="center"/>
          </w:tcPr>
          <w:p>
            <w:pPr>
              <w:spacing w:after="0"/>
            </w:pPr>
            <w:r>
              <w:rPr>
                <w:sz w:val="18"/>
              </w:rPr>
              <w:t>структурные переходы локализованы детерминантным горизонтом</w:t>
            </w:r>
          </w:p>
        </w:tc>
      </w:tr>
      <w:tr>
        <w:tc>
          <w:tcPr>
            <w:tcW w:type="dxa" w:w="2608"/>
            <w:tcMar>
              <w:top w:w="90" w:type="dxa"/>
              <w:start w:w="100" w:type="dxa"/>
              <w:bottom w:w="90" w:type="dxa"/>
              <w:end w:w="100" w:type="dxa"/>
            </w:tcMar>
            <w:vAlign w:val="center"/>
          </w:tcPr>
          <w:p>
            <w:pPr>
              <w:spacing w:after="0"/>
            </w:pPr>
            <w:r>
              <w:rPr>
                <w:sz w:val="18"/>
              </w:rPr>
              <w:t>Отрицательный результат</w:t>
            </w:r>
          </w:p>
        </w:tc>
        <w:tc>
          <w:tcPr>
            <w:tcW w:type="dxa" w:w="6350"/>
            <w:tcMar>
              <w:top w:w="90" w:type="dxa"/>
              <w:start w:w="100" w:type="dxa"/>
              <w:bottom w:w="90" w:type="dxa"/>
              <w:end w:w="100" w:type="dxa"/>
            </w:tcMar>
            <w:vAlign w:val="center"/>
          </w:tcPr>
          <w:p>
            <w:pPr>
              <w:spacing w:after="0"/>
            </w:pPr>
            <w:r>
              <w:rPr>
                <w:sz w:val="18"/>
              </w:rPr>
              <w:t>вне горизонта изменение профиля исключено в модели</w:t>
            </w:r>
          </w:p>
        </w:tc>
      </w:tr>
      <w:tr>
        <w:tc>
          <w:tcPr>
            <w:tcW w:type="dxa" w:w="2608"/>
            <w:tcMar>
              <w:top w:w="90" w:type="dxa"/>
              <w:start w:w="100" w:type="dxa"/>
              <w:bottom w:w="90" w:type="dxa"/>
              <w:end w:w="100" w:type="dxa"/>
            </w:tcMar>
            <w:vAlign w:val="center"/>
          </w:tcPr>
          <w:p>
            <w:pPr>
              <w:spacing w:after="0"/>
            </w:pPr>
            <w:r>
              <w:rPr>
                <w:sz w:val="18"/>
              </w:rPr>
              <w:t>Физический статус</w:t>
            </w:r>
          </w:p>
        </w:tc>
        <w:tc>
          <w:tcPr>
            <w:tcW w:type="dxa" w:w="6350"/>
            <w:tcMar>
              <w:top w:w="90" w:type="dxa"/>
              <w:start w:w="100" w:type="dxa"/>
              <w:bottom w:w="90" w:type="dxa"/>
              <w:end w:w="100" w:type="dxa"/>
            </w:tcMar>
            <w:vAlign w:val="center"/>
          </w:tcPr>
          <w:p>
            <w:pPr>
              <w:spacing w:after="0"/>
            </w:pPr>
            <w:r>
              <w:rPr>
                <w:sz w:val="18"/>
              </w:rPr>
              <w:t>не повышен</w:t>
            </w:r>
          </w:p>
        </w:tc>
      </w:tr>
      <w:tr>
        <w:tc>
          <w:tcPr>
            <w:tcW w:type="dxa" w:w="2608"/>
            <w:tcMar>
              <w:top w:w="90" w:type="dxa"/>
              <w:start w:w="100" w:type="dxa"/>
              <w:bottom w:w="90" w:type="dxa"/>
              <w:end w:w="100" w:type="dxa"/>
            </w:tcMar>
            <w:vAlign w:val="center"/>
          </w:tcPr>
          <w:p>
            <w:pPr>
              <w:spacing w:after="0"/>
            </w:pPr>
            <w:r>
              <w:rPr>
                <w:sz w:val="18"/>
              </w:rPr>
              <w:t>Следующая точка</w:t>
            </w:r>
          </w:p>
        </w:tc>
        <w:tc>
          <w:tcPr>
            <w:tcW w:type="dxa" w:w="6350"/>
            <w:tcMar>
              <w:top w:w="90" w:type="dxa"/>
              <w:start w:w="100" w:type="dxa"/>
              <w:bottom w:w="90" w:type="dxa"/>
              <w:end w:w="100" w:type="dxa"/>
            </w:tcMar>
            <w:vAlign w:val="center"/>
          </w:tcPr>
          <w:p>
            <w:pPr>
              <w:spacing w:after="0"/>
            </w:pPr>
            <w:r>
              <w:rPr>
                <w:sz w:val="18"/>
              </w:rPr>
              <w:t>T2-RP-v0.4: пакетно-реперная алгебро-геометрическая двойственность</w:t>
            </w:r>
          </w:p>
        </w:tc>
      </w:tr>
      <w:tr>
        <w:tc>
          <w:tcPr>
            <w:tcW w:type="dxa" w:w="2608"/>
            <w:tcMar>
              <w:top w:w="90" w:type="dxa"/>
              <w:start w:w="100" w:type="dxa"/>
              <w:bottom w:w="90" w:type="dxa"/>
              <w:end w:w="100" w:type="dxa"/>
            </w:tcMar>
            <w:vAlign w:val="center"/>
          </w:tcPr>
          <w:p>
            <w:pPr>
              <w:spacing w:after="0"/>
            </w:pPr>
            <w:r>
              <w:rPr>
                <w:sz w:val="18"/>
              </w:rPr>
              <w:t>Статус-замок</w:t>
            </w:r>
          </w:p>
        </w:tc>
        <w:tc>
          <w:tcPr>
            <w:tcW w:type="dxa" w:w="6350"/>
            <w:tcMar>
              <w:top w:w="90" w:type="dxa"/>
              <w:start w:w="100" w:type="dxa"/>
              <w:bottom w:w="90" w:type="dxa"/>
              <w:end w:w="100" w:type="dxa"/>
            </w:tcMar>
            <w:vAlign w:val="center"/>
          </w:tcPr>
          <w:p>
            <w:pPr>
              <w:spacing w:after="0"/>
            </w:pPr>
            <w:r>
              <w:rPr>
                <w:sz w:val="18"/>
              </w:rPr>
              <w:t>truth_layer_promotion=0</w:t>
            </w:r>
          </w:p>
        </w:tc>
      </w:tr>
    </w:tbl>
    <w:p>
      <w:pPr>
        <w:widowControl/>
        <w:spacing w:after="40"/>
      </w:pPr>
    </w:p>
    <w:tbl>
      <w:tblPr>
        <w:tblW w:type="auto" w:w="0"/>
        <w:jc w:val="center"/>
        <w:tblLayout w:type="fixed"/>
        <w:tblLook w:firstColumn="1" w:firstRow="1" w:lastColumn="0" w:lastRow="0" w:noHBand="0" w:noVBand="1" w:val="04A0"/>
      </w:tblPr>
      <w:tblGrid>
        <w:gridCol w:w="9752"/>
      </w:tblGrid>
      <w:tr>
        <w:tc>
          <w:tcPr>
            <w:tcW w:type="dxa" w:w="9071"/>
            <w:shd w:fill="EDECF6"/>
            <w:tcMar>
              <w:top w:w="140" w:type="dxa"/>
              <w:start w:w="180" w:type="dxa"/>
              <w:bottom w:w="140" w:type="dxa"/>
              <w:end w:w="180" w:type="dxa"/>
            </w:tcMar>
          </w:tcPr>
          <w:p>
            <w:pPr>
              <w:spacing w:after="80"/>
            </w:pPr>
            <w:r>
              <w:rPr>
                <w:b/>
                <w:color w:val="1F4468"/>
                <w:sz w:val="21"/>
              </w:rPr>
              <w:t>ТОЧКА ОТКАТА</w:t>
            </w:r>
          </w:p>
          <w:p>
            <w:pPr>
              <w:spacing w:after="0"/>
            </w:pPr>
            <w:r>
              <w:rPr>
                <w:sz w:val="19"/>
              </w:rPr>
              <w:t>T2-RP-v0.3 сохраняет v0.2 как неизменяемый источник. При обнаружении дефекта в R⋆R-сертификате откат выполняется к T2-RP-v0.2, а не к Тому I. Том I v197 RU остаётся замороженной нулевой основой.</w:t>
            </w:r>
          </w:p>
        </w:tc>
      </w:tr>
    </w:tbl>
    <w:p>
      <w:pPr>
        <w:widowControl/>
        <w:spacing w:after="20"/>
      </w:pPr>
    </w:p>
    <w:p>
      <w:pPr>
        <w:pStyle w:val="Heading2"/>
        <w:widowControl/>
        <w:keepNext/>
      </w:pPr>
      <w:r>
        <w:rPr>
          <w:rFonts w:ascii="Liberation Sans" w:hAnsi="Liberation Sans" w:eastAsia="Liberation Sans"/>
          <w:b/>
          <w:color w:val="2F5597"/>
          <w:sz w:val="26"/>
        </w:rPr>
        <w:t>Машиночитаемая фиксация</w:t>
      </w:r>
    </w:p>
    <w:p>
      <w:pPr>
        <w:widowControl/>
        <w:spacing w:before="80" w:after="120"/>
        <w:jc w:val="center"/>
      </w:pPr>
      <w:r>
        <w:rPr>
          <w:rFonts w:ascii="Cambria Math" w:hAnsi="Cambria Math" w:eastAsia="Cambria Math"/>
          <w:sz w:val="23"/>
        </w:rPr>
        <w:t>checkpoint=T2-RP-v0.3; source=T2-RP-v0.2; truth_layer_promotion=0; next=T2-RP-v0.4.</w:t>
      </w:r>
    </w:p>
    <w:p>
      <w:r>
        <w:br w:type="page"/>
      </w:r>
    </w:p>
    <w:p>
      <w:pPr>
        <w:pStyle w:val="Heading1"/>
        <w:spacing w:before="200" w:after="100"/>
        <w:keepNext/>
      </w:pPr>
      <w:r>
        <w:rPr>
          <w:rFonts w:ascii="Liberation Sans" w:hAnsi="Liberation Sans" w:eastAsia="Liberation Sans"/>
          <w:b/>
          <w:color w:val="17365D"/>
          <w:sz w:val="36"/>
        </w:rPr>
        <w:t>ЧАСТЬ IV. АЛГЕБРО-ГЕОМЕТРИЧЕСКАЯ ДВОЙСТВЕННОСТЬ v0.4</w:t>
      </w:r>
    </w:p>
    <w:p>
      <w:pPr>
        <w:pStyle w:val="Lead"/>
        <w:spacing w:after="160" w:before="0" w:line="269" w:lineRule="auto"/>
        <w:jc w:val="center"/>
      </w:pPr>
      <w:r>
        <w:rPr>
          <w:rFonts w:ascii="Liberation Serif" w:hAnsi="Liberation Serif" w:eastAsia="Liberation Serif"/>
          <w:i w:val="0"/>
          <w:sz w:val="20"/>
        </w:rPr>
        <w:t>Контрольная точка T2-RP-v0.4 · углубление главы 6 · источник: T2-RP-v0.3</w:t>
      </w:r>
    </w:p>
    <w:tbl>
      <w:tblPr>
        <w:tblStyle w:val="TableGrid"/>
        <w:tblW w:type="auto" w:w="0"/>
        <w:jc w:val="center"/>
        <w:tblLayout w:type="fixed"/>
        <w:tblLook w:firstColumn="1" w:firstRow="1" w:lastColumn="0" w:lastRow="0" w:noHBand="0" w:noVBand="1" w:val="04A0"/>
      </w:tblPr>
      <w:tblGrid>
        <w:gridCol w:w="2088"/>
        <w:gridCol w:w="8568"/>
      </w:tblGrid>
      <w:tr>
        <w:tc>
          <w:tcPr>
            <w:tcW w:type="dxa" w:w="9752"/>
            <w:gridSpan w:val="2"/>
            <w:shd w:fill="17365D"/>
          </w:tcPr>
          <w:p>
            <w:pPr>
              <w:jc w:val="center"/>
            </w:pPr>
            <w:r>
              <w:rPr>
                <w:rFonts w:ascii="Liberation Sans" w:hAnsi="Liberation Sans" w:eastAsia="Liberation Sans"/>
                <w:b/>
                <w:color w:val="FFFFFF"/>
                <w:sz w:val="21"/>
              </w:rPr>
              <w:t>Философский шлюз главы 6</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Онтология</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Алгебра и геометрия не объявляются одним и тем же объектом. Двойственность означает контролируемое взаимное восстановление структур через явно заданные функторы.</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Гносеология</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Наблюдаемая геометрия есть семейство допустимых проб алгебры. Полнота познания требует доказать, что совокупность проб не теряет существенных данных.</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Феноменология</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Объект проявляется не как изолированная вещь, а как согласованный спектр его действий на тестовых объектах, реперных конфигурациях и локальных картах.</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Ограничение</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Даже точная двойственность переносит структуру, но не создаёт причинный закон, временную динамику или физическое предсказание. Для них требуются отдельные мосты и данные.</w:t>
            </w:r>
          </w:p>
        </w:tc>
      </w:tr>
    </w:tbl>
    <w:p>
      <w:pPr>
        <w:spacing w:after="40"/>
      </w:pPr>
    </w:p>
    <w:p>
      <w:pPr>
        <w:pStyle w:val="Heading2"/>
        <w:spacing w:before="140" w:after="100"/>
        <w:keepNext/>
      </w:pPr>
      <w:r>
        <w:rPr>
          <w:rFonts w:ascii="Liberation Sans" w:hAnsi="Liberation Sans" w:eastAsia="Liberation Sans"/>
          <w:b/>
          <w:color w:val="2F5597"/>
          <w:sz w:val="26"/>
        </w:rPr>
        <w:t>24. Паспорт углубления v0.4</w:t>
      </w:r>
    </w:p>
    <w:p>
      <w:pPr>
        <w:spacing w:after="80" w:before="0" w:line="269" w:lineRule="auto"/>
      </w:pPr>
      <w:r>
        <w:rPr>
          <w:rFonts w:ascii="Liberation Serif" w:hAnsi="Liberation Serif" w:eastAsia="Liberation Serif"/>
          <w:i w:val="0"/>
          <w:sz w:val="20"/>
        </w:rPr>
        <w:t>Цель редакции v0.4 — заменить неопределённую формулу «алгебра двойственна геометрии» четырёхуровневой конструкцией. Первый уровень является безусловным и представимым; второй вводит условную пространственную реализацию; третий выделяет реконструируемые подкатегории; четвёртый переносит детерминантные и проективно-гармонические кандидаты только через доказанный реконструкционный шлюз.</w:t>
      </w:r>
    </w:p>
    <w:tbl>
      <w:tblPr>
        <w:tblStyle w:val="TableGrid"/>
        <w:tblW w:type="auto" w:w="0"/>
        <w:jc w:val="center"/>
        <w:tblLayout w:type="fixed"/>
        <w:tblLook w:firstColumn="1" w:firstRow="1" w:lastColumn="0" w:lastRow="0" w:noHBand="0" w:noVBand="1" w:val="04A0"/>
      </w:tblPr>
      <w:tblGrid>
        <w:gridCol w:w="936"/>
        <w:gridCol w:w="3096"/>
        <w:gridCol w:w="1296"/>
        <w:gridCol w:w="5328"/>
      </w:tblGrid>
      <w:tr>
        <w:trPr>
          <w:tblHeader w:val="true"/>
        </w:trPr>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Уровень</w:t>
            </w:r>
          </w:p>
        </w:tc>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Конструкция</w:t>
            </w:r>
          </w:p>
        </w:tc>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Статус</w:t>
            </w:r>
          </w:p>
        </w:tc>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Допустимый вывод</w:t>
            </w:r>
          </w:p>
        </w:tc>
      </w:tr>
      <w:tr>
        <w:tc>
          <w:tcPr>
            <w:tcW w:type="dxa" w:w="936"/>
            <w:vAlign w:val="center"/>
            <w:tcMar>
              <w:top w:w="85" w:type="dxa"/>
              <w:start w:w="95" w:type="dxa"/>
              <w:bottom w:w="85" w:type="dxa"/>
              <w:end w:w="95" w:type="dxa"/>
            </w:tcMar>
          </w:tcPr>
          <w:p>
            <w:pPr>
              <w:jc w:val="left"/>
            </w:pPr>
            <w:r>
              <w:rPr>
                <w:rFonts w:ascii="Liberation Serif" w:hAnsi="Liberation Serif" w:eastAsia="Liberation Serif"/>
                <w:b w:val="0"/>
                <w:sz w:val="17"/>
              </w:rPr>
              <w:t>D0</w:t>
            </w:r>
          </w:p>
        </w:tc>
        <w:tc>
          <w:tcPr>
            <w:tcW w:type="dxa" w:w="3096"/>
            <w:vAlign w:val="center"/>
            <w:tcMar>
              <w:top w:w="85" w:type="dxa"/>
              <w:start w:w="95" w:type="dxa"/>
              <w:bottom w:w="85" w:type="dxa"/>
              <w:end w:w="95" w:type="dxa"/>
            </w:tcMar>
          </w:tcPr>
          <w:p>
            <w:pPr>
              <w:jc w:val="left"/>
            </w:pPr>
            <w:r>
              <w:rPr>
                <w:rFonts w:ascii="Liberation Serif" w:hAnsi="Liberation Serif" w:eastAsia="Liberation Serif"/>
                <w:b w:val="0"/>
                <w:sz w:val="17"/>
              </w:rPr>
              <w:t>Yoneda/representable duality</w:t>
            </w:r>
          </w:p>
        </w:tc>
        <w:tc>
          <w:tcPr>
            <w:tcW w:type="dxa" w:w="1296"/>
            <w:vAlign w:val="center"/>
            <w:tcMar>
              <w:top w:w="85" w:type="dxa"/>
              <w:start w:w="95" w:type="dxa"/>
              <w:bottom w:w="85" w:type="dxa"/>
              <w:end w:w="95" w:type="dxa"/>
            </w:tcMar>
          </w:tcPr>
          <w:p>
            <w:pPr>
              <w:jc w:val="center"/>
            </w:pPr>
            <w:r>
              <w:rPr>
                <w:rFonts w:ascii="Liberation Serif" w:hAnsi="Liberation Serif" w:eastAsia="Liberation Serif"/>
                <w:b/>
                <w:color w:val="2E6B57"/>
                <w:sz w:val="17"/>
              </w:rPr>
              <w:t>THM</w:t>
            </w:r>
          </w:p>
        </w:tc>
        <w:tc>
          <w:tcPr>
            <w:tcW w:type="dxa" w:w="5328"/>
            <w:vAlign w:val="center"/>
            <w:tcMar>
              <w:top w:w="85" w:type="dxa"/>
              <w:start w:w="95" w:type="dxa"/>
              <w:bottom w:w="85" w:type="dxa"/>
              <w:end w:w="95" w:type="dxa"/>
            </w:tcMar>
          </w:tcPr>
          <w:p>
            <w:pPr>
              <w:jc w:val="left"/>
            </w:pPr>
            <w:r>
              <w:rPr>
                <w:rFonts w:ascii="Liberation Serif" w:hAnsi="Liberation Serif" w:eastAsia="Liberation Serif"/>
                <w:b w:val="0"/>
                <w:sz w:val="17"/>
              </w:rPr>
              <w:t>Алгебра полностью кодируется своим функтором точек в представимом слое.</w:t>
            </w:r>
          </w:p>
        </w:tc>
      </w:tr>
      <w:tr>
        <w:tc>
          <w:tcPr>
            <w:tcW w:type="dxa" w:w="936"/>
            <w:vAlign w:val="center"/>
            <w:tcMar>
              <w:top w:w="85" w:type="dxa"/>
              <w:start w:w="95" w:type="dxa"/>
              <w:bottom w:w="85" w:type="dxa"/>
              <w:end w:w="95" w:type="dxa"/>
            </w:tcMar>
            <w:shd w:fill="F4F7FB"/>
          </w:tcPr>
          <w:p>
            <w:pPr>
              <w:jc w:val="left"/>
            </w:pPr>
            <w:r>
              <w:rPr>
                <w:rFonts w:ascii="Liberation Serif" w:hAnsi="Liberation Serif" w:eastAsia="Liberation Serif"/>
                <w:b w:val="0"/>
                <w:sz w:val="17"/>
              </w:rPr>
              <w:t>D1</w:t>
            </w:r>
          </w:p>
        </w:tc>
        <w:tc>
          <w:tcPr>
            <w:tcW w:type="dxa" w:w="3096"/>
            <w:vAlign w:val="center"/>
            <w:tcMar>
              <w:top w:w="85" w:type="dxa"/>
              <w:start w:w="95" w:type="dxa"/>
              <w:bottom w:w="85" w:type="dxa"/>
              <w:end w:w="95" w:type="dxa"/>
            </w:tcMar>
            <w:shd w:fill="F4F7FB"/>
          </w:tcPr>
          <w:p>
            <w:pPr>
              <w:jc w:val="left"/>
            </w:pPr>
            <w:r>
              <w:rPr>
                <w:rFonts w:ascii="Liberation Serif" w:hAnsi="Liberation Serif" w:eastAsia="Liberation Serif"/>
                <w:b w:val="0"/>
                <w:sz w:val="17"/>
              </w:rPr>
              <w:t>Spec_R - Gamma_R adjunction</w:t>
            </w:r>
          </w:p>
        </w:tc>
        <w:tc>
          <w:tcPr>
            <w:tcW w:type="dxa" w:w="1296"/>
            <w:vAlign w:val="center"/>
            <w:tcMar>
              <w:top w:w="85" w:type="dxa"/>
              <w:start w:w="95" w:type="dxa"/>
              <w:bottom w:w="85" w:type="dxa"/>
              <w:end w:w="95" w:type="dxa"/>
            </w:tcMar>
            <w:shd w:fill="F4F7FB"/>
          </w:tcPr>
          <w:p>
            <w:pPr>
              <w:jc w:val="center"/>
            </w:pPr>
            <w:r>
              <w:rPr>
                <w:rFonts w:ascii="Liberation Serif" w:hAnsi="Liberation Serif" w:eastAsia="Liberation Serif"/>
                <w:b/>
                <w:color w:val="9C2F2F"/>
                <w:sz w:val="17"/>
              </w:rPr>
              <w:t>COND</w:t>
            </w:r>
          </w:p>
        </w:tc>
        <w:tc>
          <w:tcPr>
            <w:tcW w:type="dxa" w:w="53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Существует естественное соответствие геометрических стрелок и алгебраических морфизмов при заданных гипотезах.</w:t>
            </w:r>
          </w:p>
        </w:tc>
      </w:tr>
      <w:tr>
        <w:tc>
          <w:tcPr>
            <w:tcW w:type="dxa" w:w="936"/>
            <w:vAlign w:val="center"/>
            <w:tcMar>
              <w:top w:w="85" w:type="dxa"/>
              <w:start w:w="95" w:type="dxa"/>
              <w:bottom w:w="85" w:type="dxa"/>
              <w:end w:w="95" w:type="dxa"/>
            </w:tcMar>
          </w:tcPr>
          <w:p>
            <w:pPr>
              <w:jc w:val="left"/>
            </w:pPr>
            <w:r>
              <w:rPr>
                <w:rFonts w:ascii="Liberation Serif" w:hAnsi="Liberation Serif" w:eastAsia="Liberation Serif"/>
                <w:b w:val="0"/>
                <w:sz w:val="17"/>
              </w:rPr>
              <w:t>D2</w:t>
            </w:r>
          </w:p>
        </w:tc>
        <w:tc>
          <w:tcPr>
            <w:tcW w:type="dxa" w:w="3096"/>
            <w:vAlign w:val="center"/>
            <w:tcMar>
              <w:top w:w="85" w:type="dxa"/>
              <w:start w:w="95" w:type="dxa"/>
              <w:bottom w:w="85" w:type="dxa"/>
              <w:end w:w="95" w:type="dxa"/>
            </w:tcMar>
          </w:tcPr>
          <w:p>
            <w:pPr>
              <w:jc w:val="left"/>
            </w:pPr>
            <w:r>
              <w:rPr>
                <w:rFonts w:ascii="Liberation Serif" w:hAnsi="Liberation Serif" w:eastAsia="Liberation Serif"/>
                <w:b w:val="0"/>
                <w:sz w:val="17"/>
              </w:rPr>
              <w:t>Reconstruction anti-equivalence</w:t>
            </w:r>
          </w:p>
        </w:tc>
        <w:tc>
          <w:tcPr>
            <w:tcW w:type="dxa" w:w="1296"/>
            <w:vAlign w:val="center"/>
            <w:tcMar>
              <w:top w:w="85" w:type="dxa"/>
              <w:start w:w="95" w:type="dxa"/>
              <w:bottom w:w="85" w:type="dxa"/>
              <w:end w:w="95" w:type="dxa"/>
            </w:tcMar>
          </w:tcPr>
          <w:p>
            <w:pPr>
              <w:jc w:val="center"/>
            </w:pPr>
            <w:r>
              <w:rPr>
                <w:rFonts w:ascii="Liberation Serif" w:hAnsi="Liberation Serif" w:eastAsia="Liberation Serif"/>
                <w:b/>
                <w:color w:val="2F5597"/>
                <w:sz w:val="17"/>
              </w:rPr>
              <w:t>COND/THM</w:t>
            </w:r>
          </w:p>
        </w:tc>
        <w:tc>
          <w:tcPr>
            <w:tcW w:type="dxa" w:w="5328"/>
            <w:vAlign w:val="center"/>
            <w:tcMar>
              <w:top w:w="85" w:type="dxa"/>
              <w:start w:w="95" w:type="dxa"/>
              <w:bottom w:w="85" w:type="dxa"/>
              <w:end w:w="95" w:type="dxa"/>
            </w:tcMar>
          </w:tcPr>
          <w:p>
            <w:pPr>
              <w:jc w:val="left"/>
            </w:pPr>
            <w:r>
              <w:rPr>
                <w:rFonts w:ascii="Liberation Serif" w:hAnsi="Liberation Serif" w:eastAsia="Liberation Serif"/>
                <w:b w:val="0"/>
                <w:sz w:val="17"/>
              </w:rPr>
              <w:t>На объектах с изоморфными unit/counit алгебра и геометрия взаимно восстанавливаются.</w:t>
            </w:r>
          </w:p>
        </w:tc>
      </w:tr>
      <w:tr>
        <w:tc>
          <w:tcPr>
            <w:tcW w:type="dxa" w:w="936"/>
            <w:vAlign w:val="center"/>
            <w:tcMar>
              <w:top w:w="85" w:type="dxa"/>
              <w:start w:w="95" w:type="dxa"/>
              <w:bottom w:w="85" w:type="dxa"/>
              <w:end w:w="95" w:type="dxa"/>
            </w:tcMar>
            <w:shd w:fill="F4F7FB"/>
          </w:tcPr>
          <w:p>
            <w:pPr>
              <w:jc w:val="left"/>
            </w:pPr>
            <w:r>
              <w:rPr>
                <w:rFonts w:ascii="Liberation Serif" w:hAnsi="Liberation Serif" w:eastAsia="Liberation Serif"/>
                <w:b w:val="0"/>
                <w:sz w:val="17"/>
              </w:rPr>
              <w:t>D3</w:t>
            </w:r>
          </w:p>
        </w:tc>
        <w:tc>
          <w:tcPr>
            <w:tcW w:type="dxa" w:w="3096"/>
            <w:vAlign w:val="center"/>
            <w:tcMar>
              <w:top w:w="85" w:type="dxa"/>
              <w:start w:w="95" w:type="dxa"/>
              <w:bottom w:w="85" w:type="dxa"/>
              <w:end w:w="95" w:type="dxa"/>
            </w:tcMar>
            <w:shd w:fill="F4F7FB"/>
          </w:tcPr>
          <w:p>
            <w:pPr>
              <w:jc w:val="left"/>
            </w:pPr>
            <w:r>
              <w:rPr>
                <w:rFonts w:ascii="Liberation Serif" w:hAnsi="Liberation Serif" w:eastAsia="Liberation Serif"/>
                <w:b w:val="0"/>
                <w:sz w:val="17"/>
              </w:rPr>
              <w:t>Predictive dual transport</w:t>
            </w:r>
          </w:p>
        </w:tc>
        <w:tc>
          <w:tcPr>
            <w:tcW w:type="dxa" w:w="1296"/>
            <w:vAlign w:val="center"/>
            <w:tcMar>
              <w:top w:w="85" w:type="dxa"/>
              <w:start w:w="95" w:type="dxa"/>
              <w:bottom w:w="85" w:type="dxa"/>
              <w:end w:w="95" w:type="dxa"/>
            </w:tcMar>
            <w:shd w:fill="F4F7FB"/>
          </w:tcPr>
          <w:p>
            <w:pPr>
              <w:jc w:val="center"/>
            </w:pPr>
            <w:r>
              <w:rPr>
                <w:rFonts w:ascii="Liberation Serif" w:hAnsi="Liberation Serif" w:eastAsia="Liberation Serif"/>
                <w:b/>
                <w:color w:val="9C2F2F"/>
                <w:sz w:val="17"/>
              </w:rPr>
              <w:t>COND</w:t>
            </w:r>
          </w:p>
        </w:tc>
        <w:tc>
          <w:tcPr>
            <w:tcW w:type="dxa" w:w="53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Ранговый горизонт и harmonic gate переносятся между слоями только при нулевом реконструкционном дефекте.</w:t>
            </w:r>
          </w:p>
        </w:tc>
      </w:tr>
    </w:tbl>
    <w:p>
      <w:pPr>
        <w:spacing w:after="40"/>
      </w:pPr>
    </w:p>
    <w:p>
      <w:pPr>
        <w:pStyle w:val="Heading1"/>
        <w:spacing w:before="200" w:after="100"/>
        <w:keepNext/>
      </w:pPr>
      <w:r>
        <w:rPr>
          <w:rFonts w:ascii="Liberation Sans" w:hAnsi="Liberation Sans" w:eastAsia="Liberation Sans"/>
          <w:b/>
          <w:color w:val="17365D"/>
          <w:sz w:val="36"/>
        </w:rPr>
        <w:t>25. Глава 6. Пакетно-реперная алгебро-геометрическая двойственность</w:t>
      </w:r>
    </w:p>
    <w:p>
      <w:pPr>
        <w:pStyle w:val="Heading2"/>
        <w:spacing w:before="140" w:after="100"/>
        <w:keepNext/>
      </w:pPr>
      <w:r>
        <w:rPr>
          <w:rFonts w:ascii="Liberation Sans" w:hAnsi="Liberation Sans" w:eastAsia="Liberation Sans"/>
          <w:b/>
          <w:color w:val="2F5597"/>
          <w:sz w:val="26"/>
        </w:rPr>
        <w:t>25.1. Граница prior art и авторской конструкции</w:t>
      </w:r>
    </w:p>
    <w:p>
      <w:pPr>
        <w:spacing w:after="80" w:before="0" w:line="269" w:lineRule="auto"/>
      </w:pPr>
      <w:r>
        <w:rPr>
          <w:rFonts w:ascii="Liberation Serif" w:hAnsi="Liberation Serif" w:eastAsia="Liberation Serif"/>
          <w:i w:val="0"/>
          <w:sz w:val="20"/>
        </w:rPr>
        <w:t>Классическая математика содержит несколько различных, несводимых друг к другу парадигм двойственности: антиэквивалентность коммутативных колец и аффинных схем; восстановление компактного пространства по коммутативной C*-алгебре; соответствие векторных расслоений и конечнопорождённых проективных модулей; реконструкцию объекта по функтору Hom. Настоящая глава не переименовывает эти результаты и не заявляет их как авторские.</w:t>
      </w:r>
    </w:p>
    <w:p>
      <w:pPr>
        <w:spacing w:after="80" w:before="0" w:line="269" w:lineRule="auto"/>
      </w:pPr>
      <w:r>
        <w:rPr>
          <w:rFonts w:ascii="Liberation Serif" w:hAnsi="Liberation Serif" w:eastAsia="Liberation Serif"/>
          <w:i w:val="0"/>
          <w:sz w:val="20"/>
        </w:rPr>
        <w:t>Авторская конструкция Тома II состоит в их дисциплинированном переносе в NAPG: вводятся представимый функтор пакетно-реперных точек, реконструкционный дефект, projective Reper-атлас, согласование алгебраического и геометрического детерминантных горизонтов и blocker-safe правило прогнозного переноса.</w:t>
      </w:r>
    </w:p>
    <w:tbl>
      <w:tblPr>
        <w:tblStyle w:val="TableGrid"/>
        <w:tblW w:type="auto" w:w="0"/>
        <w:jc w:val="center"/>
        <w:tblLayout w:type="fixed"/>
        <w:tblLook w:firstColumn="1" w:firstRow="1" w:lastColumn="0" w:lastRow="0" w:noHBand="0" w:noVBand="1" w:val="04A0"/>
      </w:tblPr>
      <w:tblGrid>
        <w:gridCol w:w="1944"/>
        <w:gridCol w:w="4032"/>
        <w:gridCol w:w="4680"/>
      </w:tblGrid>
      <w:tr>
        <w:trPr>
          <w:tblHeader w:val="true"/>
        </w:trPr>
        <w:tc>
          <w:tcPr>
            <w:tcW w:type="dxa" w:w="3251"/>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Классическая линия</w:t>
            </w:r>
          </w:p>
        </w:tc>
        <w:tc>
          <w:tcPr>
            <w:tcW w:type="dxa" w:w="3251"/>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Что импортируется</w:t>
            </w:r>
          </w:p>
        </w:tc>
        <w:tc>
          <w:tcPr>
            <w:tcW w:type="dxa" w:w="3251"/>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Что не переносится автоматически</w:t>
            </w:r>
          </w:p>
        </w:tc>
      </w:tr>
      <w:tr>
        <w:tc>
          <w:tcPr>
            <w:tcW w:type="dxa" w:w="1944"/>
            <w:vAlign w:val="center"/>
            <w:tcMar>
              <w:top w:w="85" w:type="dxa"/>
              <w:start w:w="95" w:type="dxa"/>
              <w:bottom w:w="85" w:type="dxa"/>
              <w:end w:w="95" w:type="dxa"/>
            </w:tcMar>
          </w:tcPr>
          <w:p>
            <w:pPr>
              <w:jc w:val="left"/>
            </w:pPr>
            <w:r>
              <w:rPr>
                <w:rFonts w:ascii="Liberation Serif" w:hAnsi="Liberation Serif" w:eastAsia="Liberation Serif"/>
                <w:sz w:val="17"/>
              </w:rPr>
              <w:t>Аффинные схемы</w:t>
            </w:r>
          </w:p>
        </w:tc>
        <w:tc>
          <w:tcPr>
            <w:tcW w:type="dxa" w:w="4032"/>
            <w:vAlign w:val="center"/>
            <w:tcMar>
              <w:top w:w="85" w:type="dxa"/>
              <w:start w:w="95" w:type="dxa"/>
              <w:bottom w:w="85" w:type="dxa"/>
              <w:end w:w="95" w:type="dxa"/>
            </w:tcMar>
          </w:tcPr>
          <w:p>
            <w:pPr>
              <w:jc w:val="left"/>
            </w:pPr>
            <w:r>
              <w:rPr>
                <w:rFonts w:ascii="Liberation Serif" w:hAnsi="Liberation Serif" w:eastAsia="Liberation Serif"/>
                <w:sz w:val="17"/>
              </w:rPr>
              <w:t>Контравариантность Spec и восстановление по глобальным сечениям на аффинном слое.</w:t>
            </w:r>
          </w:p>
        </w:tc>
        <w:tc>
          <w:tcPr>
            <w:tcW w:type="dxa" w:w="4680"/>
            <w:vAlign w:val="center"/>
            <w:tcMar>
              <w:top w:w="85" w:type="dxa"/>
              <w:start w:w="95" w:type="dxa"/>
              <w:bottom w:w="85" w:type="dxa"/>
              <w:end w:w="95" w:type="dxa"/>
            </w:tcMar>
          </w:tcPr>
          <w:p>
            <w:pPr>
              <w:jc w:val="left"/>
            </w:pPr>
            <w:r>
              <w:rPr>
                <w:rFonts w:ascii="Liberation Serif" w:hAnsi="Liberation Serif" w:eastAsia="Liberation Serif"/>
                <w:sz w:val="17"/>
              </w:rPr>
              <w:t>Некоммутативная или неассоциативная алгебра не получает канонический scheme-spectrum без дополнительной конструкции.</w:t>
            </w:r>
          </w:p>
        </w:tc>
      </w:tr>
      <w:tr>
        <w:tc>
          <w:tcPr>
            <w:tcW w:type="dxa" w:w="1944"/>
            <w:vAlign w:val="center"/>
            <w:tcMar>
              <w:top w:w="85" w:type="dxa"/>
              <w:start w:w="95" w:type="dxa"/>
              <w:bottom w:w="85" w:type="dxa"/>
              <w:end w:w="95" w:type="dxa"/>
            </w:tcMar>
            <w:shd w:fill="F4F7FB"/>
          </w:tcPr>
          <w:p>
            <w:pPr>
              <w:jc w:val="left"/>
            </w:pPr>
            <w:r>
              <w:rPr>
                <w:rFonts w:ascii="Liberation Serif" w:hAnsi="Liberation Serif" w:eastAsia="Liberation Serif"/>
                <w:sz w:val="17"/>
              </w:rPr>
              <w:t>Гельфанд–Наймарк</w:t>
            </w:r>
          </w:p>
        </w:tc>
        <w:tc>
          <w:tcPr>
            <w:tcW w:type="dxa" w:w="4032"/>
            <w:vAlign w:val="center"/>
            <w:tcMar>
              <w:top w:w="85" w:type="dxa"/>
              <w:start w:w="95" w:type="dxa"/>
              <w:bottom w:w="85" w:type="dxa"/>
              <w:end w:w="95" w:type="dxa"/>
            </w:tcMar>
            <w:shd w:fill="F4F7FB"/>
          </w:tcPr>
          <w:p>
            <w:pPr>
              <w:jc w:val="left"/>
            </w:pPr>
            <w:r>
              <w:rPr>
                <w:rFonts w:ascii="Liberation Serif" w:hAnsi="Liberation Serif" w:eastAsia="Liberation Serif"/>
                <w:sz w:val="17"/>
              </w:rPr>
              <w:t>Идея восстановления пространства из функциональной алгебры.</w:t>
            </w:r>
          </w:p>
        </w:tc>
        <w:tc>
          <w:tcPr>
            <w:tcW w:type="dxa" w:w="4680"/>
            <w:vAlign w:val="center"/>
            <w:tcMar>
              <w:top w:w="85" w:type="dxa"/>
              <w:start w:w="95" w:type="dxa"/>
              <w:bottom w:w="85" w:type="dxa"/>
              <w:end w:w="95" w:type="dxa"/>
            </w:tcMar>
            <w:shd w:fill="F4F7FB"/>
          </w:tcPr>
          <w:p>
            <w:pPr>
              <w:jc w:val="left"/>
            </w:pPr>
            <w:r>
              <w:rPr>
                <w:rFonts w:ascii="Liberation Serif" w:hAnsi="Liberation Serif" w:eastAsia="Liberation Serif"/>
                <w:sz w:val="17"/>
              </w:rPr>
              <w:t>Топологическая C*-структура, положительность и involution не присутствуют в общем NAPG-ядре.</w:t>
            </w:r>
          </w:p>
        </w:tc>
      </w:tr>
      <w:tr>
        <w:tc>
          <w:tcPr>
            <w:tcW w:type="dxa" w:w="1944"/>
            <w:vAlign w:val="center"/>
            <w:tcMar>
              <w:top w:w="85" w:type="dxa"/>
              <w:start w:w="95" w:type="dxa"/>
              <w:bottom w:w="85" w:type="dxa"/>
              <w:end w:w="95" w:type="dxa"/>
            </w:tcMar>
          </w:tcPr>
          <w:p>
            <w:pPr>
              <w:jc w:val="left"/>
            </w:pPr>
            <w:r>
              <w:rPr>
                <w:rFonts w:ascii="Liberation Serif" w:hAnsi="Liberation Serif" w:eastAsia="Liberation Serif"/>
                <w:sz w:val="17"/>
              </w:rPr>
              <w:t>Серр–Суон</w:t>
            </w:r>
          </w:p>
        </w:tc>
        <w:tc>
          <w:tcPr>
            <w:tcW w:type="dxa" w:w="4032"/>
            <w:vAlign w:val="center"/>
            <w:tcMar>
              <w:top w:w="85" w:type="dxa"/>
              <w:start w:w="95" w:type="dxa"/>
              <w:bottom w:w="85" w:type="dxa"/>
              <w:end w:w="95" w:type="dxa"/>
            </w:tcMar>
          </w:tcPr>
          <w:p>
            <w:pPr>
              <w:jc w:val="left"/>
            </w:pPr>
            <w:r>
              <w:rPr>
                <w:rFonts w:ascii="Liberation Serif" w:hAnsi="Liberation Serif" w:eastAsia="Liberation Serif"/>
                <w:sz w:val="17"/>
              </w:rPr>
              <w:t>Связь локальной геометрии расслоений с проективными модулями.</w:t>
            </w:r>
          </w:p>
        </w:tc>
        <w:tc>
          <w:tcPr>
            <w:tcW w:type="dxa" w:w="4680"/>
            <w:vAlign w:val="center"/>
            <w:tcMar>
              <w:top w:w="85" w:type="dxa"/>
              <w:start w:w="95" w:type="dxa"/>
              <w:bottom w:w="85" w:type="dxa"/>
              <w:end w:w="95" w:type="dxa"/>
            </w:tcMar>
          </w:tcPr>
          <w:p>
            <w:pPr>
              <w:jc w:val="left"/>
            </w:pPr>
            <w:r>
              <w:rPr>
                <w:rFonts w:ascii="Liberation Serif" w:hAnsi="Liberation Serif" w:eastAsia="Liberation Serif"/>
                <w:sz w:val="17"/>
              </w:rPr>
              <w:t>Любой NAPG-модуль не является автоматически векторным расслоением.</w:t>
            </w:r>
          </w:p>
        </w:tc>
      </w:tr>
      <w:tr>
        <w:tc>
          <w:tcPr>
            <w:tcW w:type="dxa" w:w="1944"/>
            <w:vAlign w:val="center"/>
            <w:tcMar>
              <w:top w:w="85" w:type="dxa"/>
              <w:start w:w="95" w:type="dxa"/>
              <w:bottom w:w="85" w:type="dxa"/>
              <w:end w:w="95" w:type="dxa"/>
            </w:tcMar>
            <w:shd w:fill="F4F7FB"/>
          </w:tcPr>
          <w:p>
            <w:pPr>
              <w:jc w:val="left"/>
            </w:pPr>
            <w:r>
              <w:rPr>
                <w:rFonts w:ascii="Liberation Serif" w:hAnsi="Liberation Serif" w:eastAsia="Liberation Serif"/>
                <w:sz w:val="17"/>
              </w:rPr>
              <w:t>Йонеда</w:t>
            </w:r>
          </w:p>
        </w:tc>
        <w:tc>
          <w:tcPr>
            <w:tcW w:type="dxa" w:w="4032"/>
            <w:vAlign w:val="center"/>
            <w:tcMar>
              <w:top w:w="85" w:type="dxa"/>
              <w:start w:w="95" w:type="dxa"/>
              <w:bottom w:w="85" w:type="dxa"/>
              <w:end w:w="95" w:type="dxa"/>
            </w:tcMar>
            <w:shd w:fill="F4F7FB"/>
          </w:tcPr>
          <w:p>
            <w:pPr>
              <w:jc w:val="left"/>
            </w:pPr>
            <w:r>
              <w:rPr>
                <w:rFonts w:ascii="Liberation Serif" w:hAnsi="Liberation Serif" w:eastAsia="Liberation Serif"/>
                <w:sz w:val="17"/>
              </w:rPr>
              <w:t>Полная точность представимого Hom-функтора.</w:t>
            </w:r>
          </w:p>
        </w:tc>
        <w:tc>
          <w:tcPr>
            <w:tcW w:type="dxa" w:w="4680"/>
            <w:vAlign w:val="center"/>
            <w:tcMar>
              <w:top w:w="85" w:type="dxa"/>
              <w:start w:w="95" w:type="dxa"/>
              <w:bottom w:w="85" w:type="dxa"/>
              <w:end w:w="95" w:type="dxa"/>
            </w:tcMar>
            <w:shd w:fill="F4F7FB"/>
          </w:tcPr>
          <w:p>
            <w:pPr>
              <w:jc w:val="left"/>
            </w:pPr>
            <w:r>
              <w:rPr>
                <w:rFonts w:ascii="Liberation Serif" w:hAnsi="Liberation Serif" w:eastAsia="Liberation Serif"/>
                <w:sz w:val="17"/>
              </w:rPr>
              <w:t>Представимый функтор ещё не является обычным топологическим пространством.</w:t>
            </w:r>
          </w:p>
        </w:tc>
      </w:tr>
    </w:tbl>
    <w:p>
      <w:pPr>
        <w:spacing w:after="40"/>
      </w:pPr>
    </w:p>
    <w:p>
      <w:pPr>
        <w:pStyle w:val="Heading2"/>
        <w:spacing w:before="140" w:after="100"/>
        <w:keepNext/>
      </w:pPr>
      <w:r>
        <w:rPr>
          <w:rFonts w:ascii="Liberation Sans" w:hAnsi="Liberation Sans" w:eastAsia="Liberation Sans"/>
          <w:b/>
          <w:color w:val="2F5597"/>
          <w:sz w:val="26"/>
        </w:rPr>
        <w:t>25.2. Две различные двойственности</w:t>
      </w:r>
    </w:p>
    <w:p>
      <w:pPr>
        <w:spacing w:after="60"/>
      </w:pPr>
      <w:r>
        <w:rPr>
          <w:rFonts w:ascii="Liberation Sans" w:hAnsi="Liberation Sans" w:eastAsia="Liberation Sans"/>
          <w:b/>
          <w:color w:val="2F5597"/>
          <w:sz w:val="19"/>
        </w:rPr>
        <w:t>Определение 6.1. Представимая двойственность [DEF-A]</w:t>
      </w:r>
    </w:p>
    <w:p>
      <w:pPr>
        <w:spacing w:after="80" w:before="0" w:line="269" w:lineRule="auto"/>
      </w:pPr>
      <w:r>
        <w:rPr>
          <w:rFonts w:ascii="Liberation Serif" w:hAnsi="Liberation Serif" w:eastAsia="Liberation Serif"/>
          <w:i w:val="0"/>
          <w:sz w:val="20"/>
        </w:rPr>
        <w:t>Пусть 𝒞 = NAPG_q^fin — малая категория конечномерных объектов NAPG_q с морфизмами, удовлетворяющими четырём совместимостям главы 3. Для A∈Ob(𝒞) определим ковариантный функтор точек</w:t>
      </w:r>
    </w:p>
    <w:p>
      <w:pPr>
        <w:spacing w:before="60" w:after="100" w:line="240" w:lineRule="auto"/>
        <w:jc w:val="center"/>
      </w:pPr>
      <w:r>
        <w:rPr>
          <w:rFonts w:ascii="Cambria Math" w:hAnsi="Cambria Math" w:eastAsia="Cambria Math"/>
          <w:sz w:val="22"/>
        </w:rPr>
        <w:t>h_A : 𝒞 → Set,        h_A(T) = Hom_𝒞(A,T).</w:t>
      </w:r>
    </w:p>
    <w:p>
      <w:pPr>
        <w:spacing w:after="80" w:before="0" w:line="269" w:lineRule="auto"/>
      </w:pPr>
      <w:r>
        <w:rPr>
          <w:rFonts w:ascii="Liberation Serif" w:hAnsi="Liberation Serif" w:eastAsia="Liberation Serif"/>
          <w:i w:val="0"/>
          <w:sz w:val="20"/>
        </w:rPr>
        <w:t>Алгебраический морфизм f:A→B индуцирует естественное преобразование h_f:h_B→h_A, заданное предварительной композицией h_f(T)(g)=g∘f. Поэтому A↦h_A является контравариантным отображением алгебр в геометрические функторы.</w:t>
      </w:r>
    </w:p>
    <w:p>
      <w:pPr>
        <w:spacing w:after="60"/>
      </w:pPr>
      <w:r>
        <w:rPr>
          <w:rFonts w:ascii="Liberation Sans" w:hAnsi="Liberation Sans" w:eastAsia="Liberation Sans"/>
          <w:b/>
          <w:color w:val="2F5597"/>
          <w:sz w:val="19"/>
        </w:rPr>
        <w:t>Определение 6.2. Пространственная двойственность [DEF-A]</w:t>
      </w:r>
    </w:p>
    <w:p>
      <w:pPr>
        <w:spacing w:after="80" w:before="0" w:line="269" w:lineRule="auto"/>
      </w:pPr>
      <w:r>
        <w:rPr>
          <w:rFonts w:ascii="Liberation Serif" w:hAnsi="Liberation Serif" w:eastAsia="Liberation Serif"/>
          <w:i w:val="0"/>
          <w:sz w:val="20"/>
        </w:rPr>
        <w:t>Пространственная двойственность требует иной категории Geo_R, объекты которой имеют носитель, локальные карты, структурный пучок, пакетно-реперные данные и правила склейки. Она задаётся парой контравариантных функторов Spec_R и Gamma_R и не выводится из одного лишь существования h_A.</w:t>
      </w:r>
    </w:p>
    <w:p>
      <w:pPr>
        <w:spacing w:before="60" w:after="100" w:line="240" w:lineRule="auto"/>
        <w:jc w:val="center"/>
      </w:pPr>
      <w:r>
        <w:rPr>
          <w:rFonts w:ascii="Cambria Math" w:hAnsi="Cambria Math" w:eastAsia="Cambria Math"/>
          <w:sz w:val="22"/>
        </w:rPr>
        <w:t>Spec_R : Alg_R → Geo_R^op,        Gamma_R : Geo_R^op → Alg_R.</w:t>
      </w:r>
    </w:p>
    <w:tbl>
      <w:tblPr>
        <w:tblStyle w:val="TableGrid"/>
        <w:tblW w:type="auto" w:w="0"/>
        <w:jc w:val="center"/>
        <w:tblLayout w:type="fixed"/>
        <w:tblLook w:firstColumn="1" w:firstRow="1" w:lastColumn="0" w:lastRow="0" w:noHBand="0" w:noVBand="1" w:val="04A0"/>
      </w:tblPr>
      <w:tblGrid>
        <w:gridCol w:w="2088"/>
        <w:gridCol w:w="8568"/>
      </w:tblGrid>
      <w:tr>
        <w:tc>
          <w:tcPr>
            <w:tcW w:type="dxa" w:w="9752"/>
            <w:gridSpan w:val="2"/>
            <w:shd w:fill="17365D"/>
          </w:tcPr>
          <w:p>
            <w:pPr>
              <w:jc w:val="center"/>
            </w:pPr>
            <w:r>
              <w:rPr>
                <w:rFonts w:ascii="Liberation Sans" w:hAnsi="Liberation Sans" w:eastAsia="Liberation Sans"/>
                <w:b/>
                <w:color w:val="FFFFFF"/>
                <w:sz w:val="21"/>
              </w:rPr>
              <w:t>Ограничительный блок: слово «двойственность»</w:t>
            </w:r>
          </w:p>
        </w:tc>
      </w:tr>
      <w:tr>
        <w:tc>
          <w:tcPr>
            <w:tcW w:type="dxa" w:w="4876"/>
            <w:shd w:fill="FFF6DF"/>
            <w:vAlign w:val="center"/>
            <w:tcMar>
              <w:top w:w="100" w:type="dxa"/>
              <w:start w:w="130" w:type="dxa"/>
              <w:bottom w:w="100" w:type="dxa"/>
              <w:end w:w="130" w:type="dxa"/>
            </w:tcMar>
          </w:tcPr>
          <w:p>
            <w:pPr>
              <w:jc w:val="center"/>
            </w:pPr>
            <w:r>
              <w:rPr>
                <w:rFonts w:ascii="Liberation Sans" w:hAnsi="Liberation Sans" w:eastAsia="Liberation Sans"/>
                <w:b/>
                <w:color w:val="17365D"/>
                <w:sz w:val="18"/>
              </w:rPr>
              <w:t>Запрет 1</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Полная точность функторного описания не означает существования обычного множества точек с топологией.</w:t>
            </w:r>
          </w:p>
        </w:tc>
      </w:tr>
      <w:tr>
        <w:tc>
          <w:tcPr>
            <w:tcW w:type="dxa" w:w="4876"/>
            <w:shd w:fill="FFF6DF"/>
            <w:vAlign w:val="center"/>
            <w:tcMar>
              <w:top w:w="100" w:type="dxa"/>
              <w:start w:w="130" w:type="dxa"/>
              <w:bottom w:w="100" w:type="dxa"/>
              <w:end w:w="130" w:type="dxa"/>
            </w:tcMar>
          </w:tcPr>
          <w:p>
            <w:pPr>
              <w:jc w:val="center"/>
            </w:pPr>
            <w:r>
              <w:rPr>
                <w:rFonts w:ascii="Liberation Sans" w:hAnsi="Liberation Sans" w:eastAsia="Liberation Sans"/>
                <w:b/>
                <w:color w:val="17365D"/>
                <w:sz w:val="18"/>
              </w:rPr>
              <w:t>Запрет 2</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Совпадение множеств характеров не означает изоморфизма алгебр.</w:t>
            </w:r>
          </w:p>
        </w:tc>
      </w:tr>
      <w:tr>
        <w:tc>
          <w:tcPr>
            <w:tcW w:type="dxa" w:w="4876"/>
            <w:shd w:fill="FFF6DF"/>
            <w:vAlign w:val="center"/>
            <w:tcMar>
              <w:top w:w="100" w:type="dxa"/>
              <w:start w:w="130" w:type="dxa"/>
              <w:bottom w:w="100" w:type="dxa"/>
              <w:end w:w="130" w:type="dxa"/>
            </w:tcMar>
          </w:tcPr>
          <w:p>
            <w:pPr>
              <w:jc w:val="center"/>
            </w:pPr>
            <w:r>
              <w:rPr>
                <w:rFonts w:ascii="Liberation Sans" w:hAnsi="Liberation Sans" w:eastAsia="Liberation Sans"/>
                <w:b/>
                <w:color w:val="17365D"/>
                <w:sz w:val="18"/>
              </w:rPr>
              <w:t>Запрет 3</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Существование сопряжённой пары не означает, что unit и counit изоморфны.</w:t>
            </w:r>
          </w:p>
        </w:tc>
      </w:tr>
      <w:tr>
        <w:tc>
          <w:tcPr>
            <w:tcW w:type="dxa" w:w="4876"/>
            <w:shd w:fill="FFF6DF"/>
            <w:vAlign w:val="center"/>
            <w:tcMar>
              <w:top w:w="100" w:type="dxa"/>
              <w:start w:w="130" w:type="dxa"/>
              <w:bottom w:w="100" w:type="dxa"/>
              <w:end w:w="130" w:type="dxa"/>
            </w:tcMar>
          </w:tcPr>
          <w:p>
            <w:pPr>
              <w:jc w:val="center"/>
            </w:pPr>
            <w:r>
              <w:rPr>
                <w:rFonts w:ascii="Liberation Sans" w:hAnsi="Liberation Sans" w:eastAsia="Liberation Sans"/>
                <w:b/>
                <w:color w:val="17365D"/>
                <w:sz w:val="18"/>
              </w:rPr>
              <w:t>Запрет 4</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Антиэквивалентность статических категорий не задаёт закон эволюции параметра.</w:t>
            </w:r>
          </w:p>
        </w:tc>
      </w:tr>
    </w:tbl>
    <w:p>
      <w:pPr>
        <w:spacing w:after="40"/>
      </w:pPr>
    </w:p>
    <w:p>
      <w:pPr>
        <w:pStyle w:val="Heading1"/>
        <w:spacing w:before="200" w:after="100"/>
        <w:keepNext/>
      </w:pPr>
      <w:r>
        <w:rPr>
          <w:rFonts w:ascii="Liberation Sans" w:hAnsi="Liberation Sans" w:eastAsia="Liberation Sans"/>
          <w:b/>
          <w:color w:val="17365D"/>
          <w:sz w:val="36"/>
        </w:rPr>
        <w:t>26. Безопасная представимая двойственность Йонеды</w:t>
      </w:r>
    </w:p>
    <w:p>
      <w:pPr>
        <w:pStyle w:val="Heading2"/>
        <w:spacing w:before="140" w:after="100"/>
        <w:keepNext/>
      </w:pPr>
      <w:r>
        <w:rPr>
          <w:rFonts w:ascii="Liberation Sans" w:hAnsi="Liberation Sans" w:eastAsia="Liberation Sans"/>
          <w:b/>
          <w:color w:val="2F5597"/>
          <w:sz w:val="26"/>
        </w:rPr>
        <w:t>26.1. Теорема полной точности</w:t>
      </w:r>
    </w:p>
    <w:p>
      <w:pPr>
        <w:spacing w:after="60"/>
      </w:pPr>
      <w:r>
        <w:rPr>
          <w:rFonts w:ascii="Liberation Sans" w:hAnsi="Liberation Sans" w:eastAsia="Liberation Sans"/>
          <w:b/>
          <w:color w:val="2E6B57"/>
          <w:sz w:val="19"/>
        </w:rPr>
        <w:t>Теорема 6.3. Yoneda-safe anti-equivalence [THM]</w:t>
      </w:r>
    </w:p>
    <w:p>
      <w:pPr>
        <w:spacing w:after="80" w:before="0" w:line="269" w:lineRule="auto"/>
      </w:pPr>
      <w:r>
        <w:rPr>
          <w:rFonts w:ascii="Liberation Serif" w:hAnsi="Liberation Serif" w:eastAsia="Liberation Serif"/>
          <w:i w:val="0"/>
          <w:sz w:val="20"/>
        </w:rPr>
        <w:t>Функтор Spec_Y:𝒞^op→Set^𝒞, определённый формулой Spec_Y(A)=h_A, является полным и точным. Его существенный образ Aff_NAPG^rep образует категорию представимых NAPG-геометрий, и Spec_Y задаёт антиэквивалентность</w:t>
      </w:r>
    </w:p>
    <w:p>
      <w:pPr>
        <w:spacing w:before="60" w:after="100" w:line="240" w:lineRule="auto"/>
        <w:jc w:val="center"/>
      </w:pPr>
      <w:r>
        <w:rPr>
          <w:rFonts w:ascii="Cambria Math" w:hAnsi="Cambria Math" w:eastAsia="Cambria Math"/>
          <w:sz w:val="22"/>
        </w:rPr>
        <w:t>𝒞^op  ≃  Aff_NAPG^rep.</w:t>
      </w:r>
    </w:p>
    <w:p>
      <w:pPr>
        <w:spacing w:after="80" w:before="0" w:line="269" w:lineRule="auto"/>
      </w:pPr>
      <w:r>
        <w:rPr>
          <w:rFonts w:ascii="Liberation Serif" w:hAnsi="Liberation Serif" w:eastAsia="Liberation Serif"/>
          <w:i w:val="0"/>
          <w:sz w:val="20"/>
        </w:rPr>
        <w:t>Доказательство. Для A,B∈𝒞 лемма Йонеды даёт естественную биекцию Nat(h_B,h_A)≅Hom_𝒞(A,B). Она совместима с тождествами и композициями. Следовательно, Spec_Y полон и точен; ограничение на существенный образ является эквивалентностью. □</w:t>
      </w:r>
    </w:p>
    <w:p>
      <w:pPr>
        <w:spacing w:after="80" w:before="0" w:line="269" w:lineRule="auto"/>
      </w:pPr>
      <w:r>
        <w:rPr>
          <w:rFonts w:ascii="Liberation Serif" w:hAnsi="Liberation Serif" w:eastAsia="Liberation Serif"/>
          <w:i w:val="0"/>
          <w:sz w:val="20"/>
        </w:rPr>
        <w:t>Этот результат является безусловным в рамках выбранной малой категории. Он не требует prime-spectrum, максимальных идеалов, нормы, топологии или ассоциативности. Человечество редко получает столь чистый результат, поэтому следует немедленно запретить ему приписывать результату больше, чем там написано.</w:t>
      </w:r>
    </w:p>
    <w:p>
      <w:r>
        <w:drawing>
          <wp:inline xmlns:a="http://schemas.openxmlformats.org/drawingml/2006/main" xmlns:pic="http://schemas.openxmlformats.org/drawingml/2006/picture">
            <wp:extent cx="6217920" cy="2864902"/>
            <wp:docPr id="12" name="Picture 12"/>
            <wp:cNvGraphicFramePr>
              <a:graphicFrameLocks noChangeAspect="1"/>
            </wp:cNvGraphicFramePr>
            <a:graphic>
              <a:graphicData uri="http://schemas.openxmlformats.org/drawingml/2006/picture">
                <pic:pic>
                  <pic:nvPicPr>
                    <pic:cNvPr id="0" name="yoneda_v04.png"/>
                    <pic:cNvPicPr/>
                  </pic:nvPicPr>
                  <pic:blipFill>
                    <a:blip r:embed="rId24"/>
                    <a:stretch>
                      <a:fillRect/>
                    </a:stretch>
                  </pic:blipFill>
                  <pic:spPr>
                    <a:xfrm>
                      <a:off x="0" y="0"/>
                      <a:ext cx="6217920" cy="2864902"/>
                    </a:xfrm>
                    <a:prstGeom prst="rect"/>
                  </pic:spPr>
                </pic:pic>
              </a:graphicData>
            </a:graphic>
          </wp:inline>
        </w:drawing>
      </w:r>
    </w:p>
    <w:p>
      <w:pPr>
        <w:pStyle w:val="Caption"/>
        <w:keepNext/>
        <w:spacing w:before="60" w:after="120"/>
        <w:jc w:val="center"/>
      </w:pPr>
      <w:r>
        <w:rPr>
          <w:rFonts w:ascii="Liberation Serif" w:hAnsi="Liberation Serif" w:eastAsia="Liberation Serif"/>
          <w:b/>
          <w:color w:val="5B6573"/>
          <w:sz w:val="17"/>
        </w:rPr>
        <w:t>Рисунок 8. Безопасная представимая двойственность Йонеды для NAPG_q. Собственная схема Тома II.</w:t>
      </w:r>
    </w:p>
    <w:p>
      <w:pPr>
        <w:pStyle w:val="Heading2"/>
        <w:spacing w:before="140" w:after="100"/>
        <w:keepNext/>
      </w:pPr>
      <w:r>
        <w:rPr>
          <w:rFonts w:ascii="Liberation Sans" w:hAnsi="Liberation Sans" w:eastAsia="Liberation Sans"/>
          <w:b/>
          <w:color w:val="2F5597"/>
          <w:sz w:val="26"/>
        </w:rPr>
        <w:t>26.2. Реперный функтор конфигураций</w:t>
      </w:r>
    </w:p>
    <w:p>
      <w:pPr>
        <w:spacing w:after="60"/>
      </w:pPr>
      <w:r>
        <w:rPr>
          <w:rFonts w:ascii="Liberation Sans" w:hAnsi="Liberation Sans" w:eastAsia="Liberation Sans"/>
          <w:b/>
          <w:color w:val="2F5597"/>
          <w:sz w:val="19"/>
        </w:rPr>
        <w:t>Определение 6.4. Reper_T(A) [DEF-A]</w:t>
      </w:r>
    </w:p>
    <w:p>
      <w:pPr>
        <w:spacing w:after="80" w:before="0" w:line="269" w:lineRule="auto"/>
      </w:pPr>
      <w:r>
        <w:rPr>
          <w:rFonts w:ascii="Liberation Serif" w:hAnsi="Liberation Serif" w:eastAsia="Liberation Serif"/>
          <w:i w:val="0"/>
          <w:sz w:val="20"/>
        </w:rPr>
        <w:t>Для тестового объекта T положим</w:t>
      </w:r>
    </w:p>
    <w:p>
      <w:pPr>
        <w:spacing w:before="60" w:after="100" w:line="240" w:lineRule="auto"/>
        <w:jc w:val="center"/>
      </w:pPr>
      <w:r>
        <w:rPr>
          <w:rFonts w:ascii="Cambria Math" w:hAnsi="Cambria Math" w:eastAsia="Cambria Math"/>
          <w:sz w:val="22"/>
        </w:rPr>
        <w:t>Rep_A(T) = { (r,i,u,d) ∈ h_A(T)^4 : Adm_T(r,i,u,d)=1,  Valid_T(D)=1 }.</w:t>
      </w:r>
    </w:p>
    <w:p>
      <w:pPr>
        <w:spacing w:after="80" w:before="0" w:line="269" w:lineRule="auto"/>
      </w:pPr>
      <w:r>
        <w:rPr>
          <w:rFonts w:ascii="Liberation Serif" w:hAnsi="Liberation Serif" w:eastAsia="Liberation Serif"/>
          <w:i w:val="0"/>
          <w:sz w:val="20"/>
        </w:rPr>
        <w:t>Здесь r,i,u,d — четыре морфизма A→T, Adm_T проверяет доменную допустимость, различимость и отсутствие полюса, а Valid_T(D) проверяет пакет достаточного основания. Семейство Rep_A является подфунктором h_A^4, если допустимость и достаточное основание сохраняются всеми тестовыми морфизмами.</w:t>
      </w:r>
    </w:p>
    <w:p>
      <w:pPr>
        <w:spacing w:after="60"/>
      </w:pPr>
      <w:r>
        <w:rPr>
          <w:rFonts w:ascii="Liberation Sans" w:hAnsi="Liberation Sans" w:eastAsia="Liberation Sans"/>
          <w:b/>
          <w:color w:val="2E6B57"/>
          <w:sz w:val="19"/>
        </w:rPr>
        <w:t>Предложение 6.5. Функториальность Reper-конфигураций [THM]</w:t>
      </w:r>
    </w:p>
    <w:p>
      <w:pPr>
        <w:spacing w:after="80" w:before="0" w:line="269" w:lineRule="auto"/>
      </w:pPr>
      <w:r>
        <w:rPr>
          <w:rFonts w:ascii="Liberation Serif" w:hAnsi="Liberation Serif" w:eastAsia="Liberation Serif"/>
          <w:i w:val="0"/>
          <w:sz w:val="20"/>
        </w:rPr>
        <w:t>Пусть s:T→T′ сохраняет Adm и Valid(D). Тогда (r,i,u,d)↦(s∘r,s∘i,s∘u,s∘d) задаёт отображение Rep_A(T)→Rep_A(T′); тождества и композиции выполняются покомпонентно. Следовательно, Rep_A:𝒞→Set является функтором. □</w:t>
      </w:r>
    </w:p>
    <w:p>
      <w:pPr>
        <w:spacing w:after="60"/>
      </w:pPr>
      <w:r>
        <w:rPr>
          <w:rFonts w:ascii="Liberation Sans" w:hAnsi="Liberation Sans" w:eastAsia="Liberation Sans"/>
          <w:b/>
          <w:color w:val="2E6B57"/>
          <w:sz w:val="19"/>
        </w:rPr>
        <w:t>Следствие 6.6. Изоморфная инвариантность [THM]</w:t>
      </w:r>
    </w:p>
    <w:p>
      <w:pPr>
        <w:spacing w:after="80" w:before="0" w:line="269" w:lineRule="auto"/>
      </w:pPr>
      <w:r>
        <w:rPr>
          <w:rFonts w:ascii="Liberation Serif" w:hAnsi="Liberation Serif" w:eastAsia="Liberation Serif"/>
          <w:i w:val="0"/>
          <w:sz w:val="20"/>
        </w:rPr>
        <w:t>Изоморфизм A≅B индуцирует естественный изоморфизм Rep_B≅Rep_A. Поэтому реперная геометрия на представимом уровне не зависит от выбора изоморфного алгебраического представления.</w:t>
      </w:r>
    </w:p>
    <w:p>
      <w:pPr>
        <w:pStyle w:val="Heading1"/>
        <w:spacing w:before="200" w:after="100"/>
        <w:keepNext/>
      </w:pPr>
      <w:r>
        <w:rPr>
          <w:rFonts w:ascii="Liberation Sans" w:hAnsi="Liberation Sans" w:eastAsia="Liberation Sans"/>
          <w:b/>
          <w:color w:val="17365D"/>
          <w:sz w:val="36"/>
        </w:rPr>
        <w:t>27. Условная пара Spec_R / Gamma_R</w:t>
      </w:r>
    </w:p>
    <w:p>
      <w:pPr>
        <w:pStyle w:val="Heading2"/>
        <w:spacing w:before="140" w:after="100"/>
        <w:keepNext/>
      </w:pPr>
      <w:r>
        <w:rPr>
          <w:rFonts w:ascii="Liberation Sans" w:hAnsi="Liberation Sans" w:eastAsia="Liberation Sans"/>
          <w:b/>
          <w:color w:val="2F5597"/>
          <w:sz w:val="26"/>
        </w:rPr>
        <w:t>27.1. Сопряжение и карты восстановления</w:t>
      </w:r>
    </w:p>
    <w:p>
      <w:pPr>
        <w:spacing w:after="60"/>
      </w:pPr>
      <w:r>
        <w:rPr>
          <w:rFonts w:ascii="Liberation Sans" w:hAnsi="Liberation Sans" w:eastAsia="Liberation Sans"/>
          <w:b/>
          <w:color w:val="9C2F2F"/>
          <w:sz w:val="19"/>
        </w:rPr>
        <w:t>Гипотеза 6.7. Пространственная реализация [COND]</w:t>
      </w:r>
    </w:p>
    <w:p>
      <w:pPr>
        <w:spacing w:after="80" w:before="0" w:line="269" w:lineRule="auto"/>
      </w:pPr>
      <w:r>
        <w:rPr>
          <w:rFonts w:ascii="Liberation Serif" w:hAnsi="Liberation Serif" w:eastAsia="Liberation Serif"/>
          <w:i w:val="0"/>
          <w:sz w:val="20"/>
        </w:rPr>
        <w:t>Предполагается существование категории Geo_R и функторов Spec_R, Gamma_R, для которых имеется естественная биекция</w:t>
      </w:r>
    </w:p>
    <w:p>
      <w:pPr>
        <w:spacing w:before="60" w:after="100" w:line="240" w:lineRule="auto"/>
        <w:jc w:val="center"/>
      </w:pPr>
      <w:r>
        <w:rPr>
          <w:rFonts w:ascii="Cambria Math" w:hAnsi="Cambria Math" w:eastAsia="Cambria Math"/>
          <w:sz w:val="22"/>
        </w:rPr>
        <w:t>Hom_Geo_R(X, Spec_R A)  ≅  Hom_Alg_R(A, Gamma_R X).</w:t>
      </w:r>
    </w:p>
    <w:p>
      <w:pPr>
        <w:spacing w:after="80" w:before="0" w:line="269" w:lineRule="auto"/>
      </w:pPr>
      <w:r>
        <w:rPr>
          <w:rFonts w:ascii="Liberation Serif" w:hAnsi="Liberation Serif" w:eastAsia="Liberation Serif"/>
          <w:i w:val="0"/>
          <w:sz w:val="20"/>
        </w:rPr>
        <w:t>Эта биекция означает сопряжение Spec_R ⊣ Gamma_R между Alg_R и Geo_R^op. Ей соответствуют unit и геометрически записанный counit</w:t>
      </w:r>
    </w:p>
    <w:p>
      <w:pPr>
        <w:spacing w:before="60" w:after="100" w:line="240" w:lineRule="auto"/>
        <w:jc w:val="center"/>
      </w:pPr>
      <w:r>
        <w:rPr>
          <w:rFonts w:ascii="Cambria Math" w:hAnsi="Cambria Math" w:eastAsia="Cambria Math"/>
          <w:sz w:val="22"/>
        </w:rPr>
        <w:t>eta_A : A → Gamma_R Spec_R(A),</w:t>
      </w:r>
    </w:p>
    <w:p>
      <w:pPr>
        <w:spacing w:before="60" w:after="100" w:line="240" w:lineRule="auto"/>
        <w:jc w:val="center"/>
      </w:pPr>
      <w:r>
        <w:rPr>
          <w:rFonts w:ascii="Cambria Math" w:hAnsi="Cambria Math" w:eastAsia="Cambria Math"/>
          <w:sz w:val="22"/>
        </w:rPr>
        <w:t>epsilon_bar_X : X → Spec_R Gamma_R(X).</w:t>
      </w:r>
    </w:p>
    <w:p>
      <w:pPr>
        <w:spacing w:after="80" w:before="0" w:line="269" w:lineRule="auto"/>
      </w:pPr>
      <w:r>
        <w:rPr>
          <w:rFonts w:ascii="Liberation Serif" w:hAnsi="Liberation Serif" w:eastAsia="Liberation Serif"/>
          <w:i w:val="0"/>
          <w:sz w:val="20"/>
        </w:rPr>
        <w:t>Существование этих карт не утверждается для всей NAPG без дополнительной спецификации спектра, пучка и допустимых локализаций. В v0.4 фиксируется точная форма доказательного обязательства, а не его декоративное исчезновение.</w:t>
      </w:r>
    </w:p>
    <w:p>
      <w:r>
        <w:drawing>
          <wp:inline xmlns:a="http://schemas.openxmlformats.org/drawingml/2006/main" xmlns:pic="http://schemas.openxmlformats.org/drawingml/2006/picture">
            <wp:extent cx="6217920" cy="3170133"/>
            <wp:docPr id="13" name="Picture 13"/>
            <wp:cNvGraphicFramePr>
              <a:graphicFrameLocks noChangeAspect="1"/>
            </wp:cNvGraphicFramePr>
            <a:graphic>
              <a:graphicData uri="http://schemas.openxmlformats.org/drawingml/2006/picture">
                <pic:pic>
                  <pic:nvPicPr>
                    <pic:cNvPr id="0" name="adj_v04.png"/>
                    <pic:cNvPicPr/>
                  </pic:nvPicPr>
                  <pic:blipFill>
                    <a:blip r:embed="rId25"/>
                    <a:stretch>
                      <a:fillRect/>
                    </a:stretch>
                  </pic:blipFill>
                  <pic:spPr>
                    <a:xfrm>
                      <a:off x="0" y="0"/>
                      <a:ext cx="6217920" cy="3170133"/>
                    </a:xfrm>
                    <a:prstGeom prst="rect"/>
                  </pic:spPr>
                </pic:pic>
              </a:graphicData>
            </a:graphic>
          </wp:inline>
        </w:drawing>
      </w:r>
    </w:p>
    <w:p>
      <w:pPr>
        <w:pStyle w:val="Caption"/>
        <w:keepNext/>
        <w:spacing w:before="60" w:after="120"/>
        <w:jc w:val="center"/>
      </w:pPr>
      <w:r>
        <w:rPr>
          <w:rFonts w:ascii="Liberation Serif" w:hAnsi="Liberation Serif" w:eastAsia="Liberation Serif"/>
          <w:b/>
          <w:color w:val="5B6573"/>
          <w:sz w:val="17"/>
        </w:rPr>
        <w:t>Рисунок 9. Условная пара Spec_R/Gamma_R и карты реконструкции. Собственная схема Тома II.</w:t>
      </w:r>
    </w:p>
    <w:p>
      <w:pPr>
        <w:pStyle w:val="Heading2"/>
        <w:spacing w:before="140" w:after="100"/>
        <w:keepNext/>
      </w:pPr>
      <w:r>
        <w:rPr>
          <w:rFonts w:ascii="Liberation Sans" w:hAnsi="Liberation Sans" w:eastAsia="Liberation Sans"/>
          <w:b/>
          <w:color w:val="2F5597"/>
          <w:sz w:val="26"/>
        </w:rPr>
        <w:t>27.2. Реконструкционные дефекты</w:t>
      </w:r>
    </w:p>
    <w:p>
      <w:pPr>
        <w:spacing w:after="60"/>
      </w:pPr>
      <w:r>
        <w:rPr>
          <w:rFonts w:ascii="Liberation Sans" w:hAnsi="Liberation Sans" w:eastAsia="Liberation Sans"/>
          <w:b/>
          <w:color w:val="2F5597"/>
          <w:sz w:val="19"/>
        </w:rPr>
        <w:t>Определение 6.8. Алгебраический дефект [DEF-A]</w:t>
      </w:r>
    </w:p>
    <w:p>
      <w:pPr>
        <w:spacing w:after="80" w:before="0" w:line="269" w:lineRule="auto"/>
      </w:pPr>
      <w:r>
        <w:rPr>
          <w:rFonts w:ascii="Liberation Serif" w:hAnsi="Liberation Serif" w:eastAsia="Liberation Serif"/>
          <w:i w:val="0"/>
          <w:sz w:val="20"/>
        </w:rPr>
        <w:t>Для конечномерного A определим</w:t>
      </w:r>
    </w:p>
    <w:p>
      <w:pPr>
        <w:spacing w:before="60" w:after="100" w:line="240" w:lineRule="auto"/>
        <w:jc w:val="center"/>
      </w:pPr>
      <w:r>
        <w:rPr>
          <w:rFonts w:ascii="Cambria Math" w:hAnsi="Cambria Math" w:eastAsia="Cambria Math"/>
          <w:sz w:val="22"/>
        </w:rPr>
        <w:t>K_rec(A)=ker(eta_A),        Q_rec(A)=coker(eta_A),</w:t>
      </w:r>
    </w:p>
    <w:p>
      <w:pPr>
        <w:spacing w:before="60" w:after="100" w:line="240" w:lineRule="auto"/>
        <w:jc w:val="center"/>
      </w:pPr>
      <w:r>
        <w:rPr>
          <w:rFonts w:ascii="Cambria Math" w:hAnsi="Cambria Math" w:eastAsia="Cambria Math"/>
          <w:sz w:val="22"/>
        </w:rPr>
        <w:t>def_alg(A)=dim K_rec(A)+dim Q_rec(A).</w:t>
      </w:r>
    </w:p>
    <w:p>
      <w:pPr>
        <w:spacing w:after="80" w:before="0" w:line="269" w:lineRule="auto"/>
      </w:pPr>
      <w:r>
        <w:rPr>
          <w:rFonts w:ascii="Liberation Serif" w:hAnsi="Liberation Serif" w:eastAsia="Liberation Serif"/>
          <w:i w:val="0"/>
          <w:sz w:val="20"/>
        </w:rPr>
        <w:t>Если категория не аддитивна, используется булев дефект def_alg(A)=0 при изоморфности eta_A и def_alg(A)=1 в противном случае.</w:t>
      </w:r>
    </w:p>
    <w:p>
      <w:pPr>
        <w:spacing w:after="60"/>
      </w:pPr>
      <w:r>
        <w:rPr>
          <w:rFonts w:ascii="Liberation Sans" w:hAnsi="Liberation Sans" w:eastAsia="Liberation Sans"/>
          <w:b/>
          <w:color w:val="2F5597"/>
          <w:sz w:val="19"/>
        </w:rPr>
        <w:t>Определение 6.9. Геометрический дефект [DEF-A]</w:t>
      </w:r>
    </w:p>
    <w:p>
      <w:pPr>
        <w:spacing w:after="80" w:before="0" w:line="269" w:lineRule="auto"/>
      </w:pPr>
      <w:r>
        <w:rPr>
          <w:rFonts w:ascii="Liberation Serif" w:hAnsi="Liberation Serif" w:eastAsia="Liberation Serif"/>
          <w:i w:val="0"/>
          <w:sz w:val="20"/>
        </w:rPr>
        <w:t>Полагаем def_geo(X)=0, если epsilon_bar_X является изоморфизмом в Geo_R, и def_geo(X)=1 иначе. В конечномерной координатной модели допускается ранговая детализация через матрицы отображения локальных координат и структурных пучков.</w:t>
      </w:r>
    </w:p>
    <w:p>
      <w:pPr>
        <w:spacing w:before="60" w:after="100" w:line="240" w:lineRule="auto"/>
        <w:jc w:val="center"/>
      </w:pPr>
      <w:r>
        <w:rPr>
          <w:rFonts w:ascii="Cambria Math" w:hAnsi="Cambria Math" w:eastAsia="Cambria Math"/>
          <w:sz w:val="22"/>
        </w:rPr>
        <w:t>def_rec(A,X)=def_alg(A)+def_geo(X).</w:t>
      </w:r>
    </w:p>
    <w:p>
      <w:pPr>
        <w:spacing w:after="80" w:before="0" w:line="269" w:lineRule="auto"/>
      </w:pPr>
      <w:r>
        <w:rPr>
          <w:rFonts w:ascii="Liberation Serif" w:hAnsi="Liberation Serif" w:eastAsia="Liberation Serif"/>
          <w:i w:val="0"/>
          <w:sz w:val="20"/>
        </w:rPr>
        <w:t>Нулевой реконструкционный дефект является обязательным условием переноса строгого предсказательного статуса. Ненулевой дефект не опровергает объект, но запрещает отождествлять его алгебраическую и геометрическую версии.</w:t>
      </w:r>
    </w:p>
    <w:p>
      <w:pPr>
        <w:pStyle w:val="Heading2"/>
        <w:spacing w:before="140" w:after="100"/>
        <w:keepNext/>
      </w:pPr>
      <w:r>
        <w:rPr>
          <w:rFonts w:ascii="Liberation Sans" w:hAnsi="Liberation Sans" w:eastAsia="Liberation Sans"/>
          <w:b/>
          <w:color w:val="2F5597"/>
          <w:sz w:val="26"/>
        </w:rPr>
        <w:t>27.3. Теорема реконструкционной антиэквивалентности</w:t>
      </w:r>
    </w:p>
    <w:p>
      <w:pPr>
        <w:spacing w:after="60"/>
      </w:pPr>
      <w:r>
        <w:rPr>
          <w:rFonts w:ascii="Liberation Sans" w:hAnsi="Liberation Sans" w:eastAsia="Liberation Sans"/>
          <w:b/>
          <w:color w:val="2E6B57"/>
          <w:sz w:val="19"/>
        </w:rPr>
        <w:t>Теорема 6.10. Restricted reconstruction theorem [THM при гипотезе 6.7]</w:t>
      </w:r>
    </w:p>
    <w:p>
      <w:pPr>
        <w:spacing w:after="80" w:before="0" w:line="269" w:lineRule="auto"/>
      </w:pPr>
      <w:r>
        <w:rPr>
          <w:rFonts w:ascii="Liberation Serif" w:hAnsi="Liberation Serif" w:eastAsia="Liberation Serif"/>
          <w:i w:val="0"/>
          <w:sz w:val="20"/>
        </w:rPr>
        <w:t>Пусть Alg_rec — полная подкатегория объектов A, для которых eta_A является изоморфизмом, а Geo_rec — полная подкатегория объектов X, для которых epsilon_bar_X является изоморфизмом. Тогда Spec_R и Gamma_R ограничиваются до антиэквивалентности</w:t>
      </w:r>
    </w:p>
    <w:p>
      <w:pPr>
        <w:spacing w:before="60" w:after="100" w:line="240" w:lineRule="auto"/>
        <w:jc w:val="center"/>
      </w:pPr>
      <w:r>
        <w:rPr>
          <w:rFonts w:ascii="Cambria Math" w:hAnsi="Cambria Math" w:eastAsia="Cambria Math"/>
          <w:sz w:val="22"/>
        </w:rPr>
        <w:t>Alg_rec^op  ≃  Geo_rec.</w:t>
      </w:r>
    </w:p>
    <w:p>
      <w:pPr>
        <w:spacing w:after="80" w:before="0" w:line="269" w:lineRule="auto"/>
      </w:pPr>
      <w:r>
        <w:rPr>
          <w:rFonts w:ascii="Liberation Serif" w:hAnsi="Liberation Serif" w:eastAsia="Liberation Serif"/>
          <w:i w:val="0"/>
          <w:sz w:val="20"/>
        </w:rPr>
        <w:t>Доказательство. На указанных подкатегориях unit и counit являются естественными изоморфизмами. Треугольные тождества сопряжения показывают, что ограниченные функторы являются квазиобратными. □</w:t>
      </w:r>
    </w:p>
    <w:p>
      <w:pPr>
        <w:spacing w:after="60"/>
      </w:pPr>
      <w:r>
        <w:rPr>
          <w:rFonts w:ascii="Liberation Sans" w:hAnsi="Liberation Sans" w:eastAsia="Liberation Sans"/>
          <w:b/>
          <w:color w:val="2E6B57"/>
          <w:sz w:val="19"/>
        </w:rPr>
        <w:t>Следствие 6.11. Сохранение изоморфных инвариантов [THM при гипотезе 6.7]</w:t>
      </w:r>
    </w:p>
    <w:p>
      <w:pPr>
        <w:spacing w:after="80" w:before="0" w:line="269" w:lineRule="auto"/>
      </w:pPr>
      <w:r>
        <w:rPr>
          <w:rFonts w:ascii="Liberation Serif" w:hAnsi="Liberation Serif" w:eastAsia="Liberation Serif"/>
          <w:i w:val="0"/>
          <w:sz w:val="20"/>
        </w:rPr>
        <w:t>Любой инвариант, функториально определённый на Alg_rec, переносится на Geo_rec и обратно. Однако нефункториальные числовые признаки, выбранные после просмотра результата, не получают такого права.</w:t>
      </w:r>
    </w:p>
    <w:p>
      <w:pPr>
        <w:pStyle w:val="Heading1"/>
        <w:spacing w:before="200" w:after="100"/>
        <w:keepNext/>
      </w:pPr>
      <w:r>
        <w:rPr>
          <w:rFonts w:ascii="Liberation Sans" w:hAnsi="Liberation Sans" w:eastAsia="Liberation Sans"/>
          <w:b/>
          <w:color w:val="17365D"/>
          <w:sz w:val="36"/>
        </w:rPr>
        <w:t>28. Контртеоремы к ложной двойственности</w:t>
      </w:r>
    </w:p>
    <w:p>
      <w:pPr>
        <w:pStyle w:val="Heading2"/>
        <w:spacing w:before="140" w:after="100"/>
        <w:keepNext/>
      </w:pPr>
      <w:r>
        <w:rPr>
          <w:rFonts w:ascii="Liberation Sans" w:hAnsi="Liberation Sans" w:eastAsia="Liberation Sans"/>
          <w:b/>
          <w:color w:val="2F5597"/>
          <w:sz w:val="26"/>
        </w:rPr>
        <w:t>28.1. Множество характеров не восстанавливает алгебру</w:t>
      </w:r>
    </w:p>
    <w:p>
      <w:pPr>
        <w:spacing w:after="60"/>
      </w:pPr>
      <w:r>
        <w:rPr>
          <w:rFonts w:ascii="Liberation Sans" w:hAnsi="Liberation Sans" w:eastAsia="Liberation Sans"/>
          <w:b/>
          <w:color w:val="2E6B57"/>
          <w:sz w:val="19"/>
        </w:rPr>
        <w:t>Теорема 6.12. Character-spectrum no-go [THM]</w:t>
      </w:r>
    </w:p>
    <w:p>
      <w:pPr>
        <w:spacing w:after="80" w:before="0" w:line="269" w:lineRule="auto"/>
      </w:pPr>
      <w:r>
        <w:rPr>
          <w:rFonts w:ascii="Liberation Serif" w:hAnsi="Liberation Serif" w:eastAsia="Liberation Serif"/>
          <w:i w:val="0"/>
          <w:sz w:val="20"/>
        </w:rPr>
        <w:t>Пусть K — поле и V_m — m-мерное K-пространство. На A_m=K⊕V_m зададим коммутативное ассоциативное умножение</w:t>
      </w:r>
    </w:p>
    <w:p>
      <w:pPr>
        <w:spacing w:before="60" w:after="100" w:line="240" w:lineRule="auto"/>
        <w:jc w:val="center"/>
      </w:pPr>
      <w:r>
        <w:rPr>
          <w:rFonts w:ascii="Cambria Math" w:hAnsi="Cambria Math" w:eastAsia="Cambria Math"/>
          <w:sz w:val="22"/>
        </w:rPr>
        <w:t>(a,u)(b,v)=(ab, av+bu),        V_m^2=0.</w:t>
      </w:r>
    </w:p>
    <w:p>
      <w:pPr>
        <w:spacing w:after="80" w:before="0" w:line="269" w:lineRule="auto"/>
      </w:pPr>
      <w:r>
        <w:rPr>
          <w:rFonts w:ascii="Liberation Serif" w:hAnsi="Liberation Serif" w:eastAsia="Liberation Serif"/>
          <w:i w:val="0"/>
          <w:sz w:val="20"/>
        </w:rPr>
        <w:t>Тогда A_m — унитальная алгебра, и всякий унитальный K-алгебраический характер chi:A_m→K совпадает с проекцией chi(a,u)=a. Следовательно, множества K-значных характеров всех A_m одноточечны, хотя A_m и A_n не изоморфны при m≠n.</w:t>
      </w:r>
    </w:p>
    <w:p>
      <w:pPr>
        <w:spacing w:after="80" w:before="0" w:line="269" w:lineRule="auto"/>
      </w:pPr>
      <w:r>
        <w:rPr>
          <w:rFonts w:ascii="Liberation Serif" w:hAnsi="Liberation Serif" w:eastAsia="Liberation Serif"/>
          <w:i w:val="0"/>
          <w:sz w:val="20"/>
        </w:rPr>
        <w:t>Доказательство. Запишем chi(a,u)=a+l(u). Из мультипликативности получаем l(u)l(v)=0 для всех u,v. Над полем это влечёт l=0. Различие размерностей запрещает изоморфизм A_m≅A_n при m≠n. □</w:t>
      </w:r>
    </w:p>
    <w:p>
      <w:pPr>
        <w:spacing w:after="80" w:before="0" w:line="269" w:lineRule="auto"/>
      </w:pPr>
      <w:r>
        <w:rPr>
          <w:rFonts w:ascii="Liberation Serif" w:hAnsi="Liberation Serif" w:eastAsia="Liberation Serif"/>
          <w:i w:val="0"/>
          <w:sz w:val="20"/>
        </w:rPr>
        <w:t>Следовательно, point-set spectrum без структурного пучка или полного функтора точек теряет нильпотентные направления. Эта контртеорема действует уже в ассоциативном случае, поэтому неассоциативность не может быть назначена виновной за все человеческие упрощения.</w:t>
      </w:r>
    </w:p>
    <w:p>
      <w:pPr>
        <w:pStyle w:val="Heading2"/>
        <w:spacing w:before="140" w:after="100"/>
        <w:keepNext/>
      </w:pPr>
      <w:r>
        <w:rPr>
          <w:rFonts w:ascii="Liberation Sans" w:hAnsi="Liberation Sans" w:eastAsia="Liberation Sans"/>
          <w:b/>
          <w:color w:val="2F5597"/>
          <w:sz w:val="26"/>
        </w:rPr>
        <w:t>28.2. Нелинейная смена карты разрушает lambda</w:t>
      </w:r>
    </w:p>
    <w:p>
      <w:pPr>
        <w:spacing w:after="60"/>
      </w:pPr>
      <w:r>
        <w:rPr>
          <w:rFonts w:ascii="Liberation Sans" w:hAnsi="Liberation Sans" w:eastAsia="Liberation Sans"/>
          <w:b/>
          <w:color w:val="2E6B57"/>
          <w:sz w:val="19"/>
        </w:rPr>
        <w:t>Контрпример 6.13. Non-projective chart failure [THM]</w:t>
      </w:r>
    </w:p>
    <w:p>
      <w:pPr>
        <w:spacing w:after="80" w:before="0" w:line="269" w:lineRule="auto"/>
      </w:pPr>
      <w:r>
        <w:rPr>
          <w:rFonts w:ascii="Liberation Serif" w:hAnsi="Liberation Serif" w:eastAsia="Liberation Serif"/>
          <w:i w:val="0"/>
          <w:sz w:val="20"/>
        </w:rPr>
        <w:t>На аффинной прямой возьмём (r,i,u,d)=(0,1,2,3). В принятом порядке</w:t>
      </w:r>
    </w:p>
    <w:p>
      <w:pPr>
        <w:spacing w:before="60" w:after="100" w:line="240" w:lineRule="auto"/>
        <w:jc w:val="center"/>
      </w:pPr>
      <w:r>
        <w:rPr>
          <w:rFonts w:ascii="Cambria Math" w:hAnsi="Cambria Math" w:eastAsia="Cambria Math"/>
          <w:sz w:val="22"/>
        </w:rPr>
        <w:t>lambda(u,i;r,d)=((u-r)(i-d))/((u-d)(i-r))=4.</w:t>
      </w:r>
    </w:p>
    <w:p>
      <w:pPr>
        <w:spacing w:after="80" w:before="0" w:line="269" w:lineRule="auto"/>
      </w:pPr>
      <w:r>
        <w:rPr>
          <w:rFonts w:ascii="Liberation Serif" w:hAnsi="Liberation Serif" w:eastAsia="Liberation Serif"/>
          <w:i w:val="0"/>
          <w:sz w:val="20"/>
        </w:rPr>
        <w:t>После нелинейной замены координаты x↦x² получаем quadruple (0,1,4,9) и</w:t>
      </w:r>
    </w:p>
    <w:p>
      <w:pPr>
        <w:spacing w:before="60" w:after="100" w:line="240" w:lineRule="auto"/>
        <w:jc w:val="center"/>
      </w:pPr>
      <w:r>
        <w:rPr>
          <w:rFonts w:ascii="Cambria Math" w:hAnsi="Cambria Math" w:eastAsia="Cambria Math"/>
          <w:sz w:val="22"/>
        </w:rPr>
        <w:t>lambda′=32/5 ≠ 4.</w:t>
      </w:r>
    </w:p>
    <w:p>
      <w:pPr>
        <w:spacing w:after="80" w:before="0" w:line="269" w:lineRule="auto"/>
      </w:pPr>
      <w:r>
        <w:rPr>
          <w:rFonts w:ascii="Liberation Serif" w:hAnsi="Liberation Serif" w:eastAsia="Liberation Serif"/>
          <w:i w:val="0"/>
          <w:sz w:val="20"/>
        </w:rPr>
        <w:t>Поэтому глобальная реперная lambda-координата существует только при переходах карт из PGL₂(K) либо при отдельном доказанном классе преобразований, сохраняющих cross-ratio.</w:t>
      </w:r>
    </w:p>
    <w:p>
      <w:pPr>
        <w:pStyle w:val="Heading2"/>
        <w:spacing w:before="140" w:after="100"/>
        <w:keepNext/>
      </w:pPr>
      <w:r>
        <w:rPr>
          <w:rFonts w:ascii="Liberation Sans" w:hAnsi="Liberation Sans" w:eastAsia="Liberation Sans"/>
          <w:b/>
          <w:color w:val="2F5597"/>
          <w:sz w:val="26"/>
        </w:rPr>
        <w:t>28.3. Статическая двойственность не создаёт динамику</w:t>
      </w:r>
    </w:p>
    <w:p>
      <w:pPr>
        <w:spacing w:after="60"/>
      </w:pPr>
      <w:r>
        <w:rPr>
          <w:rFonts w:ascii="Liberation Sans" w:hAnsi="Liberation Sans" w:eastAsia="Liberation Sans"/>
          <w:b/>
          <w:color w:val="2E6B57"/>
          <w:sz w:val="19"/>
        </w:rPr>
        <w:t>Предложение 6.14. No-dynamics principle [THM]</w:t>
      </w:r>
    </w:p>
    <w:p>
      <w:pPr>
        <w:spacing w:after="80" w:before="0" w:line="269" w:lineRule="auto"/>
      </w:pPr>
      <w:r>
        <w:rPr>
          <w:rFonts w:ascii="Liberation Serif" w:hAnsi="Liberation Serif" w:eastAsia="Liberation Serif"/>
          <w:i w:val="0"/>
          <w:sz w:val="20"/>
        </w:rPr>
        <w:t>Антиэквивалентность категорий переносит объекты, морфизмы и функториальные инварианты. Она не выделяет параметр времени, генератор потока, вероятностный закон или причинное направление. Следовательно, из Alg_rec^op≃Geo_rec нельзя вывести прогноз события без дополнительной динамической структуры.</w:t>
      </w:r>
    </w:p>
    <w:p>
      <w:pPr>
        <w:spacing w:after="80" w:before="0" w:line="269" w:lineRule="auto"/>
      </w:pPr>
      <w:r>
        <w:rPr>
          <w:rFonts w:ascii="Liberation Serif" w:hAnsi="Liberation Serif" w:eastAsia="Liberation Serif"/>
          <w:i w:val="0"/>
          <w:sz w:val="20"/>
        </w:rPr>
        <w:t>Доказательство. Одна и та же статическая категория допускает различные семейства эндофункторов и различные параметризации путей объектов. Эквивалентность не выбирает одну из них. □</w:t>
      </w:r>
    </w:p>
    <w:p>
      <w:pPr>
        <w:pStyle w:val="Heading1"/>
        <w:spacing w:before="200" w:after="100"/>
        <w:keepNext/>
      </w:pPr>
      <w:r>
        <w:rPr>
          <w:rFonts w:ascii="Liberation Sans" w:hAnsi="Liberation Sans" w:eastAsia="Liberation Sans"/>
          <w:b/>
          <w:color w:val="17365D"/>
          <w:sz w:val="36"/>
        </w:rPr>
        <w:t>29. Проективно-реперные атласы и глобальная harmonic coordinate</w:t>
      </w:r>
    </w:p>
    <w:p>
      <w:pPr>
        <w:pStyle w:val="Heading2"/>
        <w:spacing w:before="140" w:after="100"/>
        <w:keepNext/>
      </w:pPr>
      <w:r>
        <w:rPr>
          <w:rFonts w:ascii="Liberation Sans" w:hAnsi="Liberation Sans" w:eastAsia="Liberation Sans"/>
          <w:b/>
          <w:color w:val="2F5597"/>
          <w:sz w:val="26"/>
        </w:rPr>
        <w:t>29.1. Определение атласа</w:t>
      </w:r>
    </w:p>
    <w:p>
      <w:pPr>
        <w:spacing w:after="60"/>
      </w:pPr>
      <w:r>
        <w:rPr>
          <w:rFonts w:ascii="Liberation Sans" w:hAnsi="Liberation Sans" w:eastAsia="Liberation Sans"/>
          <w:b/>
          <w:color w:val="2F5597"/>
          <w:sz w:val="19"/>
        </w:rPr>
        <w:t>Определение 6.15. Projective Reper atlas [DEF-A]</w:t>
      </w:r>
    </w:p>
    <w:p>
      <w:pPr>
        <w:spacing w:after="80" w:before="0" w:line="269" w:lineRule="auto"/>
      </w:pPr>
      <w:r>
        <w:rPr>
          <w:rFonts w:ascii="Liberation Serif" w:hAnsi="Liberation Serif" w:eastAsia="Liberation Serif"/>
          <w:i w:val="0"/>
          <w:sz w:val="20"/>
        </w:rPr>
        <w:t>Пусть X∈Geo_R. Projective Reper atlas состоит из покрытия {U_alpha} и карт kappa_alpha:U_alpha→P¹(K), причём на каждом непустом пересечении U_alpha∩U_beta переход kappa_beta∘kappa_alpha^{-1} является ограничением элемента PGL₂(K). Допустимая Reper-четвёрка должна лежать в общей карте или иметь согласованное продолжение через цепочку пересечений.</w:t>
      </w:r>
    </w:p>
    <w:p>
      <w:pPr>
        <w:spacing w:after="60"/>
      </w:pPr>
      <w:r>
        <w:rPr>
          <w:rFonts w:ascii="Liberation Sans" w:hAnsi="Liberation Sans" w:eastAsia="Liberation Sans"/>
          <w:b/>
          <w:color w:val="2E6B57"/>
          <w:sz w:val="19"/>
        </w:rPr>
        <w:t>Теорема 6.16. Глобализация lambda [THM]</w:t>
      </w:r>
    </w:p>
    <w:p>
      <w:pPr>
        <w:spacing w:after="80" w:before="0" w:line="269" w:lineRule="auto"/>
      </w:pPr>
      <w:r>
        <w:rPr>
          <w:rFonts w:ascii="Liberation Serif" w:hAnsi="Liberation Serif" w:eastAsia="Liberation Serif"/>
          <w:i w:val="0"/>
          <w:sz w:val="20"/>
        </w:rPr>
        <w:t>На projective Reper atlas величина lambda(u,i;r,d) не зависит от выбора карты и тем самым задаёт глобальную функцию на пространстве допустимых реперных четвёрок.</w:t>
      </w:r>
    </w:p>
    <w:p>
      <w:pPr>
        <w:spacing w:after="80" w:before="0" w:line="269" w:lineRule="auto"/>
      </w:pPr>
      <w:r>
        <w:rPr>
          <w:rFonts w:ascii="Liberation Serif" w:hAnsi="Liberation Serif" w:eastAsia="Liberation Serif"/>
          <w:i w:val="0"/>
          <w:sz w:val="20"/>
        </w:rPr>
        <w:t>Доказательство. На пересечениях карты связаны проективным преобразованием, а cross-ratio инвариантно относительно PGL₂(K). Транзитивность переходов обеспечивает согласованность на тройных пересечениях. □</w:t>
      </w:r>
    </w:p>
    <w:p>
      <w:pPr>
        <w:spacing w:after="60"/>
      </w:pPr>
      <w:r>
        <w:rPr>
          <w:rFonts w:ascii="Liberation Sans" w:hAnsi="Liberation Sans" w:eastAsia="Liberation Sans"/>
          <w:b/>
          <w:color w:val="2E6B57"/>
          <w:sz w:val="19"/>
        </w:rPr>
        <w:t>Следствие 6.17. Глобальность harmonic locus [THM]</w:t>
      </w:r>
    </w:p>
    <w:p>
      <w:pPr>
        <w:spacing w:before="60" w:after="100" w:line="240" w:lineRule="auto"/>
        <w:jc w:val="center"/>
      </w:pPr>
      <w:r>
        <w:rPr>
          <w:rFonts w:ascii="Cambria Math" w:hAnsi="Cambria Math" w:eastAsia="Cambria Math"/>
          <w:sz w:val="22"/>
        </w:rPr>
        <w:t>Harm(X)={rho∈Rep(X): lambda(rho)=-1}</w:t>
      </w:r>
    </w:p>
    <w:p>
      <w:pPr>
        <w:spacing w:after="80" w:before="0" w:line="269" w:lineRule="auto"/>
      </w:pPr>
      <w:r>
        <w:rPr>
          <w:rFonts w:ascii="Liberation Serif" w:hAnsi="Liberation Serif" w:eastAsia="Liberation Serif"/>
          <w:i w:val="0"/>
          <w:sz w:val="20"/>
        </w:rPr>
        <w:t>является корректно определённым подмножеством конфигурационного пространства. Если char K=2, гармоническая маркировка требует отдельной нормировки и в настоящий пакет не включается.</w:t>
      </w:r>
    </w:p>
    <w:p>
      <w:pPr>
        <w:pStyle w:val="Heading2"/>
        <w:spacing w:before="140" w:after="100"/>
        <w:keepNext/>
      </w:pPr>
      <w:r>
        <w:rPr>
          <w:rFonts w:ascii="Liberation Sans" w:hAnsi="Liberation Sans" w:eastAsia="Liberation Sans"/>
          <w:b/>
          <w:color w:val="2F5597"/>
          <w:sz w:val="26"/>
        </w:rPr>
        <w:t>29.2. Естественность относительно морфизмов</w:t>
      </w:r>
    </w:p>
    <w:p>
      <w:pPr>
        <w:spacing w:after="60"/>
      </w:pPr>
      <w:r>
        <w:rPr>
          <w:rFonts w:ascii="Liberation Sans" w:hAnsi="Liberation Sans" w:eastAsia="Liberation Sans"/>
          <w:b/>
          <w:color w:val="2F5597"/>
          <w:sz w:val="19"/>
        </w:rPr>
        <w:t>Определение 6.18. Projective Reper morphism [DEF-A]</w:t>
      </w:r>
    </w:p>
    <w:p>
      <w:pPr>
        <w:spacing w:after="80" w:before="0" w:line="269" w:lineRule="auto"/>
      </w:pPr>
      <w:r>
        <w:rPr>
          <w:rFonts w:ascii="Liberation Serif" w:hAnsi="Liberation Serif" w:eastAsia="Liberation Serif"/>
          <w:i w:val="0"/>
          <w:sz w:val="20"/>
        </w:rPr>
        <w:t>Морфизм F:X→Y называется projective-Reper, если локально выражается элементами PGL₂(K), переносит Adm, Valid(D) и обструкционные метки и согласован со структурными пучками.</w:t>
      </w:r>
    </w:p>
    <w:p>
      <w:pPr>
        <w:spacing w:after="60"/>
      </w:pPr>
      <w:r>
        <w:rPr>
          <w:rFonts w:ascii="Liberation Sans" w:hAnsi="Liberation Sans" w:eastAsia="Liberation Sans"/>
          <w:b/>
          <w:color w:val="2E6B57"/>
          <w:sz w:val="19"/>
        </w:rPr>
        <w:t>Теорема 6.19. Инвариантность harmonic locus [THM]</w:t>
      </w:r>
    </w:p>
    <w:p>
      <w:pPr>
        <w:spacing w:before="60" w:after="100" w:line="240" w:lineRule="auto"/>
        <w:jc w:val="center"/>
      </w:pPr>
      <w:r>
        <w:rPr>
          <w:rFonts w:ascii="Cambria Math" w:hAnsi="Cambria Math" w:eastAsia="Cambria Math"/>
          <w:sz w:val="22"/>
        </w:rPr>
        <w:t>F(Harm(X)) ⊆ Harm(Y).</w:t>
      </w:r>
    </w:p>
    <w:p>
      <w:pPr>
        <w:spacing w:after="80" w:before="0" w:line="269" w:lineRule="auto"/>
      </w:pPr>
      <w:r>
        <w:rPr>
          <w:rFonts w:ascii="Liberation Serif" w:hAnsi="Liberation Serif" w:eastAsia="Liberation Serif"/>
          <w:i w:val="0"/>
          <w:sz w:val="20"/>
        </w:rPr>
        <w:t>Если F является изоморфизмом projective-Reper объектов, то F(Harm(X))=Harm(Y). Доказательство следует из локальной PGL₂-инвариантности и сохранения D/Dom.</w:t>
      </w:r>
    </w:p>
    <w:p>
      <w:pPr>
        <w:pStyle w:val="Heading1"/>
        <w:spacing w:before="200" w:after="100"/>
        <w:keepNext/>
      </w:pPr>
      <w:r>
        <w:rPr>
          <w:rFonts w:ascii="Liberation Sans" w:hAnsi="Liberation Sans" w:eastAsia="Liberation Sans"/>
          <w:b/>
          <w:color w:val="17365D"/>
          <w:sz w:val="36"/>
        </w:rPr>
        <w:t>30. Двойной детерминантный горизонт</w:t>
      </w:r>
    </w:p>
    <w:p>
      <w:pPr>
        <w:pStyle w:val="Heading2"/>
        <w:spacing w:before="140" w:after="100"/>
        <w:keepNext/>
      </w:pPr>
      <w:r>
        <w:rPr>
          <w:rFonts w:ascii="Liberation Sans" w:hAnsi="Liberation Sans" w:eastAsia="Liberation Sans"/>
          <w:b/>
          <w:color w:val="2F5597"/>
          <w:sz w:val="26"/>
        </w:rPr>
        <w:t>30.1. Алгебраический и геометрический каналы</w:t>
      </w:r>
    </w:p>
    <w:p>
      <w:pPr>
        <w:spacing w:after="80" w:before="0" w:line="269" w:lineRule="auto"/>
      </w:pPr>
      <w:r>
        <w:rPr>
          <w:rFonts w:ascii="Liberation Serif" w:hAnsi="Liberation Serif" w:eastAsia="Liberation Serif"/>
          <w:i w:val="0"/>
          <w:sz w:val="20"/>
        </w:rPr>
        <w:t>Пусть t↦A_t — алгебраическая семья главы 5 и X_t=Spec_R(A_t) — её геометрическая реализация на реконструируемом слое. Алгебраический горизонт Delta_alg определяется падением рангов матриц ассоциатора, ядер, центра и идеала J_Ass. Геометрический горизонт Delta_geo определяется падением рангов функториально соответствующих карт касательного, пучкового или инцидентного слоя.</w:t>
      </w:r>
    </w:p>
    <w:p>
      <w:pPr>
        <w:spacing w:after="60"/>
      </w:pPr>
      <w:r>
        <w:rPr>
          <w:rFonts w:ascii="Liberation Sans" w:hAnsi="Liberation Sans" w:eastAsia="Liberation Sans"/>
          <w:b/>
          <w:color w:val="9C2F2F"/>
          <w:sz w:val="19"/>
        </w:rPr>
        <w:t>Гипотеза 6.20. Conjugacy bridge [COND]</w:t>
      </w:r>
    </w:p>
    <w:p>
      <w:pPr>
        <w:spacing w:after="80" w:before="0" w:line="269" w:lineRule="auto"/>
      </w:pPr>
      <w:r>
        <w:rPr>
          <w:rFonts w:ascii="Liberation Serif" w:hAnsi="Liberation Serif" w:eastAsia="Liberation Serif"/>
          <w:i w:val="0"/>
          <w:sz w:val="20"/>
        </w:rPr>
        <w:t>Для каждой структурной карты M_alg(t) существует геометрическая карта M_geo(t) и обратимые матрицы U(t),V(t), такие что</w:t>
      </w:r>
    </w:p>
    <w:p>
      <w:pPr>
        <w:spacing w:before="60" w:after="100" w:line="240" w:lineRule="auto"/>
        <w:jc w:val="center"/>
      </w:pPr>
      <w:r>
        <w:rPr>
          <w:rFonts w:ascii="Cambria Math" w:hAnsi="Cambria Math" w:eastAsia="Cambria Math"/>
          <w:sz w:val="22"/>
        </w:rPr>
        <w:t>M_geo(t)=U(t) M_alg(t) V(t)^{-1}.</w:t>
      </w:r>
    </w:p>
    <w:p>
      <w:pPr>
        <w:spacing w:after="60"/>
      </w:pPr>
      <w:r>
        <w:rPr>
          <w:rFonts w:ascii="Liberation Sans" w:hAnsi="Liberation Sans" w:eastAsia="Liberation Sans"/>
          <w:b/>
          <w:color w:val="2E6B57"/>
          <w:sz w:val="19"/>
        </w:rPr>
        <w:t>Теорема 6.21. Совпадение ранговых горизонтов [THM при гипотезе 6.20]</w:t>
      </w:r>
    </w:p>
    <w:p>
      <w:pPr>
        <w:spacing w:before="60" w:after="100" w:line="240" w:lineRule="auto"/>
        <w:jc w:val="center"/>
      </w:pPr>
      <w:r>
        <w:rPr>
          <w:rFonts w:ascii="Cambria Math" w:hAnsi="Cambria Math" w:eastAsia="Cambria Math"/>
          <w:sz w:val="22"/>
        </w:rPr>
        <w:t>Delta_alg = Delta_geo.</w:t>
      </w:r>
    </w:p>
    <w:p>
      <w:pPr>
        <w:spacing w:after="80" w:before="0" w:line="269" w:lineRule="auto"/>
      </w:pPr>
      <w:r>
        <w:rPr>
          <w:rFonts w:ascii="Liberation Serif" w:hAnsi="Liberation Serif" w:eastAsia="Liberation Serif"/>
          <w:i w:val="0"/>
          <w:sz w:val="20"/>
        </w:rPr>
        <w:t>Доказательство. Умножение слева и справа на обратимые матрицы сохраняет ранг. Поэтому наборы параметров, на которых соответствующая карта теряет общий ранг, совпадают. После объединения по конечному семейству структурных карт получаем равенство горизонтов. □</w:t>
      </w:r>
    </w:p>
    <w:p>
      <w:pPr>
        <w:spacing w:after="60"/>
      </w:pPr>
      <w:r>
        <w:rPr>
          <w:rFonts w:ascii="Liberation Sans" w:hAnsi="Liberation Sans" w:eastAsia="Liberation Sans"/>
          <w:b/>
          <w:color w:val="2E6B57"/>
          <w:sz w:val="19"/>
        </w:rPr>
        <w:t>Следствие 6.22. Двойная теорема отрицательного прогноза [THM при гипотезах 6.7 и 6.20]</w:t>
      </w:r>
    </w:p>
    <w:p>
      <w:pPr>
        <w:spacing w:after="80" w:before="0" w:line="269" w:lineRule="auto"/>
      </w:pPr>
      <w:r>
        <w:rPr>
          <w:rFonts w:ascii="Liberation Serif" w:hAnsi="Liberation Serif" w:eastAsia="Liberation Serif"/>
          <w:i w:val="0"/>
          <w:sz w:val="20"/>
        </w:rPr>
        <w:t>Если путь gamma([t0,t1]) не пересекает общий горизонт и реконструкционный дефект равен нулю, то на всём интервале постоянны как алгебраический профиль Prof_Ass(A_t), так и его геометрический двойственный профиль.</w:t>
      </w:r>
    </w:p>
    <w:p>
      <w:pPr>
        <w:spacing w:after="80" w:before="0" w:line="269" w:lineRule="auto"/>
      </w:pPr>
      <w:r>
        <w:rPr>
          <w:rFonts w:ascii="Liberation Serif" w:hAnsi="Liberation Serif" w:eastAsia="Liberation Serif"/>
          <w:i w:val="0"/>
          <w:sz w:val="20"/>
        </w:rPr>
        <w:t>Это утверждение исключает структурный переход внутри конкретной модели. Оно не утверждает неизменность физической системы, если не доказано, что система реализует данную модель и путь параметров.</w:t>
      </w:r>
    </w:p>
    <w:p>
      <w:pPr>
        <w:pStyle w:val="Heading2"/>
        <w:spacing w:before="140" w:after="100"/>
        <w:keepNext/>
      </w:pPr>
      <w:r>
        <w:rPr>
          <w:rFonts w:ascii="Liberation Sans" w:hAnsi="Liberation Sans" w:eastAsia="Liberation Sans"/>
          <w:b/>
          <w:color w:val="2F5597"/>
          <w:sz w:val="26"/>
        </w:rPr>
        <w:t>30.2. Несовпадение горизонтов как blocker</w:t>
      </w:r>
    </w:p>
    <w:p>
      <w:pPr>
        <w:spacing w:after="60"/>
      </w:pPr>
      <w:r>
        <w:rPr>
          <w:rFonts w:ascii="Liberation Sans" w:hAnsi="Liberation Sans" w:eastAsia="Liberation Sans"/>
          <w:b/>
          <w:color w:val="2F5597"/>
          <w:sz w:val="19"/>
        </w:rPr>
        <w:t>Определение 6.23. Dual mismatch set [DEF-A]</w:t>
      </w:r>
    </w:p>
    <w:p>
      <w:pPr>
        <w:spacing w:before="60" w:after="100" w:line="240" w:lineRule="auto"/>
        <w:jc w:val="center"/>
      </w:pPr>
      <w:r>
        <w:rPr>
          <w:rFonts w:ascii="Cambria Math" w:hAnsi="Cambria Math" w:eastAsia="Cambria Math"/>
          <w:sz w:val="22"/>
        </w:rPr>
        <w:t>Mis_dual = Delta_alg triangle Delta_geo.</w:t>
      </w:r>
    </w:p>
    <w:p>
      <w:pPr>
        <w:spacing w:after="80" w:before="0" w:line="269" w:lineRule="auto"/>
      </w:pPr>
      <w:r>
        <w:rPr>
          <w:rFonts w:ascii="Liberation Serif" w:hAnsi="Liberation Serif" w:eastAsia="Liberation Serif"/>
          <w:i w:val="0"/>
          <w:sz w:val="20"/>
        </w:rPr>
        <w:t>Непустое симметрическое различие означает, что либо реконструкция не точна, либо выбранные структурные карты не являются функториальными соответствиями, либо вычислительный сертификат содержит дефект. В этом случае переходный кандидат не публикуется.</w:t>
      </w:r>
    </w:p>
    <w:tbl>
      <w:tblPr>
        <w:tblStyle w:val="TableGrid"/>
        <w:tblW w:type="auto" w:w="0"/>
        <w:jc w:val="center"/>
        <w:tblLayout w:type="fixed"/>
        <w:tblLook w:firstColumn="1" w:firstRow="1" w:lastColumn="0" w:lastRow="0" w:noHBand="0" w:noVBand="1" w:val="04A0"/>
      </w:tblPr>
      <w:tblGrid>
        <w:gridCol w:w="3240"/>
        <w:gridCol w:w="5472"/>
        <w:gridCol w:w="1656"/>
      </w:tblGrid>
      <w:tr>
        <w:trPr>
          <w:tblHeader w:val="true"/>
        </w:trPr>
        <w:tc>
          <w:tcPr>
            <w:tcW w:type="dxa" w:w="3251"/>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Ситуация</w:t>
            </w:r>
          </w:p>
        </w:tc>
        <w:tc>
          <w:tcPr>
            <w:tcW w:type="dxa" w:w="3251"/>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Вывод</w:t>
            </w:r>
          </w:p>
        </w:tc>
        <w:tc>
          <w:tcPr>
            <w:tcW w:type="dxa" w:w="3251"/>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Статус</w:t>
            </w:r>
          </w:p>
        </w:tc>
      </w:tr>
      <w:tr>
        <w:tc>
          <w:tcPr>
            <w:tcW w:type="dxa" w:w="3240"/>
            <w:vAlign w:val="center"/>
            <w:tcMar>
              <w:top w:w="85" w:type="dxa"/>
              <w:start w:w="95" w:type="dxa"/>
              <w:bottom w:w="85" w:type="dxa"/>
              <w:end w:w="95" w:type="dxa"/>
            </w:tcMar>
          </w:tcPr>
          <w:p>
            <w:pPr>
              <w:jc w:val="left"/>
            </w:pPr>
            <w:r>
              <w:rPr>
                <w:rFonts w:ascii="Liberation Serif" w:hAnsi="Liberation Serif" w:eastAsia="Liberation Serif"/>
                <w:b w:val="0"/>
                <w:sz w:val="17"/>
              </w:rPr>
              <w:t>t вне обоих горизонтов</w:t>
            </w:r>
          </w:p>
        </w:tc>
        <w:tc>
          <w:tcPr>
            <w:tcW w:type="dxa" w:w="5472"/>
            <w:vAlign w:val="center"/>
            <w:tcMar>
              <w:top w:w="85" w:type="dxa"/>
              <w:start w:w="95" w:type="dxa"/>
              <w:bottom w:w="85" w:type="dxa"/>
              <w:end w:w="95" w:type="dxa"/>
            </w:tcMar>
          </w:tcPr>
          <w:p>
            <w:pPr>
              <w:jc w:val="left"/>
            </w:pPr>
            <w:r>
              <w:rPr>
                <w:rFonts w:ascii="Liberation Serif" w:hAnsi="Liberation Serif" w:eastAsia="Liberation Serif"/>
                <w:b w:val="0"/>
                <w:sz w:val="17"/>
              </w:rPr>
              <w:t>Структурный профиль постоянен в обоих слоях.</w:t>
            </w:r>
          </w:p>
        </w:tc>
        <w:tc>
          <w:tcPr>
            <w:tcW w:type="dxa" w:w="1656"/>
            <w:vAlign w:val="center"/>
            <w:tcMar>
              <w:top w:w="85" w:type="dxa"/>
              <w:start w:w="95" w:type="dxa"/>
              <w:bottom w:w="85" w:type="dxa"/>
              <w:end w:w="95" w:type="dxa"/>
            </w:tcMar>
          </w:tcPr>
          <w:p>
            <w:pPr>
              <w:jc w:val="center"/>
            </w:pPr>
            <w:r>
              <w:rPr>
                <w:rFonts w:ascii="Liberation Serif" w:hAnsi="Liberation Serif" w:eastAsia="Liberation Serif"/>
                <w:b/>
                <w:color w:val="2F5597"/>
                <w:sz w:val="17"/>
              </w:rPr>
              <w:t>NO-CHANGE</w:t>
            </w:r>
          </w:p>
        </w:tc>
      </w:tr>
      <w:tr>
        <w:tc>
          <w:tcPr>
            <w:tcW w:type="dxa" w:w="324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t в обоих горизонтах</w:t>
            </w:r>
          </w:p>
        </w:tc>
        <w:tc>
          <w:tcPr>
            <w:tcW w:type="dxa" w:w="5472"/>
            <w:vAlign w:val="center"/>
            <w:tcMar>
              <w:top w:w="85" w:type="dxa"/>
              <w:start w:w="95" w:type="dxa"/>
              <w:bottom w:w="85" w:type="dxa"/>
              <w:end w:w="95" w:type="dxa"/>
            </w:tcMar>
            <w:shd w:fill="F4F7FB"/>
          </w:tcPr>
          <w:p>
            <w:pPr>
              <w:jc w:val="left"/>
            </w:pPr>
            <w:r>
              <w:rPr>
                <w:rFonts w:ascii="Liberation Serif" w:hAnsi="Liberation Serif" w:eastAsia="Liberation Serif"/>
                <w:b w:val="0"/>
                <w:sz w:val="17"/>
              </w:rPr>
              <w:t>Разрешён кандидат перехода; требуются lambda, D/Dom и obstruction gate.</w:t>
            </w:r>
          </w:p>
        </w:tc>
        <w:tc>
          <w:tcPr>
            <w:tcW w:type="dxa" w:w="1656"/>
            <w:vAlign w:val="center"/>
            <w:tcMar>
              <w:top w:w="85" w:type="dxa"/>
              <w:start w:w="95" w:type="dxa"/>
              <w:bottom w:w="85" w:type="dxa"/>
              <w:end w:w="95" w:type="dxa"/>
            </w:tcMar>
            <w:shd w:fill="F4F7FB"/>
          </w:tcPr>
          <w:p>
            <w:pPr>
              <w:jc w:val="center"/>
            </w:pPr>
            <w:r>
              <w:rPr>
                <w:rFonts w:ascii="Liberation Serif" w:hAnsi="Liberation Serif" w:eastAsia="Liberation Serif"/>
                <w:b/>
                <w:color w:val="2F5597"/>
                <w:sz w:val="17"/>
              </w:rPr>
              <w:t>CANDIDATE</w:t>
            </w:r>
          </w:p>
        </w:tc>
      </w:tr>
      <w:tr>
        <w:tc>
          <w:tcPr>
            <w:tcW w:type="dxa" w:w="3240"/>
            <w:vAlign w:val="center"/>
            <w:tcMar>
              <w:top w:w="85" w:type="dxa"/>
              <w:start w:w="95" w:type="dxa"/>
              <w:bottom w:w="85" w:type="dxa"/>
              <w:end w:w="95" w:type="dxa"/>
            </w:tcMar>
          </w:tcPr>
          <w:p>
            <w:pPr>
              <w:jc w:val="left"/>
            </w:pPr>
            <w:r>
              <w:rPr>
                <w:rFonts w:ascii="Liberation Serif" w:hAnsi="Liberation Serif" w:eastAsia="Liberation Serif"/>
                <w:b w:val="0"/>
                <w:sz w:val="17"/>
              </w:rPr>
              <w:t>t только в одном горизонте</w:t>
            </w:r>
          </w:p>
        </w:tc>
        <w:tc>
          <w:tcPr>
            <w:tcW w:type="dxa" w:w="5472"/>
            <w:vAlign w:val="center"/>
            <w:tcMar>
              <w:top w:w="85" w:type="dxa"/>
              <w:start w:w="95" w:type="dxa"/>
              <w:bottom w:w="85" w:type="dxa"/>
              <w:end w:w="95" w:type="dxa"/>
            </w:tcMar>
          </w:tcPr>
          <w:p>
            <w:pPr>
              <w:jc w:val="left"/>
            </w:pPr>
            <w:r>
              <w:rPr>
                <w:rFonts w:ascii="Liberation Serif" w:hAnsi="Liberation Serif" w:eastAsia="Liberation Serif"/>
                <w:b w:val="0"/>
                <w:sz w:val="17"/>
              </w:rPr>
              <w:t>Реконструкционный конфликт.</w:t>
            </w:r>
          </w:p>
        </w:tc>
        <w:tc>
          <w:tcPr>
            <w:tcW w:type="dxa" w:w="1656"/>
            <w:vAlign w:val="center"/>
            <w:tcMar>
              <w:top w:w="85" w:type="dxa"/>
              <w:start w:w="95" w:type="dxa"/>
              <w:bottom w:w="85" w:type="dxa"/>
              <w:end w:w="95" w:type="dxa"/>
            </w:tcMar>
          </w:tcPr>
          <w:p>
            <w:pPr>
              <w:jc w:val="center"/>
            </w:pPr>
            <w:r>
              <w:rPr>
                <w:rFonts w:ascii="Liberation Serif" w:hAnsi="Liberation Serif" w:eastAsia="Liberation Serif"/>
                <w:b/>
                <w:color w:val="2F5597"/>
                <w:sz w:val="17"/>
              </w:rPr>
              <w:t>ABSTAIN</w:t>
            </w:r>
          </w:p>
        </w:tc>
      </w:tr>
      <w:tr>
        <w:tc>
          <w:tcPr>
            <w:tcW w:type="dxa" w:w="324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eta или epsilon не изоморфны</w:t>
            </w:r>
          </w:p>
        </w:tc>
        <w:tc>
          <w:tcPr>
            <w:tcW w:type="dxa" w:w="5472"/>
            <w:vAlign w:val="center"/>
            <w:tcMar>
              <w:top w:w="85" w:type="dxa"/>
              <w:start w:w="95" w:type="dxa"/>
              <w:bottom w:w="85" w:type="dxa"/>
              <w:end w:w="95" w:type="dxa"/>
            </w:tcMar>
            <w:shd w:fill="F4F7FB"/>
          </w:tcPr>
          <w:p>
            <w:pPr>
              <w:jc w:val="left"/>
            </w:pPr>
            <w:r>
              <w:rPr>
                <w:rFonts w:ascii="Liberation Serif" w:hAnsi="Liberation Serif" w:eastAsia="Liberation Serif"/>
                <w:b w:val="0"/>
                <w:sz w:val="17"/>
              </w:rPr>
              <w:t>Алгебро-геометрический перенос запрещён.</w:t>
            </w:r>
          </w:p>
        </w:tc>
        <w:tc>
          <w:tcPr>
            <w:tcW w:type="dxa" w:w="1656"/>
            <w:vAlign w:val="center"/>
            <w:tcMar>
              <w:top w:w="85" w:type="dxa"/>
              <w:start w:w="95" w:type="dxa"/>
              <w:bottom w:w="85" w:type="dxa"/>
              <w:end w:w="95" w:type="dxa"/>
            </w:tcMar>
            <w:shd w:fill="F4F7FB"/>
          </w:tcPr>
          <w:p>
            <w:pPr>
              <w:jc w:val="center"/>
            </w:pPr>
            <w:r>
              <w:rPr>
                <w:rFonts w:ascii="Liberation Serif" w:hAnsi="Liberation Serif" w:eastAsia="Liberation Serif"/>
                <w:b/>
                <w:color w:val="2F5597"/>
                <w:sz w:val="17"/>
              </w:rPr>
              <w:t>ABSTAIN</w:t>
            </w:r>
          </w:p>
        </w:tc>
      </w:tr>
    </w:tbl>
    <w:p>
      <w:pPr>
        <w:spacing w:after="40"/>
      </w:pPr>
    </w:p>
    <w:p>
      <w:pPr>
        <w:pStyle w:val="Heading1"/>
        <w:spacing w:before="200" w:after="100"/>
        <w:keepNext/>
      </w:pPr>
      <w:r>
        <w:rPr>
          <w:rFonts w:ascii="Liberation Sans" w:hAnsi="Liberation Sans" w:eastAsia="Liberation Sans"/>
          <w:b/>
          <w:color w:val="17365D"/>
          <w:sz w:val="36"/>
        </w:rPr>
        <w:t>31. Двойной предсказательный шлюз KLT-RBD</w:t>
      </w:r>
    </w:p>
    <w:p>
      <w:pPr>
        <w:pStyle w:val="Heading2"/>
        <w:spacing w:before="140" w:after="100"/>
        <w:keepNext/>
      </w:pPr>
      <w:r>
        <w:rPr>
          <w:rFonts w:ascii="Liberation Sans" w:hAnsi="Liberation Sans" w:eastAsia="Liberation Sans"/>
          <w:b/>
          <w:color w:val="2F5597"/>
          <w:sz w:val="26"/>
        </w:rPr>
        <w:t>31.1. Система блокеров</w:t>
      </w:r>
    </w:p>
    <w:p>
      <w:pPr>
        <w:spacing w:after="60"/>
      </w:pPr>
      <w:r>
        <w:rPr>
          <w:rFonts w:ascii="Liberation Sans" w:hAnsi="Liberation Sans" w:eastAsia="Liberation Sans"/>
          <w:b/>
          <w:color w:val="2F5597"/>
          <w:sz w:val="19"/>
        </w:rPr>
        <w:t>Определение 6.24. Block_dual [DEF-A]</w:t>
      </w:r>
    </w:p>
    <w:p>
      <w:pPr>
        <w:spacing w:before="60" w:after="100" w:line="240" w:lineRule="auto"/>
        <w:jc w:val="center"/>
      </w:pPr>
      <w:r>
        <w:rPr>
          <w:rFonts w:ascii="Cambria Math" w:hAnsi="Cambria Math" w:eastAsia="Cambria Math"/>
          <w:sz w:val="22"/>
        </w:rPr>
        <w:t>Block_dual = B_rec ∪ B_var ∪ B_chart ∪ B_D ∪ B_Dom ∪ B_ob ∪ B_ind.</w:t>
      </w:r>
    </w:p>
    <w:p>
      <w:pPr>
        <w:pStyle w:val="ListBullet"/>
        <w:spacing w:after="40" w:line="259" w:lineRule="auto"/>
      </w:pPr>
      <w:r>
        <w:rPr>
          <w:rFonts w:ascii="Liberation Serif" w:hAnsi="Liberation Serif" w:eastAsia="Liberation Serif"/>
          <w:sz w:val="19"/>
        </w:rPr>
        <w:t>B_rec: unit или counit не являются изоморфизмами;</w:t>
      </w:r>
    </w:p>
    <w:p>
      <w:pPr>
        <w:pStyle w:val="ListBullet"/>
        <w:spacing w:after="40" w:line="259" w:lineRule="auto"/>
      </w:pPr>
      <w:r>
        <w:rPr>
          <w:rFonts w:ascii="Liberation Serif" w:hAnsi="Liberation Serif" w:eastAsia="Liberation Serif"/>
          <w:sz w:val="19"/>
        </w:rPr>
        <w:t>B_var: алгебраический и геометрический горизонты не совпадают;</w:t>
      </w:r>
    </w:p>
    <w:p>
      <w:pPr>
        <w:pStyle w:val="ListBullet"/>
        <w:spacing w:after="40" w:line="259" w:lineRule="auto"/>
      </w:pPr>
      <w:r>
        <w:rPr>
          <w:rFonts w:ascii="Liberation Serif" w:hAnsi="Liberation Serif" w:eastAsia="Liberation Serif"/>
          <w:sz w:val="19"/>
        </w:rPr>
        <w:t>B_chart: переходы реперного атласа не доказаны как проективные;</w:t>
      </w:r>
    </w:p>
    <w:p>
      <w:pPr>
        <w:pStyle w:val="ListBullet"/>
        <w:spacing w:after="40" w:line="259" w:lineRule="auto"/>
      </w:pPr>
      <w:r>
        <w:rPr>
          <w:rFonts w:ascii="Liberation Serif" w:hAnsi="Liberation Serif" w:eastAsia="Liberation Serif"/>
          <w:sz w:val="19"/>
        </w:rPr>
        <w:t>B_D и B_Dom: отсутствует достаточное основание или область применения;</w:t>
      </w:r>
    </w:p>
    <w:p>
      <w:pPr>
        <w:pStyle w:val="ListBullet"/>
        <w:spacing w:after="40" w:line="259" w:lineRule="auto"/>
      </w:pPr>
      <w:r>
        <w:rPr>
          <w:rFonts w:ascii="Liberation Serif" w:hAnsi="Liberation Serif" w:eastAsia="Liberation Serif"/>
          <w:sz w:val="19"/>
        </w:rPr>
        <w:t>B_ob: внутреннее или внешнее препятствие не обнулено;</w:t>
      </w:r>
    </w:p>
    <w:p>
      <w:pPr>
        <w:pStyle w:val="ListBullet"/>
        <w:spacing w:after="40" w:line="259" w:lineRule="auto"/>
      </w:pPr>
      <w:r>
        <w:rPr>
          <w:rFonts w:ascii="Liberation Serif" w:hAnsi="Liberation Serif" w:eastAsia="Liberation Serif"/>
          <w:sz w:val="19"/>
        </w:rPr>
        <w:t>B_ind: отсутствует независимый вычислительный или эмпирический сертификат, когда он требуется.</w:t>
      </w:r>
    </w:p>
    <w:p>
      <w:pPr>
        <w:spacing w:after="60"/>
      </w:pPr>
      <w:r>
        <w:rPr>
          <w:rFonts w:ascii="Liberation Sans" w:hAnsi="Liberation Sans" w:eastAsia="Liberation Sans"/>
          <w:b/>
          <w:color w:val="2F5597"/>
          <w:sz w:val="19"/>
        </w:rPr>
        <w:t>Определение 6.25. Dual harmonic candidate [DEF-A]</w:t>
      </w:r>
    </w:p>
    <w:p>
      <w:pPr>
        <w:spacing w:before="60" w:after="100" w:line="240" w:lineRule="auto"/>
        <w:jc w:val="center"/>
      </w:pPr>
      <w:r>
        <w:rPr>
          <w:rFonts w:ascii="Cambria Math" w:hAnsi="Cambria Math" w:eastAsia="Cambria Math"/>
          <w:sz w:val="22"/>
        </w:rPr>
        <w:t>Cand_dual(t)=1  iff  t∈Delta_alg∩Delta_geo,  lambda_t=-1,  Valid(D_t)=1,  Pi_t=0,  Block_dual=empty.</w:t>
      </w:r>
    </w:p>
    <w:p>
      <w:pPr>
        <w:spacing w:after="80" w:before="0" w:line="269" w:lineRule="auto"/>
      </w:pPr>
      <w:r>
        <w:rPr>
          <w:rFonts w:ascii="Liberation Serif" w:hAnsi="Liberation Serif" w:eastAsia="Liberation Serif"/>
          <w:i w:val="0"/>
          <w:sz w:val="20"/>
        </w:rPr>
        <w:t>В численно релаксированном режиме равенство lambda=-1 заменяется интервалом delta_truth≤tau, но статус остаётся CANDIDATE. Порог tau выбирается до раскрытия результата и входит в D.</w:t>
      </w:r>
    </w:p>
    <w:p>
      <w:r>
        <w:drawing>
          <wp:inline xmlns:a="http://schemas.openxmlformats.org/drawingml/2006/main" xmlns:pic="http://schemas.openxmlformats.org/drawingml/2006/picture">
            <wp:extent cx="6217920" cy="3050506"/>
            <wp:docPr id="14" name="Picture 14"/>
            <wp:cNvGraphicFramePr>
              <a:graphicFrameLocks noChangeAspect="1"/>
            </wp:cNvGraphicFramePr>
            <a:graphic>
              <a:graphicData uri="http://schemas.openxmlformats.org/drawingml/2006/picture">
                <pic:pic>
                  <pic:nvPicPr>
                    <pic:cNvPr id="0" name="pred_v04.png"/>
                    <pic:cNvPicPr/>
                  </pic:nvPicPr>
                  <pic:blipFill>
                    <a:blip r:embed="rId26"/>
                    <a:stretch>
                      <a:fillRect/>
                    </a:stretch>
                  </pic:blipFill>
                  <pic:spPr>
                    <a:xfrm>
                      <a:off x="0" y="0"/>
                      <a:ext cx="6217920" cy="3050506"/>
                    </a:xfrm>
                    <a:prstGeom prst="rect"/>
                  </pic:spPr>
                </pic:pic>
              </a:graphicData>
            </a:graphic>
          </wp:inline>
        </w:drawing>
      </w:r>
    </w:p>
    <w:p>
      <w:pPr>
        <w:pStyle w:val="Caption"/>
        <w:keepNext/>
        <w:spacing w:before="60" w:after="120"/>
        <w:jc w:val="center"/>
      </w:pPr>
      <w:r>
        <w:rPr>
          <w:rFonts w:ascii="Liberation Serif" w:hAnsi="Liberation Serif" w:eastAsia="Liberation Serif"/>
          <w:b/>
          <w:color w:val="5B6573"/>
          <w:sz w:val="17"/>
        </w:rPr>
        <w:t>Рисунок 10. Двойной предсказательный шлюз NAPG/KLT-RBD. Собственная схема Тома II.</w:t>
      </w:r>
    </w:p>
    <w:p>
      <w:pPr>
        <w:pStyle w:val="Heading2"/>
        <w:spacing w:before="140" w:after="100"/>
        <w:keepNext/>
      </w:pPr>
      <w:r>
        <w:rPr>
          <w:rFonts w:ascii="Liberation Sans" w:hAnsi="Liberation Sans" w:eastAsia="Liberation Sans"/>
          <w:b/>
          <w:color w:val="2F5597"/>
          <w:sz w:val="26"/>
        </w:rPr>
        <w:t>31.2. Основная условная теорема переноса кандидата</w:t>
      </w:r>
    </w:p>
    <w:p>
      <w:pPr>
        <w:spacing w:after="60"/>
      </w:pPr>
      <w:r>
        <w:rPr>
          <w:rFonts w:ascii="Liberation Sans" w:hAnsi="Liberation Sans" w:eastAsia="Liberation Sans"/>
          <w:b/>
          <w:color w:val="9C2F2F"/>
          <w:sz w:val="19"/>
        </w:rPr>
        <w:t>Теорема 6.26. Functorial predictive transport [COND]</w:t>
      </w:r>
    </w:p>
    <w:p>
      <w:pPr>
        <w:spacing w:after="80" w:before="0" w:line="269" w:lineRule="auto"/>
      </w:pPr>
      <w:r>
        <w:rPr>
          <w:rFonts w:ascii="Liberation Serif" w:hAnsi="Liberation Serif" w:eastAsia="Liberation Serif"/>
          <w:i w:val="0"/>
          <w:sz w:val="20"/>
        </w:rPr>
        <w:t>Пусть выполнены условия:</w:t>
      </w:r>
    </w:p>
    <w:p>
      <w:pPr>
        <w:pStyle w:val="ListBullet"/>
        <w:spacing w:after="40" w:line="259" w:lineRule="auto"/>
      </w:pPr>
      <w:r>
        <w:rPr>
          <w:rFonts w:ascii="Liberation Serif" w:hAnsi="Liberation Serif" w:eastAsia="Liberation Serif"/>
          <w:sz w:val="19"/>
        </w:rPr>
        <w:t>H1. t↦A_t является конечномерной алгебраической или аналитической семьёй с вычислимым Delta_alg;</w:t>
      </w:r>
    </w:p>
    <w:p>
      <w:pPr>
        <w:pStyle w:val="ListBullet"/>
        <w:spacing w:after="40" w:line="259" w:lineRule="auto"/>
      </w:pPr>
      <w:r>
        <w:rPr>
          <w:rFonts w:ascii="Liberation Serif" w:hAnsi="Liberation Serif" w:eastAsia="Liberation Serif"/>
          <w:sz w:val="19"/>
        </w:rPr>
        <w:t>H2. существует сопряжённая пара Spec_R ⊣ Gamma_R;</w:t>
      </w:r>
    </w:p>
    <w:p>
      <w:pPr>
        <w:pStyle w:val="ListBullet"/>
        <w:spacing w:after="40" w:line="259" w:lineRule="auto"/>
      </w:pPr>
      <w:r>
        <w:rPr>
          <w:rFonts w:ascii="Liberation Serif" w:hAnsi="Liberation Serif" w:eastAsia="Liberation Serif"/>
          <w:sz w:val="19"/>
        </w:rPr>
        <w:t>H3. eta_{A_t} и epsilon_bar_{X_t} изоморфны в исследуемой окрестности;</w:t>
      </w:r>
    </w:p>
    <w:p>
      <w:pPr>
        <w:pStyle w:val="ListBullet"/>
        <w:spacing w:after="40" w:line="259" w:lineRule="auto"/>
      </w:pPr>
      <w:r>
        <w:rPr>
          <w:rFonts w:ascii="Liberation Serif" w:hAnsi="Liberation Serif" w:eastAsia="Liberation Serif"/>
          <w:sz w:val="19"/>
        </w:rPr>
        <w:t>H4. структурные карты связаны Conjugacy bridge 6.20;</w:t>
      </w:r>
    </w:p>
    <w:p>
      <w:pPr>
        <w:pStyle w:val="ListBullet"/>
        <w:spacing w:after="40" w:line="259" w:lineRule="auto"/>
      </w:pPr>
      <w:r>
        <w:rPr>
          <w:rFonts w:ascii="Liberation Serif" w:hAnsi="Liberation Serif" w:eastAsia="Liberation Serif"/>
          <w:sz w:val="19"/>
        </w:rPr>
        <w:t>H5. на X_t задан projective Reper atlas;</w:t>
      </w:r>
    </w:p>
    <w:p>
      <w:pPr>
        <w:pStyle w:val="ListBullet"/>
        <w:spacing w:after="40" w:line="259" w:lineRule="auto"/>
      </w:pPr>
      <w:r>
        <w:rPr>
          <w:rFonts w:ascii="Liberation Serif" w:hAnsi="Liberation Serif" w:eastAsia="Liberation Serif"/>
          <w:sz w:val="19"/>
        </w:rPr>
        <w:t>H6. D/Dom валидны и зафиксированы до проверки;</w:t>
      </w:r>
    </w:p>
    <w:p>
      <w:pPr>
        <w:pStyle w:val="ListBullet"/>
        <w:spacing w:after="40" w:line="259" w:lineRule="auto"/>
      </w:pPr>
      <w:r>
        <w:rPr>
          <w:rFonts w:ascii="Liberation Serif" w:hAnsi="Liberation Serif" w:eastAsia="Liberation Serif"/>
          <w:sz w:val="19"/>
        </w:rPr>
        <w:t>H7. внутренние препятствия и заявленные внешние препятствия равны нулю;</w:t>
      </w:r>
    </w:p>
    <w:p>
      <w:pPr>
        <w:pStyle w:val="ListBullet"/>
        <w:spacing w:after="40" w:line="259" w:lineRule="auto"/>
      </w:pPr>
      <w:r>
        <w:rPr>
          <w:rFonts w:ascii="Liberation Serif" w:hAnsi="Liberation Serif" w:eastAsia="Liberation Serif"/>
          <w:sz w:val="19"/>
        </w:rPr>
        <w:t>H8. вычислительные сертификаты алгебраического и геометрического каналов воспроизводимы.</w:t>
      </w:r>
    </w:p>
    <w:p>
      <w:pPr>
        <w:spacing w:after="80" w:before="0" w:line="269" w:lineRule="auto"/>
      </w:pPr>
      <w:r>
        <w:rPr>
          <w:rFonts w:ascii="Liberation Serif" w:hAnsi="Liberation Serif" w:eastAsia="Liberation Serif"/>
          <w:i w:val="0"/>
          <w:sz w:val="20"/>
        </w:rPr>
        <w:t>Тогда множество Cand_dual инвариантно относительно изоморфизмов семейства A_t, projective-Reper изоморфизмов X_t и проективных замен координаты параметрической прямой. Если путь не пересекает общий горизонт, алгоритм обязан вернуть NO-STRUCTURAL-CHANGE-IN-MODEL; если Block_dual непуст, он обязан вернуть ABSTAIN.</w:t>
      </w:r>
    </w:p>
    <w:p>
      <w:pPr>
        <w:spacing w:after="80" w:before="0" w:line="269" w:lineRule="auto"/>
      </w:pPr>
      <w:r>
        <w:rPr>
          <w:rFonts w:ascii="Liberation Serif" w:hAnsi="Liberation Serif" w:eastAsia="Liberation Serif"/>
          <w:i w:val="0"/>
          <w:sz w:val="20"/>
        </w:rPr>
        <w:t>Доказательство. Изоморфная инвариантность алгебраического горизонта установлена в главе 5. Теорема 6.21 переносит его в геометрический слой. Теоремы 6.16 и 6.19 обеспечивают инвариантность lambda. H6-H8 сохраняют доказательные ворота. Следовательно, булев селектор Cand_dual не зависит от допустимого представления. Отрицательная ветвь следует из постоянства рангов вне горизонта; ветвь ABSTAIN является определением blocker-safe протокола. □</w:t>
      </w:r>
    </w:p>
    <w:tbl>
      <w:tblPr>
        <w:tblStyle w:val="TableGrid"/>
        <w:tblW w:type="auto" w:w="0"/>
        <w:jc w:val="center"/>
        <w:tblLayout w:type="fixed"/>
        <w:tblLook w:firstColumn="1" w:firstRow="1" w:lastColumn="0" w:lastRow="0" w:noHBand="0" w:noVBand="1" w:val="04A0"/>
      </w:tblPr>
      <w:tblGrid>
        <w:gridCol w:w="2088"/>
        <w:gridCol w:w="8568"/>
      </w:tblGrid>
      <w:tr>
        <w:tc>
          <w:tcPr>
            <w:tcW w:type="dxa" w:w="9752"/>
            <w:gridSpan w:val="2"/>
            <w:shd w:fill="17365D"/>
          </w:tcPr>
          <w:p>
            <w:pPr>
              <w:jc w:val="center"/>
            </w:pPr>
            <w:r>
              <w:rPr>
                <w:rFonts w:ascii="Liberation Sans" w:hAnsi="Liberation Sans" w:eastAsia="Liberation Sans"/>
                <w:b/>
                <w:color w:val="FFFFFF"/>
                <w:sz w:val="21"/>
              </w:rPr>
              <w:t>Феноменологический смысл двойного шлюза</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Наблюдаемое</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Геометрический канал показывает, как структурная возможность проявляется в пространстве конфигураций.</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Основание</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Алгебраический канал фиксирует, какая операция, ассоциатор и идеал действительно изменяют ранг.</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Согласование</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Проективно-гармоническая lambda локализует симметричный Reper-кандидат, но только внутри общего детерминантного горизонта.</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Воздержание</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При несовпадении каналов система не угадывает скрытый смысл, а выдаёт ABSTAIN и реестр недостающих мостов.</w:t>
            </w:r>
          </w:p>
        </w:tc>
      </w:tr>
    </w:tbl>
    <w:p>
      <w:pPr>
        <w:spacing w:after="40"/>
      </w:pPr>
    </w:p>
    <w:p>
      <w:pPr>
        <w:pStyle w:val="Heading1"/>
        <w:spacing w:before="200" w:after="100"/>
        <w:keepNext/>
      </w:pPr>
      <w:r>
        <w:rPr>
          <w:rFonts w:ascii="Liberation Sans" w:hAnsi="Liberation Sans" w:eastAsia="Liberation Sans"/>
          <w:b/>
          <w:color w:val="17365D"/>
          <w:sz w:val="36"/>
        </w:rPr>
        <w:t>32. Геометрический смысл R-star-R</w:t>
      </w:r>
    </w:p>
    <w:p>
      <w:pPr>
        <w:pStyle w:val="Heading2"/>
        <w:spacing w:before="140" w:after="100"/>
        <w:keepNext/>
      </w:pPr>
      <w:r>
        <w:rPr>
          <w:rFonts w:ascii="Liberation Sans" w:hAnsi="Liberation Sans" w:eastAsia="Liberation Sans"/>
          <w:b/>
          <w:color w:val="2F5597"/>
          <w:sz w:val="26"/>
        </w:rPr>
        <w:t>32.1. Представимый образ ассоциатора</w:t>
      </w:r>
    </w:p>
    <w:p>
      <w:pPr>
        <w:spacing w:after="80" w:before="0" w:line="269" w:lineRule="auto"/>
      </w:pPr>
      <w:r>
        <w:rPr>
          <w:rFonts w:ascii="Liberation Serif" w:hAnsi="Liberation Serif" w:eastAsia="Liberation Serif"/>
          <w:i w:val="0"/>
          <w:sz w:val="20"/>
        </w:rPr>
        <w:t>Для T∈𝒞 каждый T-пункт x:A→T переносит ассоциатор по формуле</w:t>
      </w:r>
    </w:p>
    <w:p>
      <w:pPr>
        <w:spacing w:before="60" w:after="100" w:line="240" w:lineRule="auto"/>
        <w:jc w:val="center"/>
      </w:pPr>
      <w:r>
        <w:rPr>
          <w:rFonts w:ascii="Cambria Math" w:hAnsi="Cambria Math" w:eastAsia="Cambria Math"/>
          <w:sz w:val="22"/>
        </w:rPr>
        <w:t>x(Ass_A(a,b,c)) = Ass_T(xa,xb,xc).</w:t>
      </w:r>
    </w:p>
    <w:p>
      <w:pPr>
        <w:spacing w:after="80" w:before="0" w:line="269" w:lineRule="auto"/>
      </w:pPr>
      <w:r>
        <w:rPr>
          <w:rFonts w:ascii="Liberation Serif" w:hAnsi="Liberation Serif" w:eastAsia="Liberation Serif"/>
          <w:i w:val="0"/>
          <w:sz w:val="20"/>
        </w:rPr>
        <w:t>Поэтому R⋆R-сертификат главы 5 определяет естественное семейство функций на функторе точек. Его нулевой локус на тестовом объекте T задаётся</w:t>
      </w:r>
    </w:p>
    <w:p>
      <w:pPr>
        <w:spacing w:before="60" w:after="100" w:line="240" w:lineRule="auto"/>
        <w:jc w:val="center"/>
      </w:pPr>
      <w:r>
        <w:rPr>
          <w:rFonts w:ascii="Cambria Math" w:hAnsi="Cambria Math" w:eastAsia="Cambria Math"/>
          <w:sz w:val="22"/>
        </w:rPr>
        <w:t>Z_Ass(T)={x∈h_A(T): x(J_Ass(A))=0}.</w:t>
      </w:r>
    </w:p>
    <w:p>
      <w:pPr>
        <w:spacing w:after="60"/>
      </w:pPr>
      <w:r>
        <w:rPr>
          <w:rFonts w:ascii="Liberation Sans" w:hAnsi="Liberation Sans" w:eastAsia="Liberation Sans"/>
          <w:b/>
          <w:color w:val="2E6B57"/>
          <w:sz w:val="19"/>
        </w:rPr>
        <w:t>Предложение 6.27. Представимость ассоциативного отражения [THM]</w:t>
      </w:r>
    </w:p>
    <w:p>
      <w:pPr>
        <w:spacing w:before="60" w:after="100" w:line="240" w:lineRule="auto"/>
        <w:jc w:val="center"/>
      </w:pPr>
      <w:r>
        <w:rPr>
          <w:rFonts w:ascii="Cambria Math" w:hAnsi="Cambria Math" w:eastAsia="Cambria Math"/>
          <w:sz w:val="22"/>
        </w:rPr>
        <w:t>Z_Ass(T) ≅ Hom_𝒞(A/J_Ass(A), T)</w:t>
      </w:r>
    </w:p>
    <w:p>
      <w:pPr>
        <w:spacing w:after="80" w:before="0" w:line="269" w:lineRule="auto"/>
      </w:pPr>
      <w:r>
        <w:rPr>
          <w:rFonts w:ascii="Liberation Serif" w:hAnsi="Liberation Serif" w:eastAsia="Liberation Serif"/>
          <w:i w:val="0"/>
          <w:sz w:val="20"/>
        </w:rPr>
        <w:t>для тех тестовых объектов и морфизмов, для которых фактор A/J_Ass существует в 𝒞.</w:t>
      </w:r>
    </w:p>
    <w:p>
      <w:pPr>
        <w:spacing w:after="80" w:before="0" w:line="269" w:lineRule="auto"/>
      </w:pPr>
      <w:r>
        <w:rPr>
          <w:rFonts w:ascii="Liberation Serif" w:hAnsi="Liberation Serif" w:eastAsia="Liberation Serif"/>
          <w:i w:val="0"/>
          <w:sz w:val="20"/>
        </w:rPr>
        <w:t>Доказательство. Морфизм x:A→T обращает J_Ass в нуль тогда и только тогда, когда он единственным образом факторизуется через универсальное ассоциативное отражение A→A/J_Ass. □</w:t>
      </w:r>
    </w:p>
    <w:p>
      <w:pPr>
        <w:spacing w:after="80" w:before="0" w:line="269" w:lineRule="auto"/>
      </w:pPr>
      <w:r>
        <w:rPr>
          <w:rFonts w:ascii="Liberation Serif" w:hAnsi="Liberation Serif" w:eastAsia="Liberation Serif"/>
          <w:i w:val="0"/>
          <w:sz w:val="20"/>
        </w:rPr>
        <w:t>Следовательно, ассоциативный геометрический слой является представимым подфунктором полной NAPG-геометрии. Это даёт строгий смысл фразе «геометрия видит ассоциатор»: она видит не метафору, а факторизационный локус.</w:t>
      </w:r>
    </w:p>
    <w:p>
      <w:pPr>
        <w:pStyle w:val="Heading2"/>
        <w:spacing w:before="140" w:after="100"/>
        <w:keepNext/>
      </w:pPr>
      <w:r>
        <w:rPr>
          <w:rFonts w:ascii="Liberation Sans" w:hAnsi="Liberation Sans" w:eastAsia="Liberation Sans"/>
          <w:b/>
          <w:color w:val="2F5597"/>
          <w:sz w:val="26"/>
        </w:rPr>
        <w:t>32.2. Геометрия ядер и центра</w:t>
      </w:r>
    </w:p>
    <w:p>
      <w:pPr>
        <w:spacing w:after="80" w:before="0" w:line="269" w:lineRule="auto"/>
      </w:pPr>
      <w:r>
        <w:rPr>
          <w:rFonts w:ascii="Liberation Serif" w:hAnsi="Liberation Serif" w:eastAsia="Liberation Serif"/>
          <w:i w:val="0"/>
          <w:sz w:val="20"/>
        </w:rPr>
        <w:t>Для каждого тестового T можно определить подфункторы N_l,N_m,N_r,N,Z через условия исчезновения соответствующих естественных ассоциаторных и коммутаторных функций. При конечной представимости они задаются системами полиномиальных уравнений в структурных координатах.</w:t>
      </w:r>
    </w:p>
    <w:p>
      <w:pPr>
        <w:spacing w:after="60"/>
      </w:pPr>
      <w:r>
        <w:rPr>
          <w:rFonts w:ascii="Liberation Sans" w:hAnsi="Liberation Sans" w:eastAsia="Liberation Sans"/>
          <w:b/>
          <w:color w:val="2E6B57"/>
          <w:sz w:val="19"/>
        </w:rPr>
        <w:t>Предложение 6.28. Функториальность ядровых локусов [THM]</w:t>
      </w:r>
    </w:p>
    <w:p>
      <w:pPr>
        <w:spacing w:after="80" w:before="0" w:line="269" w:lineRule="auto"/>
      </w:pPr>
      <w:r>
        <w:rPr>
          <w:rFonts w:ascii="Liberation Serif" w:hAnsi="Liberation Serif" w:eastAsia="Liberation Serif"/>
          <w:i w:val="0"/>
          <w:sz w:val="20"/>
        </w:rPr>
        <w:t>Изоморфизмы NAPG переносят локусы N_l,N_m,N_r,N,Z друг в друга. Их размерностные профили являются инвариантами на реконструируемом геометрическом слое.</w:t>
      </w:r>
    </w:p>
    <w:p>
      <w:pPr>
        <w:spacing w:after="80" w:before="0" w:line="269" w:lineRule="auto"/>
      </w:pPr>
      <w:r>
        <w:rPr>
          <w:rFonts w:ascii="Liberation Serif" w:hAnsi="Liberation Serif" w:eastAsia="Liberation Serif"/>
          <w:i w:val="0"/>
          <w:sz w:val="20"/>
        </w:rPr>
        <w:t>Доказательство. Условия определены через естественные тождества Ass=0 и [a,b]=0, сохраняемые морфизмами. □</w:t>
      </w:r>
    </w:p>
    <w:p>
      <w:pPr>
        <w:pStyle w:val="Heading1"/>
        <w:spacing w:before="200" w:after="100"/>
        <w:keepNext/>
      </w:pPr>
      <w:r>
        <w:rPr>
          <w:rFonts w:ascii="Liberation Sans" w:hAnsi="Liberation Sans" w:eastAsia="Liberation Sans"/>
          <w:b/>
          <w:color w:val="17365D"/>
          <w:sz w:val="36"/>
        </w:rPr>
        <w:t>33. Вычислительный сертификат v0.4</w:t>
      </w:r>
    </w:p>
    <w:p>
      <w:pPr>
        <w:pStyle w:val="Heading2"/>
        <w:spacing w:before="140" w:after="100"/>
        <w:keepNext/>
      </w:pPr>
      <w:r>
        <w:rPr>
          <w:rFonts w:ascii="Liberation Sans" w:hAnsi="Liberation Sans" w:eastAsia="Liberation Sans"/>
          <w:b/>
          <w:color w:val="2F5597"/>
          <w:sz w:val="26"/>
        </w:rPr>
        <w:t>33.1. Обязательные объекты данных</w:t>
      </w:r>
    </w:p>
    <w:tbl>
      <w:tblPr>
        <w:tblStyle w:val="TableGrid"/>
        <w:tblW w:type="auto" w:w="0"/>
        <w:jc w:val="center"/>
        <w:tblLayout w:type="fixed"/>
        <w:tblLook w:firstColumn="1" w:firstRow="1" w:lastColumn="0" w:lastRow="0" w:noHBand="0" w:noVBand="1" w:val="04A0"/>
      </w:tblPr>
      <w:tblGrid>
        <w:gridCol w:w="1368"/>
        <w:gridCol w:w="2232"/>
        <w:gridCol w:w="6696"/>
      </w:tblGrid>
      <w:tr>
        <w:trPr>
          <w:tblHeader w:val="true"/>
        </w:trPr>
        <w:tc>
          <w:tcPr>
            <w:tcW w:type="dxa" w:w="3251"/>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ID</w:t>
            </w:r>
          </w:p>
        </w:tc>
        <w:tc>
          <w:tcPr>
            <w:tcW w:type="dxa" w:w="3251"/>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Объект</w:t>
            </w:r>
          </w:p>
        </w:tc>
        <w:tc>
          <w:tcPr>
            <w:tcW w:type="dxa" w:w="3251"/>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Поля сертификата</w:t>
            </w:r>
          </w:p>
        </w:tc>
      </w:tr>
      <w:tr>
        <w:tc>
          <w:tcPr>
            <w:tcW w:type="dxa" w:w="1368"/>
            <w:vAlign w:val="center"/>
            <w:tcMar>
              <w:top w:w="85" w:type="dxa"/>
              <w:start w:w="95" w:type="dxa"/>
              <w:bottom w:w="85" w:type="dxa"/>
              <w:end w:w="95" w:type="dxa"/>
            </w:tcMar>
          </w:tcPr>
          <w:p>
            <w:pPr>
              <w:jc w:val="left"/>
            </w:pPr>
            <w:r>
              <w:rPr>
                <w:rFonts w:ascii="Liberation Serif" w:hAnsi="Liberation Serif" w:eastAsia="Liberation Serif"/>
                <w:sz w:val="17"/>
              </w:rPr>
              <w:t>DUAL-OBJ</w:t>
            </w:r>
          </w:p>
        </w:tc>
        <w:tc>
          <w:tcPr>
            <w:tcW w:type="dxa" w:w="2232"/>
            <w:vAlign w:val="center"/>
            <w:tcMar>
              <w:top w:w="85" w:type="dxa"/>
              <w:start w:w="95" w:type="dxa"/>
              <w:bottom w:w="85" w:type="dxa"/>
              <w:end w:w="95" w:type="dxa"/>
            </w:tcMar>
          </w:tcPr>
          <w:p>
            <w:pPr>
              <w:jc w:val="left"/>
            </w:pPr>
            <w:r>
              <w:rPr>
                <w:rFonts w:ascii="Liberation Serif" w:hAnsi="Liberation Serif" w:eastAsia="Liberation Serif"/>
                <w:sz w:val="17"/>
              </w:rPr>
              <w:t>Алгебра/геометрия</w:t>
            </w:r>
          </w:p>
        </w:tc>
        <w:tc>
          <w:tcPr>
            <w:tcW w:type="dxa" w:w="6696"/>
            <w:vAlign w:val="center"/>
            <w:tcMar>
              <w:top w:w="85" w:type="dxa"/>
              <w:start w:w="95" w:type="dxa"/>
              <w:bottom w:w="85" w:type="dxa"/>
              <w:end w:w="95" w:type="dxa"/>
            </w:tcMar>
          </w:tcPr>
          <w:p>
            <w:pPr>
              <w:jc w:val="left"/>
            </w:pPr>
            <w:r>
              <w:rPr>
                <w:rFonts w:ascii="Liberation Serif" w:hAnsi="Liberation Serif" w:eastAsia="Liberation Serif"/>
                <w:sz w:val="17"/>
              </w:rPr>
              <w:t>object_id, version, basis/atlas, source hash, status</w:t>
            </w:r>
          </w:p>
        </w:tc>
      </w:tr>
      <w:tr>
        <w:tc>
          <w:tcPr>
            <w:tcW w:type="dxa" w:w="1368"/>
            <w:vAlign w:val="center"/>
            <w:tcMar>
              <w:top w:w="85" w:type="dxa"/>
              <w:start w:w="95" w:type="dxa"/>
              <w:bottom w:w="85" w:type="dxa"/>
              <w:end w:w="95" w:type="dxa"/>
            </w:tcMar>
            <w:shd w:fill="F4F7FB"/>
          </w:tcPr>
          <w:p>
            <w:pPr>
              <w:jc w:val="left"/>
            </w:pPr>
            <w:r>
              <w:rPr>
                <w:rFonts w:ascii="Liberation Serif" w:hAnsi="Liberation Serif" w:eastAsia="Liberation Serif"/>
                <w:sz w:val="17"/>
              </w:rPr>
              <w:t>DUAL-FUN</w:t>
            </w:r>
          </w:p>
        </w:tc>
        <w:tc>
          <w:tcPr>
            <w:tcW w:type="dxa" w:w="2232"/>
            <w:vAlign w:val="center"/>
            <w:tcMar>
              <w:top w:w="85" w:type="dxa"/>
              <w:start w:w="95" w:type="dxa"/>
              <w:bottom w:w="85" w:type="dxa"/>
              <w:end w:w="95" w:type="dxa"/>
            </w:tcMar>
            <w:shd w:fill="F4F7FB"/>
          </w:tcPr>
          <w:p>
            <w:pPr>
              <w:jc w:val="left"/>
            </w:pPr>
            <w:r>
              <w:rPr>
                <w:rFonts w:ascii="Liberation Serif" w:hAnsi="Liberation Serif" w:eastAsia="Liberation Serif"/>
                <w:sz w:val="17"/>
              </w:rPr>
              <w:t>Spec/Gamma</w:t>
            </w:r>
          </w:p>
        </w:tc>
        <w:tc>
          <w:tcPr>
            <w:tcW w:type="dxa" w:w="6696"/>
            <w:vAlign w:val="center"/>
            <w:tcMar>
              <w:top w:w="85" w:type="dxa"/>
              <w:start w:w="95" w:type="dxa"/>
              <w:bottom w:w="85" w:type="dxa"/>
              <w:end w:w="95" w:type="dxa"/>
            </w:tcMar>
            <w:shd w:fill="F4F7FB"/>
          </w:tcPr>
          <w:p>
            <w:pPr>
              <w:jc w:val="left"/>
            </w:pPr>
            <w:r>
              <w:rPr>
                <w:rFonts w:ascii="Liberation Serif" w:hAnsi="Liberation Serif" w:eastAsia="Liberation Serif"/>
                <w:sz w:val="17"/>
              </w:rPr>
              <w:t>domain, codomain, object map, morphism map, identity/composition tests</w:t>
            </w:r>
          </w:p>
        </w:tc>
      </w:tr>
      <w:tr>
        <w:tc>
          <w:tcPr>
            <w:tcW w:type="dxa" w:w="1368"/>
            <w:vAlign w:val="center"/>
            <w:tcMar>
              <w:top w:w="85" w:type="dxa"/>
              <w:start w:w="95" w:type="dxa"/>
              <w:bottom w:w="85" w:type="dxa"/>
              <w:end w:w="95" w:type="dxa"/>
            </w:tcMar>
          </w:tcPr>
          <w:p>
            <w:pPr>
              <w:jc w:val="left"/>
            </w:pPr>
            <w:r>
              <w:rPr>
                <w:rFonts w:ascii="Liberation Serif" w:hAnsi="Liberation Serif" w:eastAsia="Liberation Serif"/>
                <w:sz w:val="17"/>
              </w:rPr>
              <w:t>DUAL-UNIT</w:t>
            </w:r>
          </w:p>
        </w:tc>
        <w:tc>
          <w:tcPr>
            <w:tcW w:type="dxa" w:w="2232"/>
            <w:vAlign w:val="center"/>
            <w:tcMar>
              <w:top w:w="85" w:type="dxa"/>
              <w:start w:w="95" w:type="dxa"/>
              <w:bottom w:w="85" w:type="dxa"/>
              <w:end w:w="95" w:type="dxa"/>
            </w:tcMar>
          </w:tcPr>
          <w:p>
            <w:pPr>
              <w:jc w:val="left"/>
            </w:pPr>
            <w:r>
              <w:rPr>
                <w:rFonts w:ascii="Liberation Serif" w:hAnsi="Liberation Serif" w:eastAsia="Liberation Serif"/>
                <w:sz w:val="17"/>
              </w:rPr>
              <w:t>eta/epsilon</w:t>
            </w:r>
          </w:p>
        </w:tc>
        <w:tc>
          <w:tcPr>
            <w:tcW w:type="dxa" w:w="6696"/>
            <w:vAlign w:val="center"/>
            <w:tcMar>
              <w:top w:w="85" w:type="dxa"/>
              <w:start w:w="95" w:type="dxa"/>
              <w:bottom w:w="85" w:type="dxa"/>
              <w:end w:w="95" w:type="dxa"/>
            </w:tcMar>
          </w:tcPr>
          <w:p>
            <w:pPr>
              <w:jc w:val="left"/>
            </w:pPr>
            <w:r>
              <w:rPr>
                <w:rFonts w:ascii="Liberation Serif" w:hAnsi="Liberation Serif" w:eastAsia="Liberation Serif"/>
                <w:sz w:val="17"/>
              </w:rPr>
              <w:t>matrix or symbolic map, rank, inverse witness, defect</w:t>
            </w:r>
          </w:p>
        </w:tc>
      </w:tr>
      <w:tr>
        <w:tc>
          <w:tcPr>
            <w:tcW w:type="dxa" w:w="1368"/>
            <w:vAlign w:val="center"/>
            <w:tcMar>
              <w:top w:w="85" w:type="dxa"/>
              <w:start w:w="95" w:type="dxa"/>
              <w:bottom w:w="85" w:type="dxa"/>
              <w:end w:w="95" w:type="dxa"/>
            </w:tcMar>
            <w:shd w:fill="F4F7FB"/>
          </w:tcPr>
          <w:p>
            <w:pPr>
              <w:jc w:val="left"/>
            </w:pPr>
            <w:r>
              <w:rPr>
                <w:rFonts w:ascii="Liberation Serif" w:hAnsi="Liberation Serif" w:eastAsia="Liberation Serif"/>
                <w:sz w:val="17"/>
              </w:rPr>
              <w:t>DUAL-REP</w:t>
            </w:r>
          </w:p>
        </w:tc>
        <w:tc>
          <w:tcPr>
            <w:tcW w:type="dxa" w:w="2232"/>
            <w:vAlign w:val="center"/>
            <w:tcMar>
              <w:top w:w="85" w:type="dxa"/>
              <w:start w:w="95" w:type="dxa"/>
              <w:bottom w:w="85" w:type="dxa"/>
              <w:end w:w="95" w:type="dxa"/>
            </w:tcMar>
            <w:shd w:fill="F4F7FB"/>
          </w:tcPr>
          <w:p>
            <w:pPr>
              <w:jc w:val="left"/>
            </w:pPr>
            <w:r>
              <w:rPr>
                <w:rFonts w:ascii="Liberation Serif" w:hAnsi="Liberation Serif" w:eastAsia="Liberation Serif"/>
                <w:sz w:val="17"/>
              </w:rPr>
              <w:t>Reper atlas</w:t>
            </w:r>
          </w:p>
        </w:tc>
        <w:tc>
          <w:tcPr>
            <w:tcW w:type="dxa" w:w="6696"/>
            <w:vAlign w:val="center"/>
            <w:tcMar>
              <w:top w:w="85" w:type="dxa"/>
              <w:start w:w="95" w:type="dxa"/>
              <w:bottom w:w="85" w:type="dxa"/>
              <w:end w:w="95" w:type="dxa"/>
            </w:tcMar>
            <w:shd w:fill="F4F7FB"/>
          </w:tcPr>
          <w:p>
            <w:pPr>
              <w:jc w:val="left"/>
            </w:pPr>
            <w:r>
              <w:rPr>
                <w:rFonts w:ascii="Liberation Serif" w:hAnsi="Liberation Serif" w:eastAsia="Liberation Serif"/>
                <w:sz w:val="17"/>
              </w:rPr>
              <w:t>charts, PGL2 transition matrices, overlap tests, pole set</w:t>
            </w:r>
          </w:p>
        </w:tc>
      </w:tr>
      <w:tr>
        <w:tc>
          <w:tcPr>
            <w:tcW w:type="dxa" w:w="1368"/>
            <w:vAlign w:val="center"/>
            <w:tcMar>
              <w:top w:w="85" w:type="dxa"/>
              <w:start w:w="95" w:type="dxa"/>
              <w:bottom w:w="85" w:type="dxa"/>
              <w:end w:w="95" w:type="dxa"/>
            </w:tcMar>
          </w:tcPr>
          <w:p>
            <w:pPr>
              <w:jc w:val="left"/>
            </w:pPr>
            <w:r>
              <w:rPr>
                <w:rFonts w:ascii="Liberation Serif" w:hAnsi="Liberation Serif" w:eastAsia="Liberation Serif"/>
                <w:sz w:val="17"/>
              </w:rPr>
              <w:t>DUAL-HOR</w:t>
            </w:r>
          </w:p>
        </w:tc>
        <w:tc>
          <w:tcPr>
            <w:tcW w:type="dxa" w:w="2232"/>
            <w:vAlign w:val="center"/>
            <w:tcMar>
              <w:top w:w="85" w:type="dxa"/>
              <w:start w:w="95" w:type="dxa"/>
              <w:bottom w:w="85" w:type="dxa"/>
              <w:end w:w="95" w:type="dxa"/>
            </w:tcMar>
          </w:tcPr>
          <w:p>
            <w:pPr>
              <w:jc w:val="left"/>
            </w:pPr>
            <w:r>
              <w:rPr>
                <w:rFonts w:ascii="Liberation Serif" w:hAnsi="Liberation Serif" w:eastAsia="Liberation Serif"/>
                <w:sz w:val="17"/>
              </w:rPr>
              <w:t>Horizons</w:t>
            </w:r>
          </w:p>
        </w:tc>
        <w:tc>
          <w:tcPr>
            <w:tcW w:type="dxa" w:w="6696"/>
            <w:vAlign w:val="center"/>
            <w:tcMar>
              <w:top w:w="85" w:type="dxa"/>
              <w:start w:w="95" w:type="dxa"/>
              <w:bottom w:w="85" w:type="dxa"/>
              <w:end w:w="95" w:type="dxa"/>
            </w:tcMar>
          </w:tcPr>
          <w:p>
            <w:pPr>
              <w:jc w:val="left"/>
            </w:pPr>
            <w:r>
              <w:rPr>
                <w:rFonts w:ascii="Liberation Serif" w:hAnsi="Liberation Serif" w:eastAsia="Liberation Serif"/>
                <w:sz w:val="17"/>
              </w:rPr>
              <w:t>minor polynomials, generic rank, Delta_alg, Delta_geo, symmetric difference</w:t>
            </w:r>
          </w:p>
        </w:tc>
      </w:tr>
      <w:tr>
        <w:tc>
          <w:tcPr>
            <w:tcW w:type="dxa" w:w="1368"/>
            <w:vAlign w:val="center"/>
            <w:tcMar>
              <w:top w:w="85" w:type="dxa"/>
              <w:start w:w="95" w:type="dxa"/>
              <w:bottom w:w="85" w:type="dxa"/>
              <w:end w:w="95" w:type="dxa"/>
            </w:tcMar>
            <w:shd w:fill="F4F7FB"/>
          </w:tcPr>
          <w:p>
            <w:pPr>
              <w:jc w:val="left"/>
            </w:pPr>
            <w:r>
              <w:rPr>
                <w:rFonts w:ascii="Liberation Serif" w:hAnsi="Liberation Serif" w:eastAsia="Liberation Serif"/>
                <w:sz w:val="17"/>
              </w:rPr>
              <w:t>DUAL-GATE</w:t>
            </w:r>
          </w:p>
        </w:tc>
        <w:tc>
          <w:tcPr>
            <w:tcW w:type="dxa" w:w="2232"/>
            <w:vAlign w:val="center"/>
            <w:tcMar>
              <w:top w:w="85" w:type="dxa"/>
              <w:start w:w="95" w:type="dxa"/>
              <w:bottom w:w="85" w:type="dxa"/>
              <w:end w:w="95" w:type="dxa"/>
            </w:tcMar>
            <w:shd w:fill="F4F7FB"/>
          </w:tcPr>
          <w:p>
            <w:pPr>
              <w:jc w:val="left"/>
            </w:pPr>
            <w:r>
              <w:rPr>
                <w:rFonts w:ascii="Liberation Serif" w:hAnsi="Liberation Serif" w:eastAsia="Liberation Serif"/>
                <w:sz w:val="17"/>
              </w:rPr>
              <w:t>Predictive gate</w:t>
            </w:r>
          </w:p>
        </w:tc>
        <w:tc>
          <w:tcPr>
            <w:tcW w:type="dxa" w:w="6696"/>
            <w:vAlign w:val="center"/>
            <w:tcMar>
              <w:top w:w="85" w:type="dxa"/>
              <w:start w:w="95" w:type="dxa"/>
              <w:bottom w:w="85" w:type="dxa"/>
              <w:end w:w="95" w:type="dxa"/>
            </w:tcMar>
            <w:shd w:fill="F4F7FB"/>
          </w:tcPr>
          <w:p>
            <w:pPr>
              <w:jc w:val="left"/>
            </w:pPr>
            <w:r>
              <w:rPr>
                <w:rFonts w:ascii="Liberation Serif" w:hAnsi="Liberation Serif" w:eastAsia="Liberation Serif"/>
                <w:sz w:val="17"/>
              </w:rPr>
              <w:t>lambda, delta_truth, D/Dom, Pi, blockers, output</w:t>
            </w:r>
          </w:p>
        </w:tc>
      </w:tr>
    </w:tbl>
    <w:p>
      <w:pPr>
        <w:spacing w:after="40"/>
      </w:pPr>
    </w:p>
    <w:p>
      <w:pPr>
        <w:pStyle w:val="Heading2"/>
        <w:spacing w:before="140" w:after="100"/>
        <w:keepNext/>
      </w:pPr>
      <w:r>
        <w:rPr>
          <w:rFonts w:ascii="Liberation Sans" w:hAnsi="Liberation Sans" w:eastAsia="Liberation Sans"/>
          <w:b/>
          <w:color w:val="2F5597"/>
          <w:sz w:val="26"/>
        </w:rPr>
        <w:t>33.2. Автоматические тесты</w:t>
      </w:r>
    </w:p>
    <w:p>
      <w:pPr>
        <w:pStyle w:val="ListBullet"/>
        <w:spacing w:after="40" w:line="259" w:lineRule="auto"/>
      </w:pPr>
      <w:r>
        <w:rPr>
          <w:rFonts w:ascii="Liberation Serif" w:hAnsi="Liberation Serif" w:eastAsia="Liberation Serif"/>
          <w:sz w:val="19"/>
        </w:rPr>
        <w:t>TEST-YONEDA-01: проверка биекции Hom(A,B)↔Nat(h_B,h_A) на конечном тестовом подкорпусе;</w:t>
      </w:r>
    </w:p>
    <w:p>
      <w:pPr>
        <w:pStyle w:val="ListBullet"/>
        <w:spacing w:after="40" w:line="259" w:lineRule="auto"/>
      </w:pPr>
      <w:r>
        <w:rPr>
          <w:rFonts w:ascii="Liberation Serif" w:hAnsi="Liberation Serif" w:eastAsia="Liberation Serif"/>
          <w:sz w:val="19"/>
        </w:rPr>
        <w:t>TEST-FUN-02: сохранение тождеств и композиции Spec_R/Gamma_R;</w:t>
      </w:r>
    </w:p>
    <w:p>
      <w:pPr>
        <w:pStyle w:val="ListBullet"/>
        <w:spacing w:after="40" w:line="259" w:lineRule="auto"/>
      </w:pPr>
      <w:r>
        <w:rPr>
          <w:rFonts w:ascii="Liberation Serif" w:hAnsi="Liberation Serif" w:eastAsia="Liberation Serif"/>
          <w:sz w:val="19"/>
        </w:rPr>
        <w:t>TEST-ADJ-03: проверка естественной Hom-биекции и треугольных тождеств;</w:t>
      </w:r>
    </w:p>
    <w:p>
      <w:pPr>
        <w:pStyle w:val="ListBullet"/>
        <w:spacing w:after="40" w:line="259" w:lineRule="auto"/>
      </w:pPr>
      <w:r>
        <w:rPr>
          <w:rFonts w:ascii="Liberation Serif" w:hAnsi="Liberation Serif" w:eastAsia="Liberation Serif"/>
          <w:sz w:val="19"/>
        </w:rPr>
        <w:t>TEST-REC-04: точная проверка обратимости eta и epsilon;</w:t>
      </w:r>
    </w:p>
    <w:p>
      <w:pPr>
        <w:pStyle w:val="ListBullet"/>
        <w:spacing w:after="40" w:line="259" w:lineRule="auto"/>
      </w:pPr>
      <w:r>
        <w:rPr>
          <w:rFonts w:ascii="Liberation Serif" w:hAnsi="Liberation Serif" w:eastAsia="Liberation Serif"/>
          <w:sz w:val="19"/>
        </w:rPr>
        <w:t>TEST-PGL-05: проверка, что каждая переходная карта представлена обратимой матрицей 2x2 с точностью до скаляра;</w:t>
      </w:r>
    </w:p>
    <w:p>
      <w:pPr>
        <w:pStyle w:val="ListBullet"/>
        <w:spacing w:after="40" w:line="259" w:lineRule="auto"/>
      </w:pPr>
      <w:r>
        <w:rPr>
          <w:rFonts w:ascii="Liberation Serif" w:hAnsi="Liberation Serif" w:eastAsia="Liberation Serif"/>
          <w:sz w:val="19"/>
        </w:rPr>
        <w:t>TEST-CR-06: равенство cross-ratio во всех перекрывающихся картах;</w:t>
      </w:r>
    </w:p>
    <w:p>
      <w:pPr>
        <w:pStyle w:val="ListBullet"/>
        <w:spacing w:after="40" w:line="259" w:lineRule="auto"/>
      </w:pPr>
      <w:r>
        <w:rPr>
          <w:rFonts w:ascii="Liberation Serif" w:hAnsi="Liberation Serif" w:eastAsia="Liberation Serif"/>
          <w:sz w:val="19"/>
        </w:rPr>
        <w:t>TEST-NONPGL-07: обязательный отрицательный тест на нелинейной карте;</w:t>
      </w:r>
    </w:p>
    <w:p>
      <w:pPr>
        <w:pStyle w:val="ListBullet"/>
        <w:spacing w:after="40" w:line="259" w:lineRule="auto"/>
      </w:pPr>
      <w:r>
        <w:rPr>
          <w:rFonts w:ascii="Liberation Serif" w:hAnsi="Liberation Serif" w:eastAsia="Liberation Serif"/>
          <w:sz w:val="19"/>
        </w:rPr>
        <w:t>TEST-HOR-08: совпадение Delta_alg и Delta_geo;</w:t>
      </w:r>
    </w:p>
    <w:p>
      <w:pPr>
        <w:pStyle w:val="ListBullet"/>
        <w:spacing w:after="40" w:line="259" w:lineRule="auto"/>
      </w:pPr>
      <w:r>
        <w:rPr>
          <w:rFonts w:ascii="Liberation Serif" w:hAnsi="Liberation Serif" w:eastAsia="Liberation Serif"/>
          <w:sz w:val="19"/>
        </w:rPr>
        <w:t>TEST-GATE-09: ABSTAIN при любом ненулевом blocker;</w:t>
      </w:r>
    </w:p>
    <w:p>
      <w:pPr>
        <w:pStyle w:val="ListBullet"/>
        <w:spacing w:after="40" w:line="259" w:lineRule="auto"/>
      </w:pPr>
      <w:r>
        <w:rPr>
          <w:rFonts w:ascii="Liberation Serif" w:hAnsi="Liberation Serif" w:eastAsia="Liberation Serif"/>
          <w:sz w:val="19"/>
        </w:rPr>
        <w:t>TEST-HASH-10: контрольные хеши кода, данных, матриц и отчёта.</w:t>
      </w:r>
    </w:p>
    <w:p>
      <w:pPr>
        <w:pStyle w:val="Heading2"/>
        <w:spacing w:before="140" w:after="100"/>
        <w:keepNext/>
      </w:pPr>
      <w:r>
        <w:rPr>
          <w:rFonts w:ascii="Liberation Sans" w:hAnsi="Liberation Sans" w:eastAsia="Liberation Sans"/>
          <w:b/>
          <w:color w:val="2F5597"/>
          <w:sz w:val="26"/>
        </w:rPr>
        <w:t>33.3. Псевдокод blocker-safe алгоритма</w:t>
      </w:r>
    </w:p>
    <w:p>
      <w:pPr>
        <w:spacing w:before="60" w:after="100" w:line="240" w:lineRule="auto"/>
        <w:jc w:val="center"/>
      </w:pPr>
      <w:r>
        <w:rPr>
          <w:rFonts w:ascii="Cambria Math" w:hAnsi="Cambria Math" w:eastAsia="Cambria Math"/>
          <w:sz w:val="22"/>
        </w:rPr>
        <w:t>INPUT: family A_t, realization X_t, Reper rho_t, evidence D_t</w:t>
      </w:r>
    </w:p>
    <w:p>
      <w:pPr>
        <w:spacing w:before="60" w:after="100" w:line="240" w:lineRule="auto"/>
        <w:jc w:val="center"/>
      </w:pPr>
      <w:r>
        <w:rPr>
          <w:rFonts w:ascii="Cambria Math" w:hAnsi="Cambria Math" w:eastAsia="Cambria Math"/>
          <w:sz w:val="22"/>
        </w:rPr>
        <w:t>1. compute Delta_alg;  2. compute Delta_geo;  3. test eta, epsilon;</w:t>
      </w:r>
    </w:p>
    <w:p>
      <w:pPr>
        <w:spacing w:before="60" w:after="100" w:line="240" w:lineRule="auto"/>
        <w:jc w:val="center"/>
      </w:pPr>
      <w:r>
        <w:rPr>
          <w:rFonts w:ascii="Cambria Math" w:hAnsi="Cambria Math" w:eastAsia="Cambria Math"/>
          <w:sz w:val="22"/>
        </w:rPr>
        <w:t>4. verify PGL2 atlas and lambda;  5. evaluate Pi and D/Dom;</w:t>
      </w:r>
    </w:p>
    <w:p>
      <w:pPr>
        <w:spacing w:before="60" w:after="100" w:line="240" w:lineRule="auto"/>
        <w:jc w:val="center"/>
      </w:pPr>
      <w:r>
        <w:rPr>
          <w:rFonts w:ascii="Cambria Math" w:hAnsi="Cambria Math" w:eastAsia="Cambria Math"/>
          <w:sz w:val="22"/>
        </w:rPr>
        <w:t>6. if Block_dual != empty: return ABSTAIN;</w:t>
      </w:r>
    </w:p>
    <w:p>
      <w:pPr>
        <w:spacing w:before="60" w:after="100" w:line="240" w:lineRule="auto"/>
        <w:jc w:val="center"/>
      </w:pPr>
      <w:r>
        <w:rPr>
          <w:rFonts w:ascii="Cambria Math" w:hAnsi="Cambria Math" w:eastAsia="Cambria Math"/>
          <w:sz w:val="22"/>
        </w:rPr>
        <w:t>7. if path ∩ Delta_alg = empty: return NO-STRUCTURAL-CHANGE-IN-MODEL;</w:t>
      </w:r>
    </w:p>
    <w:p>
      <w:pPr>
        <w:spacing w:before="60" w:after="100" w:line="240" w:lineRule="auto"/>
        <w:jc w:val="center"/>
      </w:pPr>
      <w:r>
        <w:rPr>
          <w:rFonts w:ascii="Cambria Math" w:hAnsi="Cambria Math" w:eastAsia="Cambria Math"/>
          <w:sz w:val="22"/>
        </w:rPr>
        <w:t>8. if t ∈ Delta_alg=Delta_geo and lambda=-1: return CANDIDATE;</w:t>
      </w:r>
    </w:p>
    <w:p>
      <w:pPr>
        <w:spacing w:before="60" w:after="100" w:line="240" w:lineRule="auto"/>
        <w:jc w:val="center"/>
      </w:pPr>
      <w:r>
        <w:rPr>
          <w:rFonts w:ascii="Cambria Math" w:hAnsi="Cambria Math" w:eastAsia="Cambria Math"/>
          <w:sz w:val="22"/>
        </w:rPr>
        <w:t>9. otherwise: return UNRESOLVED-HORIZON.</w:t>
      </w:r>
    </w:p>
    <w:p>
      <w:pPr>
        <w:pStyle w:val="Heading1"/>
        <w:spacing w:before="200" w:after="100"/>
        <w:keepNext/>
      </w:pPr>
      <w:r>
        <w:rPr>
          <w:rFonts w:ascii="Liberation Sans" w:hAnsi="Liberation Sans" w:eastAsia="Liberation Sans"/>
          <w:b/>
          <w:color w:val="17365D"/>
          <w:sz w:val="36"/>
        </w:rPr>
        <w:t>34. Теоремный пакет и доказательные обязательства v0.4</w:t>
      </w:r>
    </w:p>
    <w:p>
      <w:pPr>
        <w:pStyle w:val="Heading2"/>
        <w:spacing w:before="140" w:after="100"/>
        <w:keepNext/>
      </w:pPr>
      <w:r>
        <w:rPr>
          <w:rFonts w:ascii="Liberation Sans" w:hAnsi="Liberation Sans" w:eastAsia="Liberation Sans"/>
          <w:b/>
          <w:color w:val="2F5597"/>
          <w:sz w:val="26"/>
        </w:rPr>
        <w:t>34.1. Реестр формальных результатов</w:t>
      </w:r>
    </w:p>
    <w:tbl>
      <w:tblPr>
        <w:tblStyle w:val="TableGrid"/>
        <w:tblW w:type="auto" w:w="0"/>
        <w:jc w:val="center"/>
        <w:tblLayout w:type="fixed"/>
        <w:tblLook w:firstColumn="1" w:firstRow="1" w:lastColumn="0" w:lastRow="0" w:noHBand="0" w:noVBand="1" w:val="04A0"/>
      </w:tblPr>
      <w:tblGrid>
        <w:gridCol w:w="1584"/>
        <w:gridCol w:w="3816"/>
        <w:gridCol w:w="1440"/>
        <w:gridCol w:w="3528"/>
      </w:tblGrid>
      <w:tr>
        <w:trPr>
          <w:tblHeader w:val="true"/>
        </w:trPr>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ID</w:t>
            </w:r>
          </w:p>
        </w:tc>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Результат</w:t>
            </w:r>
          </w:p>
        </w:tc>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Статус</w:t>
            </w:r>
          </w:p>
        </w:tc>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Зависимости</w:t>
            </w:r>
          </w:p>
        </w:tc>
      </w:tr>
      <w:tr>
        <w:tc>
          <w:tcPr>
            <w:tcW w:type="dxa" w:w="1584"/>
            <w:vAlign w:val="center"/>
            <w:tcMar>
              <w:top w:w="85" w:type="dxa"/>
              <w:start w:w="95" w:type="dxa"/>
              <w:bottom w:w="85" w:type="dxa"/>
              <w:end w:w="95" w:type="dxa"/>
            </w:tcMar>
          </w:tcPr>
          <w:p>
            <w:pPr>
              <w:jc w:val="left"/>
            </w:pPr>
            <w:r>
              <w:rPr>
                <w:rFonts w:ascii="Liberation Serif" w:hAnsi="Liberation Serif" w:eastAsia="Liberation Serif"/>
                <w:b w:val="0"/>
                <w:sz w:val="17"/>
              </w:rPr>
              <w:t>T2-THM-603</w:t>
            </w:r>
          </w:p>
        </w:tc>
        <w:tc>
          <w:tcPr>
            <w:tcW w:type="dxa" w:w="3816"/>
            <w:vAlign w:val="center"/>
            <w:tcMar>
              <w:top w:w="85" w:type="dxa"/>
              <w:start w:w="95" w:type="dxa"/>
              <w:bottom w:w="85" w:type="dxa"/>
              <w:end w:w="95" w:type="dxa"/>
            </w:tcMar>
          </w:tcPr>
          <w:p>
            <w:pPr>
              <w:jc w:val="left"/>
            </w:pPr>
            <w:r>
              <w:rPr>
                <w:rFonts w:ascii="Liberation Serif" w:hAnsi="Liberation Serif" w:eastAsia="Liberation Serif"/>
                <w:b w:val="0"/>
                <w:sz w:val="17"/>
              </w:rPr>
              <w:t>Yoneda-safe anti-equivalence</w:t>
            </w:r>
          </w:p>
        </w:tc>
        <w:tc>
          <w:tcPr>
            <w:tcW w:type="dxa" w:w="1440"/>
            <w:vAlign w:val="center"/>
            <w:tcMar>
              <w:top w:w="85" w:type="dxa"/>
              <w:start w:w="95" w:type="dxa"/>
              <w:bottom w:w="85" w:type="dxa"/>
              <w:end w:w="95" w:type="dxa"/>
            </w:tcMar>
          </w:tcPr>
          <w:p>
            <w:pPr>
              <w:jc w:val="center"/>
            </w:pPr>
            <w:r>
              <w:rPr>
                <w:rFonts w:ascii="Liberation Serif" w:hAnsi="Liberation Serif" w:eastAsia="Liberation Serif"/>
                <w:b/>
                <w:color w:val="2E6B57"/>
                <w:sz w:val="17"/>
              </w:rPr>
              <w:t>THM</w:t>
            </w:r>
          </w:p>
        </w:tc>
        <w:tc>
          <w:tcPr>
            <w:tcW w:type="dxa" w:w="3528"/>
            <w:vAlign w:val="center"/>
            <w:tcMar>
              <w:top w:w="85" w:type="dxa"/>
              <w:start w:w="95" w:type="dxa"/>
              <w:bottom w:w="85" w:type="dxa"/>
              <w:end w:w="95" w:type="dxa"/>
            </w:tcMar>
          </w:tcPr>
          <w:p>
            <w:pPr>
              <w:jc w:val="left"/>
            </w:pPr>
            <w:r>
              <w:rPr>
                <w:rFonts w:ascii="Liberation Serif" w:hAnsi="Liberation Serif" w:eastAsia="Liberation Serif"/>
                <w:b w:val="0"/>
                <w:sz w:val="17"/>
              </w:rPr>
              <w:t>Категория NAPG_q^fin</w:t>
            </w:r>
          </w:p>
        </w:tc>
      </w:tr>
      <w:tr>
        <w:tc>
          <w:tcPr>
            <w:tcW w:type="dxa" w:w="1584"/>
            <w:vAlign w:val="center"/>
            <w:tcMar>
              <w:top w:w="85" w:type="dxa"/>
              <w:start w:w="95" w:type="dxa"/>
              <w:bottom w:w="85" w:type="dxa"/>
              <w:end w:w="95" w:type="dxa"/>
            </w:tcMar>
            <w:shd w:fill="F4F7FB"/>
          </w:tcPr>
          <w:p>
            <w:pPr>
              <w:jc w:val="left"/>
            </w:pPr>
            <w:r>
              <w:rPr>
                <w:rFonts w:ascii="Liberation Serif" w:hAnsi="Liberation Serif" w:eastAsia="Liberation Serif"/>
                <w:b w:val="0"/>
                <w:sz w:val="17"/>
              </w:rPr>
              <w:t>T2-THM-605</w:t>
            </w:r>
          </w:p>
        </w:tc>
        <w:tc>
          <w:tcPr>
            <w:tcW w:type="dxa" w:w="3816"/>
            <w:vAlign w:val="center"/>
            <w:tcMar>
              <w:top w:w="85" w:type="dxa"/>
              <w:start w:w="95" w:type="dxa"/>
              <w:bottom w:w="85" w:type="dxa"/>
              <w:end w:w="95" w:type="dxa"/>
            </w:tcMar>
            <w:shd w:fill="F4F7FB"/>
          </w:tcPr>
          <w:p>
            <w:pPr>
              <w:jc w:val="left"/>
            </w:pPr>
            <w:r>
              <w:rPr>
                <w:rFonts w:ascii="Liberation Serif" w:hAnsi="Liberation Serif" w:eastAsia="Liberation Serif"/>
                <w:b w:val="0"/>
                <w:sz w:val="17"/>
              </w:rPr>
              <w:t>Функториальность Reper_A</w:t>
            </w:r>
          </w:p>
        </w:tc>
        <w:tc>
          <w:tcPr>
            <w:tcW w:type="dxa" w:w="1440"/>
            <w:vAlign w:val="center"/>
            <w:tcMar>
              <w:top w:w="85" w:type="dxa"/>
              <w:start w:w="95" w:type="dxa"/>
              <w:bottom w:w="85" w:type="dxa"/>
              <w:end w:w="95" w:type="dxa"/>
            </w:tcMar>
            <w:shd w:fill="F4F7FB"/>
          </w:tcPr>
          <w:p>
            <w:pPr>
              <w:jc w:val="center"/>
            </w:pPr>
            <w:r>
              <w:rPr>
                <w:rFonts w:ascii="Liberation Serif" w:hAnsi="Liberation Serif" w:eastAsia="Liberation Serif"/>
                <w:b/>
                <w:color w:val="2E6B57"/>
                <w:sz w:val="17"/>
              </w:rPr>
              <w:t>THM</w:t>
            </w:r>
          </w:p>
        </w:tc>
        <w:tc>
          <w:tcPr>
            <w:tcW w:type="dxa" w:w="35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Натуральность Adm и Valid(D)</w:t>
            </w:r>
          </w:p>
        </w:tc>
      </w:tr>
      <w:tr>
        <w:tc>
          <w:tcPr>
            <w:tcW w:type="dxa" w:w="1584"/>
            <w:vAlign w:val="center"/>
            <w:tcMar>
              <w:top w:w="85" w:type="dxa"/>
              <w:start w:w="95" w:type="dxa"/>
              <w:bottom w:w="85" w:type="dxa"/>
              <w:end w:w="95" w:type="dxa"/>
            </w:tcMar>
          </w:tcPr>
          <w:p>
            <w:pPr>
              <w:jc w:val="left"/>
            </w:pPr>
            <w:r>
              <w:rPr>
                <w:rFonts w:ascii="Liberation Serif" w:hAnsi="Liberation Serif" w:eastAsia="Liberation Serif"/>
                <w:b w:val="0"/>
                <w:sz w:val="17"/>
              </w:rPr>
              <w:t>T2-THM-610</w:t>
            </w:r>
          </w:p>
        </w:tc>
        <w:tc>
          <w:tcPr>
            <w:tcW w:type="dxa" w:w="3816"/>
            <w:vAlign w:val="center"/>
            <w:tcMar>
              <w:top w:w="85" w:type="dxa"/>
              <w:start w:w="95" w:type="dxa"/>
              <w:bottom w:w="85" w:type="dxa"/>
              <w:end w:w="95" w:type="dxa"/>
            </w:tcMar>
          </w:tcPr>
          <w:p>
            <w:pPr>
              <w:jc w:val="left"/>
            </w:pPr>
            <w:r>
              <w:rPr>
                <w:rFonts w:ascii="Liberation Serif" w:hAnsi="Liberation Serif" w:eastAsia="Liberation Serif"/>
                <w:b w:val="0"/>
                <w:sz w:val="17"/>
              </w:rPr>
              <w:t>Restricted reconstruction</w:t>
            </w:r>
          </w:p>
        </w:tc>
        <w:tc>
          <w:tcPr>
            <w:tcW w:type="dxa" w:w="1440"/>
            <w:vAlign w:val="center"/>
            <w:tcMar>
              <w:top w:w="85" w:type="dxa"/>
              <w:start w:w="95" w:type="dxa"/>
              <w:bottom w:w="85" w:type="dxa"/>
              <w:end w:w="95" w:type="dxa"/>
            </w:tcMar>
          </w:tcPr>
          <w:p>
            <w:pPr>
              <w:jc w:val="center"/>
            </w:pPr>
            <w:r>
              <w:rPr>
                <w:rFonts w:ascii="Liberation Serif" w:hAnsi="Liberation Serif" w:eastAsia="Liberation Serif"/>
                <w:b/>
                <w:color w:val="2F5597"/>
                <w:sz w:val="17"/>
              </w:rPr>
              <w:t>COND/THM</w:t>
            </w:r>
          </w:p>
        </w:tc>
        <w:tc>
          <w:tcPr>
            <w:tcW w:type="dxa" w:w="3528"/>
            <w:vAlign w:val="center"/>
            <w:tcMar>
              <w:top w:w="85" w:type="dxa"/>
              <w:start w:w="95" w:type="dxa"/>
              <w:bottom w:w="85" w:type="dxa"/>
              <w:end w:w="95" w:type="dxa"/>
            </w:tcMar>
          </w:tcPr>
          <w:p>
            <w:pPr>
              <w:jc w:val="left"/>
            </w:pPr>
            <w:r>
              <w:rPr>
                <w:rFonts w:ascii="Liberation Serif" w:hAnsi="Liberation Serif" w:eastAsia="Liberation Serif"/>
                <w:b w:val="0"/>
                <w:sz w:val="17"/>
              </w:rPr>
              <w:t>Сопряжение Spec_R ⊣ Gamma_R</w:t>
            </w:r>
          </w:p>
        </w:tc>
      </w:tr>
      <w:tr>
        <w:tc>
          <w:tcPr>
            <w:tcW w:type="dxa" w:w="1584"/>
            <w:vAlign w:val="center"/>
            <w:tcMar>
              <w:top w:w="85" w:type="dxa"/>
              <w:start w:w="95" w:type="dxa"/>
              <w:bottom w:w="85" w:type="dxa"/>
              <w:end w:w="95" w:type="dxa"/>
            </w:tcMar>
            <w:shd w:fill="F4F7FB"/>
          </w:tcPr>
          <w:p>
            <w:pPr>
              <w:jc w:val="left"/>
            </w:pPr>
            <w:r>
              <w:rPr>
                <w:rFonts w:ascii="Liberation Serif" w:hAnsi="Liberation Serif" w:eastAsia="Liberation Serif"/>
                <w:b w:val="0"/>
                <w:sz w:val="17"/>
              </w:rPr>
              <w:t>T2-THM-612</w:t>
            </w:r>
          </w:p>
        </w:tc>
        <w:tc>
          <w:tcPr>
            <w:tcW w:type="dxa" w:w="3816"/>
            <w:vAlign w:val="center"/>
            <w:tcMar>
              <w:top w:w="85" w:type="dxa"/>
              <w:start w:w="95" w:type="dxa"/>
              <w:bottom w:w="85" w:type="dxa"/>
              <w:end w:w="95" w:type="dxa"/>
            </w:tcMar>
            <w:shd w:fill="F4F7FB"/>
          </w:tcPr>
          <w:p>
            <w:pPr>
              <w:jc w:val="left"/>
            </w:pPr>
            <w:r>
              <w:rPr>
                <w:rFonts w:ascii="Liberation Serif" w:hAnsi="Liberation Serif" w:eastAsia="Liberation Serif"/>
                <w:b w:val="0"/>
                <w:sz w:val="17"/>
              </w:rPr>
              <w:t>Character-spectrum no-go</w:t>
            </w:r>
          </w:p>
        </w:tc>
        <w:tc>
          <w:tcPr>
            <w:tcW w:type="dxa" w:w="1440"/>
            <w:vAlign w:val="center"/>
            <w:tcMar>
              <w:top w:w="85" w:type="dxa"/>
              <w:start w:w="95" w:type="dxa"/>
              <w:bottom w:w="85" w:type="dxa"/>
              <w:end w:w="95" w:type="dxa"/>
            </w:tcMar>
            <w:shd w:fill="F4F7FB"/>
          </w:tcPr>
          <w:p>
            <w:pPr>
              <w:jc w:val="center"/>
            </w:pPr>
            <w:r>
              <w:rPr>
                <w:rFonts w:ascii="Liberation Serif" w:hAnsi="Liberation Serif" w:eastAsia="Liberation Serif"/>
                <w:b/>
                <w:color w:val="2E6B57"/>
                <w:sz w:val="17"/>
              </w:rPr>
              <w:t>THM</w:t>
            </w:r>
          </w:p>
        </w:tc>
        <w:tc>
          <w:tcPr>
            <w:tcW w:type="dxa" w:w="35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Square-zero extensions</w:t>
            </w:r>
          </w:p>
        </w:tc>
      </w:tr>
      <w:tr>
        <w:tc>
          <w:tcPr>
            <w:tcW w:type="dxa" w:w="1584"/>
            <w:vAlign w:val="center"/>
            <w:tcMar>
              <w:top w:w="85" w:type="dxa"/>
              <w:start w:w="95" w:type="dxa"/>
              <w:bottom w:w="85" w:type="dxa"/>
              <w:end w:w="95" w:type="dxa"/>
            </w:tcMar>
          </w:tcPr>
          <w:p>
            <w:pPr>
              <w:jc w:val="left"/>
            </w:pPr>
            <w:r>
              <w:rPr>
                <w:rFonts w:ascii="Liberation Serif" w:hAnsi="Liberation Serif" w:eastAsia="Liberation Serif"/>
                <w:b w:val="0"/>
                <w:sz w:val="17"/>
              </w:rPr>
              <w:t>T2-THM-616</w:t>
            </w:r>
          </w:p>
        </w:tc>
        <w:tc>
          <w:tcPr>
            <w:tcW w:type="dxa" w:w="3816"/>
            <w:vAlign w:val="center"/>
            <w:tcMar>
              <w:top w:w="85" w:type="dxa"/>
              <w:start w:w="95" w:type="dxa"/>
              <w:bottom w:w="85" w:type="dxa"/>
              <w:end w:w="95" w:type="dxa"/>
            </w:tcMar>
          </w:tcPr>
          <w:p>
            <w:pPr>
              <w:jc w:val="left"/>
            </w:pPr>
            <w:r>
              <w:rPr>
                <w:rFonts w:ascii="Liberation Serif" w:hAnsi="Liberation Serif" w:eastAsia="Liberation Serif"/>
                <w:b w:val="0"/>
                <w:sz w:val="17"/>
              </w:rPr>
              <w:t>Глобализация lambda</w:t>
            </w:r>
          </w:p>
        </w:tc>
        <w:tc>
          <w:tcPr>
            <w:tcW w:type="dxa" w:w="1440"/>
            <w:vAlign w:val="center"/>
            <w:tcMar>
              <w:top w:w="85" w:type="dxa"/>
              <w:start w:w="95" w:type="dxa"/>
              <w:bottom w:w="85" w:type="dxa"/>
              <w:end w:w="95" w:type="dxa"/>
            </w:tcMar>
          </w:tcPr>
          <w:p>
            <w:pPr>
              <w:jc w:val="center"/>
            </w:pPr>
            <w:r>
              <w:rPr>
                <w:rFonts w:ascii="Liberation Serif" w:hAnsi="Liberation Serif" w:eastAsia="Liberation Serif"/>
                <w:b/>
                <w:color w:val="2E6B57"/>
                <w:sz w:val="17"/>
              </w:rPr>
              <w:t>THM</w:t>
            </w:r>
          </w:p>
        </w:tc>
        <w:tc>
          <w:tcPr>
            <w:tcW w:type="dxa" w:w="3528"/>
            <w:vAlign w:val="center"/>
            <w:tcMar>
              <w:top w:w="85" w:type="dxa"/>
              <w:start w:w="95" w:type="dxa"/>
              <w:bottom w:w="85" w:type="dxa"/>
              <w:end w:w="95" w:type="dxa"/>
            </w:tcMar>
          </w:tcPr>
          <w:p>
            <w:pPr>
              <w:jc w:val="left"/>
            </w:pPr>
            <w:r>
              <w:rPr>
                <w:rFonts w:ascii="Liberation Serif" w:hAnsi="Liberation Serif" w:eastAsia="Liberation Serif"/>
                <w:b w:val="0"/>
                <w:sz w:val="17"/>
              </w:rPr>
              <w:t>Projective Reper atlas</w:t>
            </w:r>
          </w:p>
        </w:tc>
      </w:tr>
      <w:tr>
        <w:tc>
          <w:tcPr>
            <w:tcW w:type="dxa" w:w="1584"/>
            <w:vAlign w:val="center"/>
            <w:tcMar>
              <w:top w:w="85" w:type="dxa"/>
              <w:start w:w="95" w:type="dxa"/>
              <w:bottom w:w="85" w:type="dxa"/>
              <w:end w:w="95" w:type="dxa"/>
            </w:tcMar>
            <w:shd w:fill="F4F7FB"/>
          </w:tcPr>
          <w:p>
            <w:pPr>
              <w:jc w:val="left"/>
            </w:pPr>
            <w:r>
              <w:rPr>
                <w:rFonts w:ascii="Liberation Serif" w:hAnsi="Liberation Serif" w:eastAsia="Liberation Serif"/>
                <w:b w:val="0"/>
                <w:sz w:val="17"/>
              </w:rPr>
              <w:t>T2-THM-621</w:t>
            </w:r>
          </w:p>
        </w:tc>
        <w:tc>
          <w:tcPr>
            <w:tcW w:type="dxa" w:w="3816"/>
            <w:vAlign w:val="center"/>
            <w:tcMar>
              <w:top w:w="85" w:type="dxa"/>
              <w:start w:w="95" w:type="dxa"/>
              <w:bottom w:w="85" w:type="dxa"/>
              <w:end w:w="95" w:type="dxa"/>
            </w:tcMar>
            <w:shd w:fill="F4F7FB"/>
          </w:tcPr>
          <w:p>
            <w:pPr>
              <w:jc w:val="left"/>
            </w:pPr>
            <w:r>
              <w:rPr>
                <w:rFonts w:ascii="Liberation Serif" w:hAnsi="Liberation Serif" w:eastAsia="Liberation Serif"/>
                <w:b w:val="0"/>
                <w:sz w:val="17"/>
              </w:rPr>
              <w:t>Совпадение горизонтов</w:t>
            </w:r>
          </w:p>
        </w:tc>
        <w:tc>
          <w:tcPr>
            <w:tcW w:type="dxa" w:w="1440"/>
            <w:vAlign w:val="center"/>
            <w:tcMar>
              <w:top w:w="85" w:type="dxa"/>
              <w:start w:w="95" w:type="dxa"/>
              <w:bottom w:w="85" w:type="dxa"/>
              <w:end w:w="95" w:type="dxa"/>
            </w:tcMar>
            <w:shd w:fill="F4F7FB"/>
          </w:tcPr>
          <w:p>
            <w:pPr>
              <w:jc w:val="center"/>
            </w:pPr>
            <w:r>
              <w:rPr>
                <w:rFonts w:ascii="Liberation Serif" w:hAnsi="Liberation Serif" w:eastAsia="Liberation Serif"/>
                <w:b/>
                <w:color w:val="2F5597"/>
                <w:sz w:val="17"/>
              </w:rPr>
              <w:t>COND/THM</w:t>
            </w:r>
          </w:p>
        </w:tc>
        <w:tc>
          <w:tcPr>
            <w:tcW w:type="dxa" w:w="35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Conjugacy bridge</w:t>
            </w:r>
          </w:p>
        </w:tc>
      </w:tr>
      <w:tr>
        <w:tc>
          <w:tcPr>
            <w:tcW w:type="dxa" w:w="1584"/>
            <w:vAlign w:val="center"/>
            <w:tcMar>
              <w:top w:w="85" w:type="dxa"/>
              <w:start w:w="95" w:type="dxa"/>
              <w:bottom w:w="85" w:type="dxa"/>
              <w:end w:w="95" w:type="dxa"/>
            </w:tcMar>
          </w:tcPr>
          <w:p>
            <w:pPr>
              <w:jc w:val="left"/>
            </w:pPr>
            <w:r>
              <w:rPr>
                <w:rFonts w:ascii="Liberation Serif" w:hAnsi="Liberation Serif" w:eastAsia="Liberation Serif"/>
                <w:b w:val="0"/>
                <w:sz w:val="17"/>
              </w:rPr>
              <w:t>T2-THM-626</w:t>
            </w:r>
          </w:p>
        </w:tc>
        <w:tc>
          <w:tcPr>
            <w:tcW w:type="dxa" w:w="3816"/>
            <w:vAlign w:val="center"/>
            <w:tcMar>
              <w:top w:w="85" w:type="dxa"/>
              <w:start w:w="95" w:type="dxa"/>
              <w:bottom w:w="85" w:type="dxa"/>
              <w:end w:w="95" w:type="dxa"/>
            </w:tcMar>
          </w:tcPr>
          <w:p>
            <w:pPr>
              <w:jc w:val="left"/>
            </w:pPr>
            <w:r>
              <w:rPr>
                <w:rFonts w:ascii="Liberation Serif" w:hAnsi="Liberation Serif" w:eastAsia="Liberation Serif"/>
                <w:b w:val="0"/>
                <w:sz w:val="17"/>
              </w:rPr>
              <w:t>Functorial predictive transport</w:t>
            </w:r>
          </w:p>
        </w:tc>
        <w:tc>
          <w:tcPr>
            <w:tcW w:type="dxa" w:w="1440"/>
            <w:vAlign w:val="center"/>
            <w:tcMar>
              <w:top w:w="85" w:type="dxa"/>
              <w:start w:w="95" w:type="dxa"/>
              <w:bottom w:w="85" w:type="dxa"/>
              <w:end w:w="95" w:type="dxa"/>
            </w:tcMar>
          </w:tcPr>
          <w:p>
            <w:pPr>
              <w:jc w:val="center"/>
            </w:pPr>
            <w:r>
              <w:rPr>
                <w:rFonts w:ascii="Liberation Serif" w:hAnsi="Liberation Serif" w:eastAsia="Liberation Serif"/>
                <w:b/>
                <w:color w:val="9C2F2F"/>
                <w:sz w:val="17"/>
              </w:rPr>
              <w:t>COND</w:t>
            </w:r>
          </w:p>
        </w:tc>
        <w:tc>
          <w:tcPr>
            <w:tcW w:type="dxa" w:w="3528"/>
            <w:vAlign w:val="center"/>
            <w:tcMar>
              <w:top w:w="85" w:type="dxa"/>
              <w:start w:w="95" w:type="dxa"/>
              <w:bottom w:w="85" w:type="dxa"/>
              <w:end w:w="95" w:type="dxa"/>
            </w:tcMar>
          </w:tcPr>
          <w:p>
            <w:pPr>
              <w:jc w:val="left"/>
            </w:pPr>
            <w:r>
              <w:rPr>
                <w:rFonts w:ascii="Liberation Serif" w:hAnsi="Liberation Serif" w:eastAsia="Liberation Serif"/>
                <w:b w:val="0"/>
                <w:sz w:val="17"/>
              </w:rPr>
              <w:t>H1-H8</w:t>
            </w:r>
          </w:p>
        </w:tc>
      </w:tr>
      <w:tr>
        <w:tc>
          <w:tcPr>
            <w:tcW w:type="dxa" w:w="1584"/>
            <w:vAlign w:val="center"/>
            <w:tcMar>
              <w:top w:w="85" w:type="dxa"/>
              <w:start w:w="95" w:type="dxa"/>
              <w:bottom w:w="85" w:type="dxa"/>
              <w:end w:w="95" w:type="dxa"/>
            </w:tcMar>
            <w:shd w:fill="F4F7FB"/>
          </w:tcPr>
          <w:p>
            <w:pPr>
              <w:jc w:val="left"/>
            </w:pPr>
            <w:r>
              <w:rPr>
                <w:rFonts w:ascii="Liberation Serif" w:hAnsi="Liberation Serif" w:eastAsia="Liberation Serif"/>
                <w:b w:val="0"/>
                <w:sz w:val="17"/>
              </w:rPr>
              <w:t>T2-THM-627</w:t>
            </w:r>
          </w:p>
        </w:tc>
        <w:tc>
          <w:tcPr>
            <w:tcW w:type="dxa" w:w="3816"/>
            <w:vAlign w:val="center"/>
            <w:tcMar>
              <w:top w:w="85" w:type="dxa"/>
              <w:start w:w="95" w:type="dxa"/>
              <w:bottom w:w="85" w:type="dxa"/>
              <w:end w:w="95" w:type="dxa"/>
            </w:tcMar>
            <w:shd w:fill="F4F7FB"/>
          </w:tcPr>
          <w:p>
            <w:pPr>
              <w:jc w:val="left"/>
            </w:pPr>
            <w:r>
              <w:rPr>
                <w:rFonts w:ascii="Liberation Serif" w:hAnsi="Liberation Serif" w:eastAsia="Liberation Serif"/>
                <w:b w:val="0"/>
                <w:sz w:val="17"/>
              </w:rPr>
              <w:t>Локус A/J_Ass</w:t>
            </w:r>
          </w:p>
        </w:tc>
        <w:tc>
          <w:tcPr>
            <w:tcW w:type="dxa" w:w="1440"/>
            <w:vAlign w:val="center"/>
            <w:tcMar>
              <w:top w:w="85" w:type="dxa"/>
              <w:start w:w="95" w:type="dxa"/>
              <w:bottom w:w="85" w:type="dxa"/>
              <w:end w:w="95" w:type="dxa"/>
            </w:tcMar>
            <w:shd w:fill="F4F7FB"/>
          </w:tcPr>
          <w:p>
            <w:pPr>
              <w:jc w:val="center"/>
            </w:pPr>
            <w:r>
              <w:rPr>
                <w:rFonts w:ascii="Liberation Serif" w:hAnsi="Liberation Serif" w:eastAsia="Liberation Serif"/>
                <w:b/>
                <w:color w:val="2E6B57"/>
                <w:sz w:val="17"/>
              </w:rPr>
              <w:t>THM</w:t>
            </w:r>
          </w:p>
        </w:tc>
        <w:tc>
          <w:tcPr>
            <w:tcW w:type="dxa" w:w="35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Универсальность фактора</w:t>
            </w:r>
          </w:p>
        </w:tc>
      </w:tr>
    </w:tbl>
    <w:p>
      <w:pPr>
        <w:spacing w:after="40"/>
      </w:pPr>
    </w:p>
    <w:p>
      <w:pPr>
        <w:pStyle w:val="Heading2"/>
        <w:spacing w:before="140" w:after="100"/>
        <w:keepNext/>
      </w:pPr>
      <w:r>
        <w:rPr>
          <w:rFonts w:ascii="Liberation Sans" w:hAnsi="Liberation Sans" w:eastAsia="Liberation Sans"/>
          <w:b/>
          <w:color w:val="2F5597"/>
          <w:sz w:val="26"/>
        </w:rPr>
        <w:t>34.2. Обновление матрицы доказательных обязательств</w:t>
      </w:r>
    </w:p>
    <w:tbl>
      <w:tblPr>
        <w:tblStyle w:val="TableGrid"/>
        <w:tblW w:type="auto" w:w="0"/>
        <w:jc w:val="center"/>
        <w:tblLayout w:type="fixed"/>
        <w:tblLook w:firstColumn="1" w:firstRow="1" w:lastColumn="0" w:lastRow="0" w:noHBand="0" w:noVBand="1" w:val="04A0"/>
      </w:tblPr>
      <w:tblGrid>
        <w:gridCol w:w="1440"/>
        <w:gridCol w:w="3960"/>
        <w:gridCol w:w="1512"/>
        <w:gridCol w:w="3528"/>
      </w:tblGrid>
      <w:tr>
        <w:trPr>
          <w:tblHeader w:val="true"/>
        </w:trPr>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PO</w:t>
            </w:r>
          </w:p>
        </w:tc>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Содержание</w:t>
            </w:r>
          </w:p>
        </w:tc>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Статус</w:t>
            </w:r>
          </w:p>
        </w:tc>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Следующее действие</w:t>
            </w:r>
          </w:p>
        </w:tc>
      </w:tr>
      <w:tr>
        <w:tc>
          <w:tcPr>
            <w:tcW w:type="dxa" w:w="1440"/>
            <w:vAlign w:val="center"/>
            <w:tcMar>
              <w:top w:w="85" w:type="dxa"/>
              <w:start w:w="95" w:type="dxa"/>
              <w:bottom w:w="85" w:type="dxa"/>
              <w:end w:w="95" w:type="dxa"/>
            </w:tcMar>
          </w:tcPr>
          <w:p>
            <w:pPr>
              <w:jc w:val="left"/>
            </w:pPr>
            <w:r>
              <w:rPr>
                <w:rFonts w:ascii="Liberation Serif" w:hAnsi="Liberation Serif" w:eastAsia="Liberation Serif"/>
                <w:b w:val="0"/>
                <w:sz w:val="17"/>
              </w:rPr>
              <w:t>T2-PO-016</w:t>
            </w:r>
          </w:p>
        </w:tc>
        <w:tc>
          <w:tcPr>
            <w:tcW w:type="dxa" w:w="3960"/>
            <w:vAlign w:val="center"/>
            <w:tcMar>
              <w:top w:w="85" w:type="dxa"/>
              <w:start w:w="95" w:type="dxa"/>
              <w:bottom w:w="85" w:type="dxa"/>
              <w:end w:w="95" w:type="dxa"/>
            </w:tcMar>
          </w:tcPr>
          <w:p>
            <w:pPr>
              <w:jc w:val="left"/>
            </w:pPr>
            <w:r>
              <w:rPr>
                <w:rFonts w:ascii="Liberation Serif" w:hAnsi="Liberation Serif" w:eastAsia="Liberation Serif"/>
                <w:b w:val="0"/>
                <w:sz w:val="17"/>
              </w:rPr>
              <w:t>Полная точность представимого NAPG-функтора</w:t>
            </w:r>
          </w:p>
        </w:tc>
        <w:tc>
          <w:tcPr>
            <w:tcW w:type="dxa" w:w="1512"/>
            <w:vAlign w:val="center"/>
            <w:tcMar>
              <w:top w:w="85" w:type="dxa"/>
              <w:start w:w="95" w:type="dxa"/>
              <w:bottom w:w="85" w:type="dxa"/>
              <w:end w:w="95" w:type="dxa"/>
            </w:tcMar>
          </w:tcPr>
          <w:p>
            <w:pPr>
              <w:jc w:val="center"/>
            </w:pPr>
            <w:r>
              <w:rPr>
                <w:rFonts w:ascii="Liberation Serif" w:hAnsi="Liberation Serif" w:eastAsia="Liberation Serif"/>
                <w:b/>
                <w:color w:val="2E6B57"/>
                <w:sz w:val="17"/>
              </w:rPr>
              <w:t>CLOSED</w:t>
            </w:r>
          </w:p>
        </w:tc>
        <w:tc>
          <w:tcPr>
            <w:tcW w:type="dxa" w:w="3528"/>
            <w:vAlign w:val="center"/>
            <w:tcMar>
              <w:top w:w="85" w:type="dxa"/>
              <w:start w:w="95" w:type="dxa"/>
              <w:bottom w:w="85" w:type="dxa"/>
              <w:end w:w="95" w:type="dxa"/>
            </w:tcMar>
          </w:tcPr>
          <w:p>
            <w:pPr>
              <w:jc w:val="left"/>
            </w:pPr>
            <w:r>
              <w:rPr>
                <w:rFonts w:ascii="Liberation Serif" w:hAnsi="Liberation Serif" w:eastAsia="Liberation Serif"/>
                <w:b w:val="0"/>
                <w:sz w:val="17"/>
              </w:rPr>
              <w:t>Поддерживать типовую дисциплину при расширении категории.</w:t>
            </w:r>
          </w:p>
        </w:tc>
      </w:tr>
      <w:tr>
        <w:tc>
          <w:tcPr>
            <w:tcW w:type="dxa" w:w="144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T2-PO-017</w:t>
            </w:r>
          </w:p>
        </w:tc>
        <w:tc>
          <w:tcPr>
            <w:tcW w:type="dxa" w:w="396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Натуральность Adm и Valid(D)</w:t>
            </w:r>
          </w:p>
        </w:tc>
        <w:tc>
          <w:tcPr>
            <w:tcW w:type="dxa" w:w="1512"/>
            <w:vAlign w:val="center"/>
            <w:tcMar>
              <w:top w:w="85" w:type="dxa"/>
              <w:start w:w="95" w:type="dxa"/>
              <w:bottom w:w="85" w:type="dxa"/>
              <w:end w:w="95" w:type="dxa"/>
            </w:tcMar>
            <w:shd w:fill="F4F7FB"/>
          </w:tcPr>
          <w:p>
            <w:pPr>
              <w:jc w:val="center"/>
            </w:pPr>
            <w:r>
              <w:rPr>
                <w:rFonts w:ascii="Liberation Serif" w:hAnsi="Liberation Serif" w:eastAsia="Liberation Serif"/>
                <w:b/>
                <w:color w:val="9C2F2F"/>
                <w:sz w:val="17"/>
              </w:rPr>
              <w:t>COND</w:t>
            </w:r>
          </w:p>
        </w:tc>
        <w:tc>
          <w:tcPr>
            <w:tcW w:type="dxa" w:w="35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Формализовать классы допустимых тестовых морфизмов.</w:t>
            </w:r>
          </w:p>
        </w:tc>
      </w:tr>
      <w:tr>
        <w:tc>
          <w:tcPr>
            <w:tcW w:type="dxa" w:w="1440"/>
            <w:vAlign w:val="center"/>
            <w:tcMar>
              <w:top w:w="85" w:type="dxa"/>
              <w:start w:w="95" w:type="dxa"/>
              <w:bottom w:w="85" w:type="dxa"/>
              <w:end w:w="95" w:type="dxa"/>
            </w:tcMar>
          </w:tcPr>
          <w:p>
            <w:pPr>
              <w:jc w:val="left"/>
            </w:pPr>
            <w:r>
              <w:rPr>
                <w:rFonts w:ascii="Liberation Serif" w:hAnsi="Liberation Serif" w:eastAsia="Liberation Serif"/>
                <w:b w:val="0"/>
                <w:sz w:val="17"/>
              </w:rPr>
              <w:t>T2-PO-018</w:t>
            </w:r>
          </w:p>
        </w:tc>
        <w:tc>
          <w:tcPr>
            <w:tcW w:type="dxa" w:w="3960"/>
            <w:vAlign w:val="center"/>
            <w:tcMar>
              <w:top w:w="85" w:type="dxa"/>
              <w:start w:w="95" w:type="dxa"/>
              <w:bottom w:w="85" w:type="dxa"/>
              <w:end w:w="95" w:type="dxa"/>
            </w:tcMar>
          </w:tcPr>
          <w:p>
            <w:pPr>
              <w:jc w:val="left"/>
            </w:pPr>
            <w:r>
              <w:rPr>
                <w:rFonts w:ascii="Liberation Serif" w:hAnsi="Liberation Serif" w:eastAsia="Liberation Serif"/>
                <w:b w:val="0"/>
                <w:sz w:val="17"/>
              </w:rPr>
              <w:t>Глобальное существование Spec_R/Gamma_R</w:t>
            </w:r>
          </w:p>
        </w:tc>
        <w:tc>
          <w:tcPr>
            <w:tcW w:type="dxa" w:w="1512"/>
            <w:vAlign w:val="center"/>
            <w:tcMar>
              <w:top w:w="85" w:type="dxa"/>
              <w:start w:w="95" w:type="dxa"/>
              <w:bottom w:w="85" w:type="dxa"/>
              <w:end w:w="95" w:type="dxa"/>
            </w:tcMar>
          </w:tcPr>
          <w:p>
            <w:pPr>
              <w:jc w:val="center"/>
            </w:pPr>
            <w:r>
              <w:rPr>
                <w:rFonts w:ascii="Liberation Serif" w:hAnsi="Liberation Serif" w:eastAsia="Liberation Serif"/>
                <w:b/>
                <w:color w:val="9C2F2F"/>
                <w:sz w:val="17"/>
              </w:rPr>
              <w:t>OPEN</w:t>
            </w:r>
          </w:p>
        </w:tc>
        <w:tc>
          <w:tcPr>
            <w:tcW w:type="dxa" w:w="3528"/>
            <w:vAlign w:val="center"/>
            <w:tcMar>
              <w:top w:w="85" w:type="dxa"/>
              <w:start w:w="95" w:type="dxa"/>
              <w:bottom w:w="85" w:type="dxa"/>
              <w:end w:w="95" w:type="dxa"/>
            </w:tcMar>
          </w:tcPr>
          <w:p>
            <w:pPr>
              <w:jc w:val="left"/>
            </w:pPr>
            <w:r>
              <w:rPr>
                <w:rFonts w:ascii="Liberation Serif" w:hAnsi="Liberation Serif" w:eastAsia="Liberation Serif"/>
                <w:b w:val="0"/>
                <w:sz w:val="17"/>
              </w:rPr>
              <w:t>Выбрать конкретный спектр и структурный пучок для целевой подкategории.</w:t>
            </w:r>
          </w:p>
        </w:tc>
      </w:tr>
      <w:tr>
        <w:tc>
          <w:tcPr>
            <w:tcW w:type="dxa" w:w="144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T2-PO-019</w:t>
            </w:r>
          </w:p>
        </w:tc>
        <w:tc>
          <w:tcPr>
            <w:tcW w:type="dxa" w:w="396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Реконструкция unit/counit</w:t>
            </w:r>
          </w:p>
        </w:tc>
        <w:tc>
          <w:tcPr>
            <w:tcW w:type="dxa" w:w="1512"/>
            <w:vAlign w:val="center"/>
            <w:tcMar>
              <w:top w:w="85" w:type="dxa"/>
              <w:start w:w="95" w:type="dxa"/>
              <w:bottom w:w="85" w:type="dxa"/>
              <w:end w:w="95" w:type="dxa"/>
            </w:tcMar>
            <w:shd w:fill="F4F7FB"/>
          </w:tcPr>
          <w:p>
            <w:pPr>
              <w:jc w:val="center"/>
            </w:pPr>
            <w:r>
              <w:rPr>
                <w:rFonts w:ascii="Liberation Serif" w:hAnsi="Liberation Serif" w:eastAsia="Liberation Serif"/>
                <w:b/>
                <w:color w:val="9C2F2F"/>
                <w:sz w:val="17"/>
              </w:rPr>
              <w:t>COND</w:t>
            </w:r>
          </w:p>
        </w:tc>
        <w:tc>
          <w:tcPr>
            <w:tcW w:type="dxa" w:w="35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Построить eta, epsilon на явных моделях A2, M2 и octonion layer.</w:t>
            </w:r>
          </w:p>
        </w:tc>
      </w:tr>
      <w:tr>
        <w:tc>
          <w:tcPr>
            <w:tcW w:type="dxa" w:w="1440"/>
            <w:vAlign w:val="center"/>
            <w:tcMar>
              <w:top w:w="85" w:type="dxa"/>
              <w:start w:w="95" w:type="dxa"/>
              <w:bottom w:w="85" w:type="dxa"/>
              <w:end w:w="95" w:type="dxa"/>
            </w:tcMar>
          </w:tcPr>
          <w:p>
            <w:pPr>
              <w:jc w:val="left"/>
            </w:pPr>
            <w:r>
              <w:rPr>
                <w:rFonts w:ascii="Liberation Serif" w:hAnsi="Liberation Serif" w:eastAsia="Liberation Serif"/>
                <w:b w:val="0"/>
                <w:sz w:val="17"/>
              </w:rPr>
              <w:t>T2-PO-020</w:t>
            </w:r>
          </w:p>
        </w:tc>
        <w:tc>
          <w:tcPr>
            <w:tcW w:type="dxa" w:w="3960"/>
            <w:vAlign w:val="center"/>
            <w:tcMar>
              <w:top w:w="85" w:type="dxa"/>
              <w:start w:w="95" w:type="dxa"/>
              <w:bottom w:w="85" w:type="dxa"/>
              <w:end w:w="95" w:type="dxa"/>
            </w:tcMar>
          </w:tcPr>
          <w:p>
            <w:pPr>
              <w:jc w:val="left"/>
            </w:pPr>
            <w:r>
              <w:rPr>
                <w:rFonts w:ascii="Liberation Serif" w:hAnsi="Liberation Serif" w:eastAsia="Liberation Serif"/>
                <w:b w:val="0"/>
                <w:sz w:val="17"/>
              </w:rPr>
              <w:t>Faithfulness point-set spectrum</w:t>
            </w:r>
          </w:p>
        </w:tc>
        <w:tc>
          <w:tcPr>
            <w:tcW w:type="dxa" w:w="1512"/>
            <w:vAlign w:val="center"/>
            <w:tcMar>
              <w:top w:w="85" w:type="dxa"/>
              <w:start w:w="95" w:type="dxa"/>
              <w:bottom w:w="85" w:type="dxa"/>
              <w:end w:w="95" w:type="dxa"/>
            </w:tcMar>
          </w:tcPr>
          <w:p>
            <w:pPr>
              <w:jc w:val="center"/>
            </w:pPr>
            <w:r>
              <w:rPr>
                <w:rFonts w:ascii="Liberation Serif" w:hAnsi="Liberation Serif" w:eastAsia="Liberation Serif"/>
                <w:b/>
                <w:color w:val="2E6B57"/>
                <w:sz w:val="17"/>
              </w:rPr>
              <w:t>CLOSED-NEG</w:t>
            </w:r>
          </w:p>
        </w:tc>
        <w:tc>
          <w:tcPr>
            <w:tcW w:type="dxa" w:w="3528"/>
            <w:vAlign w:val="center"/>
            <w:tcMar>
              <w:top w:w="85" w:type="dxa"/>
              <w:start w:w="95" w:type="dxa"/>
              <w:bottom w:w="85" w:type="dxa"/>
              <w:end w:w="95" w:type="dxa"/>
            </w:tcMar>
          </w:tcPr>
          <w:p>
            <w:pPr>
              <w:jc w:val="left"/>
            </w:pPr>
            <w:r>
              <w:rPr>
                <w:rFonts w:ascii="Liberation Serif" w:hAnsi="Liberation Serif" w:eastAsia="Liberation Serif"/>
                <w:b w:val="0"/>
                <w:sz w:val="17"/>
              </w:rPr>
              <w:t>Сохранять no-go как обязательный контртест.</w:t>
            </w:r>
          </w:p>
        </w:tc>
      </w:tr>
      <w:tr>
        <w:tc>
          <w:tcPr>
            <w:tcW w:type="dxa" w:w="144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T2-PO-021</w:t>
            </w:r>
          </w:p>
        </w:tc>
        <w:tc>
          <w:tcPr>
            <w:tcW w:type="dxa" w:w="396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Projective Reper atlas</w:t>
            </w:r>
          </w:p>
        </w:tc>
        <w:tc>
          <w:tcPr>
            <w:tcW w:type="dxa" w:w="1512"/>
            <w:vAlign w:val="center"/>
            <w:tcMar>
              <w:top w:w="85" w:type="dxa"/>
              <w:start w:w="95" w:type="dxa"/>
              <w:bottom w:w="85" w:type="dxa"/>
              <w:end w:w="95" w:type="dxa"/>
            </w:tcMar>
            <w:shd w:fill="F4F7FB"/>
          </w:tcPr>
          <w:p>
            <w:pPr>
              <w:jc w:val="center"/>
            </w:pPr>
            <w:r>
              <w:rPr>
                <w:rFonts w:ascii="Liberation Serif" w:hAnsi="Liberation Serif" w:eastAsia="Liberation Serif"/>
                <w:b/>
                <w:color w:val="2E6B57"/>
                <w:sz w:val="17"/>
              </w:rPr>
              <w:t>CLOSED-FORMAL</w:t>
            </w:r>
          </w:p>
        </w:tc>
        <w:tc>
          <w:tcPr>
            <w:tcW w:type="dxa" w:w="35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Построить нетривиальный атлас с несколькими картами.</w:t>
            </w:r>
          </w:p>
        </w:tc>
      </w:tr>
      <w:tr>
        <w:tc>
          <w:tcPr>
            <w:tcW w:type="dxa" w:w="1440"/>
            <w:vAlign w:val="center"/>
            <w:tcMar>
              <w:top w:w="85" w:type="dxa"/>
              <w:start w:w="95" w:type="dxa"/>
              <w:bottom w:w="85" w:type="dxa"/>
              <w:end w:w="95" w:type="dxa"/>
            </w:tcMar>
          </w:tcPr>
          <w:p>
            <w:pPr>
              <w:jc w:val="left"/>
            </w:pPr>
            <w:r>
              <w:rPr>
                <w:rFonts w:ascii="Liberation Serif" w:hAnsi="Liberation Serif" w:eastAsia="Liberation Serif"/>
                <w:b w:val="0"/>
                <w:sz w:val="17"/>
              </w:rPr>
              <w:t>T2-PO-022</w:t>
            </w:r>
          </w:p>
        </w:tc>
        <w:tc>
          <w:tcPr>
            <w:tcW w:type="dxa" w:w="3960"/>
            <w:vAlign w:val="center"/>
            <w:tcMar>
              <w:top w:w="85" w:type="dxa"/>
              <w:start w:w="95" w:type="dxa"/>
              <w:bottom w:w="85" w:type="dxa"/>
              <w:end w:w="95" w:type="dxa"/>
            </w:tcMar>
          </w:tcPr>
          <w:p>
            <w:pPr>
              <w:jc w:val="left"/>
            </w:pPr>
            <w:r>
              <w:rPr>
                <w:rFonts w:ascii="Liberation Serif" w:hAnsi="Liberation Serif" w:eastAsia="Liberation Serif"/>
                <w:b w:val="0"/>
                <w:sz w:val="17"/>
              </w:rPr>
              <w:t>Non-PGL chart counterexample</w:t>
            </w:r>
          </w:p>
        </w:tc>
        <w:tc>
          <w:tcPr>
            <w:tcW w:type="dxa" w:w="1512"/>
            <w:vAlign w:val="center"/>
            <w:tcMar>
              <w:top w:w="85" w:type="dxa"/>
              <w:start w:w="95" w:type="dxa"/>
              <w:bottom w:w="85" w:type="dxa"/>
              <w:end w:w="95" w:type="dxa"/>
            </w:tcMar>
          </w:tcPr>
          <w:p>
            <w:pPr>
              <w:jc w:val="center"/>
            </w:pPr>
            <w:r>
              <w:rPr>
                <w:rFonts w:ascii="Liberation Serif" w:hAnsi="Liberation Serif" w:eastAsia="Liberation Serif"/>
                <w:b/>
                <w:color w:val="2E6B57"/>
                <w:sz w:val="17"/>
              </w:rPr>
              <w:t>CLOSED</w:t>
            </w:r>
          </w:p>
        </w:tc>
        <w:tc>
          <w:tcPr>
            <w:tcW w:type="dxa" w:w="3528"/>
            <w:vAlign w:val="center"/>
            <w:tcMar>
              <w:top w:w="85" w:type="dxa"/>
              <w:start w:w="95" w:type="dxa"/>
              <w:bottom w:w="85" w:type="dxa"/>
              <w:end w:w="95" w:type="dxa"/>
            </w:tcMar>
          </w:tcPr>
          <w:p>
            <w:pPr>
              <w:jc w:val="left"/>
            </w:pPr>
            <w:r>
              <w:rPr>
                <w:rFonts w:ascii="Liberation Serif" w:hAnsi="Liberation Serif" w:eastAsia="Liberation Serif"/>
                <w:b w:val="0"/>
                <w:sz w:val="17"/>
              </w:rPr>
              <w:t>Включить в автоматический тест TEST-NONPGL-07.</w:t>
            </w:r>
          </w:p>
        </w:tc>
      </w:tr>
      <w:tr>
        <w:tc>
          <w:tcPr>
            <w:tcW w:type="dxa" w:w="144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T2-PO-023</w:t>
            </w:r>
          </w:p>
        </w:tc>
        <w:tc>
          <w:tcPr>
            <w:tcW w:type="dxa" w:w="396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Conjugacy bridge algebra-geometry</w:t>
            </w:r>
          </w:p>
        </w:tc>
        <w:tc>
          <w:tcPr>
            <w:tcW w:type="dxa" w:w="1512"/>
            <w:vAlign w:val="center"/>
            <w:tcMar>
              <w:top w:w="85" w:type="dxa"/>
              <w:start w:w="95" w:type="dxa"/>
              <w:bottom w:w="85" w:type="dxa"/>
              <w:end w:w="95" w:type="dxa"/>
            </w:tcMar>
            <w:shd w:fill="F4F7FB"/>
          </w:tcPr>
          <w:p>
            <w:pPr>
              <w:jc w:val="center"/>
            </w:pPr>
            <w:r>
              <w:rPr>
                <w:rFonts w:ascii="Liberation Serif" w:hAnsi="Liberation Serif" w:eastAsia="Liberation Serif"/>
                <w:b/>
                <w:color w:val="9C2F2F"/>
                <w:sz w:val="17"/>
              </w:rPr>
              <w:t>OPEN</w:t>
            </w:r>
          </w:p>
        </w:tc>
        <w:tc>
          <w:tcPr>
            <w:tcW w:type="dxa" w:w="35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Определить геометрические структурные карты главы 7-9.</w:t>
            </w:r>
          </w:p>
        </w:tc>
      </w:tr>
      <w:tr>
        <w:tc>
          <w:tcPr>
            <w:tcW w:type="dxa" w:w="1440"/>
            <w:vAlign w:val="center"/>
            <w:tcMar>
              <w:top w:w="85" w:type="dxa"/>
              <w:start w:w="95" w:type="dxa"/>
              <w:bottom w:w="85" w:type="dxa"/>
              <w:end w:w="95" w:type="dxa"/>
            </w:tcMar>
          </w:tcPr>
          <w:p>
            <w:pPr>
              <w:jc w:val="left"/>
            </w:pPr>
            <w:r>
              <w:rPr>
                <w:rFonts w:ascii="Liberation Serif" w:hAnsi="Liberation Serif" w:eastAsia="Liberation Serif"/>
                <w:b w:val="0"/>
                <w:sz w:val="17"/>
              </w:rPr>
              <w:t>T2-PO-024</w:t>
            </w:r>
          </w:p>
        </w:tc>
        <w:tc>
          <w:tcPr>
            <w:tcW w:type="dxa" w:w="3960"/>
            <w:vAlign w:val="center"/>
            <w:tcMar>
              <w:top w:w="85" w:type="dxa"/>
              <w:start w:w="95" w:type="dxa"/>
              <w:bottom w:w="85" w:type="dxa"/>
              <w:end w:w="95" w:type="dxa"/>
            </w:tcMar>
          </w:tcPr>
          <w:p>
            <w:pPr>
              <w:jc w:val="left"/>
            </w:pPr>
            <w:r>
              <w:rPr>
                <w:rFonts w:ascii="Liberation Serif" w:hAnsi="Liberation Serif" w:eastAsia="Liberation Serif"/>
                <w:b w:val="0"/>
                <w:sz w:val="17"/>
              </w:rPr>
              <w:t>Dual horizon equality</w:t>
            </w:r>
          </w:p>
        </w:tc>
        <w:tc>
          <w:tcPr>
            <w:tcW w:type="dxa" w:w="1512"/>
            <w:vAlign w:val="center"/>
            <w:tcMar>
              <w:top w:w="85" w:type="dxa"/>
              <w:start w:w="95" w:type="dxa"/>
              <w:bottom w:w="85" w:type="dxa"/>
              <w:end w:w="95" w:type="dxa"/>
            </w:tcMar>
          </w:tcPr>
          <w:p>
            <w:pPr>
              <w:jc w:val="center"/>
            </w:pPr>
            <w:r>
              <w:rPr>
                <w:rFonts w:ascii="Liberation Serif" w:hAnsi="Liberation Serif" w:eastAsia="Liberation Serif"/>
                <w:b/>
                <w:color w:val="9C2F2F"/>
                <w:sz w:val="17"/>
              </w:rPr>
              <w:t>COND</w:t>
            </w:r>
          </w:p>
        </w:tc>
        <w:tc>
          <w:tcPr>
            <w:tcW w:type="dxa" w:w="3528"/>
            <w:vAlign w:val="center"/>
            <w:tcMar>
              <w:top w:w="85" w:type="dxa"/>
              <w:start w:w="95" w:type="dxa"/>
              <w:bottom w:w="85" w:type="dxa"/>
              <w:end w:w="95" w:type="dxa"/>
            </w:tcMar>
          </w:tcPr>
          <w:p>
            <w:pPr>
              <w:jc w:val="left"/>
            </w:pPr>
            <w:r>
              <w:rPr>
                <w:rFonts w:ascii="Liberation Serif" w:hAnsi="Liberation Serif" w:eastAsia="Liberation Serif"/>
                <w:b w:val="0"/>
                <w:sz w:val="17"/>
              </w:rPr>
              <w:t>Закрыть после T2-PO-023 на явной семье.</w:t>
            </w:r>
          </w:p>
        </w:tc>
      </w:tr>
      <w:tr>
        <w:tc>
          <w:tcPr>
            <w:tcW w:type="dxa" w:w="144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T2-PO-025</w:t>
            </w:r>
          </w:p>
        </w:tc>
        <w:tc>
          <w:tcPr>
            <w:tcW w:type="dxa" w:w="396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Banach/Hilbert completion</w:t>
            </w:r>
          </w:p>
        </w:tc>
        <w:tc>
          <w:tcPr>
            <w:tcW w:type="dxa" w:w="1512"/>
            <w:vAlign w:val="center"/>
            <w:tcMar>
              <w:top w:w="85" w:type="dxa"/>
              <w:start w:w="95" w:type="dxa"/>
              <w:bottom w:w="85" w:type="dxa"/>
              <w:end w:w="95" w:type="dxa"/>
            </w:tcMar>
            <w:shd w:fill="F4F7FB"/>
          </w:tcPr>
          <w:p>
            <w:pPr>
              <w:jc w:val="center"/>
            </w:pPr>
            <w:r>
              <w:rPr>
                <w:rFonts w:ascii="Liberation Serif" w:hAnsi="Liberation Serif" w:eastAsia="Liberation Serif"/>
                <w:b/>
                <w:color w:val="9C2F2F"/>
                <w:sz w:val="17"/>
              </w:rPr>
              <w:t>OPEN</w:t>
            </w:r>
          </w:p>
        </w:tc>
        <w:tc>
          <w:tcPr>
            <w:tcW w:type="dxa" w:w="35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Перенести в аналитический слой после главы 11.</w:t>
            </w:r>
          </w:p>
        </w:tc>
      </w:tr>
      <w:tr>
        <w:tc>
          <w:tcPr>
            <w:tcW w:type="dxa" w:w="1440"/>
            <w:vAlign w:val="center"/>
            <w:tcMar>
              <w:top w:w="85" w:type="dxa"/>
              <w:start w:w="95" w:type="dxa"/>
              <w:bottom w:w="85" w:type="dxa"/>
              <w:end w:w="95" w:type="dxa"/>
            </w:tcMar>
          </w:tcPr>
          <w:p>
            <w:pPr>
              <w:jc w:val="left"/>
            </w:pPr>
            <w:r>
              <w:rPr>
                <w:rFonts w:ascii="Liberation Serif" w:hAnsi="Liberation Serif" w:eastAsia="Liberation Serif"/>
                <w:b w:val="0"/>
                <w:sz w:val="17"/>
              </w:rPr>
              <w:t>T2-PO-026</w:t>
            </w:r>
          </w:p>
        </w:tc>
        <w:tc>
          <w:tcPr>
            <w:tcW w:type="dxa" w:w="3960"/>
            <w:vAlign w:val="center"/>
            <w:tcMar>
              <w:top w:w="85" w:type="dxa"/>
              <w:start w:w="95" w:type="dxa"/>
              <w:bottom w:w="85" w:type="dxa"/>
              <w:end w:w="95" w:type="dxa"/>
            </w:tcMar>
          </w:tcPr>
          <w:p>
            <w:pPr>
              <w:jc w:val="left"/>
            </w:pPr>
            <w:r>
              <w:rPr>
                <w:rFonts w:ascii="Liberation Serif" w:hAnsi="Liberation Serif" w:eastAsia="Liberation Serif"/>
                <w:b w:val="0"/>
                <w:sz w:val="17"/>
              </w:rPr>
              <w:t>Independent predictive certificate</w:t>
            </w:r>
          </w:p>
        </w:tc>
        <w:tc>
          <w:tcPr>
            <w:tcW w:type="dxa" w:w="1512"/>
            <w:vAlign w:val="center"/>
            <w:tcMar>
              <w:top w:w="85" w:type="dxa"/>
              <w:start w:w="95" w:type="dxa"/>
              <w:bottom w:w="85" w:type="dxa"/>
              <w:end w:w="95" w:type="dxa"/>
            </w:tcMar>
          </w:tcPr>
          <w:p>
            <w:pPr>
              <w:jc w:val="center"/>
            </w:pPr>
            <w:r>
              <w:rPr>
                <w:rFonts w:ascii="Liberation Serif" w:hAnsi="Liberation Serif" w:eastAsia="Liberation Serif"/>
                <w:b/>
                <w:color w:val="9C2F2F"/>
                <w:sz w:val="17"/>
              </w:rPr>
              <w:t>OPEN</w:t>
            </w:r>
          </w:p>
        </w:tc>
        <w:tc>
          <w:tcPr>
            <w:tcW w:type="dxa" w:w="3528"/>
            <w:vAlign w:val="center"/>
            <w:tcMar>
              <w:top w:w="85" w:type="dxa"/>
              <w:start w:w="95" w:type="dxa"/>
              <w:bottom w:w="85" w:type="dxa"/>
              <w:end w:w="95" w:type="dxa"/>
            </w:tcMar>
          </w:tcPr>
          <w:p>
            <w:pPr>
              <w:jc w:val="left"/>
            </w:pPr>
            <w:r>
              <w:rPr>
                <w:rFonts w:ascii="Liberation Serif" w:hAnsi="Liberation Serif" w:eastAsia="Liberation Serif"/>
                <w:b w:val="0"/>
                <w:sz w:val="17"/>
              </w:rPr>
              <w:t>Предрегистрация вычислительного теста без физических утверждений.</w:t>
            </w:r>
          </w:p>
        </w:tc>
      </w:tr>
    </w:tbl>
    <w:p>
      <w:pPr>
        <w:spacing w:after="40"/>
      </w:pPr>
    </w:p>
    <w:p>
      <w:pPr>
        <w:pStyle w:val="Heading2"/>
        <w:spacing w:before="140" w:after="100"/>
        <w:keepNext/>
      </w:pPr>
      <w:r>
        <w:rPr>
          <w:rFonts w:ascii="Liberation Sans" w:hAnsi="Liberation Sans" w:eastAsia="Liberation Sans"/>
          <w:b/>
          <w:color w:val="2F5597"/>
          <w:sz w:val="26"/>
        </w:rPr>
        <w:t>34.3. Библиографическая синхронизация v0.4</w:t>
      </w:r>
    </w:p>
    <w:p>
      <w:pPr>
        <w:spacing w:after="40" w:before="0" w:line="269" w:lineRule="auto"/>
      </w:pPr>
      <w:r>
        <w:rPr>
          <w:rFonts w:ascii="Liberation Serif" w:hAnsi="Liberation Serif" w:eastAsia="Liberation Serif"/>
          <w:i w:val="0"/>
          <w:sz w:val="20"/>
        </w:rPr>
        <w:t>[V0.4-1] Eilenberg, S.; Mac Lane, S. General Theory of Natural Equivalences. Transactions of the AMS 58 (1945), 231-294. DOI 10.1090/S0002-9947-1945-0013131-6.</w:t>
      </w:r>
    </w:p>
    <w:p>
      <w:pPr>
        <w:spacing w:after="40" w:before="0" w:line="269" w:lineRule="auto"/>
      </w:pPr>
      <w:r>
        <w:rPr>
          <w:rFonts w:ascii="Liberation Serif" w:hAnsi="Liberation Serif" w:eastAsia="Liberation Serif"/>
          <w:i w:val="0"/>
          <w:sz w:val="20"/>
        </w:rPr>
        <w:t>[V0.4-2] Yoneda, N. On the Homology Theory of Modules. Journal of the Faculty of Science, University of Tokyo, Section I 7 (1954), 193-227.</w:t>
      </w:r>
    </w:p>
    <w:p>
      <w:pPr>
        <w:spacing w:after="40" w:before="0" w:line="269" w:lineRule="auto"/>
      </w:pPr>
      <w:r>
        <w:rPr>
          <w:rFonts w:ascii="Liberation Serif" w:hAnsi="Liberation Serif" w:eastAsia="Liberation Serif"/>
          <w:i w:val="0"/>
          <w:sz w:val="20"/>
        </w:rPr>
        <w:t>[V0.4-3] The Stacks Project, Tag 01HX, Lemma 26.6.5: the category of affine schemes is equivalent to the opposite category of rings.</w:t>
      </w:r>
    </w:p>
    <w:p>
      <w:pPr>
        <w:spacing w:after="40" w:before="0" w:line="269" w:lineRule="auto"/>
      </w:pPr>
      <w:r>
        <w:rPr>
          <w:rFonts w:ascii="Liberation Serif" w:hAnsi="Liberation Serif" w:eastAsia="Liberation Serif"/>
          <w:i w:val="0"/>
          <w:sz w:val="20"/>
        </w:rPr>
        <w:t>[V0.4-4] Gelfand, I.; Naimark, M. On the imbedding of normed rings into the ring of operators in Hilbert space. Matematicheskii Sbornik 12(54):2 (1943), 197-217.</w:t>
      </w:r>
    </w:p>
    <w:p>
      <w:pPr>
        <w:spacing w:after="40" w:before="0" w:line="269" w:lineRule="auto"/>
      </w:pPr>
      <w:r>
        <w:rPr>
          <w:rFonts w:ascii="Liberation Serif" w:hAnsi="Liberation Serif" w:eastAsia="Liberation Serif"/>
          <w:i w:val="0"/>
          <w:sz w:val="20"/>
        </w:rPr>
        <w:t>[V0.4-5] Swan, R. G. Vector Bundles and Projective Modules. Transactions of the AMS 105 (1962), 264-277. DOI 10.1090/S0002-9947-1962-0143225-6.</w:t>
      </w:r>
    </w:p>
    <w:p>
      <w:pPr>
        <w:spacing w:after="40" w:before="0" w:line="269" w:lineRule="auto"/>
      </w:pPr>
      <w:r>
        <w:rPr>
          <w:rFonts w:ascii="Liberation Serif" w:hAnsi="Liberation Serif" w:eastAsia="Liberation Serif"/>
          <w:i w:val="0"/>
          <w:sz w:val="20"/>
        </w:rPr>
        <w:t>[V0.4-6] Kurpishev, I. B. Базовый проект KLT-RBD. Том I. v197 RU; Том II, T2-RP-v0.1-v0.3. Канонические внутренние источники проекта.</w:t>
      </w:r>
    </w:p>
    <w:p>
      <w:pPr>
        <w:spacing w:after="80" w:before="0" w:line="269" w:lineRule="auto"/>
      </w:pPr>
      <w:r>
        <w:rPr>
          <w:rFonts w:ascii="Liberation Serif" w:hAnsi="Liberation Serif" w:eastAsia="Liberation Serif"/>
          <w:i w:val="0"/>
          <w:sz w:val="20"/>
        </w:rPr>
        <w:t>Граница новизны. Классические формы duality, Yoneda embedding, affine Spec, Gelfand-Naimark и Serre-Swan относятся к prior art. Авторская новизна v0.4 заявляется в четырёхуровневой NAPG-duality, Reper-конфигурационном подфункторе, реконструкционном дефекте, projective Reper atlas, dual mismatch set и blocker-safe predictive gate.</w:t>
      </w:r>
    </w:p>
    <w:p>
      <w:pPr>
        <w:pStyle w:val="Heading2"/>
        <w:spacing w:before="140" w:after="100"/>
        <w:keepNext/>
      </w:pPr>
      <w:r>
        <w:rPr>
          <w:rFonts w:ascii="Liberation Sans" w:hAnsi="Liberation Sans" w:eastAsia="Liberation Sans"/>
          <w:b/>
          <w:color w:val="2F5597"/>
          <w:sz w:val="26"/>
        </w:rPr>
        <w:t>34.4. Контрольная точка T2-RP-v0.4</w:t>
      </w:r>
    </w:p>
    <w:tbl>
      <w:tblPr>
        <w:tblStyle w:val="TableGrid"/>
        <w:tblW w:type="auto" w:w="0"/>
        <w:jc w:val="center"/>
        <w:tblLayout w:type="fixed"/>
        <w:tblLook w:firstColumn="1" w:firstRow="1" w:lastColumn="0" w:lastRow="0" w:noHBand="0" w:noVBand="1" w:val="04A0"/>
      </w:tblPr>
      <w:tblGrid>
        <w:gridCol w:w="2088"/>
        <w:gridCol w:w="8568"/>
      </w:tblGrid>
      <w:tr>
        <w:tc>
          <w:tcPr>
            <w:tcW w:type="dxa" w:w="9752"/>
            <w:gridSpan w:val="2"/>
            <w:shd w:fill="17365D"/>
          </w:tcPr>
          <w:p>
            <w:pPr>
              <w:jc w:val="center"/>
            </w:pPr>
            <w:r>
              <w:rPr>
                <w:rFonts w:ascii="Liberation Sans" w:hAnsi="Liberation Sans" w:eastAsia="Liberation Sans"/>
                <w:b/>
                <w:color w:val="FFFFFF"/>
                <w:sz w:val="21"/>
              </w:rPr>
              <w:t>Фиксация выпуска</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Нулевая основа</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Том I v197 RU остаётся замороженным и не редактируется.</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Наследование</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T2-RP-v0.1, v0.2 и v0.3 сохранены в полном кумулятивном документе.</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Статус</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Ни условные теоремы, ни ПН.2, ни F-1-F-14, ни физические мосты не повышены.</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Следующая точка</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T2-RP-v0.5: глава 7 — атласы, расслоения, пакетные многообразия и cocycle-obstruction.</w:t>
            </w:r>
          </w:p>
        </w:tc>
      </w:tr>
    </w:tbl>
    <w:p>
      <w:pPr>
        <w:spacing w:after="40"/>
      </w:pPr>
    </w:p>
    <w:p>
      <w:pPr>
        <w:pStyle w:val="Small"/>
        <w:spacing w:after="0" w:before="0" w:line="269" w:lineRule="auto"/>
        <w:jc w:val="center"/>
      </w:pPr>
      <w:r>
        <w:rPr>
          <w:rFonts w:ascii="Liberation Serif" w:hAnsi="Liberation Serif" w:eastAsia="Liberation Serif"/>
          <w:i w:val="0"/>
          <w:sz w:val="20"/>
        </w:rPr>
        <w:t>checkpoint=T2-RP-v0.4; source=T2-RP-v0.3; truth_layer_promotion=0; next=T2-RP-v0.5.</w:t>
      </w:r>
    </w:p>
    <w:p>
      <w:r>
        <w:br w:type="page"/>
      </w:r>
    </w:p>
    <w:p>
      <w:pPr>
        <w:pStyle w:val="Heading1"/>
        <w:keepNext/>
        <w:jc w:val="center"/>
      </w:pPr>
      <w:r>
        <w:rPr>
          <w:rFonts w:ascii="Liberation Sans" w:hAnsi="Liberation Sans" w:eastAsia="Liberation Sans"/>
          <w:b/>
          <w:color w:val="17365D"/>
          <w:sz w:val="36"/>
        </w:rPr>
        <w:t>ЧАСТЬ V. АТЛАСЫ, РАССЛОЕНИЯ И ПРЕПЯТСТВИЯ ГЛОБАЛИЗАЦИИ v0.5</w:t>
      </w:r>
    </w:p>
    <w:p>
      <w:pPr>
        <w:pStyle w:val="Small"/>
        <w:jc w:val="center"/>
      </w:pPr>
      <w:r>
        <w:rPr>
          <w:rFonts w:ascii="Liberation Serif" w:hAnsi="Liberation Serif" w:eastAsia="Liberation Serif"/>
          <w:color w:val="5B6573"/>
          <w:sz w:val="19"/>
        </w:rPr>
        <w:t>Контрольная точка T2-RP-v0.5 · углубление главы 7 · источник: T2-RP-v0.4</w:t>
      </w:r>
    </w:p>
    <w:p>
      <w:pPr>
        <w:pStyle w:val="Heading1"/>
        <w:keepNext/>
      </w:pPr>
      <w:r>
        <w:t>35. Паспорт углубления v0.5</w:t>
      </w:r>
    </w:p>
    <w:p>
      <w:pPr>
        <w:pStyle w:val="Lead"/>
        <w:spacing w:after="100" w:line="278" w:lineRule="auto"/>
      </w:pPr>
      <w:r>
        <w:rPr>
          <w:rFonts w:ascii="Liberation Serif" w:hAnsi="Liberation Serif" w:eastAsia="Liberation Serif"/>
          <w:sz w:val="21"/>
        </w:rPr>
        <w:t>Цель редакции v0.5 - построить строгий переход от локальной NAPG-структуры к глобальному объекту. В предыдущих выпусках были определены категория, ассоциаторный слой и алгебро-геометрическая двойственность. Однако локальные определения ещё не образуют многообразие, расслоение или глобальный предсказательный объект. Для этого нужны переходные изоморфизмы, cocycle-условия, effective descent и отдельный контроль препятствий глобализации.</w:t>
      </w: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D9EAF7"/>
            <w:tcMar>
              <w:top w:w="150" w:type="dxa"/>
              <w:start w:w="180" w:type="dxa"/>
              <w:bottom w:w="150" w:type="dxa"/>
              <w:end w:w="180" w:type="dxa"/>
            </w:tcMar>
            <w:vAlign w:val="center"/>
          </w:tcPr>
          <w:p>
            <w:pPr>
              <w:spacing w:after="60"/>
            </w:pPr>
            <w:r>
              <w:rPr>
                <w:rFonts w:ascii="Liberation Sans" w:hAnsi="Liberation Sans" w:eastAsia="Liberation Sans"/>
                <w:b/>
                <w:color w:val="17365D"/>
                <w:sz w:val="21"/>
              </w:rPr>
              <w:t>Онтологический блок главы 7</w:t>
            </w:r>
          </w:p>
          <w:p>
            <w:pPr>
              <w:spacing w:after="0" w:line="269" w:lineRule="auto"/>
            </w:pPr>
            <w:r>
              <w:rPr>
                <w:rFonts w:ascii="Liberation Serif" w:hAnsi="Liberation Serif" w:eastAsia="Liberation Serif"/>
                <w:color w:val="27313F"/>
                <w:sz w:val="20"/>
              </w:rPr>
              <w:t>Локальная структура отвечает на вопрос «что существует в одной карте?». Глобальная структура отвечает на другой вопрос: «можно ли считать локальные проявления частями одного и того же объекта?». Склейка не является косметической операцией. Она определяет саму онтологическую идентичность объекта через совместимость перекрытий.</w:t>
            </w:r>
          </w:p>
        </w:tc>
      </w:tr>
    </w:tbl>
    <w:p>
      <w:pPr>
        <w:spacing w:after="40"/>
      </w:pP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FFF2CC"/>
            <w:tcMar>
              <w:top w:w="150" w:type="dxa"/>
              <w:start w:w="180" w:type="dxa"/>
              <w:bottom w:w="150" w:type="dxa"/>
              <w:end w:w="180" w:type="dxa"/>
            </w:tcMar>
            <w:vAlign w:val="center"/>
          </w:tcPr>
          <w:p>
            <w:pPr>
              <w:spacing w:after="60"/>
            </w:pPr>
            <w:r>
              <w:rPr>
                <w:rFonts w:ascii="Liberation Sans" w:hAnsi="Liberation Sans" w:eastAsia="Liberation Sans"/>
                <w:b/>
                <w:color w:val="7F6000"/>
                <w:sz w:val="21"/>
              </w:rPr>
              <w:t>Гносеологический блок главы 7</w:t>
            </w:r>
          </w:p>
          <w:p>
            <w:pPr>
              <w:spacing w:after="0" w:line="269" w:lineRule="auto"/>
            </w:pPr>
            <w:r>
              <w:rPr>
                <w:rFonts w:ascii="Liberation Serif" w:hAnsi="Liberation Serif" w:eastAsia="Liberation Serif"/>
                <w:color w:val="27313F"/>
                <w:sz w:val="20"/>
              </w:rPr>
              <w:t>Наблюдатель обычно получает локальные данные: отдельные источники, измерительные окна, реперные карты и частичные модели. Знание становится глобальным только после проверки переходов, происхождения данных, cocycle-условия и независимости результата от выбранного атласа. Совпадение локальных чисел без такой проверки не создаёт глобального знания.</w:t>
            </w:r>
          </w:p>
        </w:tc>
      </w:tr>
    </w:tbl>
    <w:p>
      <w:pPr>
        <w:spacing w:after="40"/>
      </w:pP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E2F0D9"/>
            <w:tcMar>
              <w:top w:w="150" w:type="dxa"/>
              <w:start w:w="180" w:type="dxa"/>
              <w:bottom w:w="150" w:type="dxa"/>
              <w:end w:w="180" w:type="dxa"/>
            </w:tcMar>
            <w:vAlign w:val="center"/>
          </w:tcPr>
          <w:p>
            <w:pPr>
              <w:spacing w:after="60"/>
            </w:pPr>
            <w:r>
              <w:rPr>
                <w:rFonts w:ascii="Liberation Sans" w:hAnsi="Liberation Sans" w:eastAsia="Liberation Sans"/>
                <w:b/>
                <w:color w:val="375623"/>
                <w:sz w:val="21"/>
              </w:rPr>
              <w:t>Феноменологический блок главы 7</w:t>
            </w:r>
          </w:p>
          <w:p>
            <w:pPr>
              <w:spacing w:after="0" w:line="269" w:lineRule="auto"/>
            </w:pPr>
            <w:r>
              <w:rPr>
                <w:rFonts w:ascii="Liberation Serif" w:hAnsi="Liberation Serif" w:eastAsia="Liberation Serif"/>
                <w:color w:val="27313F"/>
                <w:sz w:val="20"/>
              </w:rPr>
              <w:t>Один и тот же объект может выглядеть различно в разных локальных описаниях. Феноменологическая устойчивость означает не тождество записей, а наличие допустимых переходов, сохраняющих существенную структуру. Для KLT-RBD это превращается в проверяемый вопрос: существует ли путь согласования локальных Reper-описаний без потери D/Dom и без возникновения обструкции.</w:t>
            </w:r>
          </w:p>
        </w:tc>
      </w:tr>
    </w:tbl>
    <w:p>
      <w:pPr>
        <w:spacing w:after="40"/>
      </w:pP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FCE4D6"/>
            <w:tcMar>
              <w:top w:w="150" w:type="dxa"/>
              <w:start w:w="180" w:type="dxa"/>
              <w:bottom w:w="150" w:type="dxa"/>
              <w:end w:w="180" w:type="dxa"/>
            </w:tcMar>
            <w:vAlign w:val="center"/>
          </w:tcPr>
          <w:p>
            <w:pPr>
              <w:spacing w:after="60"/>
            </w:pPr>
            <w:r>
              <w:rPr>
                <w:rFonts w:ascii="Liberation Sans" w:hAnsi="Liberation Sans" w:eastAsia="Liberation Sans"/>
                <w:b/>
                <w:color w:val="843C0C"/>
                <w:sz w:val="21"/>
              </w:rPr>
              <w:t>Ограничительный блок главы 7</w:t>
            </w:r>
          </w:p>
          <w:p>
            <w:pPr>
              <w:spacing w:after="0" w:line="269" w:lineRule="auto"/>
            </w:pPr>
            <w:r>
              <w:rPr>
                <w:rFonts w:ascii="Liberation Serif" w:hAnsi="Liberation Serif" w:eastAsia="Liberation Serif"/>
                <w:color w:val="27313F"/>
                <w:sz w:val="20"/>
              </w:rPr>
              <w:t>Том II не утверждает, что любой набор локальных реперов глобализуется, что всякий локальный гармонический кандидат соответствует событию или что топологическое препятствие имеет физическое значение. Всякий такой вывод допускается только после отдельной теоремы спуска, существования глобального сечения и независимой предметной интерпретации.</w:t>
            </w:r>
          </w:p>
        </w:tc>
      </w:tr>
    </w:tbl>
    <w:p>
      <w:pPr>
        <w:spacing w:after="40"/>
      </w:pP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2438"/>
        <w:gridCol w:w="2438"/>
        <w:gridCol w:w="2438"/>
        <w:gridCol w:w="2438"/>
      </w:tblGrid>
      <w:tr>
        <w:trPr>
          <w:tblHeader w:val="true"/>
        </w:trPr>
        <w:tc>
          <w:tcPr>
            <w:tcW w:type="dxa" w:w="130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Слой</w:t>
            </w:r>
          </w:p>
        </w:tc>
        <w:tc>
          <w:tcPr>
            <w:tcW w:type="dxa" w:w="2381"/>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Локальные данные</w:t>
            </w:r>
          </w:p>
        </w:tc>
        <w:tc>
          <w:tcPr>
            <w:tcW w:type="dxa" w:w="3628"/>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Глобальное требование</w:t>
            </w:r>
          </w:p>
        </w:tc>
        <w:tc>
          <w:tcPr>
            <w:tcW w:type="dxa" w:w="1361"/>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Статус v0.5</w:t>
            </w:r>
          </w:p>
        </w:tc>
      </w:tr>
      <w:tr>
        <w:tc>
          <w:tcPr>
            <w:tcW w:type="dxa" w:w="130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Атлас</w:t>
            </w:r>
          </w:p>
        </w:tc>
        <w:tc>
          <w:tcPr>
            <w:tcW w:type="dxa" w:w="238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карты U_i и локальные модели</w:t>
            </w:r>
          </w:p>
        </w:tc>
        <w:tc>
          <w:tcPr>
            <w:tcW w:type="dxa" w:w="362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переходы в groupoid изоморфизмов</w:t>
            </w:r>
          </w:p>
        </w:tc>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DEF-A/THM</w:t>
            </w:r>
          </w:p>
        </w:tc>
      </w:tr>
      <w:tr>
        <w:tc>
          <w:tcPr>
            <w:tcW w:type="dxa" w:w="130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Расслоение</w:t>
            </w:r>
          </w:p>
        </w:tc>
        <w:tc>
          <w:tcPr>
            <w:tcW w:type="dxa" w:w="238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U_i × F</w:t>
            </w:r>
          </w:p>
        </w:tc>
        <w:tc>
          <w:tcPr>
            <w:tcW w:type="dxa" w:w="362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cocycle и effective descent</w:t>
            </w:r>
          </w:p>
        </w:tc>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THM/COND</w:t>
            </w:r>
          </w:p>
        </w:tc>
      </w:tr>
      <w:tr>
        <w:tc>
          <w:tcPr>
            <w:tcW w:type="dxa" w:w="130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Операция</w:t>
            </w:r>
          </w:p>
        </w:tc>
        <w:tc>
          <w:tcPr>
            <w:tcW w:type="dxa" w:w="238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локальные ⊙_i</w:t>
            </w:r>
          </w:p>
        </w:tc>
        <w:tc>
          <w:tcPr>
            <w:tcW w:type="dxa" w:w="362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переходы являются изоморфизмами алгебр</w:t>
            </w:r>
          </w:p>
        </w:tc>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THM</w:t>
            </w:r>
          </w:p>
        </w:tc>
      </w:tr>
      <w:tr>
        <w:tc>
          <w:tcPr>
            <w:tcW w:type="dxa" w:w="130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Reper</w:t>
            </w:r>
          </w:p>
        </w:tc>
        <w:tc>
          <w:tcPr>
            <w:tcW w:type="dxa" w:w="238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локальные (R,I,U;D)</w:t>
            </w:r>
          </w:p>
        </w:tc>
        <w:tc>
          <w:tcPr>
            <w:tcW w:type="dxa" w:w="362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PGL2-совместимость и перенос Evidence-D</w:t>
            </w:r>
          </w:p>
        </w:tc>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THM/COND</w:t>
            </w:r>
          </w:p>
        </w:tc>
      </w:tr>
      <w:tr>
        <w:tc>
          <w:tcPr>
            <w:tcW w:type="dxa" w:w="130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Hodge</w:t>
            </w:r>
          </w:p>
        </w:tc>
        <w:tc>
          <w:tcPr>
            <w:tcW w:type="dxa" w:w="238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локальные метрики и ориентации</w:t>
            </w:r>
          </w:p>
        </w:tc>
        <w:tc>
          <w:tcPr>
            <w:tcW w:type="dxa" w:w="362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SO-совместимость переходов</w:t>
            </w:r>
          </w:p>
        </w:tc>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THM</w:t>
            </w:r>
          </w:p>
        </w:tc>
      </w:tr>
      <w:tr>
        <w:tc>
          <w:tcPr>
            <w:tcW w:type="dxa" w:w="130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Прогноз</w:t>
            </w:r>
          </w:p>
        </w:tc>
        <w:tc>
          <w:tcPr>
            <w:tcW w:type="dxa" w:w="238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локальные кандидаты</w:t>
            </w:r>
          </w:p>
        </w:tc>
        <w:tc>
          <w:tcPr>
            <w:tcW w:type="dxa" w:w="362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глобальное допустимое сечение и пустой Block</w:t>
            </w:r>
          </w:p>
        </w:tc>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COND</w:t>
            </w:r>
          </w:p>
        </w:tc>
      </w:tr>
    </w:tbl>
    <w:p>
      <w:pPr>
        <w:spacing w:after="40"/>
      </w:pPr>
    </w:p>
    <w:p>
      <w:pPr>
        <w:pStyle w:val="Heading1"/>
        <w:keepNext/>
      </w:pPr>
      <w:r>
        <w:t>36. NAPG-атласы и группоид переходов</w:t>
      </w:r>
    </w:p>
    <w:p>
      <w:pPr>
        <w:pStyle w:val="Heading2"/>
        <w:keepNext/>
      </w:pPr>
      <w:r>
        <w:t>36.1. Локальная модель и структурный группоид</w:t>
      </w:r>
    </w:p>
    <w:p>
      <w:pPr>
        <w:spacing w:after="100" w:line="278" w:lineRule="auto"/>
        <w:ind w:firstLine="0"/>
      </w:pPr>
      <w:r>
        <w:rPr>
          <w:rFonts w:ascii="Liberation Serif" w:hAnsi="Liberation Serif" w:eastAsia="Liberation Serif"/>
          <w:b/>
          <w:color w:val="17365D"/>
          <w:sz w:val="21"/>
        </w:rPr>
        <w:t>Определение 7.1. Локальная NAPG-модель.</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Локальной моделью называется объект F категории NAPG_q, снабжённый выбранной топологией или гладкой структурой на носителях, так что группа Aut_NAPG(F) допустимых непрерывных или гладких автоморфизмов определена как топологическая группа. Если топология на Aut_NAPG(F) не задана, далее допускается только категориальная, но не топологическая формулировка.</w:t>
      </w:r>
    </w:p>
    <w:p>
      <w:pPr>
        <w:spacing w:after="100" w:line="278" w:lineRule="auto"/>
        <w:ind w:firstLine="0"/>
      </w:pPr>
      <w:r>
        <w:rPr>
          <w:rFonts w:ascii="Liberation Serif" w:hAnsi="Liberation Serif" w:eastAsia="Liberation Serif"/>
          <w:b/>
          <w:color w:val="17365D"/>
          <w:sz w:val="21"/>
        </w:rPr>
        <w:t>Определение 7.2. NAPG-атлас.</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На пространстве X NAPG-атлас типа F есть открытое покрытие U={U_i} и локальные объекты E_i=U_i×F вместе с изоморфизмами φ_ij:E_i|_{U_ij}→E_j|_{U_ij}, где U_ij=U_i∩U_j. Изоморфизмы обязаны сохранять градуировку, операцию ⊙, структурные данные G, допустимые области, R-star-R-слой и маркированные доказательные поля, которые заявлены глобальными.</w:t>
      </w:r>
    </w:p>
    <w:p>
      <w:pPr>
        <w:spacing w:before="60" w:after="140"/>
        <w:ind w:firstLine="0"/>
        <w:jc w:val="center"/>
      </w:pPr>
      <w:r>
        <w:rPr>
          <w:rFonts w:ascii="Cambria Math" w:hAnsi="Cambria Math" w:eastAsia="Cambria Math"/>
          <w:sz w:val="22"/>
        </w:rPr>
        <w:t>φ_ii = id,    φ_ji = φ_ij^{-1},    φ_jk ∘ φ_ij = φ_ik  on  U_ijk.</w:t>
      </w:r>
    </w:p>
    <w:p>
      <w:pPr>
        <w:spacing w:after="100" w:line="278" w:lineRule="auto"/>
        <w:ind w:firstLine="0"/>
      </w:pPr>
      <w:r>
        <w:rPr>
          <w:rFonts w:ascii="Liberation Serif" w:hAnsi="Liberation Serif" w:eastAsia="Liberation Serif"/>
          <w:b/>
          <w:color w:val="17365D"/>
          <w:sz w:val="21"/>
        </w:rPr>
        <w:t>Определение 7.3. Структурный группоид.</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Объекты группоида - локальные NAPG-модели над картами; стрелки - допустимые изоморфизмы на перекрытиях; композиция - обычная композиция отображений. Эта композиция ассоциативна независимо от неассоциативности операции внутри волокна.</w:t>
      </w: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E7E6E6"/>
            <w:tcMar>
              <w:top w:w="150" w:type="dxa"/>
              <w:start w:w="180" w:type="dxa"/>
              <w:bottom w:w="150" w:type="dxa"/>
              <w:end w:w="180" w:type="dxa"/>
            </w:tcMar>
            <w:vAlign w:val="center"/>
          </w:tcPr>
          <w:p>
            <w:pPr>
              <w:spacing w:after="60"/>
            </w:pPr>
            <w:r>
              <w:rPr>
                <w:rFonts w:ascii="Liberation Sans" w:hAnsi="Liberation Sans" w:eastAsia="Liberation Sans"/>
                <w:b/>
                <w:color w:val="404040"/>
                <w:sz w:val="21"/>
              </w:rPr>
              <w:t>Ключевое различение</w:t>
            </w:r>
          </w:p>
          <w:p>
            <w:pPr>
              <w:spacing w:after="0" w:line="269" w:lineRule="auto"/>
            </w:pPr>
            <w:r>
              <w:rPr>
                <w:rFonts w:ascii="Liberation Serif" w:hAnsi="Liberation Serif" w:eastAsia="Liberation Serif"/>
                <w:color w:val="27313F"/>
                <w:sz w:val="20"/>
              </w:rPr>
              <w:t>Неассоциативность волокна и ассоциативность переходов принадлежат разным уровням. Внутри F может выполняться (a⊙b)⊙c ≠ a⊙(b⊙c). Но переходы φ_ij являются отображениями, и их композиция обязана быть ассоциативной. Иначе отношение склейки перестаёт быть однозначным.</w:t>
            </w:r>
          </w:p>
        </w:tc>
      </w:tr>
    </w:tbl>
    <w:p>
      <w:pPr>
        <w:spacing w:after="40"/>
      </w:pPr>
    </w:p>
    <w:p>
      <w:pPr>
        <w:spacing w:after="100" w:line="278" w:lineRule="auto"/>
        <w:ind w:firstLine="0"/>
      </w:pPr>
      <w:r>
        <w:rPr>
          <w:rFonts w:ascii="Liberation Serif" w:hAnsi="Liberation Serif" w:eastAsia="Liberation Serif"/>
          <w:b/>
          <w:color w:val="17365D"/>
          <w:sz w:val="21"/>
        </w:rPr>
        <w:t>Теорема 7.4. Необходимость ассоциативного группоида переходов.</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Для стандартной склейки локальных NAPG-объектов переходные данные должны образовывать категорию или группоид с ассоциативной композицией. Использование самой неассоциативной операции ⊙ как закона композиции переходов не задаёт обычного расслоения без дополнительных 2-морфизмов и когерентностей.</w:t>
      </w:r>
    </w:p>
    <w:p>
      <w:pPr>
        <w:spacing w:after="100" w:line="278" w:lineRule="auto"/>
        <w:ind w:firstLine="0"/>
      </w:pPr>
      <w:r>
        <w:rPr>
          <w:rFonts w:ascii="Liberation Serif" w:hAnsi="Liberation Serif" w:eastAsia="Liberation Serif"/>
          <w:b/>
          <w:color w:val="17365D"/>
          <w:sz w:val="21"/>
        </w:rPr>
        <w:t>Доказательство.</w:t>
      </w:r>
      <w:r>
        <w:rPr>
          <w:rFonts w:ascii="Liberation Serif" w:hAnsi="Liberation Serif" w:eastAsia="Liberation Serif"/>
          <w:sz w:val="21"/>
        </w:rPr>
        <w:t xml:space="preserve"> Эквивалентность точек в дизъюнктном объединении локальных тривиализаций должна быть транзитивной. На четырёхкратном перекрытии переход из первой карты в четвёртую вычисляется как (φ_34∘φ_23)∘φ_12 и как φ_34∘(φ_23∘φ_12). Для отображений эти выражения совпадают. Если вместо композиции используется закон с ненулевым ассоциатором, результаты могут различаться; тогда класс эквивалентности зависит от скобок и фактор-пространство не определено. Для исправления требуется bicategory/2-groupoid и явный associator coherence, что в v0.5 оставлено отдельным OPEN-слоем. □</w:t>
      </w:r>
    </w:p>
    <w:p>
      <w:pPr>
        <w:pStyle w:val="Heading2"/>
        <w:keepNext/>
      </w:pPr>
      <w:r>
        <w:t>36.2. Projective-Reper атлас</w:t>
      </w:r>
    </w:p>
    <w:p>
      <w:pPr>
        <w:spacing w:after="100" w:line="278" w:lineRule="auto"/>
        <w:ind w:firstLine="0"/>
      </w:pPr>
      <w:r>
        <w:rPr>
          <w:rFonts w:ascii="Liberation Serif" w:hAnsi="Liberation Serif" w:eastAsia="Liberation Serif"/>
          <w:b/>
          <w:color w:val="17365D"/>
          <w:sz w:val="21"/>
        </w:rPr>
        <w:t>Определение 7.5. Проективно-реперная карта.</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Проективно-реперная карта на U_i состоит из локального отображения κ_i:U_i→P¹(K), локального Evidence-D пакета E_{D,i} и класса допустимых реперных четвёрок. На перекрытии требуется κ_j∘κ_i^{-1}∈PGL₂(K) и совместимый перенос E_{D,i}→E_{D,j}.</w:t>
      </w:r>
    </w:p>
    <w:p>
      <w:pPr>
        <w:spacing w:after="100" w:line="278" w:lineRule="auto"/>
        <w:ind w:firstLine="0"/>
      </w:pPr>
      <w:r>
        <w:rPr>
          <w:rFonts w:ascii="Liberation Serif" w:hAnsi="Liberation Serif" w:eastAsia="Liberation Serif"/>
          <w:b/>
          <w:color w:val="17365D"/>
          <w:sz w:val="21"/>
        </w:rPr>
        <w:t>Теорема 7.6. Глобальность λ.</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Если все переходы проективно-реперного атласа принадлежат PGL₂(K), то cross-ratio λ(u,i;r,d) и гармонический локус λ=-1 не зависят от выбора карты. Если хотя бы одна переходная карта не сохраняет cross-ratio, λ является только локальной координатой.</w:t>
      </w:r>
    </w:p>
    <w:p>
      <w:pPr>
        <w:spacing w:after="100" w:line="278" w:lineRule="auto"/>
        <w:ind w:firstLine="0"/>
      </w:pPr>
      <w:r>
        <w:rPr>
          <w:rFonts w:ascii="Liberation Serif" w:hAnsi="Liberation Serif" w:eastAsia="Liberation Serif"/>
          <w:b/>
          <w:color w:val="17365D"/>
          <w:sz w:val="21"/>
        </w:rPr>
        <w:t>Доказательство.</w:t>
      </w:r>
      <w:r>
        <w:rPr>
          <w:rFonts w:ascii="Liberation Serif" w:hAnsi="Liberation Serif" w:eastAsia="Liberation Serif"/>
          <w:sz w:val="21"/>
        </w:rPr>
        <w:t xml:space="preserve"> Инвариантность cross-ratio относительно PGL₂ была доказана в v0.2. На каждом перекрытии значения совпадают, поэтому они склеиваются в глобальную функцию на пространстве допустимых четвёрок. Обратное утверждение в полной общности не заявляется: возможны частные преобразования, сохраняющие выбранный конечный набор значений, но не весь cross-ratio. □</w:t>
      </w:r>
    </w:p>
    <w:p>
      <w:pPr>
        <w:keepNext/>
        <w:jc w:val="center"/>
      </w:pPr>
      <w:r>
        <w:drawing>
          <wp:inline xmlns:a="http://schemas.openxmlformats.org/drawingml/2006/main" xmlns:pic="http://schemas.openxmlformats.org/drawingml/2006/picture">
            <wp:extent cx="5715000" cy="7740337"/>
            <wp:docPr id="15" name="Picture 15"/>
            <wp:cNvGraphicFramePr>
              <a:graphicFrameLocks noChangeAspect="1"/>
            </wp:cNvGraphicFramePr>
            <a:graphic>
              <a:graphicData uri="http://schemas.openxmlformats.org/drawingml/2006/picture">
                <pic:pic>
                  <pic:nvPicPr>
                    <pic:cNvPr id="0" name="fig11_gluing.png"/>
                    <pic:cNvPicPr/>
                  </pic:nvPicPr>
                  <pic:blipFill>
                    <a:blip r:embed="rId27"/>
                    <a:stretch>
                      <a:fillRect/>
                    </a:stretch>
                  </pic:blipFill>
                  <pic:spPr>
                    <a:xfrm>
                      <a:off x="0" y="0"/>
                      <a:ext cx="5715000" cy="7740337"/>
                    </a:xfrm>
                    <a:prstGeom prst="rect"/>
                  </pic:spPr>
                </pic:pic>
              </a:graphicData>
            </a:graphic>
          </wp:inline>
        </w:drawing>
      </w:r>
    </w:p>
    <w:p>
      <w:pPr>
        <w:pStyle w:val="Caption"/>
        <w:keepNext/>
        <w:spacing w:after="140"/>
        <w:jc w:val="center"/>
      </w:pPr>
      <w:r>
        <w:rPr>
          <w:rFonts w:ascii="Liberation Serif" w:hAnsi="Liberation Serif" w:eastAsia="Liberation Serif"/>
          <w:b/>
          <w:color w:val="5B6573"/>
          <w:sz w:val="18"/>
        </w:rPr>
        <w:t>Рисунок 11. Cocycle-условие и дефект склейки локальных NAPG-объектов. Собственная схема Тома II.</w:t>
      </w:r>
    </w:p>
    <w:p>
      <w:pPr>
        <w:pStyle w:val="Heading1"/>
        <w:keepNext/>
      </w:pPr>
      <w:r>
        <w:t>37. Descent-данные и теорема склейки</w:t>
      </w:r>
    </w:p>
    <w:p>
      <w:pPr>
        <w:pStyle w:val="Heading2"/>
        <w:keepNext/>
      </w:pPr>
      <w:r>
        <w:t>37.1. Категориальная формулировка</w:t>
      </w:r>
    </w:p>
    <w:p>
      <w:pPr>
        <w:spacing w:after="100" w:line="278" w:lineRule="auto"/>
        <w:ind w:firstLine="0"/>
      </w:pPr>
      <w:r>
        <w:rPr>
          <w:rFonts w:ascii="Liberation Serif" w:hAnsi="Liberation Serif" w:eastAsia="Liberation Serif"/>
          <w:b/>
          <w:color w:val="17365D"/>
          <w:sz w:val="21"/>
        </w:rPr>
        <w:t>Определение 7.7. Descent datum.</w:t>
      </w:r>
      <w:r>
        <w:rPr>
          <w:rFonts w:ascii="Liberation Serif" w:hAnsi="Liberation Serif" w:eastAsia="Liberation Serif"/>
          <w:b/>
          <w:color w:val="2F7D32"/>
          <w:sz w:val="20"/>
        </w:rPr>
        <w:t xml:space="preserve"> [CL/DEF-A]</w:t>
      </w:r>
      <w:r>
        <w:rPr>
          <w:rFonts w:ascii="Liberation Serif" w:hAnsi="Liberation Serif" w:eastAsia="Liberation Serif"/>
          <w:sz w:val="21"/>
        </w:rPr>
        <w:t xml:space="preserve"> Пусть p:S→C - расслоенная категория, U_i→U - покрытие. Descent datum есть семейство объектов X_i над U_i и изоморфизмов φ_ij:pr₀*X_i→pr₁*X_j над U_i×_U U_j, удовлетворяющих коммутативности треугольника на тройных fibre product. Для NAPG объектами X_i служат локальные пакетно-реперные структуры.</w:t>
      </w:r>
    </w:p>
    <w:p>
      <w:pPr>
        <w:spacing w:before="60" w:after="140"/>
        <w:ind w:firstLine="0"/>
        <w:jc w:val="center"/>
      </w:pPr>
      <w:r>
        <w:rPr>
          <w:rFonts w:ascii="Cambria Math" w:hAnsi="Cambria Math" w:eastAsia="Cambria Math"/>
          <w:sz w:val="22"/>
        </w:rPr>
        <w:t>pr_12*φ_jk ∘ pr_01*φ_ij = pr_02*φ_ik  on  U_i ×_U U_j ×_U U_k.</w:t>
      </w:r>
    </w:p>
    <w:p>
      <w:pPr>
        <w:spacing w:after="100" w:line="278" w:lineRule="auto"/>
        <w:ind w:firstLine="0"/>
      </w:pPr>
      <w:r>
        <w:rPr>
          <w:rFonts w:ascii="Liberation Serif" w:hAnsi="Liberation Serif" w:eastAsia="Liberation Serif"/>
          <w:b/>
          <w:color w:val="17365D"/>
          <w:sz w:val="21"/>
        </w:rPr>
        <w:t>Определение 7.8. Effective descent.</w:t>
      </w:r>
      <w:r>
        <w:rPr>
          <w:rFonts w:ascii="Liberation Serif" w:hAnsi="Liberation Serif" w:eastAsia="Liberation Serif"/>
          <w:b/>
          <w:color w:val="2F7D32"/>
          <w:sz w:val="20"/>
        </w:rPr>
        <w:t xml:space="preserve"> [CL/COND]</w:t>
      </w:r>
      <w:r>
        <w:rPr>
          <w:rFonts w:ascii="Liberation Serif" w:hAnsi="Liberation Serif" w:eastAsia="Liberation Serif"/>
          <w:sz w:val="21"/>
        </w:rPr>
        <w:t xml:space="preserve"> Descent datum называется эффективным, если существует глобальный объект X над U, ограничения которого изоморфны X_i и индуцируют заданные φ_ij. Само cocycle-условие является необходимым, но в произвольной расслоенной категории не всегда достаточным; достаточность является свойством stack/effective-descent выбранного класса объектов.</w:t>
      </w:r>
    </w:p>
    <w:p>
      <w:pPr>
        <w:spacing w:after="100" w:line="278" w:lineRule="auto"/>
        <w:ind w:firstLine="0"/>
      </w:pPr>
      <w:r>
        <w:rPr>
          <w:rFonts w:ascii="Liberation Serif" w:hAnsi="Liberation Serif" w:eastAsia="Liberation Serif"/>
          <w:b/>
          <w:color w:val="17365D"/>
          <w:sz w:val="21"/>
        </w:rPr>
        <w:t>Теорема 7.9. Склейка NAPG-расслоения.</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Пусть X - паракомпактное хаусдорфово пространство, F - топологический NAPG-объект, G=Aut_NAPG(F) - топологическая группа. Пусть g_ij:U_ij→G непрерывны и удовлетворяют g_ii=e, g_ji=g_ij^{-1}, g_ij g_jk=g_ik. Тогда фактор E=(⊔_i U_i×F)/~ является локально тривиальным NAPG-расслоением над X с волокном F. Изоморфный класс зависит только от gauge-класса cocycle.</w:t>
      </w:r>
    </w:p>
    <w:p>
      <w:pPr>
        <w:spacing w:after="100" w:line="278" w:lineRule="auto"/>
        <w:ind w:firstLine="0"/>
      </w:pPr>
      <w:r>
        <w:rPr>
          <w:rFonts w:ascii="Liberation Serif" w:hAnsi="Liberation Serif" w:eastAsia="Liberation Serif"/>
          <w:b/>
          <w:color w:val="17365D"/>
          <w:sz w:val="21"/>
        </w:rPr>
        <w:t>Доказательство.</w:t>
      </w:r>
      <w:r>
        <w:rPr>
          <w:rFonts w:ascii="Liberation Serif" w:hAnsi="Liberation Serif" w:eastAsia="Liberation Serif"/>
          <w:sz w:val="21"/>
        </w:rPr>
        <w:t xml:space="preserve"> Положим (x,v,i)~(x,g_ji(x)v,j). Рефлексивность и симметрия следуют из первых двух условий, транзитивность - из cocycle. Локальные включения U_i×F дают тривиализации фактора. Так как g_ij являются NAPG-автоморфизмами, градуировка, ⊙, структурные данные и указанные инварианты согласуются на перекрытиях и задают волоконные глобальные объекты. Замена g_ij на h_j g_ij h_i^{-1} строит явный изоморфизм расслоений. □</w:t>
      </w:r>
    </w:p>
    <w:p>
      <w:pPr>
        <w:pStyle w:val="Heading2"/>
        <w:keepNext/>
      </w:pPr>
      <w:r>
        <w:t>37.2. Pairwise compatibility is not enough</w:t>
      </w:r>
    </w:p>
    <w:p>
      <w:pPr>
        <w:spacing w:after="100" w:line="278" w:lineRule="auto"/>
        <w:ind w:firstLine="0"/>
      </w:pPr>
      <w:r>
        <w:rPr>
          <w:rFonts w:ascii="Liberation Serif" w:hAnsi="Liberation Serif" w:eastAsia="Liberation Serif"/>
          <w:b/>
          <w:color w:val="17365D"/>
          <w:sz w:val="21"/>
        </w:rPr>
        <w:t>Контрпример 7.10. Тройной дефект.</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Пусть три карты имеют непустое тройное перекрытие, а переходы g_12,g_23,g_13 выбраны так, что g_23 g_12≠g_13. Каждая пара карт отдельно склеивается, но переход из первой карты в третью зависит от маршрута. Факторизация не задаёт однозначного глобального объекта.</w:t>
      </w:r>
    </w:p>
    <w:p>
      <w:pPr>
        <w:spacing w:after="100" w:line="278" w:lineRule="auto"/>
        <w:ind w:firstLine="369"/>
      </w:pPr>
      <w:r>
        <w:rPr>
          <w:rFonts w:ascii="Liberation Serif" w:hAnsi="Liberation Serif" w:eastAsia="Liberation Serif"/>
          <w:sz w:val="21"/>
        </w:rPr>
        <w:t>Этот контрпример имеет прямой смысл для KLT-RBD: попарная согласованность источников или моделей не обеспечивает согласованность полного формульного цикла. Тройной и более высокий аудит обязателен там, где существуют альтернативные маршруты вывода.</w:t>
      </w:r>
    </w:p>
    <w:p>
      <w:pPr>
        <w:pStyle w:val="Heading1"/>
        <w:keepNext/>
      </w:pPr>
      <w:r>
        <w:t>38. Пакетные, реперные и Hodge-расслоения</w:t>
      </w:r>
    </w:p>
    <w:p>
      <w:pPr>
        <w:pStyle w:val="Heading2"/>
        <w:keepNext/>
      </w:pPr>
      <w:r>
        <w:t>38.1. Спуск операции и ассоциатора</w:t>
      </w:r>
    </w:p>
    <w:p>
      <w:pPr>
        <w:spacing w:after="100" w:line="278" w:lineRule="auto"/>
        <w:ind w:firstLine="0"/>
      </w:pPr>
      <w:r>
        <w:rPr>
          <w:rFonts w:ascii="Liberation Serif" w:hAnsi="Liberation Serif" w:eastAsia="Liberation Serif"/>
          <w:b/>
          <w:color w:val="17365D"/>
          <w:sz w:val="21"/>
        </w:rPr>
        <w:t>Определение 7.11. Bundle of NAPG algebras.</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NAPG-алгебраическое расслоение - локально тривиальное векторное или модульное расслоение E→X с локальными операциями ⊙_i, для которых переходы g_ij удовлетворяют g_ij(a⊙_j b)=g_ij(a)⊙_i g_ij(b) на каждом перекрытии и сохраняют Dom_⊙.</w:t>
      </w:r>
    </w:p>
    <w:p>
      <w:pPr>
        <w:spacing w:after="100" w:line="278" w:lineRule="auto"/>
        <w:ind w:firstLine="0"/>
      </w:pPr>
      <w:r>
        <w:rPr>
          <w:rFonts w:ascii="Liberation Serif" w:hAnsi="Liberation Serif" w:eastAsia="Liberation Serif"/>
          <w:b/>
          <w:color w:val="17365D"/>
          <w:sz w:val="21"/>
        </w:rPr>
        <w:t>Теорема 7.12. Спуск операции.</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При условиях определения 7.11 локальные операции склеиваются в единственную волоконную операцию ⊙:Dom_⊙⊂E×_X E→E. Ассоциатор, левые/средние/правые nucleus-слои и идеал J_Ass являются глобальными подрасслоениями там, где их ранги локально постоянны.</w:t>
      </w:r>
    </w:p>
    <w:p>
      <w:pPr>
        <w:spacing w:after="100" w:line="278" w:lineRule="auto"/>
        <w:ind w:firstLine="0"/>
      </w:pPr>
      <w:r>
        <w:rPr>
          <w:rFonts w:ascii="Liberation Serif" w:hAnsi="Liberation Serif" w:eastAsia="Liberation Serif"/>
          <w:b/>
          <w:color w:val="17365D"/>
          <w:sz w:val="21"/>
        </w:rPr>
        <w:t>Доказательство.</w:t>
      </w:r>
      <w:r>
        <w:rPr>
          <w:rFonts w:ascii="Liberation Serif" w:hAnsi="Liberation Serif" w:eastAsia="Liberation Serif"/>
          <w:sz w:val="21"/>
        </w:rPr>
        <w:t xml:space="preserve"> Если представители a_i,b_i в карте i и a_j,b_j в карте j описывают одни и те же элементы волокна, то a_i=g_ij a_j и b_i=g_ij b_j. Совместимость операции даёт a_i⊙_i b_i=g_ij(a_j⊙_j b_j), поэтому результат независим от карты. Ассоциатор естественен относительно алгебраических изоморфизмов; ядра его линейных операторов образуют подрасслоения на областях постоянного ранга. □</w:t>
      </w:r>
    </w:p>
    <w:p>
      <w:pPr>
        <w:spacing w:after="100" w:line="278" w:lineRule="auto"/>
        <w:ind w:firstLine="0"/>
      </w:pPr>
      <w:r>
        <w:rPr>
          <w:rFonts w:ascii="Liberation Serif" w:hAnsi="Liberation Serif" w:eastAsia="Liberation Serif"/>
          <w:b/>
          <w:color w:val="17365D"/>
          <w:sz w:val="21"/>
        </w:rPr>
        <w:t>Определение 7.13. Дефект спуска операции.</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Если переходы являются лишь линейными изоморфизмами, вводится q_ij(a,b)=g_ij(a⊙_j b)-g_ij(a)⊙_i g_ij(b). Ненулевой q_ij блокирует глобальную операцию даже при идеальном cocycle переходов.</w:t>
      </w:r>
    </w:p>
    <w:p>
      <w:pPr>
        <w:spacing w:before="60" w:after="140"/>
        <w:ind w:firstLine="0"/>
        <w:jc w:val="center"/>
      </w:pPr>
      <w:r>
        <w:rPr>
          <w:rFonts w:ascii="Cambria Math" w:hAnsi="Cambria Math" w:eastAsia="Cambria Math"/>
          <w:sz w:val="22"/>
        </w:rPr>
        <w:t>q_ij = 0 for all i,j   is necessary and sufficient for operation descent.</w:t>
      </w:r>
    </w:p>
    <w:p>
      <w:pPr>
        <w:pStyle w:val="Heading2"/>
        <w:keepNext/>
      </w:pPr>
      <w:r>
        <w:t>38.2. Реперное подрасслоение и Evidence-D</w:t>
      </w:r>
    </w:p>
    <w:p>
      <w:pPr>
        <w:spacing w:after="100" w:line="278" w:lineRule="auto"/>
        <w:ind w:firstLine="0"/>
      </w:pPr>
      <w:r>
        <w:rPr>
          <w:rFonts w:ascii="Liberation Serif" w:hAnsi="Liberation Serif" w:eastAsia="Liberation Serif"/>
          <w:b/>
          <w:color w:val="17365D"/>
          <w:sz w:val="21"/>
        </w:rPr>
        <w:t>Определение 7.14. Reper bundle.</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Пусть E→X - NAPG-расслоение. Реперное подрасслоение Rep(E)→X имеет в волокне допустимые четвёрки (R,I,U;d) вместе с Evidence-D пакетом. Переходы действуют одновременно на геометрический якорь d и на provenance-структуру E_D, причём перенос E_D должен быть трассируемым и обратимым.</w:t>
      </w: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FFF2CC"/>
            <w:tcMar>
              <w:top w:w="150" w:type="dxa"/>
              <w:start w:w="180" w:type="dxa"/>
              <w:bottom w:w="150" w:type="dxa"/>
              <w:end w:w="180" w:type="dxa"/>
            </w:tcMar>
            <w:vAlign w:val="center"/>
          </w:tcPr>
          <w:p>
            <w:pPr>
              <w:spacing w:after="60"/>
            </w:pPr>
            <w:r>
              <w:rPr>
                <w:rFonts w:ascii="Liberation Sans" w:hAnsi="Liberation Sans" w:eastAsia="Liberation Sans"/>
                <w:b/>
                <w:color w:val="7F6000"/>
                <w:sz w:val="21"/>
              </w:rPr>
              <w:t>Трудное место: D не является обычной координатой</w:t>
            </w:r>
          </w:p>
          <w:p>
            <w:pPr>
              <w:spacing w:after="0" w:line="269" w:lineRule="auto"/>
            </w:pPr>
            <w:r>
              <w:rPr>
                <w:rFonts w:ascii="Liberation Serif" w:hAnsi="Liberation Serif" w:eastAsia="Liberation Serif"/>
                <w:color w:val="27313F"/>
                <w:sz w:val="20"/>
              </w:rPr>
              <w:t>Проективная точка d может переноситься PGL₂-преобразованием. Evidence-D включает источники, версии, контрольные хеши, области применения и доказательные статусы. Его нельзя «склеить» одной формулой координатного перехода. Требуется отдельный функтор provenance и проверка его cocycle.</w:t>
            </w:r>
          </w:p>
        </w:tc>
      </w:tr>
    </w:tbl>
    <w:p>
      <w:pPr>
        <w:spacing w:after="40"/>
      </w:pPr>
    </w:p>
    <w:p>
      <w:pPr>
        <w:spacing w:after="100" w:line="278" w:lineRule="auto"/>
        <w:ind w:firstLine="0"/>
      </w:pPr>
      <w:r>
        <w:rPr>
          <w:rFonts w:ascii="Liberation Serif" w:hAnsi="Liberation Serif" w:eastAsia="Liberation Serif"/>
          <w:b/>
          <w:color w:val="17365D"/>
          <w:sz w:val="21"/>
        </w:rPr>
        <w:t>Теорема 7.15. Двойной спуск Reper.</w:t>
      </w:r>
      <w:r>
        <w:rPr>
          <w:rFonts w:ascii="Liberation Serif" w:hAnsi="Liberation Serif" w:eastAsia="Liberation Serif"/>
          <w:b/>
          <w:color w:val="7A3E00"/>
          <w:sz w:val="20"/>
        </w:rPr>
        <w:t xml:space="preserve"> [COND]</w:t>
      </w:r>
      <w:r>
        <w:rPr>
          <w:rFonts w:ascii="Liberation Serif" w:hAnsi="Liberation Serif" w:eastAsia="Liberation Serif"/>
          <w:sz w:val="21"/>
        </w:rPr>
        <w:t xml:space="preserve"> Глобальный Reper-объект существует, если одновременно эффективны геометрический descent четвёрки и доказательный descent Evidence-D. Нарушение любого канала переводит результат в ABSTAIN, даже когда λ=-1 во всех локальных картах.</w:t>
      </w:r>
    </w:p>
    <w:p>
      <w:pPr>
        <w:pStyle w:val="Heading2"/>
        <w:keepNext/>
      </w:pPr>
      <w:r>
        <w:t>38.3. Hodge-слой</w:t>
      </w:r>
    </w:p>
    <w:p>
      <w:pPr>
        <w:spacing w:after="100" w:line="278" w:lineRule="auto"/>
        <w:ind w:firstLine="0"/>
      </w:pPr>
      <w:r>
        <w:rPr>
          <w:rFonts w:ascii="Liberation Serif" w:hAnsi="Liberation Serif" w:eastAsia="Liberation Serif"/>
          <w:b/>
          <w:color w:val="17365D"/>
          <w:sz w:val="21"/>
        </w:rPr>
        <w:t>Определение 7.16. Hodge-compatible atlas.</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Пусть волокна имеют фиксированный ранг, метрику и ориентацию. Атлас Hodge-совместим, если переходы являются ориентированными изометриями, то есть принимают значения в SO(V,g), и сохраняют выбранный класс дифференциальных форм.</w:t>
      </w:r>
    </w:p>
    <w:p>
      <w:pPr>
        <w:spacing w:after="100" w:line="278" w:lineRule="auto"/>
        <w:ind w:firstLine="0"/>
      </w:pPr>
      <w:r>
        <w:rPr>
          <w:rFonts w:ascii="Liberation Serif" w:hAnsi="Liberation Serif" w:eastAsia="Liberation Serif"/>
          <w:b/>
          <w:color w:val="17365D"/>
          <w:sz w:val="21"/>
        </w:rPr>
        <w:t>Теорема 7.17. Спуск Hodge star.</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В Hodge-совместимом атласе локальные операторы star_Hdg склеиваются в глобальный волоконный Hodge-оператор. При ориентационно обращающем переходе возникает знак, поэтому O(n)-совместимость без дополнительного orientation local system недостаточна для заявленного глобального оператора.</w:t>
      </w:r>
    </w:p>
    <w:p>
      <w:pPr>
        <w:spacing w:after="100" w:line="278" w:lineRule="auto"/>
        <w:ind w:firstLine="0"/>
      </w:pPr>
      <w:r>
        <w:rPr>
          <w:rFonts w:ascii="Liberation Serif" w:hAnsi="Liberation Serif" w:eastAsia="Liberation Serif"/>
          <w:b/>
          <w:color w:val="17365D"/>
          <w:sz w:val="21"/>
        </w:rPr>
        <w:t>Доказательство.</w:t>
      </w:r>
      <w:r>
        <w:rPr>
          <w:rFonts w:ascii="Liberation Serif" w:hAnsi="Liberation Serif" w:eastAsia="Liberation Serif"/>
          <w:sz w:val="21"/>
        </w:rPr>
        <w:t xml:space="preserve"> Hodge star характеризуется равенством α∧star β=&lt;α,β&gt;vol. Ориентированная изометрия сохраняет скалярное произведение и форму объёма, следовательно, коммутирует со star. Ориентационно обращающая изометрия меняет знак vol, что требует отдельного знакового локального коэффициентного слоя. □</w:t>
      </w:r>
    </w:p>
    <w:p>
      <w:pPr>
        <w:pStyle w:val="Heading1"/>
        <w:keepNext/>
      </w:pPr>
      <w:r>
        <w:t>39. Когомологические препятствия глобализации</w:t>
      </w:r>
    </w:p>
    <w:p>
      <w:pPr>
        <w:pStyle w:val="Heading2"/>
        <w:keepNext/>
      </w:pPr>
      <w:r>
        <w:t>39.1. Центральный lifting obstruction</w:t>
      </w:r>
    </w:p>
    <w:p>
      <w:pPr>
        <w:spacing w:after="100" w:line="278" w:lineRule="auto"/>
        <w:ind w:firstLine="0"/>
      </w:pPr>
      <w:r>
        <w:rPr>
          <w:rFonts w:ascii="Liberation Serif" w:hAnsi="Liberation Serif" w:eastAsia="Liberation Serif"/>
          <w:b/>
          <w:color w:val="17365D"/>
          <w:sz w:val="21"/>
        </w:rPr>
        <w:t>Постановка 7.18.</w:t>
      </w:r>
      <w:r>
        <w:rPr>
          <w:rFonts w:ascii="Liberation Serif" w:hAnsi="Liberation Serif" w:eastAsia="Liberation Serif"/>
          <w:b/>
          <w:color w:val="2F7D32"/>
          <w:sz w:val="20"/>
        </w:rPr>
        <w:t xml:space="preserve"> [CL]</w:t>
      </w:r>
      <w:r>
        <w:rPr>
          <w:rFonts w:ascii="Liberation Serif" w:hAnsi="Liberation Serif" w:eastAsia="Liberation Serif"/>
          <w:sz w:val="21"/>
        </w:rPr>
        <w:t xml:space="preserve"> Пусть 1→Z→G_tilde→G→1 - центральное расширение топологических групп, P→X - principal G-bundle с transition cocycle g_ij. На достаточно мелком покрытии выберем локальные подъёмы g_tilde_ij.</w:t>
      </w:r>
    </w:p>
    <w:p>
      <w:pPr>
        <w:spacing w:before="60" w:after="140"/>
        <w:ind w:firstLine="0"/>
        <w:jc w:val="center"/>
      </w:pPr>
      <w:r>
        <w:rPr>
          <w:rFonts w:ascii="Cambria Math" w:hAnsi="Cambria Math" w:eastAsia="Cambria Math"/>
          <w:sz w:val="22"/>
        </w:rPr>
        <w:t>z_ijk = g_tilde_ij g_tilde_jk g_tilde_ki  ∈ Z.</w:t>
      </w:r>
    </w:p>
    <w:p>
      <w:pPr>
        <w:spacing w:after="100" w:line="278" w:lineRule="auto"/>
        <w:ind w:firstLine="0"/>
      </w:pPr>
      <w:r>
        <w:rPr>
          <w:rFonts w:ascii="Liberation Serif" w:hAnsi="Liberation Serif" w:eastAsia="Liberation Serif"/>
          <w:b/>
          <w:color w:val="17365D"/>
          <w:sz w:val="21"/>
        </w:rPr>
        <w:t>Теорема 7.19. Центральный класс препятствия.</w:t>
      </w:r>
      <w:r>
        <w:rPr>
          <w:rFonts w:ascii="Liberation Serif" w:hAnsi="Liberation Serif" w:eastAsia="Liberation Serif"/>
          <w:b/>
          <w:color w:val="2F7D32"/>
          <w:sz w:val="20"/>
        </w:rPr>
        <w:t xml:space="preserve"> [THM/COND]</w:t>
      </w:r>
      <w:r>
        <w:rPr>
          <w:rFonts w:ascii="Liberation Serif" w:hAnsi="Liberation Serif" w:eastAsia="Liberation Serif"/>
          <w:sz w:val="21"/>
        </w:rPr>
        <w:t xml:space="preserve"> Семейство z_ijk является Čech 2-cocycle с коэффициентами в пучке Z. Его класс [z]∈Čech H²(X,Z) не зависит от выбора локальных подъёмов. Principal G-bundle допускает G_tilde-подъём тогда и только тогда, когда [z]=0, при стандартных гипотезах эффективности Čech-описания.</w:t>
      </w:r>
    </w:p>
    <w:p>
      <w:pPr>
        <w:spacing w:after="100" w:line="278" w:lineRule="auto"/>
        <w:ind w:firstLine="0"/>
      </w:pPr>
      <w:r>
        <w:rPr>
          <w:rFonts w:ascii="Liberation Serif" w:hAnsi="Liberation Serif" w:eastAsia="Liberation Serif"/>
          <w:b/>
          <w:color w:val="17365D"/>
          <w:sz w:val="21"/>
        </w:rPr>
        <w:t>Доказательство.</w:t>
      </w:r>
      <w:r>
        <w:rPr>
          <w:rFonts w:ascii="Liberation Serif" w:hAnsi="Liberation Serif" w:eastAsia="Liberation Serif"/>
          <w:sz w:val="21"/>
        </w:rPr>
        <w:t xml:space="preserve"> Центральность Z позволяет переставлять возникающие дефектные множители и получить δz=1 на четырёхкратных перекрытиях. Другая система подъёмов имеет вид a_ij g_tilde_ij, a_ij∈Z, поэтому z изменяется на Čech coboundary δa. Если [z]=0, выбирается a с z=δa и скорректированные подъёмы удовлетворяют точному cocycle; обратное очевидно. □</w:t>
      </w:r>
    </w:p>
    <w:p>
      <w:pPr>
        <w:spacing w:after="100" w:line="278" w:lineRule="auto"/>
        <w:ind w:firstLine="369"/>
      </w:pPr>
      <w:r>
        <w:rPr>
          <w:rFonts w:ascii="Liberation Serif" w:hAnsi="Liberation Serif" w:eastAsia="Liberation Serif"/>
          <w:sz w:val="21"/>
        </w:rPr>
        <w:t>Классический пример - расширение Spin(n)→SO(n): препятствие подъёма ориентированного frame bundle к Spin-структуре выражается вторым классом Stiefel-Whitney. В Том II этот пример используется только как prior art и модель дисциплины препятствий; он не отождествляется с внутренним 𝒪_B.</w:t>
      </w:r>
    </w:p>
    <w:p>
      <w:pPr>
        <w:keepNext/>
        <w:jc w:val="center"/>
      </w:pPr>
      <w:r>
        <w:drawing>
          <wp:inline xmlns:a="http://schemas.openxmlformats.org/drawingml/2006/main" xmlns:pic="http://schemas.openxmlformats.org/drawingml/2006/picture">
            <wp:extent cx="5715000" cy="1778000"/>
            <wp:docPr id="16" name="Picture 16"/>
            <wp:cNvGraphicFramePr>
              <a:graphicFrameLocks noChangeAspect="1"/>
            </wp:cNvGraphicFramePr>
            <a:graphic>
              <a:graphicData uri="http://schemas.openxmlformats.org/drawingml/2006/picture">
                <pic:pic>
                  <pic:nvPicPr>
                    <pic:cNvPr id="0" name="fig12_lifting.png"/>
                    <pic:cNvPicPr/>
                  </pic:nvPicPr>
                  <pic:blipFill>
                    <a:blip r:embed="rId28"/>
                    <a:stretch>
                      <a:fillRect/>
                    </a:stretch>
                  </pic:blipFill>
                  <pic:spPr>
                    <a:xfrm>
                      <a:off x="0" y="0"/>
                      <a:ext cx="5715000" cy="1778000"/>
                    </a:xfrm>
                    <a:prstGeom prst="rect"/>
                  </pic:spPr>
                </pic:pic>
              </a:graphicData>
            </a:graphic>
          </wp:inline>
        </w:drawing>
      </w:r>
    </w:p>
    <w:p>
      <w:pPr>
        <w:pStyle w:val="Caption"/>
        <w:keepNext/>
        <w:spacing w:after="140"/>
        <w:jc w:val="center"/>
      </w:pPr>
      <w:r>
        <w:rPr>
          <w:rFonts w:ascii="Liberation Serif" w:hAnsi="Liberation Serif" w:eastAsia="Liberation Serif"/>
          <w:b/>
          <w:color w:val="5B6573"/>
          <w:sz w:val="18"/>
        </w:rPr>
        <w:t>Рисунок 12. Центральное расширение и Čech H²-препятствие подъёма структурной группы. Собственная схема Тома II.</w:t>
      </w:r>
    </w:p>
    <w:p>
      <w:pPr>
        <w:pStyle w:val="Heading2"/>
        <w:keepNext/>
      </w:pPr>
      <w:r>
        <w:t>39.2. Внутреннее NAPG-препятствие и внешний Čech-слой</w:t>
      </w:r>
    </w:p>
    <w:p>
      <w:pPr>
        <w:spacing w:after="100" w:line="278" w:lineRule="auto"/>
        <w:ind w:firstLine="0"/>
      </w:pPr>
      <w:r>
        <w:rPr>
          <w:rFonts w:ascii="Liberation Serif" w:hAnsi="Liberation Serif" w:eastAsia="Liberation Serif"/>
          <w:b/>
          <w:color w:val="17365D"/>
          <w:sz w:val="21"/>
        </w:rPr>
        <w:t>Определение 7.20. Globalization defect vector.</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Для атласа A вводится вектор дефектов Def_glue(A)=(c,q,a,p,h,d,s), где c - cocycle defect переходов, q - defect спуска операции, a - дефект когерентности ассоциаторного слоя, p - непроективность Reper-карт, h - Hodge-несовместимость, d - дефект Evidence-D/Dom, s - препятствие существования требуемого глобального сечения.</w:t>
      </w:r>
    </w:p>
    <w:p>
      <w:pPr>
        <w:spacing w:before="60" w:after="140"/>
        <w:ind w:firstLine="0"/>
        <w:jc w:val="center"/>
      </w:pPr>
      <w:r>
        <w:rPr>
          <w:rFonts w:ascii="Cambria Math" w:hAnsi="Cambria Math" w:eastAsia="Cambria Math"/>
          <w:sz w:val="22"/>
        </w:rPr>
        <w:t>Def_glue(A)=0  is a gate condition, not a consequence of local λ-harmonicity.</w:t>
      </w:r>
    </w:p>
    <w:p>
      <w:pPr>
        <w:spacing w:after="100" w:line="278" w:lineRule="auto"/>
        <w:ind w:firstLine="369"/>
      </w:pPr>
      <w:r>
        <w:rPr>
          <w:rFonts w:ascii="Liberation Serif" w:hAnsi="Liberation Serif" w:eastAsia="Liberation Serif"/>
          <w:sz w:val="21"/>
        </w:rPr>
        <w:t>Внутреннее препятствие Π(x)∈𝒪_B и внешнее Čech-препятствие [c] живут в разных носителях. Карта между ними может быть построена только после задания конкретного функторного моста. До этого запрещены записи 𝒪_B=H²(X,Z) или Π=[c].</w:t>
      </w:r>
    </w:p>
    <w:p>
      <w:pPr>
        <w:pStyle w:val="Heading2"/>
        <w:keepNext/>
      </w:pPr>
      <w:r>
        <w:t>39.3. Препятствия к глобальному сечению</w:t>
      </w:r>
    </w:p>
    <w:p>
      <w:pPr>
        <w:spacing w:after="100" w:line="278" w:lineRule="auto"/>
        <w:ind w:firstLine="0"/>
      </w:pPr>
      <w:r>
        <w:rPr>
          <w:rFonts w:ascii="Liberation Serif" w:hAnsi="Liberation Serif" w:eastAsia="Liberation Serif"/>
          <w:b/>
          <w:color w:val="17365D"/>
          <w:sz w:val="21"/>
        </w:rPr>
        <w:t>Теорема 7.21. Клеточная башня препятствий.</w:t>
      </w:r>
      <w:r>
        <w:rPr>
          <w:rFonts w:ascii="Liberation Serif" w:hAnsi="Liberation Serif" w:eastAsia="Liberation Serif"/>
          <w:b/>
          <w:color w:val="2F7D32"/>
          <w:sz w:val="20"/>
        </w:rPr>
        <w:t xml:space="preserve"> [CL/COND]</w:t>
      </w:r>
      <w:r>
        <w:rPr>
          <w:rFonts w:ascii="Liberation Serif" w:hAnsi="Liberation Serif" w:eastAsia="Liberation Serif"/>
          <w:sz w:val="21"/>
        </w:rPr>
        <w:t xml:space="preserve"> Пусть p:E→X - фибрация над CW-комплексом, F - связное простое волокно с заданным действием π₁(X) на π_k(F). Продление частичного сечения с k-скелета на (k+1)-скелет контролируется классом o_{k+1}∈H^{k+1}(X;π_k(F)_ρ). При исчезновении последовательных классов и выполнении стандартных полнотных гипотез существует глобальное сечение. Поэтому локально допустимые сценарии не гарантируют единого глобального сценария; коэффициентный модуль и монодромия строятся для каждой модели отдельно.</w:t>
      </w:r>
    </w:p>
    <w:p>
      <w:pPr>
        <w:pStyle w:val="Heading1"/>
        <w:keepNext/>
      </w:pPr>
      <w:r>
        <w:t>40. Глобализационные горизонты и отрицательные теоремы прогноза</w:t>
      </w:r>
    </w:p>
    <w:p>
      <w:pPr>
        <w:pStyle w:val="Heading2"/>
        <w:keepNext/>
      </w:pPr>
      <w:r>
        <w:t>40.1. Семейство атласов</w:t>
      </w:r>
    </w:p>
    <w:p>
      <w:pPr>
        <w:spacing w:after="100" w:line="278" w:lineRule="auto"/>
        <w:ind w:firstLine="0"/>
      </w:pPr>
      <w:r>
        <w:rPr>
          <w:rFonts w:ascii="Liberation Serif" w:hAnsi="Liberation Serif" w:eastAsia="Liberation Serif"/>
          <w:b/>
          <w:color w:val="17365D"/>
          <w:sz w:val="21"/>
        </w:rPr>
        <w:t>Определение 7.22. Параметрическое NAPG-расслоение.</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Пусть I - интервал параметров. Параметрическое расслоение есть NAPG-объект E→X×I, ограничение E_t→X которого задаёт состояние при t. Семейство переходов g_ij(x,t) непрерывно и остаётся в Aut_NAPG(F) на admissible domain.</w:t>
      </w:r>
    </w:p>
    <w:p>
      <w:pPr>
        <w:spacing w:after="100" w:line="278" w:lineRule="auto"/>
        <w:ind w:firstLine="0"/>
      </w:pPr>
      <w:r>
        <w:rPr>
          <w:rFonts w:ascii="Liberation Serif" w:hAnsi="Liberation Serif" w:eastAsia="Liberation Serif"/>
          <w:b/>
          <w:color w:val="17365D"/>
          <w:sz w:val="21"/>
        </w:rPr>
        <w:t>Теорема 7.23. Homotopy constancy.</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Если E→X×I является numerable NAPG-расслоением с фиксированным структурным groupoid и effective descent на всём X×I, то ограничения E_{t0} и E_{t1} изоморфны для любых t0,t1∈I. Следовательно, дискретный изоморфный класс расслоения не меняется внутри одной допустимой непрерывной семьи.</w:t>
      </w:r>
    </w:p>
    <w:p>
      <w:pPr>
        <w:spacing w:after="100" w:line="278" w:lineRule="auto"/>
        <w:ind w:firstLine="0"/>
      </w:pPr>
      <w:r>
        <w:rPr>
          <w:rFonts w:ascii="Liberation Serif" w:hAnsi="Liberation Serif" w:eastAsia="Liberation Serif"/>
          <w:b/>
          <w:color w:val="17365D"/>
          <w:sz w:val="21"/>
        </w:rPr>
        <w:t>Доказательство.</w:t>
      </w:r>
      <w:r>
        <w:rPr>
          <w:rFonts w:ascii="Liberation Serif" w:hAnsi="Liberation Serif" w:eastAsia="Liberation Serif"/>
          <w:sz w:val="21"/>
        </w:rPr>
        <w:t xml:space="preserve"> Вложения i_{t0},i_{t1}:X→X×I гомотопны. Pullback numerable bundles вдоль гомотопных отображений эквивалентны. Но E_t=i_t*E, поэтому концевые ограничения изоморфны. □</w:t>
      </w:r>
    </w:p>
    <w:p>
      <w:pPr>
        <w:spacing w:after="100" w:line="278" w:lineRule="auto"/>
        <w:ind w:firstLine="0"/>
      </w:pPr>
      <w:r>
        <w:rPr>
          <w:rFonts w:ascii="Liberation Serif" w:hAnsi="Liberation Serif" w:eastAsia="Liberation Serif"/>
          <w:b/>
          <w:color w:val="17365D"/>
          <w:sz w:val="21"/>
        </w:rPr>
        <w:t>Следствие 7.24. Отрицательный глобальный прогноз.</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Топологическая смена NAPG-расслоения невозможна, пока семейство остаётся определённым и эффективным на X×I, структурный groupoid не меняется и не пересекается глобализационный горизонт. Наблюдаемая смена дискретного класса требует выхода хотя бы из одной гипотезы.</w:t>
      </w: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FCE4D6"/>
            <w:tcMar>
              <w:top w:w="150" w:type="dxa"/>
              <w:start w:w="180" w:type="dxa"/>
              <w:bottom w:w="150" w:type="dxa"/>
              <w:end w:w="180" w:type="dxa"/>
            </w:tcMar>
            <w:vAlign w:val="center"/>
          </w:tcPr>
          <w:p>
            <w:pPr>
              <w:spacing w:after="60"/>
            </w:pPr>
            <w:r>
              <w:rPr>
                <w:rFonts w:ascii="Liberation Sans" w:hAnsi="Liberation Sans" w:eastAsia="Liberation Sans"/>
                <w:b/>
                <w:color w:val="843C0C"/>
                <w:sz w:val="21"/>
              </w:rPr>
              <w:t>Что именно запрещает теорема</w:t>
            </w:r>
          </w:p>
          <w:p>
            <w:pPr>
              <w:spacing w:after="0" w:line="269" w:lineRule="auto"/>
            </w:pPr>
            <w:r>
              <w:rPr>
                <w:rFonts w:ascii="Liberation Serif" w:hAnsi="Liberation Serif" w:eastAsia="Liberation Serif"/>
                <w:color w:val="27313F"/>
                <w:sz w:val="20"/>
              </w:rPr>
              <w:t>Она не запрещает непрерывное изменение коэффициентов, метрик, связностей или λ-значений внутри одного bundle class. Она запрещает объявлять топологический переход без обнаруженного разрыва admissibility, изменения структурной группы, потери cocycle/effective descent или иного явно указанного механизма.</w:t>
            </w:r>
          </w:p>
        </w:tc>
      </w:tr>
    </w:tbl>
    <w:p>
      <w:pPr>
        <w:spacing w:after="40"/>
      </w:pPr>
    </w:p>
    <w:p>
      <w:pPr>
        <w:pStyle w:val="Heading2"/>
        <w:keepNext/>
      </w:pPr>
      <w:r>
        <w:t>40.2. Глобализационный горизонт</w:t>
      </w:r>
    </w:p>
    <w:p>
      <w:pPr>
        <w:spacing w:after="100" w:line="278" w:lineRule="auto"/>
        <w:ind w:firstLine="0"/>
      </w:pPr>
      <w:r>
        <w:rPr>
          <w:rFonts w:ascii="Liberation Serif" w:hAnsi="Liberation Serif" w:eastAsia="Liberation Serif"/>
          <w:b/>
          <w:color w:val="17365D"/>
          <w:sz w:val="21"/>
        </w:rPr>
        <w:t>Определение 7.25. Globalization horizon.</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Для параметрической семьи определяется объединение Δ_glue=Δ_coc∪Δ_eff∪Δ_op∪Δ_ass∪Δ_chart∪Δ_Hdg∪Δ_Dom∪Δ_D∪Δ_sec, где каждый компонент есть множество параметров, на котором соответствующее условие склейки, спуска или существования сечения теряет доказанность.</w:t>
      </w:r>
    </w:p>
    <w:p>
      <w:pPr>
        <w:spacing w:before="60" w:after="140"/>
        <w:ind w:firstLine="0"/>
        <w:jc w:val="center"/>
      </w:pPr>
      <w:r>
        <w:rPr>
          <w:rFonts w:ascii="Cambria Math" w:hAnsi="Cambria Math" w:eastAsia="Cambria Math"/>
          <w:sz w:val="22"/>
        </w:rPr>
        <w:t>Δ_total = Δ_alg ∪ Δ_geo ∪ Δ_glue.</w:t>
      </w:r>
    </w:p>
    <w:p>
      <w:pPr>
        <w:spacing w:after="100" w:line="278" w:lineRule="auto"/>
        <w:ind w:firstLine="0"/>
      </w:pPr>
      <w:r>
        <w:rPr>
          <w:rFonts w:ascii="Liberation Serif" w:hAnsi="Liberation Serif" w:eastAsia="Liberation Serif"/>
          <w:b/>
          <w:color w:val="17365D"/>
          <w:sz w:val="21"/>
        </w:rPr>
        <w:t>Теорема 7.26. Локализация возможного глобального перехода.</w:t>
      </w:r>
      <w:r>
        <w:rPr>
          <w:rFonts w:ascii="Liberation Serif" w:hAnsi="Liberation Serif" w:eastAsia="Liberation Serif"/>
          <w:b/>
          <w:color w:val="7A3E00"/>
          <w:sz w:val="20"/>
        </w:rPr>
        <w:t xml:space="preserve"> [COND]</w:t>
      </w:r>
      <w:r>
        <w:rPr>
          <w:rFonts w:ascii="Liberation Serif" w:hAnsi="Liberation Serif" w:eastAsia="Liberation Serif"/>
          <w:sz w:val="21"/>
        </w:rPr>
        <w:t xml:space="preserve"> При гипотезах теоремы 7.23 изменение дискретного алгебро-геометрического bundle profile может происходить только на Δ_total. Вне Δ_total профиль локально постоянен. Попадание в Δ_total является необходимым, но не достаточным условием перехода.</w:t>
      </w:r>
    </w:p>
    <w:p>
      <w:pPr>
        <w:pStyle w:val="Heading1"/>
        <w:keepNext/>
      </w:pPr>
      <w:r>
        <w:t>41. Предсказательное реперное расслоение</w:t>
      </w:r>
    </w:p>
    <w:p>
      <w:pPr>
        <w:pStyle w:val="Heading2"/>
        <w:keepNext/>
      </w:pPr>
      <w:r>
        <w:t>41.1. Пространство сценариев как волокно</w:t>
      </w:r>
    </w:p>
    <w:p>
      <w:pPr>
        <w:spacing w:after="100" w:line="278" w:lineRule="auto"/>
        <w:ind w:firstLine="0"/>
      </w:pPr>
      <w:r>
        <w:rPr>
          <w:rFonts w:ascii="Liberation Serif" w:hAnsi="Liberation Serif" w:eastAsia="Liberation Serif"/>
          <w:b/>
          <w:color w:val="17365D"/>
          <w:sz w:val="21"/>
        </w:rPr>
        <w:t>Определение 7.27. Predictive Reper bundle.</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Пусть X кодирует домены, источники или пространственно-временные окна, а F_x - множество допустимых будущих Reper-состояний в точке x. Предсказательное реперное расслоение p:𝒫→X имеет волокна F_x, переходы между локальными системами координат и подпространство Adm(𝒫), заданное ограничениями D/Dom, препятствиями и предметными пределами.</w:t>
      </w:r>
    </w:p>
    <w:p>
      <w:pPr>
        <w:spacing w:after="100" w:line="278" w:lineRule="auto"/>
        <w:ind w:firstLine="0"/>
      </w:pPr>
      <w:r>
        <w:rPr>
          <w:rFonts w:ascii="Liberation Serif" w:hAnsi="Liberation Serif" w:eastAsia="Liberation Serif"/>
          <w:b/>
          <w:color w:val="17365D"/>
          <w:sz w:val="21"/>
        </w:rPr>
        <w:t>Определение 7.28. Глобально допустимый сценарий.</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Сценарий есть сечение s:X→𝒫. Он глобально допустим, если s(x)∈Adm(𝒫)_x, локальные представления согласованы переходами, Evidence-D образует эффективный descent, а все обязательные blockers пусты.</w:t>
      </w:r>
    </w:p>
    <w:p>
      <w:pPr>
        <w:spacing w:before="60" w:after="140"/>
        <w:ind w:firstLine="0"/>
        <w:jc w:val="center"/>
      </w:pPr>
      <w:r>
        <w:rPr>
          <w:rFonts w:ascii="Cambria Math" w:hAnsi="Cambria Math" w:eastAsia="Cambria Math"/>
          <w:sz w:val="22"/>
        </w:rPr>
        <w:t>Block_glue = B_coc ∪ B_eff ∪ B_op ∪ B_ass ∪ B_chart ∪ B_Hdg ∪ B_Dom ∪ B_D ∪ B_sec.</w:t>
      </w:r>
    </w:p>
    <w:p>
      <w:pPr>
        <w:spacing w:after="100" w:line="278" w:lineRule="auto"/>
        <w:ind w:firstLine="0"/>
      </w:pPr>
      <w:r>
        <w:rPr>
          <w:rFonts w:ascii="Liberation Serif" w:hAnsi="Liberation Serif" w:eastAsia="Liberation Serif"/>
          <w:b/>
          <w:color w:val="17365D"/>
          <w:sz w:val="21"/>
        </w:rPr>
        <w:t>Определение 7.29. Global structural candidate.</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Сечение s получает статус GLOBAL-CANDIDATE, если Block_glue=∅, внутреннее препятствие Π(s)=0, заявленные внешние классы препятствий обнулены, λ(s) удовлетворяет заранее фиксированному точному или интервальному критерию и пройдены независимые вычислительные проверки.</w:t>
      </w:r>
    </w:p>
    <w:p>
      <w:pPr>
        <w:spacing w:after="100" w:line="278" w:lineRule="auto"/>
        <w:ind w:firstLine="0"/>
      </w:pPr>
      <w:r>
        <w:rPr>
          <w:rFonts w:ascii="Liberation Serif" w:hAnsi="Liberation Serif" w:eastAsia="Liberation Serif"/>
          <w:b/>
          <w:color w:val="17365D"/>
          <w:sz w:val="21"/>
        </w:rPr>
        <w:t>Теорема 7.30. Запрет локально-глобальной подмены.</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Пусть на каждой карте U_i существует локальный кандидат s_i с λ_i=-1 и Π_i=0. Если семейство {s_i} не удовлетворяет transition compatibility или имеет ненулевой класс препятствия к глобальному сечению, глобального кандидата не существует. Любой алгоритм, возвращающий EVENT в такой ситуации, некорректен относительно спецификации v0.5.</w:t>
      </w:r>
    </w:p>
    <w:p>
      <w:pPr>
        <w:spacing w:after="100" w:line="278" w:lineRule="auto"/>
        <w:ind w:firstLine="0"/>
      </w:pPr>
      <w:r>
        <w:rPr>
          <w:rFonts w:ascii="Liberation Serif" w:hAnsi="Liberation Serif" w:eastAsia="Liberation Serif"/>
          <w:b/>
          <w:color w:val="17365D"/>
          <w:sz w:val="21"/>
        </w:rPr>
        <w:t>Доказательство.</w:t>
      </w:r>
      <w:r>
        <w:rPr>
          <w:rFonts w:ascii="Liberation Serif" w:hAnsi="Liberation Serif" w:eastAsia="Liberation Serif"/>
          <w:sz w:val="21"/>
        </w:rPr>
        <w:t xml:space="preserve"> Глобальный кандидат по определению является сечением. Несовместимые локальные кандидаты не задают отображение X→𝒫, а ненулевое препятствие исключает его существование. Локальные значения λ и Π не устраняют дефект склейки. □</w:t>
      </w:r>
    </w:p>
    <w:p>
      <w:pPr>
        <w:spacing w:after="100" w:line="278" w:lineRule="auto"/>
        <w:ind w:firstLine="0"/>
      </w:pPr>
      <w:r>
        <w:rPr>
          <w:rFonts w:ascii="Liberation Serif" w:hAnsi="Liberation Serif" w:eastAsia="Liberation Serif"/>
          <w:b/>
          <w:color w:val="17365D"/>
          <w:sz w:val="21"/>
        </w:rPr>
        <w:t>Основная условная теорема 7.31. Globalization-safe predictive transport.</w:t>
      </w:r>
      <w:r>
        <w:rPr>
          <w:rFonts w:ascii="Liberation Serif" w:hAnsi="Liberation Serif" w:eastAsia="Liberation Serif"/>
          <w:b/>
          <w:color w:val="7A3E00"/>
          <w:sz w:val="20"/>
        </w:rPr>
        <w:t xml:space="preserve"> [COND]</w:t>
      </w:r>
      <w:r>
        <w:rPr>
          <w:rFonts w:ascii="Liberation Serif" w:hAnsi="Liberation Serif" w:eastAsia="Liberation Serif"/>
          <w:sz w:val="21"/>
        </w:rPr>
        <w:t xml:space="preserve"> Пусть выполнены: H1 - effective NAPG descent; H2 - operation/associator descent; H3 - projective-Reper atlas; H4 - Hodge compatibility, если Hodge-слой используется; H5 - доказанный перенос Evidence-D; H6 - исчезновение внутренних и заявленных внешних препятствий; H7 - существование глобального admissible section; H8 - воспроизводимый двойной сертификат v0.4 и глобализационный сертификат v0.5. Тогда статус GLOBAL-CANDIDATE инвариантен относительно refinement покрытия, gauge-эквивалентности cocycle, NAPG-изоморфизмов и проективной смены Reper-карт.</w:t>
      </w:r>
    </w:p>
    <w:p>
      <w:pPr>
        <w:spacing w:after="100" w:line="278" w:lineRule="auto"/>
        <w:ind w:firstLine="0"/>
      </w:pPr>
      <w:r>
        <w:rPr>
          <w:rFonts w:ascii="Liberation Serif" w:hAnsi="Liberation Serif" w:eastAsia="Liberation Serif"/>
          <w:b/>
          <w:color w:val="17365D"/>
          <w:sz w:val="21"/>
        </w:rPr>
        <w:t>Граница вывода.</w:t>
      </w:r>
      <w:r>
        <w:rPr>
          <w:rFonts w:ascii="Liberation Serif" w:hAnsi="Liberation Serif" w:eastAsia="Liberation Serif"/>
          <w:b/>
          <w:color w:val="7A3E00"/>
          <w:sz w:val="20"/>
        </w:rPr>
        <w:t xml:space="preserve"> [OPEN]</w:t>
      </w:r>
      <w:r>
        <w:rPr>
          <w:rFonts w:ascii="Liberation Serif" w:hAnsi="Liberation Serif" w:eastAsia="Liberation Serif"/>
          <w:sz w:val="21"/>
        </w:rPr>
        <w:t xml:space="preserve"> Теорема утверждает инвариантность структурного кандидата внутри формальной модели. Она не доказывает наступление физического, химического, биологического или экономического события; такой вывод требует доменного адаптера, данных и независимой проверки.</w:t>
      </w:r>
    </w:p>
    <w:p>
      <w:pPr>
        <w:keepNext/>
        <w:jc w:val="center"/>
      </w:pPr>
      <w:r>
        <w:drawing>
          <wp:inline xmlns:a="http://schemas.openxmlformats.org/drawingml/2006/main" xmlns:pic="http://schemas.openxmlformats.org/drawingml/2006/picture">
            <wp:extent cx="5715000" cy="9013521"/>
            <wp:docPr id="17" name="Picture 17"/>
            <wp:cNvGraphicFramePr>
              <a:graphicFrameLocks noChangeAspect="1"/>
            </wp:cNvGraphicFramePr>
            <a:graphic>
              <a:graphicData uri="http://schemas.openxmlformats.org/drawingml/2006/picture">
                <pic:pic>
                  <pic:nvPicPr>
                    <pic:cNvPr id="0" name="fig13_global_gate.png"/>
                    <pic:cNvPicPr/>
                  </pic:nvPicPr>
                  <pic:blipFill>
                    <a:blip r:embed="rId29"/>
                    <a:stretch>
                      <a:fillRect/>
                    </a:stretch>
                  </pic:blipFill>
                  <pic:spPr>
                    <a:xfrm>
                      <a:off x="0" y="0"/>
                      <a:ext cx="5715000" cy="9013521"/>
                    </a:xfrm>
                    <a:prstGeom prst="rect"/>
                  </pic:spPr>
                </pic:pic>
              </a:graphicData>
            </a:graphic>
          </wp:inline>
        </w:drawing>
      </w:r>
    </w:p>
    <w:p>
      <w:pPr>
        <w:pStyle w:val="Caption"/>
        <w:keepNext/>
        <w:spacing w:after="140"/>
        <w:jc w:val="center"/>
      </w:pPr>
      <w:r>
        <w:rPr>
          <w:rFonts w:ascii="Liberation Serif" w:hAnsi="Liberation Serif" w:eastAsia="Liberation Serif"/>
          <w:b/>
          <w:color w:val="5B6573"/>
          <w:sz w:val="18"/>
        </w:rPr>
        <w:t>Рисунок 13. Глобальный предсказательный шлюз: локальный кандидат допускается только после effective descent и существования сечения. Собственная схема Тома II.</w:t>
      </w:r>
    </w:p>
    <w:p>
      <w:pPr>
        <w:pStyle w:val="Heading1"/>
        <w:keepNext/>
      </w:pPr>
      <w:r>
        <w:t>42. Модели и контрмодели глобализации</w:t>
      </w: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2438"/>
        <w:gridCol w:w="2438"/>
        <w:gridCol w:w="2438"/>
        <w:gridCol w:w="2438"/>
      </w:tblGrid>
      <w:tr>
        <w:trPr>
          <w:tblHeader w:val="true"/>
        </w:trPr>
        <w:tc>
          <w:tcPr>
            <w:tcW w:type="dxa" w:w="181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Модель</w:t>
            </w:r>
          </w:p>
        </w:tc>
        <w:tc>
          <w:tcPr>
            <w:tcW w:type="dxa" w:w="2268"/>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Локально</w:t>
            </w:r>
          </w:p>
        </w:tc>
        <w:tc>
          <w:tcPr>
            <w:tcW w:type="dxa" w:w="2835"/>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Глобально</w:t>
            </w:r>
          </w:p>
        </w:tc>
        <w:tc>
          <w:tcPr>
            <w:tcW w:type="dxa" w:w="232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Урок для KLT-RBD</w:t>
            </w:r>
          </w:p>
        </w:tc>
      </w:tr>
      <w:tr>
        <w:tc>
          <w:tcPr>
            <w:tcW w:type="dxa" w:w="181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Тривиальное line bundle над S¹</w:t>
            </w:r>
          </w:p>
        </w:tc>
        <w:tc>
          <w:tcPr>
            <w:tcW w:type="dxa" w:w="226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U_i×R</w:t>
            </w:r>
          </w:p>
        </w:tc>
        <w:tc>
          <w:tcPr>
            <w:tcW w:type="dxa" w:w="283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S¹×R</w:t>
            </w:r>
          </w:p>
        </w:tc>
        <w:tc>
          <w:tcPr>
            <w:tcW w:type="dxa" w:w="232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нулевой cocycle class</w:t>
            </w:r>
          </w:p>
        </w:tc>
      </w:tr>
      <w:tr>
        <w:tc>
          <w:tcPr>
            <w:tcW w:type="dxa" w:w="181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Лента Мёбиуса</w:t>
            </w:r>
          </w:p>
        </w:tc>
        <w:tc>
          <w:tcPr>
            <w:tcW w:type="dxa" w:w="226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каждая карта U_i×R</w:t>
            </w:r>
          </w:p>
        </w:tc>
        <w:tc>
          <w:tcPr>
            <w:tcW w:type="dxa" w:w="283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нет глобальной ненулевой секции выбранного знака; bundle нетривиален</w:t>
            </w:r>
          </w:p>
        </w:tc>
        <w:tc>
          <w:tcPr>
            <w:tcW w:type="dxa" w:w="232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одинаковые локальные волокна не фиксируют глобальный класс</w:t>
            </w:r>
          </w:p>
        </w:tc>
      </w:tr>
      <w:tr>
        <w:tc>
          <w:tcPr>
            <w:tcW w:type="dxa" w:w="181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Тройной cocycle defect</w:t>
            </w:r>
          </w:p>
        </w:tc>
        <w:tc>
          <w:tcPr>
            <w:tcW w:type="dxa" w:w="226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каждая пара карт согласована</w:t>
            </w:r>
          </w:p>
        </w:tc>
        <w:tc>
          <w:tcPr>
            <w:tcW w:type="dxa" w:w="283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маршрут-зависимая склейка</w:t>
            </w:r>
          </w:p>
        </w:tc>
        <w:tc>
          <w:tcPr>
            <w:tcW w:type="dxa" w:w="232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pairwise audit недостаточен</w:t>
            </w:r>
          </w:p>
        </w:tc>
      </w:tr>
      <w:tr>
        <w:tc>
          <w:tcPr>
            <w:tcW w:type="dxa" w:w="181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Non-PGL Reper chart</w:t>
            </w:r>
          </w:p>
        </w:tc>
        <w:tc>
          <w:tcPr>
            <w:tcW w:type="dxa" w:w="226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λ вычислима в каждой карте</w:t>
            </w:r>
          </w:p>
        </w:tc>
        <w:tc>
          <w:tcPr>
            <w:tcW w:type="dxa" w:w="283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значения λ не совпадают</w:t>
            </w:r>
          </w:p>
        </w:tc>
        <w:tc>
          <w:tcPr>
            <w:tcW w:type="dxa" w:w="232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гармоничность не глобальна</w:t>
            </w:r>
          </w:p>
        </w:tc>
      </w:tr>
      <w:tr>
        <w:tc>
          <w:tcPr>
            <w:tcW w:type="dxa" w:w="181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q_ij≠0</w:t>
            </w:r>
          </w:p>
        </w:tc>
        <w:tc>
          <w:tcPr>
            <w:tcW w:type="dxa" w:w="226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в каждой карте есть ⊙_i</w:t>
            </w:r>
          </w:p>
        </w:tc>
        <w:tc>
          <w:tcPr>
            <w:tcW w:type="dxa" w:w="283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глобальной операции нет</w:t>
            </w:r>
          </w:p>
        </w:tc>
        <w:tc>
          <w:tcPr>
            <w:tcW w:type="dxa" w:w="232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алгебраический слой требует отдельного descent</w:t>
            </w:r>
          </w:p>
        </w:tc>
      </w:tr>
      <w:tr>
        <w:tc>
          <w:tcPr>
            <w:tcW w:type="dxa" w:w="181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Ненулевой [z]∈H²</w:t>
            </w:r>
          </w:p>
        </w:tc>
        <w:tc>
          <w:tcPr>
            <w:tcW w:type="dxa" w:w="226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локальные G_tilde-подъёмы существуют</w:t>
            </w:r>
          </w:p>
        </w:tc>
        <w:tc>
          <w:tcPr>
            <w:tcW w:type="dxa" w:w="283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глобальный подъём отсутствует</w:t>
            </w:r>
          </w:p>
        </w:tc>
        <w:tc>
          <w:tcPr>
            <w:tcW w:type="dxa" w:w="232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локальная разрешимость не устраняет глобальное препятствие</w:t>
            </w:r>
          </w:p>
        </w:tc>
      </w:tr>
    </w:tbl>
    <w:p>
      <w:pPr>
        <w:spacing w:after="40"/>
      </w:pPr>
    </w:p>
    <w:p>
      <w:pPr>
        <w:spacing w:after="100" w:line="278" w:lineRule="auto"/>
        <w:ind w:firstLine="0"/>
      </w:pPr>
      <w:r>
        <w:rPr>
          <w:rFonts w:ascii="Liberation Serif" w:hAnsi="Liberation Serif" w:eastAsia="Liberation Serif"/>
          <w:b/>
          <w:color w:val="17365D"/>
          <w:sz w:val="21"/>
        </w:rPr>
        <w:t>Пример 7.32. Möbius no-go.</w:t>
      </w:r>
      <w:r>
        <w:rPr>
          <w:rFonts w:ascii="Liberation Serif" w:hAnsi="Liberation Serif" w:eastAsia="Liberation Serif"/>
          <w:b/>
          <w:color w:val="2F7D32"/>
          <w:sz w:val="20"/>
        </w:rPr>
        <w:t xml:space="preserve"> [CL]</w:t>
      </w:r>
      <w:r>
        <w:rPr>
          <w:rFonts w:ascii="Liberation Serif" w:hAnsi="Liberation Serif" w:eastAsia="Liberation Serif"/>
          <w:sz w:val="21"/>
        </w:rPr>
        <w:t xml:space="preserve"> Лента Мёбиуса и цилиндр локально являются произведениями интервала и прямой. Различие заключено в transition function на перекрытии: +1 для цилиндра и -1 для Мёбиуса. Поэтому восстановление глобального объекта по одной локальной модели F невозможно без cocycle.</w:t>
      </w:r>
    </w:p>
    <w:p>
      <w:pPr>
        <w:spacing w:after="100" w:line="278" w:lineRule="auto"/>
        <w:ind w:firstLine="0"/>
      </w:pPr>
      <w:r>
        <w:rPr>
          <w:rFonts w:ascii="Liberation Serif" w:hAnsi="Liberation Serif" w:eastAsia="Liberation Serif"/>
          <w:b/>
          <w:color w:val="17365D"/>
          <w:sz w:val="21"/>
        </w:rPr>
        <w:t>Пример 7.33. Ассоциаторный rank horizon.</w:t>
      </w:r>
      <w:r>
        <w:rPr>
          <w:rFonts w:ascii="Liberation Serif" w:hAnsi="Liberation Serif" w:eastAsia="Liberation Serif"/>
          <w:b/>
          <w:color w:val="7A3E00"/>
          <w:sz w:val="20"/>
        </w:rPr>
        <w:t xml:space="preserve"> [COND]</w:t>
      </w:r>
      <w:r>
        <w:rPr>
          <w:rFonts w:ascii="Liberation Serif" w:hAnsi="Liberation Serif" w:eastAsia="Liberation Serif"/>
          <w:sz w:val="21"/>
        </w:rPr>
        <w:t xml:space="preserve"> Пусть локальные алгебры A_t имеют матрицу ассоциатора M_Ass(t), а переходы сохраняют операцию. На области, где ранг M_Ass(t) постоянен и bundle descent эффективен, ядровые подрасслоения имеют постоянный ранг. Изменение ранга возможно только на детерминантном локусе главы 5 или при потере operation descent.</w:t>
      </w:r>
    </w:p>
    <w:p>
      <w:pPr>
        <w:pStyle w:val="Heading1"/>
        <w:keepNext/>
      </w:pPr>
      <w:r>
        <w:t>43. Вычислительный сертификат глобализации v0.5</w:t>
      </w:r>
    </w:p>
    <w:p>
      <w:pPr>
        <w:pStyle w:val="Heading2"/>
        <w:keepNext/>
      </w:pPr>
      <w:r>
        <w:t>43.1. Объекты данных</w:t>
      </w: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3251"/>
        <w:gridCol w:w="3251"/>
        <w:gridCol w:w="3251"/>
      </w:tblGrid>
      <w:tr>
        <w:trPr>
          <w:tblHeader w:val="true"/>
        </w:trPr>
        <w:tc>
          <w:tcPr>
            <w:tcW w:type="dxa" w:w="113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ID</w:t>
            </w:r>
          </w:p>
        </w:tc>
        <w:tc>
          <w:tcPr>
            <w:tcW w:type="dxa" w:w="2098"/>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Объект</w:t>
            </w:r>
          </w:p>
        </w:tc>
        <w:tc>
          <w:tcPr>
            <w:tcW w:type="dxa" w:w="6009"/>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Минимальные поля сертификата</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ATLAS-01</w:t>
            </w:r>
          </w:p>
        </w:tc>
        <w:tc>
          <w:tcPr>
            <w:tcW w:type="dxa" w:w="209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карта U_i</w:t>
            </w:r>
          </w:p>
        </w:tc>
        <w:tc>
          <w:tcPr>
            <w:tcW w:type="dxa" w:w="6009"/>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domain_id, coordinate_map, model_id, version, hash</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TRANS-02</w:t>
            </w:r>
          </w:p>
        </w:tc>
        <w:tc>
          <w:tcPr>
            <w:tcW w:type="dxa" w:w="209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переход φ_ij</w:t>
            </w:r>
          </w:p>
        </w:tc>
        <w:tc>
          <w:tcPr>
            <w:tcW w:type="dxa" w:w="6009"/>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source, target, overlap, inverse, regularity, matrix/algorithm</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COC-03</w:t>
            </w:r>
          </w:p>
        </w:tc>
        <w:tc>
          <w:tcPr>
            <w:tcW w:type="dxa" w:w="209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тройная проверка</w:t>
            </w:r>
          </w:p>
        </w:tc>
        <w:tc>
          <w:tcPr>
            <w:tcW w:type="dxa" w:w="6009"/>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i,j,k, residual φ_jk∘φ_ij-φ_ik, tolerance, exact flag</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OP-04</w:t>
            </w:r>
          </w:p>
        </w:tc>
        <w:tc>
          <w:tcPr>
            <w:tcW w:type="dxa" w:w="209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спуск ⊙</w:t>
            </w:r>
          </w:p>
        </w:tc>
        <w:tc>
          <w:tcPr>
            <w:tcW w:type="dxa" w:w="6009"/>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q_ij, Dom_⊙, test vectors, symbolic certificate</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REP-05</w:t>
            </w:r>
          </w:p>
        </w:tc>
        <w:tc>
          <w:tcPr>
            <w:tcW w:type="dxa" w:w="209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Reper descent</w:t>
            </w:r>
          </w:p>
        </w:tc>
        <w:tc>
          <w:tcPr>
            <w:tcW w:type="dxa" w:w="6009"/>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PGL2 witness, λ equality, Evidence-D transport</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HDG-06</w:t>
            </w:r>
          </w:p>
        </w:tc>
        <w:tc>
          <w:tcPr>
            <w:tcW w:type="dxa" w:w="209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Hodge descent</w:t>
            </w:r>
          </w:p>
        </w:tc>
        <w:tc>
          <w:tcPr>
            <w:tcW w:type="dxa" w:w="6009"/>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metric, orientation, SO witness, star commutator</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OBS-07</w:t>
            </w:r>
          </w:p>
        </w:tc>
        <w:tc>
          <w:tcPr>
            <w:tcW w:type="dxa" w:w="209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обструкции</w:t>
            </w:r>
          </w:p>
        </w:tc>
        <w:tc>
          <w:tcPr>
            <w:tcW w:type="dxa" w:w="6009"/>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Π, Čech class, coefficient sheaf, proof object</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SEC-08</w:t>
            </w:r>
          </w:p>
        </w:tc>
        <w:tc>
          <w:tcPr>
            <w:tcW w:type="dxa" w:w="209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сечение</w:t>
            </w:r>
          </w:p>
        </w:tc>
        <w:tc>
          <w:tcPr>
            <w:tcW w:type="dxa" w:w="6009"/>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local sections, compatibility, global witness or blocker</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HOR-09</w:t>
            </w:r>
          </w:p>
        </w:tc>
        <w:tc>
          <w:tcPr>
            <w:tcW w:type="dxa" w:w="209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горизонт</w:t>
            </w:r>
          </w:p>
        </w:tc>
        <w:tc>
          <w:tcPr>
            <w:tcW w:type="dxa" w:w="6009"/>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Δ components, parameter interval, crossing certificate</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RUN-10</w:t>
            </w:r>
          </w:p>
        </w:tc>
        <w:tc>
          <w:tcPr>
            <w:tcW w:type="dxa" w:w="209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воспроизводимость</w:t>
            </w:r>
          </w:p>
        </w:tc>
        <w:tc>
          <w:tcPr>
            <w:tcW w:type="dxa" w:w="6009"/>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code hash, data hash, environment, timestamp, independent run</w:t>
            </w:r>
          </w:p>
        </w:tc>
      </w:tr>
    </w:tbl>
    <w:p>
      <w:pPr>
        <w:spacing w:after="40"/>
      </w:pPr>
    </w:p>
    <w:p>
      <w:pPr>
        <w:pStyle w:val="Heading2"/>
        <w:keepNext/>
      </w:pPr>
      <w:r>
        <w:t>43.2. Автоматические тесты</w:t>
      </w:r>
    </w:p>
    <w:p>
      <w:pPr>
        <w:pStyle w:val="ListBullet"/>
        <w:spacing w:after="50" w:line="264" w:lineRule="auto"/>
      </w:pPr>
      <w:r>
        <w:rPr>
          <w:rFonts w:ascii="Liberation Serif" w:hAnsi="Liberation Serif" w:eastAsia="Liberation Serif"/>
          <w:sz w:val="20"/>
        </w:rPr>
        <w:t>TEST-ATLAS-01: покрытие X локальными картами и отсутствие непомеченных областей;</w:t>
      </w:r>
    </w:p>
    <w:p>
      <w:pPr>
        <w:pStyle w:val="ListBullet"/>
        <w:spacing w:after="50" w:line="264" w:lineRule="auto"/>
      </w:pPr>
      <w:r>
        <w:rPr>
          <w:rFonts w:ascii="Liberation Serif" w:hAnsi="Liberation Serif" w:eastAsia="Liberation Serif"/>
          <w:sz w:val="20"/>
        </w:rPr>
        <w:t>TEST-INV-02: φ_ji∘φ_ij=id на каждом двойном перекрытии;</w:t>
      </w:r>
    </w:p>
    <w:p>
      <w:pPr>
        <w:pStyle w:val="ListBullet"/>
        <w:spacing w:after="50" w:line="264" w:lineRule="auto"/>
      </w:pPr>
      <w:r>
        <w:rPr>
          <w:rFonts w:ascii="Liberation Serif" w:hAnsi="Liberation Serif" w:eastAsia="Liberation Serif"/>
          <w:sz w:val="20"/>
        </w:rPr>
        <w:t>TEST-COC-03: φ_jk∘φ_ij=φ_ik на каждом тройном перекрытии;</w:t>
      </w:r>
    </w:p>
    <w:p>
      <w:pPr>
        <w:pStyle w:val="ListBullet"/>
        <w:spacing w:after="50" w:line="264" w:lineRule="auto"/>
      </w:pPr>
      <w:r>
        <w:rPr>
          <w:rFonts w:ascii="Liberation Serif" w:hAnsi="Liberation Serif" w:eastAsia="Liberation Serif"/>
          <w:sz w:val="20"/>
        </w:rPr>
        <w:t>TEST-REF-04: инвариантность результата при refinement покрытия;</w:t>
      </w:r>
    </w:p>
    <w:p>
      <w:pPr>
        <w:pStyle w:val="ListBullet"/>
        <w:spacing w:after="50" w:line="264" w:lineRule="auto"/>
      </w:pPr>
      <w:r>
        <w:rPr>
          <w:rFonts w:ascii="Liberation Serif" w:hAnsi="Liberation Serif" w:eastAsia="Liberation Serif"/>
          <w:sz w:val="20"/>
        </w:rPr>
        <w:t>TEST-OP-05: q_ij=0 и сохранение Dom_⊙;</w:t>
      </w:r>
    </w:p>
    <w:p>
      <w:pPr>
        <w:pStyle w:val="ListBullet"/>
        <w:spacing w:after="50" w:line="264" w:lineRule="auto"/>
      </w:pPr>
      <w:r>
        <w:rPr>
          <w:rFonts w:ascii="Liberation Serif" w:hAnsi="Liberation Serif" w:eastAsia="Liberation Serif"/>
          <w:sz w:val="20"/>
        </w:rPr>
        <w:t>TEST-ASS-06: естественность Ass и согласование J_Ass;</w:t>
      </w:r>
    </w:p>
    <w:p>
      <w:pPr>
        <w:pStyle w:val="ListBullet"/>
        <w:spacing w:after="50" w:line="264" w:lineRule="auto"/>
      </w:pPr>
      <w:r>
        <w:rPr>
          <w:rFonts w:ascii="Liberation Serif" w:hAnsi="Liberation Serif" w:eastAsia="Liberation Serif"/>
          <w:sz w:val="20"/>
        </w:rPr>
        <w:t>TEST-PGL-07: переходные карты Reper представлены PGL₂ и сохраняют λ;</w:t>
      </w:r>
    </w:p>
    <w:p>
      <w:pPr>
        <w:pStyle w:val="ListBullet"/>
        <w:spacing w:after="50" w:line="264" w:lineRule="auto"/>
      </w:pPr>
      <w:r>
        <w:rPr>
          <w:rFonts w:ascii="Liberation Serif" w:hAnsi="Liberation Serif" w:eastAsia="Liberation Serif"/>
          <w:sz w:val="20"/>
        </w:rPr>
        <w:t>TEST-D-08: Evidence-D transport обратим и имеет provenance hash;</w:t>
      </w:r>
    </w:p>
    <w:p>
      <w:pPr>
        <w:pStyle w:val="ListBullet"/>
        <w:spacing w:after="50" w:line="264" w:lineRule="auto"/>
      </w:pPr>
      <w:r>
        <w:rPr>
          <w:rFonts w:ascii="Liberation Serif" w:hAnsi="Liberation Serif" w:eastAsia="Liberation Serif"/>
          <w:sz w:val="20"/>
        </w:rPr>
        <w:t>TEST-HDG-09: переходы сохраняют метрику и ориентацию либо активирован orientation local system;</w:t>
      </w:r>
    </w:p>
    <w:p>
      <w:pPr>
        <w:pStyle w:val="ListBullet"/>
        <w:spacing w:after="50" w:line="264" w:lineRule="auto"/>
      </w:pPr>
      <w:r>
        <w:rPr>
          <w:rFonts w:ascii="Liberation Serif" w:hAnsi="Liberation Serif" w:eastAsia="Liberation Serif"/>
          <w:sz w:val="20"/>
        </w:rPr>
        <w:t>TEST-OBS-10: внутренний и внешний obstruction channels не смешаны;</w:t>
      </w:r>
    </w:p>
    <w:p>
      <w:pPr>
        <w:pStyle w:val="ListBullet"/>
        <w:spacing w:after="50" w:line="264" w:lineRule="auto"/>
      </w:pPr>
      <w:r>
        <w:rPr>
          <w:rFonts w:ascii="Liberation Serif" w:hAnsi="Liberation Serif" w:eastAsia="Liberation Serif"/>
          <w:sz w:val="20"/>
        </w:rPr>
        <w:t>TEST-SEC-11: локальные секции согласованы и образуют глобальный witness;</w:t>
      </w:r>
    </w:p>
    <w:p>
      <w:pPr>
        <w:pStyle w:val="ListBullet"/>
        <w:spacing w:after="50" w:line="264" w:lineRule="auto"/>
      </w:pPr>
      <w:r>
        <w:rPr>
          <w:rFonts w:ascii="Liberation Serif" w:hAnsi="Liberation Serif" w:eastAsia="Liberation Serif"/>
          <w:sz w:val="20"/>
        </w:rPr>
        <w:t>TEST-GATE-12: любой ненулевой blocker принудительно возвращает ABSTAIN;</w:t>
      </w:r>
    </w:p>
    <w:p>
      <w:pPr>
        <w:pStyle w:val="ListBullet"/>
        <w:spacing w:after="50" w:line="264" w:lineRule="auto"/>
      </w:pPr>
      <w:r>
        <w:rPr>
          <w:rFonts w:ascii="Liberation Serif" w:hAnsi="Liberation Serif" w:eastAsia="Liberation Serif"/>
          <w:sz w:val="20"/>
        </w:rPr>
        <w:t>TEST-HOMO-13: endpoints непрерывной admissible family имеют одинаковый discrete bundle profile;</w:t>
      </w:r>
    </w:p>
    <w:p>
      <w:pPr>
        <w:pStyle w:val="ListBullet"/>
        <w:spacing w:after="50" w:line="264" w:lineRule="auto"/>
      </w:pPr>
      <w:r>
        <w:rPr>
          <w:rFonts w:ascii="Liberation Serif" w:hAnsi="Liberation Serif" w:eastAsia="Liberation Serif"/>
          <w:sz w:val="20"/>
        </w:rPr>
        <w:t>TEST-HASH-14: контрольные хеши кода, данных, cocycle и отчёта совпадают.</w:t>
      </w:r>
    </w:p>
    <w:p>
      <w:pPr>
        <w:pStyle w:val="Heading2"/>
        <w:keepNext/>
      </w:pPr>
      <w:r>
        <w:t>43.3. Blocker-safe псевдокод</w:t>
      </w:r>
    </w:p>
    <w:tbl>
      <w:tblPr>
        <w:tblW w:type="auto" w:w="0"/>
        <w:jc w:val="center"/>
        <w:tblLook w:firstColumn="1" w:firstRow="1" w:lastColumn="0" w:lastRow="0" w:noHBand="0" w:noVBand="1" w:val="04A0"/>
        <w:tblBorders>
          <w:top w:val="single" w:sz="6" w:color="CBD5E1"/>
          <w:left w:val="single" w:sz="6" w:color="CBD5E1"/>
          <w:bottom w:val="single" w:sz="6" w:color="CBD5E1"/>
          <w:right w:val="single" w:sz="6" w:color="CBD5E1"/>
          <w:insideH w:val="single" w:sz="6" w:color="CBD5E1"/>
          <w:insideV w:val="single" w:sz="6" w:color="CBD5E1"/>
        </w:tblBorders>
      </w:tblPr>
      <w:tblGrid>
        <w:gridCol w:w="9752"/>
      </w:tblGrid>
      <w:tr>
        <w:tc>
          <w:tcPr>
            <w:tcW w:type="dxa" w:w="9752"/>
            <w:shd w:fill="F5F7FA"/>
            <w:tcMar>
              <w:top w:w="140" w:type="dxa"/>
              <w:start w:w="160" w:type="dxa"/>
              <w:bottom w:w="140" w:type="dxa"/>
              <w:end w:w="160" w:type="dxa"/>
            </w:tcMar>
          </w:tcPr>
          <w:p>
            <w:pPr>
              <w:spacing w:after="0" w:line="240" w:lineRule="auto"/>
            </w:pPr>
            <w:r>
              <w:rPr>
                <w:rFonts w:ascii="Liberation Mono" w:hAnsi="Liberation Mono" w:eastAsia="Liberation Mono"/>
                <w:color w:val="263238"/>
                <w:sz w:val="15"/>
              </w:rPr>
              <w:t>INPUT: cover U, local objects E_i, transitions phi_ij, candidates s_i</w:t>
              <w:br/>
              <w:t>1. verify cover, inverses, triple cocycles and effective descent; else ABSTAIN</w:t>
              <w:br/>
              <w:t>2. test operation/associator, PGL2-lambda, Hodge, Evidence-D and obstructions</w:t>
              <w:br/>
              <w:t>3. glue local sections; if no global witness, return ABSTAIN(B_sec)</w:t>
              <w:br/>
              <w:t>4. Delta_total := Delta_alg union Delta_geo union Delta_glue</w:t>
              <w:br/>
              <w:t>5. if path avoids Delta_total: return NO-DISCRETE-STRUCTURAL-CHANGE-IN-MODEL</w:t>
              <w:br/>
              <w:t>6. if every gate and criterion(lambda,Pi,D,Dom) pass: GLOBAL-CANDIDATE; else UNRESOLVED.</w:t>
            </w:r>
          </w:p>
        </w:tc>
      </w:tr>
    </w:tbl>
    <w:p>
      <w:pPr>
        <w:spacing w:after="40"/>
      </w:pPr>
    </w:p>
    <w:p>
      <w:pPr>
        <w:pStyle w:val="Heading1"/>
        <w:keepNext/>
      </w:pPr>
      <w:r>
        <w:t>44. Теоремный пакет и доказательные обязательства v0.5</w:t>
      </w:r>
    </w:p>
    <w:p>
      <w:pPr>
        <w:pStyle w:val="Heading2"/>
        <w:keepNext/>
      </w:pPr>
      <w:r>
        <w:t>44.1. Реестр формальных результатов</w:t>
      </w: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2438"/>
        <w:gridCol w:w="2438"/>
        <w:gridCol w:w="2438"/>
        <w:gridCol w:w="2438"/>
      </w:tblGrid>
      <w:tr>
        <w:trPr>
          <w:tblHeader w:val="true"/>
        </w:trPr>
        <w:tc>
          <w:tcPr>
            <w:tcW w:type="dxa" w:w="113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ID</w:t>
            </w:r>
          </w:p>
        </w:tc>
        <w:tc>
          <w:tcPr>
            <w:tcW w:type="dxa" w:w="4195"/>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Результат</w:t>
            </w:r>
          </w:p>
        </w:tc>
        <w:tc>
          <w:tcPr>
            <w:tcW w:type="dxa" w:w="1417"/>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Статус</w:t>
            </w:r>
          </w:p>
        </w:tc>
        <w:tc>
          <w:tcPr>
            <w:tcW w:type="dxa" w:w="249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Зависимости</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T7.4</w:t>
            </w:r>
          </w:p>
        </w:tc>
        <w:tc>
          <w:tcPr>
            <w:tcW w:type="dxa" w:w="419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необходимость ассоциативного groupoid переходов</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определение склейки</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T7.6</w:t>
            </w:r>
          </w:p>
        </w:tc>
        <w:tc>
          <w:tcPr>
            <w:tcW w:type="dxa" w:w="419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глобальность λ в PGL₂-атласе</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v0.2</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T7.9</w:t>
            </w:r>
          </w:p>
        </w:tc>
        <w:tc>
          <w:tcPr>
            <w:tcW w:type="dxa" w:w="419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склейка NAPG-расслоения</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topological Aut_NAPG(F)</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T7.12</w:t>
            </w:r>
          </w:p>
        </w:tc>
        <w:tc>
          <w:tcPr>
            <w:tcW w:type="dxa" w:w="419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спуск операции и ассоциатора</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operation-preserving transitions</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T7.15</w:t>
            </w:r>
          </w:p>
        </w:tc>
        <w:tc>
          <w:tcPr>
            <w:tcW w:type="dxa" w:w="419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двойной спуск Reper/Evidence-D</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COND</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provenance functor</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T7.17</w:t>
            </w:r>
          </w:p>
        </w:tc>
        <w:tc>
          <w:tcPr>
            <w:tcW w:type="dxa" w:w="419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спуск Hodge star</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metric + orientation</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T7.19</w:t>
            </w:r>
          </w:p>
        </w:tc>
        <w:tc>
          <w:tcPr>
            <w:tcW w:type="dxa" w:w="419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центральный H² obstruction</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THM/COND</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Čech effectiveness</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T7.21</w:t>
            </w:r>
          </w:p>
        </w:tc>
        <w:tc>
          <w:tcPr>
            <w:tcW w:type="dxa" w:w="419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клеточная башня section obstructions</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CL/COND</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CW + local coefficients</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T7.23</w:t>
            </w:r>
          </w:p>
        </w:tc>
        <w:tc>
          <w:tcPr>
            <w:tcW w:type="dxa" w:w="419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homotopy constancy bundle class</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numerable bundle</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T7.26</w:t>
            </w:r>
          </w:p>
        </w:tc>
        <w:tc>
          <w:tcPr>
            <w:tcW w:type="dxa" w:w="419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локализация перехода на Δ_total</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COND</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v0.3-v0.5</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T7.30</w:t>
            </w:r>
          </w:p>
        </w:tc>
        <w:tc>
          <w:tcPr>
            <w:tcW w:type="dxa" w:w="419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запрет локально-глобальной подмены</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definition of section</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T7.31</w:t>
            </w:r>
          </w:p>
        </w:tc>
        <w:tc>
          <w:tcPr>
            <w:tcW w:type="dxa" w:w="419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globalization-safe predictive transport</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COND</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H1-H8</w:t>
            </w:r>
          </w:p>
        </w:tc>
      </w:tr>
    </w:tbl>
    <w:p>
      <w:pPr>
        <w:spacing w:after="40"/>
      </w:pPr>
    </w:p>
    <w:p>
      <w:pPr>
        <w:pStyle w:val="Heading2"/>
        <w:keepNext/>
        <w:pageBreakBefore/>
      </w:pPr>
      <w:r>
        <w:t>44.2. Обновление матрицы доказательных обязательств</w:t>
      </w: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2438"/>
        <w:gridCol w:w="2438"/>
        <w:gridCol w:w="2438"/>
        <w:gridCol w:w="2438"/>
      </w:tblGrid>
      <w:tr>
        <w:trPr>
          <w:tblHeader w:val="true"/>
        </w:trPr>
        <w:tc>
          <w:tcPr>
            <w:tcW w:type="dxa" w:w="1361"/>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6"/>
              </w:rPr>
              <w:t>PO</w:t>
            </w:r>
          </w:p>
        </w:tc>
        <w:tc>
          <w:tcPr>
            <w:tcW w:type="dxa" w:w="4025"/>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6"/>
              </w:rPr>
              <w:t>Содержание</w:t>
            </w:r>
          </w:p>
        </w:tc>
        <w:tc>
          <w:tcPr>
            <w:tcW w:type="dxa" w:w="1361"/>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6"/>
              </w:rPr>
              <w:t>Статус</w:t>
            </w:r>
          </w:p>
        </w:tc>
        <w:tc>
          <w:tcPr>
            <w:tcW w:type="dxa" w:w="249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6"/>
              </w:rPr>
              <w:t>Следующее действие</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T2-PO-027</w:t>
            </w:r>
          </w:p>
        </w:tc>
        <w:tc>
          <w:tcPr>
            <w:tcW w:type="dxa" w:w="402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Топология/гладкость Aut_NAPG(F) для модельных волокон</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OPEN</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построить для A₂, M₂ и octonion layer</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T2-PO-028</w:t>
            </w:r>
          </w:p>
        </w:tc>
        <w:tc>
          <w:tcPr>
            <w:tcW w:type="dxa" w:w="402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Effective descent категории NAPG_q</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OPEN</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задать stack/pseudofunctor и доказать effectiveness</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T2-PO-029</w:t>
            </w:r>
          </w:p>
        </w:tc>
        <w:tc>
          <w:tcPr>
            <w:tcW w:type="dxa" w:w="402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Cocycle gluing theorem</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CLOSED</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теорема 7.9</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T2-PO-030</w:t>
            </w:r>
          </w:p>
        </w:tc>
        <w:tc>
          <w:tcPr>
            <w:tcW w:type="dxa" w:w="402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No-go для неассоциативной композиции переходов</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CLOSED</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теорема 7.4</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T2-PO-031</w:t>
            </w:r>
          </w:p>
        </w:tc>
        <w:tc>
          <w:tcPr>
            <w:tcW w:type="dxa" w:w="402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Спуск операции и J_Ass</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CLOSED</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теорема 7.12</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T2-PO-032</w:t>
            </w:r>
          </w:p>
        </w:tc>
        <w:tc>
          <w:tcPr>
            <w:tcW w:type="dxa" w:w="402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Глобальность λ</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CLOSED</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теорема 7.6</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T2-PO-033</w:t>
            </w:r>
          </w:p>
        </w:tc>
        <w:tc>
          <w:tcPr>
            <w:tcW w:type="dxa" w:w="402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Спуск Evidence-D</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OPEN</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формализовать provenance category</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T2-PO-034</w:t>
            </w:r>
          </w:p>
        </w:tc>
        <w:tc>
          <w:tcPr>
            <w:tcW w:type="dxa" w:w="402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Спуск Hodge star</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CLOSED</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теорема 7.17</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T2-PO-035</w:t>
            </w:r>
          </w:p>
        </w:tc>
        <w:tc>
          <w:tcPr>
            <w:tcW w:type="dxa" w:w="402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Центральный lifting obstruction</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CLOSED/LOCAL</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теорема 7.19; выбрать конкретный Z</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T2-PO-036</w:t>
            </w:r>
          </w:p>
        </w:tc>
        <w:tc>
          <w:tcPr>
            <w:tcW w:type="dxa" w:w="402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Связь 𝒪_B с Čech obstruction</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OPEN</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не отождествлять; построить natural transformation</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T2-PO-037</w:t>
            </w:r>
          </w:p>
        </w:tc>
        <w:tc>
          <w:tcPr>
            <w:tcW w:type="dxa" w:w="402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Section obstruction tower для predictive bundle</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OPEN</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задать волокно F и π_k(F)</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T2-PO-038</w:t>
            </w:r>
          </w:p>
        </w:tc>
        <w:tc>
          <w:tcPr>
            <w:tcW w:type="dxa" w:w="402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Homotopy constancy</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CLOSED</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теорема 7.23</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T2-PO-039</w:t>
            </w:r>
          </w:p>
        </w:tc>
        <w:tc>
          <w:tcPr>
            <w:tcW w:type="dxa" w:w="402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Вычислительный atlas/cocycle certificate</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OPEN</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реализовать TEST-ATLAS-01 - TEST-HASH-14</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T2-PO-040</w:t>
            </w:r>
          </w:p>
        </w:tc>
        <w:tc>
          <w:tcPr>
            <w:tcW w:type="dxa" w:w="402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Independent global prediction run</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OPEN</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после доменного адаптера; статус не повышать</w:t>
            </w:r>
          </w:p>
        </w:tc>
      </w:tr>
    </w:tbl>
    <w:p>
      <w:pPr>
        <w:spacing w:after="40"/>
      </w:pPr>
    </w:p>
    <w:p>
      <w:pPr>
        <w:pStyle w:val="Heading1"/>
        <w:keepNext/>
      </w:pPr>
      <w:r>
        <w:t>45. Библиографическая синхронизация и контрольная точка v0.5</w:t>
      </w:r>
    </w:p>
    <w:p>
      <w:pPr>
        <w:pStyle w:val="Heading2"/>
        <w:keepNext/>
      </w:pPr>
      <w:r>
        <w:t>45.1. Первичные и канонические источники</w:t>
      </w:r>
    </w:p>
    <w:p>
      <w:pPr>
        <w:spacing w:after="60"/>
        <w:ind w:firstLine="0"/>
      </w:pPr>
      <w:r>
        <w:rPr>
          <w:rFonts w:ascii="Liberation Serif" w:hAnsi="Liberation Serif" w:eastAsia="Liberation Serif"/>
          <w:sz w:val="19"/>
        </w:rPr>
        <w:t>[V0.5-1] Steenrod, N. E. The Topology of Fibre Bundles. Princeton Mathematical Series 14. Princeton University Press, 1951.</w:t>
      </w:r>
    </w:p>
    <w:p>
      <w:pPr>
        <w:spacing w:after="60"/>
        <w:ind w:firstLine="0"/>
      </w:pPr>
      <w:r>
        <w:rPr>
          <w:rFonts w:ascii="Liberation Serif" w:hAnsi="Liberation Serif" w:eastAsia="Liberation Serif"/>
          <w:sz w:val="19"/>
        </w:rPr>
        <w:t>[V0.5-2] Husemoller, D. Fibre Bundles. 3rd ed. Graduate Texts in Mathematics 20. Springer, 1994.</w:t>
      </w:r>
    </w:p>
    <w:p>
      <w:pPr>
        <w:spacing w:after="60"/>
        <w:ind w:firstLine="0"/>
      </w:pPr>
      <w:r>
        <w:rPr>
          <w:rFonts w:ascii="Liberation Serif" w:hAnsi="Liberation Serif" w:eastAsia="Liberation Serif"/>
          <w:sz w:val="19"/>
        </w:rPr>
        <w:t xml:space="preserve">[V0.5-3] Hatcher, A. Vector Bundles and K-Theory, Version 2.2, 2017. </w:t>
      </w:r>
      <w:hyperlink r:id="rId30">
        <w:r>
          <w:rPr>
            <w:color w:val="2F5597"/>
            <w:u w:val="single"/>
          </w:rPr>
          <w:t>[источник]</w:t>
        </w:r>
      </w:hyperlink>
    </w:p>
    <w:p>
      <w:pPr>
        <w:spacing w:after="60"/>
        <w:ind w:firstLine="0"/>
      </w:pPr>
      <w:r>
        <w:rPr>
          <w:rFonts w:ascii="Liberation Serif" w:hAnsi="Liberation Serif" w:eastAsia="Liberation Serif"/>
          <w:sz w:val="19"/>
        </w:rPr>
        <w:t xml:space="preserve">[V0.5-4] May, J. P. Classical Groups and Bundle Theory, Chapter I. </w:t>
      </w:r>
      <w:hyperlink r:id="rId31">
        <w:r>
          <w:rPr>
            <w:color w:val="2F5597"/>
            <w:u w:val="single"/>
          </w:rPr>
          <w:t>[источник]</w:t>
        </w:r>
      </w:hyperlink>
    </w:p>
    <w:p>
      <w:pPr>
        <w:spacing w:after="60"/>
        <w:ind w:firstLine="0"/>
      </w:pPr>
      <w:r>
        <w:rPr>
          <w:rFonts w:ascii="Liberation Serif" w:hAnsi="Liberation Serif" w:eastAsia="Liberation Serif"/>
          <w:sz w:val="19"/>
        </w:rPr>
        <w:t xml:space="preserve">[V0.5-5] The Stacks Project, Tag 02ZC: Descent data in fibred categories. </w:t>
      </w:r>
      <w:hyperlink r:id="rId32">
        <w:r>
          <w:rPr>
            <w:color w:val="2F5597"/>
            <w:u w:val="single"/>
          </w:rPr>
          <w:t>[источник]</w:t>
        </w:r>
      </w:hyperlink>
    </w:p>
    <w:p>
      <w:pPr>
        <w:spacing w:after="60"/>
        <w:ind w:firstLine="0"/>
      </w:pPr>
      <w:r>
        <w:rPr>
          <w:rFonts w:ascii="Liberation Serif" w:hAnsi="Liberation Serif" w:eastAsia="Liberation Serif"/>
          <w:sz w:val="19"/>
        </w:rPr>
        <w:t xml:space="preserve">[V0.5-6] The Stacks Project, Tag 0CJZ: Second cohomology and gerbes. </w:t>
      </w:r>
      <w:hyperlink r:id="rId33">
        <w:r>
          <w:rPr>
            <w:color w:val="2F5597"/>
            <w:u w:val="single"/>
          </w:rPr>
          <w:t>[источник]</w:t>
        </w:r>
      </w:hyperlink>
    </w:p>
    <w:p>
      <w:pPr>
        <w:spacing w:after="60"/>
        <w:ind w:firstLine="0"/>
      </w:pPr>
      <w:r>
        <w:rPr>
          <w:rFonts w:ascii="Liberation Serif" w:hAnsi="Liberation Serif" w:eastAsia="Liberation Serif"/>
          <w:sz w:val="19"/>
        </w:rPr>
        <w:t xml:space="preserve">[V0.5-7] Hermann, R. Obstruction theory for fibre spaces. Illinois Journal of Mathematics 4 (1960). DOI 10.1215/ijm/1255455733. </w:t>
      </w:r>
      <w:hyperlink r:id="rId34">
        <w:r>
          <w:rPr>
            <w:color w:val="2F5597"/>
            <w:u w:val="single"/>
          </w:rPr>
          <w:t>[источник]</w:t>
        </w:r>
      </w:hyperlink>
    </w:p>
    <w:p>
      <w:pPr>
        <w:spacing w:after="60"/>
        <w:ind w:firstLine="0"/>
      </w:pPr>
      <w:r>
        <w:rPr>
          <w:rFonts w:ascii="Liberation Serif" w:hAnsi="Liberation Serif" w:eastAsia="Liberation Serif"/>
          <w:sz w:val="19"/>
        </w:rPr>
        <w:t>[V0.5-8] Kurpishev, I. B. Базовый проект KLT-RBD. Том I v197 RU; Том II T2-RP-v0.1-v0.4. Канонические внутренние источники проекта.</w:t>
      </w: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D9EAF7"/>
            <w:tcMar>
              <w:top w:w="150" w:type="dxa"/>
              <w:start w:w="180" w:type="dxa"/>
              <w:bottom w:w="150" w:type="dxa"/>
              <w:end w:w="180" w:type="dxa"/>
            </w:tcMar>
            <w:vAlign w:val="center"/>
          </w:tcPr>
          <w:p>
            <w:pPr>
              <w:spacing w:after="60"/>
            </w:pPr>
            <w:r>
              <w:rPr>
                <w:rFonts w:ascii="Liberation Sans" w:hAnsi="Liberation Sans" w:eastAsia="Liberation Sans"/>
                <w:b/>
                <w:color w:val="17365D"/>
                <w:sz w:val="21"/>
              </w:rPr>
              <w:t>Граница prior art и авторского вклада</w:t>
            </w:r>
          </w:p>
          <w:p>
            <w:pPr>
              <w:spacing w:after="0" w:line="269" w:lineRule="auto"/>
            </w:pPr>
            <w:r>
              <w:rPr>
                <w:rFonts w:ascii="Liberation Serif" w:hAnsi="Liberation Serif" w:eastAsia="Liberation Serif"/>
                <w:color w:val="27313F"/>
                <w:sz w:val="20"/>
              </w:rPr>
              <w:t>Классические определения fibre bundle, principal bundle, transition cocycle, effective descent, characteristic/obstruction classes и homotopy invariance относятся к prior art. Авторская линия v0.5 состоит в их типизированном соединении с NAPG_q, R-star-R, Reper(R,I,U;D), Evidence-D, проективно-гармоническим λ-слоем, blocker-safe глобализационным горизонтом и предсказательным шлюзом KLT-RBD. Эта архитектура остаётся предметом дальнейшего доказательного и вычислительного развития.</w:t>
            </w:r>
          </w:p>
        </w:tc>
      </w:tr>
    </w:tbl>
    <w:p>
      <w:pPr>
        <w:spacing w:after="40"/>
      </w:pPr>
    </w:p>
    <w:p>
      <w:pPr>
        <w:pStyle w:val="Heading2"/>
        <w:keepNext/>
      </w:pPr>
      <w:r>
        <w:t>45.2. Контрольная точка T2-RP-v0.5</w:t>
      </w: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4876"/>
        <w:gridCol w:w="4876"/>
      </w:tblGrid>
      <w:tr>
        <w:trPr>
          <w:tblHeader w:val="true"/>
        </w:trPr>
        <w:tc>
          <w:tcPr>
            <w:tcW w:type="dxa" w:w="2835"/>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8"/>
              </w:rPr>
              <w:t>Фиксация выпуска</w:t>
            </w:r>
          </w:p>
        </w:tc>
        <w:tc>
          <w:tcPr>
            <w:tcW w:type="dxa" w:w="6406"/>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8"/>
              </w:rPr>
              <w:t>Значение</w:t>
            </w:r>
          </w:p>
        </w:tc>
      </w:tr>
      <w:tr>
        <w:tc>
          <w:tcPr>
            <w:tcW w:type="dxa" w:w="2835"/>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8"/>
              </w:rPr>
              <w:t>Канонический источник</w:t>
            </w:r>
          </w:p>
        </w:tc>
        <w:tc>
          <w:tcPr>
            <w:tcW w:type="dxa" w:w="6406"/>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8"/>
              </w:rPr>
              <w:t>tom2_v0_4.docx + tom2_v0_4.pdf</w:t>
            </w:r>
          </w:p>
        </w:tc>
      </w:tr>
      <w:tr>
        <w:tc>
          <w:tcPr>
            <w:tcW w:type="dxa" w:w="2835"/>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8"/>
              </w:rPr>
              <w:t>Новый математический слой</w:t>
            </w:r>
          </w:p>
        </w:tc>
        <w:tc>
          <w:tcPr>
            <w:tcW w:type="dxa" w:w="6406"/>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8"/>
              </w:rPr>
              <w:t>глава 7: atlases, bundles, descent, globalization obstructions</w:t>
            </w:r>
          </w:p>
        </w:tc>
      </w:tr>
      <w:tr>
        <w:tc>
          <w:tcPr>
            <w:tcW w:type="dxa" w:w="2835"/>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8"/>
              </w:rPr>
              <w:t>Закрытые обязательства</w:t>
            </w:r>
          </w:p>
        </w:tc>
        <w:tc>
          <w:tcPr>
            <w:tcW w:type="dxa" w:w="6406"/>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8"/>
              </w:rPr>
              <w:t>T2-PO-029, 030, 031, 032, 034, 038; локально 035</w:t>
            </w:r>
          </w:p>
        </w:tc>
      </w:tr>
      <w:tr>
        <w:tc>
          <w:tcPr>
            <w:tcW w:type="dxa" w:w="2835"/>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8"/>
              </w:rPr>
              <w:t>Открытые обязательства</w:t>
            </w:r>
          </w:p>
        </w:tc>
        <w:tc>
          <w:tcPr>
            <w:tcW w:type="dxa" w:w="6406"/>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8"/>
              </w:rPr>
              <w:t>T2-PO-027, 028, 033, 036, 037, 039, 040</w:t>
            </w:r>
          </w:p>
        </w:tc>
      </w:tr>
      <w:tr>
        <w:tc>
          <w:tcPr>
            <w:tcW w:type="dxa" w:w="2835"/>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8"/>
              </w:rPr>
              <w:t>Доказательная граница</w:t>
            </w:r>
          </w:p>
        </w:tc>
        <w:tc>
          <w:tcPr>
            <w:tcW w:type="dxa" w:w="6406"/>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8"/>
              </w:rPr>
              <w:t>truth_layer_promotion=0</w:t>
            </w:r>
          </w:p>
        </w:tc>
      </w:tr>
      <w:tr>
        <w:tc>
          <w:tcPr>
            <w:tcW w:type="dxa" w:w="2835"/>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8"/>
              </w:rPr>
              <w:t>Следующая точка</w:t>
            </w:r>
          </w:p>
        </w:tc>
        <w:tc>
          <w:tcPr>
            <w:tcW w:type="dxa" w:w="6406"/>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8"/>
              </w:rPr>
              <w:t>T2-RP-v0.6: касательные и кокасательные объекты, деривации и область гладкости</w:t>
            </w:r>
          </w:p>
        </w:tc>
      </w:tr>
    </w:tbl>
    <w:p>
      <w:pPr>
        <w:spacing w:after="40"/>
      </w:pPr>
    </w:p>
    <w:p>
      <w:pPr>
        <w:pStyle w:val="Small"/>
        <w:spacing w:after="100" w:line="278" w:lineRule="auto"/>
        <w:jc w:val="center"/>
      </w:pPr>
      <w:r>
        <w:rPr>
          <w:rFonts w:ascii="Liberation Serif" w:hAnsi="Liberation Serif" w:eastAsia="Liberation Serif"/>
          <w:sz w:val="21"/>
        </w:rPr>
        <w:t>checkpoint=T2-RP-v0.5; source=T2-RP-v0.4; truth_layer_promotion=0; next=T2-RP-v0.6.</w:t>
      </w:r>
    </w:p>
    <w:p>
      <w:r>
        <w:br w:type="page"/>
      </w:r>
    </w:p>
    <w:p>
      <w:pPr>
        <w:pStyle w:val="Heading1"/>
        <w:keepNext/>
        <w:jc w:val="center"/>
      </w:pPr>
      <w:r>
        <w:rPr>
          <w:rFonts w:ascii="Liberation Sans" w:hAnsi="Liberation Sans" w:eastAsia="Liberation Sans"/>
          <w:b/>
          <w:color w:val="17365D"/>
          <w:sz w:val="36"/>
        </w:rPr>
        <w:t>ЧАСТЬ VI. КАСАТЕЛЬНЫЕ И КОКАСАТЕЛЬНЫЕ ОБЪЕКТЫ NAPG v0.6</w:t>
      </w:r>
    </w:p>
    <w:p>
      <w:pPr>
        <w:pStyle w:val="Small"/>
        <w:jc w:val="center"/>
      </w:pPr>
      <w:r>
        <w:rPr>
          <w:rFonts w:ascii="Liberation Serif" w:hAnsi="Liberation Serif" w:eastAsia="Liberation Serif"/>
          <w:color w:val="5B6573"/>
          <w:sz w:val="19"/>
        </w:rPr>
        <w:t>Контрольная точка T2-RP-v0.6 · углубление главы 8 · источник: T2-RP-v0.5</w:t>
      </w:r>
    </w:p>
    <w:p>
      <w:pPr>
        <w:pStyle w:val="Heading1"/>
        <w:keepNext/>
      </w:pPr>
      <w:r>
        <w:t>46. Паспорт углубления v0.6</w:t>
      </w:r>
    </w:p>
    <w:p>
      <w:pPr>
        <w:pStyle w:val="Lead"/>
        <w:spacing w:after="100" w:line="278" w:lineRule="auto"/>
      </w:pPr>
      <w:r>
        <w:rPr>
          <w:rFonts w:ascii="Liberation Serif" w:hAnsi="Liberation Serif" w:eastAsia="Liberation Serif"/>
          <w:sz w:val="21"/>
        </w:rPr>
        <w:t>Цель редакции v0.6 - определить, какие локальные изменения NAPG-объекта являются лишь формальными первопорядковыми направлениями, какие принадлежат касательному конусу, какие проходят второпорядковое препятствие и какие действительно реализуются допустимой дугой. Одновременно строится кокасательный язык ограничений, позволяющий вычислять ранг, сингулярный локус и предел применимости линейного прогноза.</w:t>
      </w: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D9EAF7"/>
            <w:tcMar>
              <w:top w:w="150" w:type="dxa"/>
              <w:start w:w="180" w:type="dxa"/>
              <w:bottom w:w="150" w:type="dxa"/>
              <w:end w:w="180" w:type="dxa"/>
            </w:tcMar>
            <w:vAlign w:val="center"/>
          </w:tcPr>
          <w:p>
            <w:pPr>
              <w:spacing w:after="60"/>
            </w:pPr>
            <w:r>
              <w:rPr>
                <w:rFonts w:ascii="Liberation Sans" w:hAnsi="Liberation Sans" w:eastAsia="Liberation Sans"/>
                <w:b/>
                <w:color w:val="17365D"/>
                <w:sz w:val="21"/>
              </w:rPr>
              <w:t>Онтологический блок главы 8</w:t>
            </w:r>
          </w:p>
          <w:p>
            <w:pPr>
              <w:spacing w:after="0" w:line="269" w:lineRule="auto"/>
            </w:pPr>
            <w:r>
              <w:rPr>
                <w:rFonts w:ascii="Liberation Serif" w:hAnsi="Liberation Serif" w:eastAsia="Liberation Serif"/>
                <w:color w:val="27313F"/>
                <w:sz w:val="20"/>
              </w:rPr>
              <w:t>Касательный объект не является уменьшенной копией пространства. Он фиксирует выбранный режим становления объекта: кривые, дуальные числа, деривации, идеалы или формальные деформации. На гладком слое эти режимы могут совпасть; на сингулярном они расходятся, показывая, что «ближайшее возможное» зависит от уровня структуры.</w:t>
            </w:r>
          </w:p>
        </w:tc>
      </w:tr>
    </w:tbl>
    <w:p>
      <w:pPr>
        <w:spacing w:after="40"/>
      </w:pP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FFF2CC"/>
            <w:tcMar>
              <w:top w:w="150" w:type="dxa"/>
              <w:start w:w="180" w:type="dxa"/>
              <w:bottom w:w="150" w:type="dxa"/>
              <w:end w:w="180" w:type="dxa"/>
            </w:tcMar>
            <w:vAlign w:val="center"/>
          </w:tcPr>
          <w:p>
            <w:pPr>
              <w:spacing w:after="60"/>
            </w:pPr>
            <w:r>
              <w:rPr>
                <w:rFonts w:ascii="Liberation Sans" w:hAnsi="Liberation Sans" w:eastAsia="Liberation Sans"/>
                <w:b/>
                <w:color w:val="7F6000"/>
                <w:sz w:val="21"/>
              </w:rPr>
              <w:t>Гносеологический блок главы 8</w:t>
            </w:r>
          </w:p>
          <w:p>
            <w:pPr>
              <w:spacing w:after="0" w:line="269" w:lineRule="auto"/>
            </w:pPr>
            <w:r>
              <w:rPr>
                <w:rFonts w:ascii="Liberation Serif" w:hAnsi="Liberation Serif" w:eastAsia="Liberation Serif"/>
                <w:color w:val="27313F"/>
                <w:sz w:val="20"/>
              </w:rPr>
              <w:t>Первая производная сообщает только то, что не запрещено линейной частью уравнений. Она не гарантирует существования траектории. Поэтому знание о направлении обязано иметь паспорт: линейный witness, tangent-cone witness, obstruction witness и, наконец, arc witness. Пропуск одного слоя создаёт ложную уверенность, которой в человеческих прогнозах и без математики хватает с избытком.</w:t>
            </w:r>
          </w:p>
        </w:tc>
      </w:tr>
    </w:tbl>
    <w:p>
      <w:pPr>
        <w:spacing w:after="40"/>
      </w:pP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E2F0D9"/>
            <w:tcMar>
              <w:top w:w="150" w:type="dxa"/>
              <w:start w:w="180" w:type="dxa"/>
              <w:bottom w:w="150" w:type="dxa"/>
              <w:end w:w="180" w:type="dxa"/>
            </w:tcMar>
            <w:vAlign w:val="center"/>
          </w:tcPr>
          <w:p>
            <w:pPr>
              <w:spacing w:after="60"/>
            </w:pPr>
            <w:r>
              <w:rPr>
                <w:rFonts w:ascii="Liberation Sans" w:hAnsi="Liberation Sans" w:eastAsia="Liberation Sans"/>
                <w:b/>
                <w:color w:val="375623"/>
                <w:sz w:val="21"/>
              </w:rPr>
              <w:t>Феноменологический блок главы 8</w:t>
            </w:r>
          </w:p>
          <w:p>
            <w:pPr>
              <w:spacing w:after="0" w:line="269" w:lineRule="auto"/>
            </w:pPr>
            <w:r>
              <w:rPr>
                <w:rFonts w:ascii="Liberation Serif" w:hAnsi="Liberation Serif" w:eastAsia="Liberation Serif"/>
                <w:color w:val="27313F"/>
                <w:sz w:val="20"/>
              </w:rPr>
              <w:t>Касательная структура описывает ближайшие способы продолжения состояния. Кокасательная структура описывает ближайшие способы его различения ограничениями и измеримыми функциями. Их сопряжение превращает переживаемую возможность изменения в вычислимую пару «направление - чувствительный функционал».</w:t>
            </w:r>
          </w:p>
        </w:tc>
      </w:tr>
    </w:tbl>
    <w:p>
      <w:pPr>
        <w:spacing w:after="40"/>
      </w:pP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FCE4D6"/>
            <w:tcMar>
              <w:top w:w="150" w:type="dxa"/>
              <w:start w:w="180" w:type="dxa"/>
              <w:bottom w:w="150" w:type="dxa"/>
              <w:end w:w="180" w:type="dxa"/>
            </w:tcMar>
            <w:vAlign w:val="center"/>
          </w:tcPr>
          <w:p>
            <w:pPr>
              <w:spacing w:after="60"/>
            </w:pPr>
            <w:r>
              <w:rPr>
                <w:rFonts w:ascii="Liberation Sans" w:hAnsi="Liberation Sans" w:eastAsia="Liberation Sans"/>
                <w:b/>
                <w:color w:val="843C0C"/>
                <w:sz w:val="21"/>
              </w:rPr>
              <w:t>Ограничительный блок главы 8</w:t>
            </w:r>
          </w:p>
          <w:p>
            <w:pPr>
              <w:spacing w:after="0" w:line="269" w:lineRule="auto"/>
            </w:pPr>
            <w:r>
              <w:rPr>
                <w:rFonts w:ascii="Liberation Serif" w:hAnsi="Liberation Serif" w:eastAsia="Liberation Serif"/>
                <w:color w:val="27313F"/>
                <w:sz w:val="20"/>
              </w:rPr>
              <w:t>Том II не отождествляет Zariski tangent space с множеством реальных траекторий, tangent и cotangent без дополнительной метрики, а формальную деформацию - с физическим событием. Любая интегрируемость, гладкость и предсказательная интерпретация действует только в указанном Dom и при закрытых obstruction channels.</w:t>
            </w:r>
          </w:p>
        </w:tc>
      </w:tr>
    </w:tbl>
    <w:p>
      <w:pPr>
        <w:spacing w:after="40"/>
      </w:pP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2438"/>
        <w:gridCol w:w="2438"/>
        <w:gridCol w:w="2438"/>
        <w:gridCol w:w="2438"/>
      </w:tblGrid>
      <w:tr>
        <w:trPr>
          <w:tblHeader w:val="true"/>
        </w:trPr>
        <w:tc>
          <w:tcPr>
            <w:tcW w:type="dxa" w:w="96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Уровень</w:t>
            </w:r>
          </w:p>
        </w:tc>
        <w:tc>
          <w:tcPr>
            <w:tcW w:type="dxa" w:w="232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Объект</w:t>
            </w:r>
          </w:p>
        </w:tc>
        <w:tc>
          <w:tcPr>
            <w:tcW w:type="dxa" w:w="3061"/>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Что он проверяет</w:t>
            </w:r>
          </w:p>
        </w:tc>
        <w:tc>
          <w:tcPr>
            <w:tcW w:type="dxa" w:w="2891"/>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Типичный дефект</w:t>
            </w:r>
          </w:p>
        </w:tc>
      </w:tr>
      <w:tr>
        <w:tc>
          <w:tcPr>
            <w:tcW w:type="dxa" w:w="96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T0</w:t>
            </w:r>
          </w:p>
        </w:tc>
        <w:tc>
          <w:tcPr>
            <w:tcW w:type="dxa" w:w="2324"/>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dual-number / derivation tangent</w:t>
            </w:r>
          </w:p>
        </w:tc>
        <w:tc>
          <w:tcPr>
            <w:tcW w:type="dxa" w:w="30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первый порядок</w:t>
            </w:r>
          </w:p>
        </w:tc>
        <w:tc>
          <w:tcPr>
            <w:tcW w:type="dxa" w:w="289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может содержать неинтегрируемые направления</w:t>
            </w:r>
          </w:p>
        </w:tc>
      </w:tr>
      <w:tr>
        <w:tc>
          <w:tcPr>
            <w:tcW w:type="dxa" w:w="96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T1</w:t>
            </w:r>
          </w:p>
        </w:tc>
        <w:tc>
          <w:tcPr>
            <w:tcW w:type="dxa" w:w="2324"/>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Zariski tangent space</w:t>
            </w:r>
          </w:p>
        </w:tc>
        <w:tc>
          <w:tcPr>
            <w:tcW w:type="dxa" w:w="30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линейную часть уравнений</w:t>
            </w:r>
          </w:p>
        </w:tc>
        <w:tc>
          <w:tcPr>
            <w:tcW w:type="dxa" w:w="289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раздувается в сингулярной точке</w:t>
            </w:r>
          </w:p>
        </w:tc>
      </w:tr>
      <w:tr>
        <w:tc>
          <w:tcPr>
            <w:tcW w:type="dxa" w:w="96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T2</w:t>
            </w:r>
          </w:p>
        </w:tc>
        <w:tc>
          <w:tcPr>
            <w:tcW w:type="dxa" w:w="2324"/>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tangent cone</w:t>
            </w:r>
          </w:p>
        </w:tc>
        <w:tc>
          <w:tcPr>
            <w:tcW w:type="dxa" w:w="30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старшие начальные члены</w:t>
            </w:r>
          </w:p>
        </w:tc>
        <w:tc>
          <w:tcPr>
            <w:tcW w:type="dxa" w:w="289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может быть нелинейным и не приведённым</w:t>
            </w:r>
          </w:p>
        </w:tc>
      </w:tr>
      <w:tr>
        <w:tc>
          <w:tcPr>
            <w:tcW w:type="dxa" w:w="96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T3</w:t>
            </w:r>
          </w:p>
        </w:tc>
        <w:tc>
          <w:tcPr>
            <w:tcW w:type="dxa" w:w="2324"/>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second-order admissibility</w:t>
            </w:r>
          </w:p>
        </w:tc>
        <w:tc>
          <w:tcPr>
            <w:tcW w:type="dxa" w:w="30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квадратичное препятствие</w:t>
            </w:r>
          </w:p>
        </w:tc>
        <w:tc>
          <w:tcPr>
            <w:tcW w:type="dxa" w:w="289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требует решения уравнения для второго коэффициента</w:t>
            </w:r>
          </w:p>
        </w:tc>
      </w:tr>
      <w:tr>
        <w:tc>
          <w:tcPr>
            <w:tcW w:type="dxa" w:w="96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T4</w:t>
            </w:r>
          </w:p>
        </w:tc>
        <w:tc>
          <w:tcPr>
            <w:tcW w:type="dxa" w:w="2324"/>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actual admissible arc</w:t>
            </w:r>
          </w:p>
        </w:tc>
        <w:tc>
          <w:tcPr>
            <w:tcW w:type="dxa" w:w="30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реализуемую локальную эволюцию</w:t>
            </w:r>
          </w:p>
        </w:tc>
        <w:tc>
          <w:tcPr>
            <w:tcW w:type="dxa" w:w="289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может отсутствовать при наличии формального вектора</w:t>
            </w:r>
          </w:p>
        </w:tc>
      </w:tr>
      <w:tr>
        <w:tc>
          <w:tcPr>
            <w:tcW w:type="dxa" w:w="96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w:t>
            </w:r>
          </w:p>
        </w:tc>
        <w:tc>
          <w:tcPr>
            <w:tcW w:type="dxa" w:w="2324"/>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cotangent/conormal object</w:t>
            </w:r>
          </w:p>
        </w:tc>
        <w:tc>
          <w:tcPr>
            <w:tcW w:type="dxa" w:w="30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ограничения и чувствительность</w:t>
            </w:r>
          </w:p>
        </w:tc>
        <w:tc>
          <w:tcPr>
            <w:tcW w:type="dxa" w:w="289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не тождествен tangent без дополнительной структуры</w:t>
            </w:r>
          </w:p>
        </w:tc>
      </w:tr>
    </w:tbl>
    <w:p>
      <w:pPr>
        <w:spacing w:after="40"/>
      </w:pPr>
    </w:p>
    <w:p>
      <w:pPr>
        <w:pStyle w:val="Heading1"/>
        <w:keepNext/>
      </w:pPr>
      <w:r>
        <w:t>47. Четыре конструкции касательного объекта</w:t>
      </w:r>
    </w:p>
    <w:p>
      <w:pPr>
        <w:pStyle w:val="Heading2"/>
        <w:keepNext/>
      </w:pPr>
      <w:r>
        <w:t>47.1. Дуальные числа и функтор точек</w:t>
      </w:r>
    </w:p>
    <w:p>
      <w:pPr>
        <w:spacing w:after="100" w:line="278" w:lineRule="auto"/>
        <w:ind w:firstLine="0"/>
      </w:pPr>
      <w:r>
        <w:rPr>
          <w:rFonts w:ascii="Liberation Serif" w:hAnsi="Liberation Serif" w:eastAsia="Liberation Serif"/>
          <w:b/>
          <w:color w:val="17365D"/>
          <w:sz w:val="21"/>
        </w:rPr>
        <w:t>Определение 8.1. Dual-number tangent.</w:t>
      </w:r>
      <w:r>
        <w:rPr>
          <w:rFonts w:ascii="Liberation Serif" w:hAnsi="Liberation Serif" w:eastAsia="Liberation Serif"/>
          <w:b/>
          <w:color w:val="2F7D32"/>
          <w:sz w:val="20"/>
        </w:rPr>
        <w:t xml:space="preserve"> [CL/DEF-A]</w:t>
      </w:r>
      <w:r>
        <w:rPr>
          <w:rFonts w:ascii="Liberation Serif" w:hAnsi="Liberation Serif" w:eastAsia="Liberation Serif"/>
          <w:sz w:val="21"/>
        </w:rPr>
        <w:t xml:space="preserve"> Пусть K - поле, K[ε]=K[ε]/(ε²), X - функтор точек и x∈X(K). Касательный функтор в x определяется как множество поднятий T_xX=ker(X(K[ε])→X(K)) над x. Векторная структура допускается только после проверки условий деформационного функтора.</w:t>
      </w:r>
    </w:p>
    <w:p>
      <w:pPr>
        <w:spacing w:after="100" w:line="278" w:lineRule="auto"/>
        <w:ind w:firstLine="0"/>
      </w:pPr>
      <w:r>
        <w:rPr>
          <w:rFonts w:ascii="Liberation Serif" w:hAnsi="Liberation Serif" w:eastAsia="Liberation Serif"/>
          <w:b/>
          <w:color w:val="17365D"/>
          <w:sz w:val="21"/>
        </w:rPr>
        <w:t>Лемма 8.2. Derivation representation.</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Для аффинного локального объекта A и K-рациональной точки x:A→K отображение A→K[ε], a↦x(a)+εD(a), является гомоморфизмом тогда и только тогда, когда D является K-деривацией относительно x. Следовательно, T_xX≅Der_K(A,K_x).</w:t>
      </w:r>
    </w:p>
    <w:p>
      <w:pPr>
        <w:spacing w:after="100" w:line="278" w:lineRule="auto"/>
        <w:ind w:firstLine="0"/>
      </w:pPr>
      <w:r>
        <w:rPr>
          <w:rFonts w:ascii="Liberation Serif" w:hAnsi="Liberation Serif" w:eastAsia="Liberation Serif"/>
          <w:b/>
          <w:color w:val="17365D"/>
          <w:sz w:val="21"/>
        </w:rPr>
        <w:t>Доказательство.</w:t>
      </w:r>
      <w:r>
        <w:rPr>
          <w:rFonts w:ascii="Liberation Serif" w:hAnsi="Liberation Serif" w:eastAsia="Liberation Serif"/>
          <w:sz w:val="21"/>
        </w:rPr>
        <w:t xml:space="preserve"> Сравнение коэффициентов при ε в равенстве f(ab)=f(a)f(b) даёт D(ab)=x(a)D(b)+D(a)x(b). Обратное утверждение проверяется подстановкой; условие ε²=0 удаляет квадратичный член. □</w:t>
      </w:r>
    </w:p>
    <w:p>
      <w:pPr>
        <w:pStyle w:val="Heading2"/>
        <w:keepNext/>
      </w:pPr>
      <w:r>
        <w:t>47.2. Кривые и первый контакт</w:t>
      </w:r>
    </w:p>
    <w:p>
      <w:pPr>
        <w:spacing w:after="100" w:line="278" w:lineRule="auto"/>
        <w:ind w:firstLine="0"/>
      </w:pPr>
      <w:r>
        <w:rPr>
          <w:rFonts w:ascii="Liberation Serif" w:hAnsi="Liberation Serif" w:eastAsia="Liberation Serif"/>
          <w:b/>
          <w:color w:val="17365D"/>
          <w:sz w:val="21"/>
        </w:rPr>
        <w:t>Определение 8.3. Curve tangent.</w:t>
      </w:r>
      <w:r>
        <w:rPr>
          <w:rFonts w:ascii="Liberation Serif" w:hAnsi="Liberation Serif" w:eastAsia="Liberation Serif"/>
          <w:b/>
          <w:color w:val="2F7D32"/>
          <w:sz w:val="20"/>
        </w:rPr>
        <w:t xml:space="preserve"> [CL/COND]</w:t>
      </w:r>
      <w:r>
        <w:rPr>
          <w:rFonts w:ascii="Liberation Serif" w:hAnsi="Liberation Serif" w:eastAsia="Liberation Serif"/>
          <w:sz w:val="21"/>
        </w:rPr>
        <w:t xml:space="preserve"> В гладком секторе две допустимые кривые γ₁,γ₂:(-η,η)→X с γ_i(0)=x эквивалентны, если их координатные производные в нуле совпадают в одной, а значит при гладких переходах - во всякой карте. Класс обозначается [γ]₁.</w:t>
      </w:r>
    </w:p>
    <w:p>
      <w:pPr>
        <w:spacing w:after="100" w:line="278" w:lineRule="auto"/>
        <w:ind w:firstLine="0"/>
      </w:pPr>
      <w:r>
        <w:rPr>
          <w:rFonts w:ascii="Liberation Serif" w:hAnsi="Liberation Serif" w:eastAsia="Liberation Serif"/>
          <w:b/>
          <w:color w:val="17365D"/>
          <w:sz w:val="21"/>
        </w:rPr>
        <w:t>Ограничение.</w:t>
      </w:r>
      <w:r>
        <w:rPr>
          <w:rFonts w:ascii="Liberation Serif" w:hAnsi="Liberation Serif" w:eastAsia="Liberation Serif"/>
          <w:b/>
          <w:color w:val="7A3E00"/>
          <w:sz w:val="20"/>
        </w:rPr>
        <w:t xml:space="preserve"> [OPEN]</w:t>
      </w:r>
      <w:r>
        <w:rPr>
          <w:rFonts w:ascii="Liberation Serif" w:hAnsi="Liberation Serif" w:eastAsia="Liberation Serif"/>
          <w:sz w:val="21"/>
        </w:rPr>
        <w:t xml:space="preserve"> Для общего сингулярного, алгебраического или частично определённого NAPG-объекта определение через реальные кривые может зависеть от выбранного класса дуг и поля. Поэтому оно не принимается как универсальное без теоремы сравнения.</w:t>
      </w:r>
    </w:p>
    <w:p>
      <w:pPr>
        <w:pStyle w:val="Heading2"/>
        <w:keepNext/>
      </w:pPr>
      <w:r>
        <w:t>47.3. Кокасательный модуль и универсальная деривация</w:t>
      </w:r>
    </w:p>
    <w:p>
      <w:pPr>
        <w:spacing w:after="100" w:line="278" w:lineRule="auto"/>
        <w:ind w:firstLine="0"/>
      </w:pPr>
      <w:r>
        <w:rPr>
          <w:rFonts w:ascii="Liberation Serif" w:hAnsi="Liberation Serif" w:eastAsia="Liberation Serif"/>
          <w:b/>
          <w:color w:val="17365D"/>
          <w:sz w:val="21"/>
        </w:rPr>
        <w:t>Определение 8.4. Kähler cotangent module.</w:t>
      </w:r>
      <w:r>
        <w:rPr>
          <w:rFonts w:ascii="Liberation Serif" w:hAnsi="Liberation Serif" w:eastAsia="Liberation Serif"/>
          <w:b/>
          <w:color w:val="2F7D32"/>
          <w:sz w:val="20"/>
        </w:rPr>
        <w:t xml:space="preserve"> [CL/COND]</w:t>
      </w:r>
      <w:r>
        <w:rPr>
          <w:rFonts w:ascii="Liberation Serif" w:hAnsi="Liberation Serif" w:eastAsia="Liberation Serif"/>
          <w:sz w:val="21"/>
        </w:rPr>
        <w:t xml:space="preserve"> Для коммутативного координатного кольца A над K модуль Ω_{A/K} вместе с d:A→Ω_{A/K} универсален по отношению к K-деривациям: Der_K(A,M)≅Hom_A(Ω_{A/K},M). В NAPG этот объект используется для координатного commutative envelope; некоммутативный и неассоциативный дифференциальные модули задаются отдельно.</w:t>
      </w:r>
    </w:p>
    <w:p>
      <w:pPr>
        <w:spacing w:after="100" w:line="278" w:lineRule="auto"/>
        <w:ind w:firstLine="0"/>
      </w:pPr>
      <w:r>
        <w:rPr>
          <w:rFonts w:ascii="Liberation Serif" w:hAnsi="Liberation Serif" w:eastAsia="Liberation Serif"/>
          <w:b/>
          <w:color w:val="17365D"/>
          <w:sz w:val="21"/>
        </w:rPr>
        <w:t>Определение 8.5. Cotangent space at a rational point.</w:t>
      </w:r>
      <w:r>
        <w:rPr>
          <w:rFonts w:ascii="Liberation Serif" w:hAnsi="Liberation Serif" w:eastAsia="Liberation Serif"/>
          <w:b/>
          <w:color w:val="2F7D32"/>
          <w:sz w:val="20"/>
        </w:rPr>
        <w:t xml:space="preserve"> [CL]</w:t>
      </w:r>
      <w:r>
        <w:rPr>
          <w:rFonts w:ascii="Liberation Serif" w:hAnsi="Liberation Serif" w:eastAsia="Liberation Serif"/>
          <w:sz w:val="21"/>
        </w:rPr>
        <w:t xml:space="preserve"> Если x имеет максимальный идеал m_x и κ(x)=K, то T_x^*X=m_x/m_x², а T_xX=Hom_K(m_x/m_x²,K). Для нерaциональной точки основание заменяется на κ(x), с учётом относительных дифференциалов.</w:t>
      </w:r>
    </w:p>
    <w:p>
      <w:pPr>
        <w:keepNext/>
        <w:jc w:val="center"/>
      </w:pPr>
      <w:r>
        <w:drawing>
          <wp:inline xmlns:a="http://schemas.openxmlformats.org/drawingml/2006/main" xmlns:pic="http://schemas.openxmlformats.org/drawingml/2006/picture">
            <wp:extent cx="5760720" cy="1908804"/>
            <wp:docPr id="18" name="Picture 18"/>
            <wp:cNvGraphicFramePr>
              <a:graphicFrameLocks noChangeAspect="1"/>
            </wp:cNvGraphicFramePr>
            <a:graphic>
              <a:graphicData uri="http://schemas.openxmlformats.org/drawingml/2006/picture">
                <pic:pic>
                  <pic:nvPicPr>
                    <pic:cNvPr id="0" name="fig14_tangent_compare.png"/>
                    <pic:cNvPicPr/>
                  </pic:nvPicPr>
                  <pic:blipFill>
                    <a:blip r:embed="rId35"/>
                    <a:stretch>
                      <a:fillRect/>
                    </a:stretch>
                  </pic:blipFill>
                  <pic:spPr>
                    <a:xfrm>
                      <a:off x="0" y="0"/>
                      <a:ext cx="5760720" cy="1908804"/>
                    </a:xfrm>
                    <a:prstGeom prst="rect"/>
                  </pic:spPr>
                </pic:pic>
              </a:graphicData>
            </a:graphic>
          </wp:inline>
        </w:drawing>
      </w:r>
    </w:p>
    <w:p>
      <w:pPr>
        <w:pStyle w:val="Caption"/>
        <w:keepNext/>
        <w:spacing w:after="140"/>
        <w:jc w:val="center"/>
      </w:pPr>
      <w:r>
        <w:rPr>
          <w:rFonts w:ascii="Liberation Serif" w:hAnsi="Liberation Serif" w:eastAsia="Liberation Serif"/>
          <w:b/>
          <w:color w:val="5B6573"/>
          <w:sz w:val="18"/>
        </w:rPr>
        <w:t>Рисунок 14. Сравнение конструкций tangent/cotangent. Совпадение стрелок требует гипотез гладкости и конечности. Собственная схема Тома II.</w:t>
      </w:r>
    </w:p>
    <w:p>
      <w:pPr>
        <w:pStyle w:val="Heading1"/>
        <w:keepNext/>
      </w:pPr>
      <w:r>
        <w:t>48. Касательный конус и сингулярный сектор</w:t>
      </w:r>
    </w:p>
    <w:p>
      <w:pPr>
        <w:pStyle w:val="Heading2"/>
        <w:keepNext/>
      </w:pPr>
      <w:r>
        <w:t>48.1. Фильтрация максимального идеала</w:t>
      </w:r>
    </w:p>
    <w:p>
      <w:pPr>
        <w:spacing w:after="100" w:line="278" w:lineRule="auto"/>
        <w:ind w:firstLine="0"/>
      </w:pPr>
      <w:r>
        <w:rPr>
          <w:rFonts w:ascii="Liberation Serif" w:hAnsi="Liberation Serif" w:eastAsia="Liberation Serif"/>
          <w:b/>
          <w:color w:val="17365D"/>
          <w:sz w:val="21"/>
        </w:rPr>
        <w:t>Определение 8.6. Algebraic tangent cone.</w:t>
      </w:r>
      <w:r>
        <w:rPr>
          <w:rFonts w:ascii="Liberation Serif" w:hAnsi="Liberation Serif" w:eastAsia="Liberation Serif"/>
          <w:b/>
          <w:color w:val="2F7D32"/>
          <w:sz w:val="20"/>
        </w:rPr>
        <w:t xml:space="preserve"> [CL]</w:t>
      </w:r>
      <w:r>
        <w:rPr>
          <w:rFonts w:ascii="Liberation Serif" w:hAnsi="Liberation Serif" w:eastAsia="Liberation Serif"/>
          <w:sz w:val="21"/>
        </w:rPr>
        <w:t xml:space="preserve"> Для локального кольца (O_{X,x},m_x) касательный конус определяется градуированным кольцом gr_{m_x}O_{X,x}=⊕_{n≥0}m_x^n/m_x^{n+1}. Его спектр C_xX=Spec(gr_{m_x}O_{X,x}) удерживает начальные однородные члены локальных уравнений.</w:t>
      </w:r>
    </w:p>
    <w:p>
      <w:pPr>
        <w:spacing w:after="100" w:line="278" w:lineRule="auto"/>
        <w:ind w:firstLine="0"/>
      </w:pPr>
      <w:r>
        <w:rPr>
          <w:rFonts w:ascii="Liberation Serif" w:hAnsi="Liberation Serif" w:eastAsia="Liberation Serif"/>
          <w:b/>
          <w:color w:val="17365D"/>
          <w:sz w:val="21"/>
        </w:rPr>
        <w:t>Предложение 8.7. Cone-to-tangent inclusion.</w:t>
      </w:r>
      <w:r>
        <w:rPr>
          <w:rFonts w:ascii="Liberation Serif" w:hAnsi="Liberation Serif" w:eastAsia="Liberation Serif"/>
          <w:b/>
          <w:color w:val="2F7D32"/>
          <w:sz w:val="20"/>
        </w:rPr>
        <w:t xml:space="preserve"> [CL]</w:t>
      </w:r>
      <w:r>
        <w:rPr>
          <w:rFonts w:ascii="Liberation Serif" w:hAnsi="Liberation Serif" w:eastAsia="Liberation Serif"/>
          <w:sz w:val="21"/>
        </w:rPr>
        <w:t xml:space="preserve"> Приведённый носитель C_xX вкладывается в Zariski tangent space T_xX; линейная оболочка конуса может совпадать со всем T_xX. В гладкой точке конус является векторным пространством и совпадает с tangent space.</w:t>
      </w:r>
    </w:p>
    <w:p>
      <w:pPr>
        <w:pStyle w:val="Heading2"/>
        <w:keepNext/>
      </w:pPr>
      <w:r>
        <w:t>48.2. Контрпример: узел xy=0</w:t>
      </w:r>
    </w:p>
    <w:p>
      <w:pPr>
        <w:spacing w:after="100" w:line="278" w:lineRule="auto"/>
        <w:ind w:firstLine="0"/>
      </w:pPr>
      <w:r>
        <w:rPr>
          <w:rFonts w:ascii="Liberation Serif" w:hAnsi="Liberation Serif" w:eastAsia="Liberation Serif"/>
          <w:b/>
          <w:color w:val="17365D"/>
          <w:sz w:val="21"/>
        </w:rPr>
        <w:t>Пример 8.8. Node no-go.</w:t>
      </w:r>
      <w:r>
        <w:rPr>
          <w:rFonts w:ascii="Liberation Serif" w:hAnsi="Liberation Serif" w:eastAsia="Liberation Serif"/>
          <w:b/>
          <w:color w:val="2F7D32"/>
          <w:sz w:val="20"/>
        </w:rPr>
        <w:t xml:space="preserve"> [THM/EX]</w:t>
      </w:r>
      <w:r>
        <w:rPr>
          <w:rFonts w:ascii="Liberation Serif" w:hAnsi="Liberation Serif" w:eastAsia="Liberation Serif"/>
          <w:sz w:val="21"/>
        </w:rPr>
        <w:t xml:space="preserve"> Пусть X⊂A² задано xy=0 и x₀=(0,0). Якобиан (y,x) в нуле равен нулю, поэтому Zariski tangent space есть вся A². Однако tangent cone совпадает с X: это объединение двух координатных осей. Для дуги (x(t),y(t)) с x(t)y(t)=0 первый ненулевой коэффициент обязан лежать на одной из осей. Следовательно, векторы (1,1) проходят линейный тест, но не являются скоростями допустимых аналитических дуг.</w:t>
      </w: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FCE4D6"/>
            <w:tcMar>
              <w:top w:w="150" w:type="dxa"/>
              <w:start w:w="180" w:type="dxa"/>
              <w:bottom w:w="150" w:type="dxa"/>
              <w:end w:w="180" w:type="dxa"/>
            </w:tcMar>
            <w:vAlign w:val="center"/>
          </w:tcPr>
          <w:p>
            <w:pPr>
              <w:spacing w:after="60"/>
            </w:pPr>
            <w:r>
              <w:rPr>
                <w:rFonts w:ascii="Liberation Sans" w:hAnsi="Liberation Sans" w:eastAsia="Liberation Sans"/>
                <w:b/>
                <w:color w:val="843C0C"/>
                <w:sz w:val="21"/>
              </w:rPr>
              <w:t>Отрицательная теорема первого порядка</w:t>
            </w:r>
          </w:p>
          <w:p>
            <w:pPr>
              <w:spacing w:after="0" w:line="269" w:lineRule="auto"/>
            </w:pPr>
            <w:r>
              <w:rPr>
                <w:rFonts w:ascii="Liberation Serif" w:hAnsi="Liberation Serif" w:eastAsia="Liberation Serif"/>
                <w:color w:val="27313F"/>
                <w:sz w:val="20"/>
              </w:rPr>
              <w:t>В сингулярной точке условие v∈ker J(x) является только необходимым линейным тестом. Оно не является достаточным условием существования дуги и потому не может самостоятельно выдавать прогноз перехода.</w:t>
            </w:r>
          </w:p>
        </w:tc>
      </w:tr>
    </w:tbl>
    <w:p>
      <w:pPr>
        <w:spacing w:after="40"/>
      </w:pPr>
    </w:p>
    <w:p>
      <w:pPr>
        <w:pStyle w:val="Heading2"/>
        <w:keepNext/>
      </w:pPr>
      <w:r>
        <w:t>48.3. Неприведённость и скрытая толщина</w:t>
      </w:r>
    </w:p>
    <w:p>
      <w:pPr>
        <w:spacing w:after="100" w:line="278" w:lineRule="auto"/>
        <w:ind w:firstLine="0"/>
      </w:pPr>
      <w:r>
        <w:rPr>
          <w:rFonts w:ascii="Liberation Serif" w:hAnsi="Liberation Serif" w:eastAsia="Liberation Serif"/>
          <w:b/>
          <w:color w:val="17365D"/>
          <w:sz w:val="21"/>
        </w:rPr>
        <w:t>Пример 8.9. Dual-number point.</w:t>
      </w:r>
      <w:r>
        <w:rPr>
          <w:rFonts w:ascii="Liberation Serif" w:hAnsi="Liberation Serif" w:eastAsia="Liberation Serif"/>
          <w:b/>
          <w:color w:val="2F7D32"/>
          <w:sz w:val="20"/>
        </w:rPr>
        <w:t xml:space="preserve"> [CL]</w:t>
      </w:r>
      <w:r>
        <w:rPr>
          <w:rFonts w:ascii="Liberation Serif" w:hAnsi="Liberation Serif" w:eastAsia="Liberation Serif"/>
          <w:sz w:val="21"/>
        </w:rPr>
        <w:t xml:space="preserve"> Spec K[ε]/(ε²) имеет единственную топологическую точку, но одномерное касательное пространство. Топологический носитель не видит инфинитезимальную толщину. Поэтому восстановление NAPG-деформаций только по множеству точек или графу инцидентности неполно.</w:t>
      </w:r>
    </w:p>
    <w:p>
      <w:pPr>
        <w:pStyle w:val="Heading1"/>
        <w:keepNext/>
      </w:pPr>
      <w:r>
        <w:t>49. Линеаризация пространства операций NAPG</w:t>
      </w:r>
    </w:p>
    <w:p>
      <w:pPr>
        <w:pStyle w:val="Heading2"/>
        <w:keepNext/>
      </w:pPr>
      <w:r>
        <w:t>49.1. Коэффициентное пространство</w:t>
      </w:r>
    </w:p>
    <w:p>
      <w:pPr>
        <w:spacing w:after="100" w:line="278" w:lineRule="auto"/>
        <w:ind w:firstLine="0"/>
      </w:pPr>
      <w:r>
        <w:rPr>
          <w:rFonts w:ascii="Liberation Serif" w:hAnsi="Liberation Serif" w:eastAsia="Liberation Serif"/>
          <w:b/>
          <w:color w:val="17365D"/>
          <w:sz w:val="21"/>
        </w:rPr>
        <w:t>Определение 8.10. Ambient operation space.</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Пусть A=⊕A^γ конечномерно над K. Пространство допустимых билинейных вариаций обозначим C²_adm(A,A)⊂Hom_K(A⊗A,A); оно учитывает градуировку, Dom_⊙ и замороженные структурные данные 𝔊. Множество NAPG-структур задаётся системой полиномиальных или гладких уравнений F(μ)=0 внутри открыто-замкнутого admissible sector U_adm.</w:t>
      </w:r>
    </w:p>
    <w:p>
      <w:pPr>
        <w:spacing w:before="60" w:after="140"/>
        <w:ind w:firstLine="0"/>
        <w:jc w:val="center"/>
      </w:pPr>
      <w:r>
        <w:rPr>
          <w:rFonts w:ascii="Cambria Math" w:hAnsi="Cambria Math" w:eastAsia="Cambria Math"/>
          <w:sz w:val="22"/>
        </w:rPr>
        <w:t>M_NAPG = { μ ∈ U_adm ⊂ C²_adm(A,A) : F(μ)=0 }.</w:t>
      </w:r>
    </w:p>
    <w:p>
      <w:pPr>
        <w:spacing w:after="100" w:line="278" w:lineRule="auto"/>
        <w:ind w:firstLine="0"/>
      </w:pPr>
      <w:r>
        <w:rPr>
          <w:rFonts w:ascii="Liberation Serif" w:hAnsi="Liberation Serif" w:eastAsia="Liberation Serif"/>
          <w:b/>
          <w:color w:val="17365D"/>
          <w:sz w:val="21"/>
        </w:rPr>
        <w:t>Определение 8.11. Linearized structure space.</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Для μ∈M_NAPG положим Z²_NAPG(μ)=ker D F_μ. Это пространство формальных первопорядковых вариаций, сохраняющих выбранные уравнения до порядка t.</w:t>
      </w:r>
    </w:p>
    <w:p>
      <w:pPr>
        <w:pStyle w:val="Heading2"/>
        <w:keepNext/>
      </w:pPr>
      <w:r>
        <w:t>49.2. Линеаризация ассоциатора</w:t>
      </w:r>
    </w:p>
    <w:p>
      <w:pPr>
        <w:spacing w:after="100" w:line="278" w:lineRule="auto"/>
        <w:ind w:firstLine="0"/>
      </w:pPr>
      <w:r>
        <w:rPr>
          <w:rFonts w:ascii="Liberation Serif" w:hAnsi="Liberation Serif" w:eastAsia="Liberation Serif"/>
          <w:b/>
          <w:color w:val="17365D"/>
          <w:sz w:val="21"/>
        </w:rPr>
        <w:t>Теорема 8.12. Differential of the associator map.</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Для билинейных операций μ,ν и тройки (a,b,c) производная отображения Ass в μ по направлению ν равна</w:t>
      </w:r>
    </w:p>
    <w:p>
      <w:pPr>
        <w:spacing w:before="60" w:after="140"/>
        <w:ind w:firstLine="0"/>
        <w:jc w:val="center"/>
      </w:pPr>
      <w:r>
        <w:rPr>
          <w:rFonts w:ascii="Cambria Math" w:hAnsi="Cambria Math" w:eastAsia="Cambria Math"/>
          <w:sz w:val="22"/>
        </w:rPr>
        <w:t>D Ass_μ(ν)(a,b,c) = ν(μ(a,b),c)+μ(ν(a,b),c) - ν(a,μ(b,c)) - μ(a,ν(b,c)).</w:t>
      </w:r>
    </w:p>
    <w:p>
      <w:pPr>
        <w:spacing w:after="100" w:line="278" w:lineRule="auto"/>
        <w:ind w:firstLine="0"/>
      </w:pPr>
      <w:r>
        <w:rPr>
          <w:rFonts w:ascii="Liberation Serif" w:hAnsi="Liberation Serif" w:eastAsia="Liberation Serif"/>
          <w:b/>
          <w:color w:val="17365D"/>
          <w:sz w:val="21"/>
        </w:rPr>
        <w:t>Доказательство.</w:t>
      </w:r>
      <w:r>
        <w:rPr>
          <w:rFonts w:ascii="Liberation Serif" w:hAnsi="Liberation Serif" w:eastAsia="Liberation Serif"/>
          <w:sz w:val="21"/>
        </w:rPr>
        <w:t xml:space="preserve"> Раскрываем Ass_{μ+tν} и собираем коэффициент при t. Коэффициент при t² есть Ass_ν. Поэтому точная квадратичная формула имеет вид Ass_{μ+tν}=Ass_μ+t DAss_μ(ν)+t²Ass_ν. □</w:t>
      </w:r>
    </w:p>
    <w:p>
      <w:pPr>
        <w:spacing w:after="100" w:line="278" w:lineRule="auto"/>
        <w:ind w:firstLine="0"/>
      </w:pPr>
      <w:r>
        <w:rPr>
          <w:rFonts w:ascii="Liberation Serif" w:hAnsi="Liberation Serif" w:eastAsia="Liberation Serif"/>
          <w:b/>
          <w:color w:val="17365D"/>
          <w:sz w:val="21"/>
        </w:rPr>
        <w:t>Следствие 8.13. Associative tangent equation.</w:t>
      </w:r>
      <w:r>
        <w:rPr>
          <w:rFonts w:ascii="Liberation Serif" w:hAnsi="Liberation Serif" w:eastAsia="Liberation Serif"/>
          <w:b/>
          <w:color w:val="2F7D32"/>
          <w:sz w:val="20"/>
        </w:rPr>
        <w:t xml:space="preserve"> [CL/THM]</w:t>
      </w:r>
      <w:r>
        <w:rPr>
          <w:rFonts w:ascii="Liberation Serif" w:hAnsi="Liberation Serif" w:eastAsia="Liberation Serif"/>
          <w:sz w:val="21"/>
        </w:rPr>
        <w:t xml:space="preserve"> Если μ ассоциативна, то первопорядковая ассоциативная деформация обязана удовлетворять DAss_μ(ν)=0. Для ассоциативной алгебры это совпадает с уравнением Hochschild 2-cocycle после фиксации принятой знаковой конвенции.</w:t>
      </w:r>
    </w:p>
    <w:p>
      <w:pPr>
        <w:pStyle w:val="Heading2"/>
        <w:keepNext/>
      </w:pPr>
      <w:r>
        <w:t>49.3. Инфинитезимальные замены базиса</w:t>
      </w:r>
    </w:p>
    <w:p>
      <w:pPr>
        <w:spacing w:after="100" w:line="278" w:lineRule="auto"/>
        <w:ind w:firstLine="0"/>
      </w:pPr>
      <w:r>
        <w:rPr>
          <w:rFonts w:ascii="Liberation Serif" w:hAnsi="Liberation Serif" w:eastAsia="Liberation Serif"/>
          <w:b/>
          <w:color w:val="17365D"/>
          <w:sz w:val="21"/>
        </w:rPr>
        <w:t>Определение 8.14. Gauge differential.</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Пусть End_𝔊(A) - эндоморфизмы, сохраняющие градуировку и структурные данные. Производная действия g·μ=g μ(g^{-1}·,g^{-1}·) в единице задаёт</w:t>
      </w:r>
    </w:p>
    <w:p>
      <w:pPr>
        <w:spacing w:before="60" w:after="140"/>
        <w:ind w:firstLine="0"/>
        <w:jc w:val="center"/>
      </w:pPr>
      <w:r>
        <w:rPr>
          <w:rFonts w:ascii="Cambria Math" w:hAnsi="Cambria Math" w:eastAsia="Cambria Math"/>
          <w:sz w:val="22"/>
        </w:rPr>
        <w:t>d¹_μ(ξ)(a,b)=ξ(μ(a,b))-μ(ξa,b)-μ(a,ξb).</w:t>
      </w:r>
    </w:p>
    <w:p>
      <w:pPr>
        <w:spacing w:after="100" w:line="278" w:lineRule="auto"/>
        <w:ind w:firstLine="0"/>
      </w:pPr>
      <w:r>
        <w:rPr>
          <w:rFonts w:ascii="Liberation Serif" w:hAnsi="Liberation Serif" w:eastAsia="Liberation Serif"/>
          <w:b/>
          <w:color w:val="17365D"/>
          <w:sz w:val="21"/>
        </w:rPr>
        <w:t>Теорема 8.15. Stabilizer-derivation identity.</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ker d¹_μ совпадает с пространством структурных дериваций Der_𝔊(A,μ). im d¹_μ является касательным пространством к орбите замены допустимого базиса.</w:t>
      </w:r>
    </w:p>
    <w:p>
      <w:pPr>
        <w:spacing w:after="100" w:line="278" w:lineRule="auto"/>
        <w:ind w:firstLine="0"/>
      </w:pPr>
      <w:r>
        <w:rPr>
          <w:rFonts w:ascii="Liberation Serif" w:hAnsi="Liberation Serif" w:eastAsia="Liberation Serif"/>
          <w:b/>
          <w:color w:val="17365D"/>
          <w:sz w:val="21"/>
        </w:rPr>
        <w:t>Определение 8.16. Reduced tangent space.</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При im d¹_μ⊂Z²_NAPG(μ) определим H²_red(μ)=Z²_NAPG(μ)/im d¹_μ. Это пространство классов первопорядковых деформаций modulo infinitesimal gauge; оно не гарантирует интегрируемость.</w:t>
      </w:r>
    </w:p>
    <w:p>
      <w:pPr>
        <w:keepNext/>
        <w:jc w:val="center"/>
      </w:pPr>
      <w:r>
        <w:drawing>
          <wp:inline xmlns:a="http://schemas.openxmlformats.org/drawingml/2006/main" xmlns:pic="http://schemas.openxmlformats.org/drawingml/2006/picture">
            <wp:extent cx="5715000" cy="4017476"/>
            <wp:docPr id="19" name="Picture 19"/>
            <wp:cNvGraphicFramePr>
              <a:graphicFrameLocks noChangeAspect="1"/>
            </wp:cNvGraphicFramePr>
            <a:graphic>
              <a:graphicData uri="http://schemas.openxmlformats.org/drawingml/2006/picture">
                <pic:pic>
                  <pic:nvPicPr>
                    <pic:cNvPr id="0" name="fig15_napg_tangent.png"/>
                    <pic:cNvPicPr/>
                  </pic:nvPicPr>
                  <pic:blipFill>
                    <a:blip r:embed="rId36"/>
                    <a:stretch>
                      <a:fillRect/>
                    </a:stretch>
                  </pic:blipFill>
                  <pic:spPr>
                    <a:xfrm>
                      <a:off x="0" y="0"/>
                      <a:ext cx="5715000" cy="4017476"/>
                    </a:xfrm>
                    <a:prstGeom prst="rect"/>
                  </pic:spPr>
                </pic:pic>
              </a:graphicData>
            </a:graphic>
          </wp:inline>
        </w:drawing>
      </w:r>
    </w:p>
    <w:p>
      <w:pPr>
        <w:pStyle w:val="Caption"/>
        <w:keepNext/>
        <w:spacing w:after="140"/>
        <w:jc w:val="center"/>
      </w:pPr>
      <w:r>
        <w:rPr>
          <w:rFonts w:ascii="Liberation Serif" w:hAnsi="Liberation Serif" w:eastAsia="Liberation Serif"/>
          <w:b/>
          <w:color w:val="5B6573"/>
          <w:sz w:val="18"/>
        </w:rPr>
        <w:t>Рисунок 15. Двухчленный NAPG tangent complex: стабилизаторы, первопорядковые деформации и второпорядковое препятствие. Собственная схема Тома II.</w:t>
      </w:r>
    </w:p>
    <w:p>
      <w:pPr>
        <w:pStyle w:val="Heading1"/>
        <w:keepNext/>
      </w:pPr>
      <w:r>
        <w:t>50. Касательный комплекс и кокасательная двойственность</w:t>
      </w:r>
    </w:p>
    <w:p>
      <w:pPr>
        <w:pStyle w:val="Heading2"/>
        <w:keepNext/>
      </w:pPr>
      <w:r>
        <w:t>50.1. Двухчленный комплекс модульной задачи</w:t>
      </w:r>
    </w:p>
    <w:p>
      <w:pPr>
        <w:spacing w:after="100" w:line="278" w:lineRule="auto"/>
        <w:ind w:firstLine="0"/>
      </w:pPr>
      <w:r>
        <w:rPr>
          <w:rFonts w:ascii="Liberation Serif" w:hAnsi="Liberation Serif" w:eastAsia="Liberation Serif"/>
          <w:b/>
          <w:color w:val="17365D"/>
          <w:sz w:val="21"/>
        </w:rPr>
        <w:t>Определение 8.17. Tangent complex.</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Для quotient-представления NAPG-модульной задачи вводится двухчленный комплекс T_μ^•=[End_𝔊(A) --d¹_μ→ Z²_NAPG(μ)] в степенях -1 и 0. Тогда H^{-1}(T_μ^•)=Der_𝔊(A,μ), а H⁰(T_μ^•)=H²_red(μ).</w:t>
      </w:r>
    </w:p>
    <w:p>
      <w:pPr>
        <w:spacing w:after="100" w:line="278" w:lineRule="auto"/>
        <w:ind w:firstLine="0"/>
      </w:pPr>
      <w:r>
        <w:rPr>
          <w:rFonts w:ascii="Liberation Serif" w:hAnsi="Liberation Serif" w:eastAsia="Liberation Serif"/>
          <w:b/>
          <w:color w:val="17365D"/>
          <w:sz w:val="21"/>
        </w:rPr>
        <w:t>Смысл.</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Отрицательная когомология хранит инфинитезимальные автоморфизмы, а нулевая - классы деформаций. Простое фактор-пространство теряет информацию о скачках стабилизатора; комплекс сохраняет её и потому предпочтителен на сингулярном quotient-слое.</w:t>
      </w:r>
    </w:p>
    <w:p>
      <w:pPr>
        <w:pStyle w:val="Heading2"/>
        <w:keepNext/>
      </w:pPr>
      <w:r>
        <w:t>50.2. No-go для канонического T≅T*</w:t>
      </w:r>
    </w:p>
    <w:p>
      <w:pPr>
        <w:spacing w:after="100" w:line="278" w:lineRule="auto"/>
        <w:ind w:firstLine="0"/>
      </w:pPr>
      <w:r>
        <w:rPr>
          <w:rFonts w:ascii="Liberation Serif" w:hAnsi="Liberation Serif" w:eastAsia="Liberation Serif"/>
          <w:b/>
          <w:color w:val="17365D"/>
          <w:sz w:val="21"/>
        </w:rPr>
        <w:t>Теорема 8.18. Absence of canonical self-duality.</w:t>
      </w:r>
      <w:r>
        <w:rPr>
          <w:rFonts w:ascii="Liberation Serif" w:hAnsi="Liberation Serif" w:eastAsia="Liberation Serif"/>
          <w:b/>
          <w:color w:val="2F7D32"/>
          <w:sz w:val="20"/>
        </w:rPr>
        <w:t xml:space="preserve"> [CL/THM]</w:t>
      </w:r>
      <w:r>
        <w:rPr>
          <w:rFonts w:ascii="Liberation Serif" w:hAnsi="Liberation Serif" w:eastAsia="Liberation Serif"/>
          <w:sz w:val="21"/>
        </w:rPr>
        <w:t xml:space="preserve"> Для общего конечномерного векторного пространства V не существует естественного изоморфизма V≅V* без дополнительной невырожденной билинейной формы. Канонической является только оценочная карта V→V**; она изоморфна в конечномерном или конечнопроективном режиме.</w:t>
      </w:r>
    </w:p>
    <w:p>
      <w:pPr>
        <w:spacing w:after="100" w:line="278" w:lineRule="auto"/>
        <w:ind w:firstLine="0"/>
      </w:pPr>
      <w:r>
        <w:rPr>
          <w:rFonts w:ascii="Liberation Serif" w:hAnsi="Liberation Serif" w:eastAsia="Liberation Serif"/>
          <w:b/>
          <w:color w:val="17365D"/>
          <w:sz w:val="21"/>
        </w:rPr>
        <w:t>Следствие 8.19. NAPG duality boundary.</w:t>
      </w:r>
      <w:r>
        <w:rPr>
          <w:rFonts w:ascii="Liberation Serif" w:hAnsi="Liberation Serif" w:eastAsia="Liberation Serif"/>
          <w:b/>
          <w:color w:val="2F7D32"/>
          <w:sz w:val="20"/>
        </w:rPr>
        <w:t xml:space="preserve"> [THM/COND]</w:t>
      </w:r>
      <w:r>
        <w:rPr>
          <w:rFonts w:ascii="Liberation Serif" w:hAnsi="Liberation Serif" w:eastAsia="Liberation Serif"/>
          <w:sz w:val="21"/>
        </w:rPr>
        <w:t xml:space="preserve"> Кокасательный комплекс нельзя автоматически называть тем же объектом, что tangent complex. Дуализация T_μ^• допустима при конечной проектности компонентов; идентификация требует выбранной метрики или pairing, проверенного на gauge и descent-слоях.</w:t>
      </w: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FCE4D6"/>
            <w:tcMar>
              <w:top w:w="150" w:type="dxa"/>
              <w:start w:w="180" w:type="dxa"/>
              <w:bottom w:w="150" w:type="dxa"/>
              <w:end w:w="180" w:type="dxa"/>
            </w:tcMar>
            <w:vAlign w:val="center"/>
          </w:tcPr>
          <w:p>
            <w:pPr>
              <w:spacing w:after="60"/>
            </w:pPr>
            <w:r>
              <w:rPr>
                <w:rFonts w:ascii="Liberation Sans" w:hAnsi="Liberation Sans" w:eastAsia="Liberation Sans"/>
                <w:b/>
                <w:color w:val="843C0C"/>
                <w:sz w:val="21"/>
              </w:rPr>
              <w:t>Граница Hodge-слоя</w:t>
            </w:r>
          </w:p>
          <w:p>
            <w:pPr>
              <w:spacing w:after="0" w:line="269" w:lineRule="auto"/>
            </w:pPr>
            <w:r>
              <w:rPr>
                <w:rFonts w:ascii="Liberation Serif" w:hAnsi="Liberation Serif" w:eastAsia="Liberation Serif"/>
                <w:color w:val="27313F"/>
                <w:sz w:val="20"/>
              </w:rPr>
              <w:t>Оператор Hodge действует на внешние степени после выбора метрики и ориентации. Он не создаёт сам по себе канонического изоморфизма между касательным модулем деформаций операций и его линейным дуалом. Этот мост относится к главе 11 и остаётся условным.</w:t>
            </w:r>
          </w:p>
        </w:tc>
      </w:tr>
    </w:tbl>
    <w:p>
      <w:pPr>
        <w:spacing w:after="40"/>
      </w:pPr>
    </w:p>
    <w:p>
      <w:pPr>
        <w:pStyle w:val="Heading1"/>
        <w:keepNext/>
      </w:pPr>
      <w:r>
        <w:t>51. Второй порядок и интегрируемость</w:t>
      </w:r>
    </w:p>
    <w:p>
      <w:pPr>
        <w:pStyle w:val="Heading2"/>
        <w:keepNext/>
      </w:pPr>
      <w:r>
        <w:t>51.1. Квадратичное уравнение продолжения</w:t>
      </w:r>
    </w:p>
    <w:p>
      <w:pPr>
        <w:spacing w:after="100" w:line="278" w:lineRule="auto"/>
        <w:ind w:firstLine="0"/>
      </w:pPr>
      <w:r>
        <w:rPr>
          <w:rFonts w:ascii="Liberation Serif" w:hAnsi="Liberation Serif" w:eastAsia="Liberation Serif"/>
          <w:b/>
          <w:color w:val="17365D"/>
          <w:sz w:val="21"/>
        </w:rPr>
        <w:t>Определение 8.20. Second-order admissibility.</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Пусть F(μ)=0 и путь имеет вид μ_t=μ+tν+t²ω+O(t³). Коэффициент первого порядка требует DF_μ(ν)=0. Второй порядок требует существования ω, для которого</w:t>
      </w:r>
    </w:p>
    <w:p>
      <w:pPr>
        <w:spacing w:before="60" w:after="140"/>
        <w:ind w:firstLine="0"/>
        <w:jc w:val="center"/>
      </w:pPr>
      <w:r>
        <w:rPr>
          <w:rFonts w:ascii="Cambria Math" w:hAnsi="Cambria Math" w:eastAsia="Cambria Math"/>
          <w:sz w:val="22"/>
        </w:rPr>
        <w:t>D F_μ(ω) + Q_μ(ν,ν) = 0,</w:t>
      </w:r>
    </w:p>
    <w:p>
      <w:pPr>
        <w:spacing w:after="100" w:line="278" w:lineRule="auto"/>
        <w:ind w:firstLine="0"/>
      </w:pPr>
      <w:r>
        <w:rPr>
          <w:rFonts w:ascii="Liberation Serif" w:hAnsi="Liberation Serif" w:eastAsia="Liberation Serif"/>
          <w:sz w:val="21"/>
        </w:rPr>
        <w:t>где Q_μ - квадратичная часть разложения F. Класс Q_μ(ν,ν) modulo im DF_μ является второпорядковым препятствием. Его нельзя обнулять выбором обозначения; приходится, к сожалению, решать уравнение.</w:t>
      </w:r>
    </w:p>
    <w:p>
      <w:pPr>
        <w:spacing w:after="100" w:line="278" w:lineRule="auto"/>
        <w:ind w:firstLine="0"/>
      </w:pPr>
      <w:r>
        <w:rPr>
          <w:rFonts w:ascii="Liberation Serif" w:hAnsi="Liberation Serif" w:eastAsia="Liberation Serif"/>
          <w:b/>
          <w:color w:val="17365D"/>
          <w:sz w:val="21"/>
        </w:rPr>
        <w:t>Теорема 8.21. First-order is not integrability.</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Включения множеств направлений имеют вид T_arc,x⊂C_xM⊂T_xM. Оба включения могут быть строгими. Поэтому класс [ν]∈H²_red(μ) является формальным деформационным направлением, но не обязательно касательной к реальному семейству NAPG-объектов.</w:t>
      </w:r>
    </w:p>
    <w:p>
      <w:pPr>
        <w:pStyle w:val="Heading2"/>
        <w:keepNext/>
      </w:pPr>
      <w:r>
        <w:t>51.2. Масштабная семья нулевой операции</w:t>
      </w:r>
    </w:p>
    <w:p>
      <w:pPr>
        <w:spacing w:after="100" w:line="278" w:lineRule="auto"/>
        <w:ind w:firstLine="0"/>
      </w:pPr>
      <w:r>
        <w:rPr>
          <w:rFonts w:ascii="Liberation Serif" w:hAnsi="Liberation Serif" w:eastAsia="Liberation Serif"/>
          <w:b/>
          <w:color w:val="17365D"/>
          <w:sz w:val="21"/>
        </w:rPr>
        <w:t>Пример 8.22. Quadratic onset of nonassociativity.</w:t>
      </w:r>
      <w:r>
        <w:rPr>
          <w:rFonts w:ascii="Liberation Serif" w:hAnsi="Liberation Serif" w:eastAsia="Liberation Serif"/>
          <w:b/>
          <w:color w:val="2F7D32"/>
          <w:sz w:val="20"/>
        </w:rPr>
        <w:t xml:space="preserve"> [THM/EX]</w:t>
      </w:r>
      <w:r>
        <w:rPr>
          <w:rFonts w:ascii="Liberation Serif" w:hAnsi="Liberation Serif" w:eastAsia="Liberation Serif"/>
          <w:sz w:val="21"/>
        </w:rPr>
        <w:t xml:space="preserve"> Пусть μ₀=0 и ν - операция двумерной алгебры A₂ из Тома I. Рассмотрим μ_t=tν. Тогда Ass_{μ_t}=t²Ass_ν. Следовательно, DAss_0(ν)=0: вся операция ν проходит первопорядковый тест ассоциативности в нулевой алгебре. Но при t≠0 и Ass_ν≠0 семейство немедленно становится неассоциативным на втором порядке.</w:t>
      </w:r>
    </w:p>
    <w:p>
      <w:pPr>
        <w:spacing w:after="100" w:line="278" w:lineRule="auto"/>
        <w:ind w:firstLine="0"/>
      </w:pPr>
      <w:r>
        <w:rPr>
          <w:rFonts w:ascii="Liberation Serif" w:hAnsi="Liberation Serif" w:eastAsia="Liberation Serif"/>
          <w:b/>
          <w:color w:val="17365D"/>
          <w:sz w:val="21"/>
        </w:rPr>
        <w:t>Вывод.</w:t>
      </w:r>
      <w:r>
        <w:rPr>
          <w:rFonts w:ascii="Liberation Serif" w:hAnsi="Liberation Serif" w:eastAsia="Liberation Serif"/>
          <w:b/>
          <w:color w:val="2F7D32"/>
          <w:sz w:val="20"/>
        </w:rPr>
        <w:t xml:space="preserve"> [THM/INTERFACE]</w:t>
      </w:r>
      <w:r>
        <w:rPr>
          <w:rFonts w:ascii="Liberation Serif" w:hAnsi="Liberation Serif" w:eastAsia="Liberation Serif"/>
          <w:sz w:val="21"/>
        </w:rPr>
        <w:t xml:space="preserve"> Нулевая операция является сингулярной точкой пространства ассоциативных структур: её Zariski tangent space слишком велик. Квадратичный слой R⋆R и Θ_min необходимы именно для отсечения таких ложных первопорядковых направлений.</w:t>
      </w:r>
    </w:p>
    <w:p>
      <w:pPr>
        <w:pStyle w:val="Heading1"/>
        <w:keepNext/>
      </w:pPr>
      <w:r>
        <w:t>52. Область гладкости NAPG</w:t>
      </w:r>
    </w:p>
    <w:p>
      <w:pPr>
        <w:pStyle w:val="Heading2"/>
        <w:keepNext/>
      </w:pPr>
      <w:r>
        <w:t>52.1. Формальная и дифференциальная гладкость</w:t>
      </w:r>
    </w:p>
    <w:p>
      <w:pPr>
        <w:spacing w:after="100" w:line="278" w:lineRule="auto"/>
        <w:ind w:firstLine="0"/>
      </w:pPr>
      <w:r>
        <w:rPr>
          <w:rFonts w:ascii="Liberation Serif" w:hAnsi="Liberation Serif" w:eastAsia="Liberation Serif"/>
          <w:b/>
          <w:color w:val="17365D"/>
          <w:sz w:val="21"/>
        </w:rPr>
        <w:t>Определение 8.23. Formally smooth point.</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Точка μ модульной задачи называется формально гладкой, если всякое допустимое поднятие через квадрат-нуль расширение существует локально и совместимо с замороженными структурами 𝔊, D/Dom и descent.</w:t>
      </w:r>
    </w:p>
    <w:p>
      <w:pPr>
        <w:spacing w:after="100" w:line="278" w:lineRule="auto"/>
        <w:ind w:firstLine="0"/>
      </w:pPr>
      <w:r>
        <w:rPr>
          <w:rFonts w:ascii="Liberation Serif" w:hAnsi="Liberation Serif" w:eastAsia="Liberation Serif"/>
          <w:b/>
          <w:color w:val="17365D"/>
          <w:sz w:val="21"/>
        </w:rPr>
        <w:t>Определение 8.24. Finite-dimensional regular sector.</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В коэффициентной модели M_NAPG=F^{-1}(0) точка регулярна, если DF имеет локально постоянный ранг, stabilizer dimension постоянна, действие gauge локально хорошо ведёт себя, а admissible domain открыт в выбранной топологии.</w:t>
      </w:r>
    </w:p>
    <w:p>
      <w:pPr>
        <w:spacing w:after="100" w:line="278" w:lineRule="auto"/>
        <w:ind w:firstLine="0"/>
      </w:pPr>
      <w:r>
        <w:rPr>
          <w:rFonts w:ascii="Liberation Serif" w:hAnsi="Liberation Serif" w:eastAsia="Liberation Serif"/>
          <w:b/>
          <w:color w:val="17365D"/>
          <w:sz w:val="21"/>
        </w:rPr>
        <w:t>Условная теорема 8.25. Constant-rank local model.</w:t>
      </w:r>
      <w:r>
        <w:rPr>
          <w:rFonts w:ascii="Liberation Serif" w:hAnsi="Liberation Serif" w:eastAsia="Liberation Serif"/>
          <w:b/>
          <w:color w:val="7A3E00"/>
          <w:sz w:val="20"/>
        </w:rPr>
        <w:t xml:space="preserve"> [COND]</w:t>
      </w:r>
      <w:r>
        <w:rPr>
          <w:rFonts w:ascii="Liberation Serif" w:hAnsi="Liberation Serif" w:eastAsia="Liberation Serif"/>
          <w:sz w:val="21"/>
        </w:rPr>
        <w:t xml:space="preserve"> Если F является C^r, DF_μ имеет постоянный ранг в окрестности, gauge-action свободно и собственно на выбранном секторе, а descent effective, то M_NAPG/G локально является C^r-многообразием с касательным пространством H²_red(μ).</w:t>
      </w:r>
    </w:p>
    <w:p>
      <w:pPr>
        <w:spacing w:after="100" w:line="278" w:lineRule="auto"/>
        <w:ind w:firstLine="0"/>
      </w:pPr>
      <w:r>
        <w:rPr>
          <w:rFonts w:ascii="Liberation Serif" w:hAnsi="Liberation Serif" w:eastAsia="Liberation Serif"/>
          <w:b/>
          <w:color w:val="17365D"/>
          <w:sz w:val="21"/>
        </w:rPr>
        <w:t>Граница.</w:t>
      </w:r>
      <w:r>
        <w:rPr>
          <w:rFonts w:ascii="Liberation Serif" w:hAnsi="Liberation Serif" w:eastAsia="Liberation Serif"/>
          <w:b/>
          <w:color w:val="7A3E00"/>
          <w:sz w:val="20"/>
        </w:rPr>
        <w:t xml:space="preserve"> [OPEN]</w:t>
      </w:r>
      <w:r>
        <w:rPr>
          <w:rFonts w:ascii="Liberation Serif" w:hAnsi="Liberation Serif" w:eastAsia="Liberation Serif"/>
          <w:sz w:val="21"/>
        </w:rPr>
        <w:t xml:space="preserve"> При ненулевом стабилизаторе, непостоянном ранге или неэффективном quotient корректным объектом является tangent complex либо stacky/derived local model, а не обычное касательное расслоение.</w:t>
      </w:r>
    </w:p>
    <w:p>
      <w:pPr>
        <w:pStyle w:val="Heading2"/>
        <w:keepNext/>
      </w:pPr>
      <w:r>
        <w:t>52.2. Линеаризационный горизонт</w:t>
      </w:r>
    </w:p>
    <w:p>
      <w:pPr>
        <w:spacing w:after="100" w:line="278" w:lineRule="auto"/>
        <w:ind w:firstLine="0"/>
      </w:pPr>
      <w:r>
        <w:rPr>
          <w:rFonts w:ascii="Liberation Serif" w:hAnsi="Liberation Serif" w:eastAsia="Liberation Serif"/>
          <w:b/>
          <w:color w:val="17365D"/>
          <w:sz w:val="21"/>
        </w:rPr>
        <w:t>Определение 8.26. Linearization horizon.</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Обозначим Δ_lin объединение параметров, где: rank DF скачет; tangent module не локально свободен; stabilizer dimension меняется; projective chart попадает в полюс λ; pairing tangent/cotangent вырождается; tangent cone не является линейным пространством; второй порядок неразрешим; либо D/Dom/descent теряют валидность.</w:t>
      </w:r>
    </w:p>
    <w:p>
      <w:pPr>
        <w:spacing w:before="60" w:after="140"/>
        <w:ind w:firstLine="0"/>
        <w:jc w:val="center"/>
      </w:pPr>
      <w:r>
        <w:rPr>
          <w:rFonts w:ascii="Cambria Math" w:hAnsi="Cambria Math" w:eastAsia="Cambria Math"/>
          <w:sz w:val="22"/>
        </w:rPr>
        <w:t>Δ_safe = Δ_total ∪ Δ_lin.</w:t>
      </w:r>
    </w:p>
    <w:p>
      <w:pPr>
        <w:spacing w:after="100" w:line="278" w:lineRule="auto"/>
        <w:ind w:firstLine="0"/>
      </w:pPr>
      <w:r>
        <w:rPr>
          <w:rFonts w:ascii="Liberation Serif" w:hAnsi="Liberation Serif" w:eastAsia="Liberation Serif"/>
          <w:b/>
          <w:color w:val="17365D"/>
          <w:sz w:val="21"/>
        </w:rPr>
        <w:t>Теорема 8.27. Local constancy outside the horizon.</w:t>
      </w:r>
      <w:r>
        <w:rPr>
          <w:rFonts w:ascii="Liberation Serif" w:hAnsi="Liberation Serif" w:eastAsia="Liberation Serif"/>
          <w:b/>
          <w:color w:val="7A3E00"/>
          <w:sz w:val="20"/>
        </w:rPr>
        <w:t xml:space="preserve"> [COND]</w:t>
      </w:r>
      <w:r>
        <w:rPr>
          <w:rFonts w:ascii="Liberation Serif" w:hAnsi="Liberation Serif" w:eastAsia="Liberation Serif"/>
          <w:sz w:val="21"/>
        </w:rPr>
        <w:t xml:space="preserve"> В конечномерной C^r-модели при гипотезах теоремы 8.25 размеры Z²_NAPG, im d¹, Der_𝔊 и H²_red локально постоянны на каждой связной компоненте дополнения Δ_safe. Изменение этих дискретных профилей требует пересечения Δ_safe.</w:t>
      </w:r>
    </w:p>
    <w:p>
      <w:pPr>
        <w:spacing w:after="100" w:line="278" w:lineRule="auto"/>
        <w:ind w:firstLine="0"/>
      </w:pPr>
      <w:r>
        <w:rPr>
          <w:rFonts w:ascii="Liberation Serif" w:hAnsi="Liberation Serif" w:eastAsia="Liberation Serif"/>
          <w:b/>
          <w:color w:val="17365D"/>
          <w:sz w:val="21"/>
        </w:rPr>
        <w:t>Предупреждение.</w:t>
      </w:r>
      <w:r>
        <w:rPr>
          <w:rFonts w:ascii="Liberation Serif" w:hAnsi="Liberation Serif" w:eastAsia="Liberation Serif"/>
          <w:b/>
          <w:color w:val="7A3E00"/>
          <w:sz w:val="20"/>
        </w:rPr>
        <w:t xml:space="preserve"> [OPEN]</w:t>
      </w:r>
      <w:r>
        <w:rPr>
          <w:rFonts w:ascii="Liberation Serif" w:hAnsi="Liberation Serif" w:eastAsia="Liberation Serif"/>
          <w:sz w:val="21"/>
        </w:rPr>
        <w:t xml:space="preserve"> Попадание в Δ_safe является необходимым локатором возможной перестройки, но не доказывает сам переход. Это фильтр кандидатов, а не пророческий оракул, как бы заманчиво ни было поручить матрице Якоби карьеру Пифии.</w:t>
      </w:r>
    </w:p>
    <w:p>
      <w:pPr>
        <w:pStyle w:val="Heading1"/>
        <w:keepNext/>
      </w:pPr>
      <w:r>
        <w:t>53. Дифференциал проективно-гармонической координаты</w:t>
      </w:r>
    </w:p>
    <w:p>
      <w:pPr>
        <w:pStyle w:val="Heading2"/>
        <w:keepNext/>
      </w:pPr>
      <w:r>
        <w:t>53.1. Логарифмическая производная λ</w:t>
      </w:r>
    </w:p>
    <w:p>
      <w:pPr>
        <w:spacing w:after="100" w:line="278" w:lineRule="auto"/>
        <w:ind w:firstLine="0"/>
      </w:pPr>
      <w:r>
        <w:rPr>
          <w:rFonts w:ascii="Liberation Serif" w:hAnsi="Liberation Serif" w:eastAsia="Liberation Serif"/>
          <w:b/>
          <w:color w:val="17365D"/>
          <w:sz w:val="21"/>
        </w:rPr>
        <w:t>Теорема 8.28. Differential of cross-ratio.</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В аффинной карте вне диагоналей и полюсов для λ=((u-r)(i-d))/((u-d)(i-r)) справедливо</w:t>
      </w:r>
    </w:p>
    <w:p>
      <w:pPr>
        <w:spacing w:before="60" w:after="140"/>
        <w:ind w:firstLine="0"/>
        <w:jc w:val="center"/>
      </w:pPr>
      <w:r>
        <w:rPr>
          <w:rFonts w:ascii="Cambria Math" w:hAnsi="Cambria Math" w:eastAsia="Cambria Math"/>
          <w:sz w:val="22"/>
        </w:rPr>
        <w:t>dλ/λ = (du-dr)/(u-r) + (di-dd)/(i-d) - (du-dd)/(u-d) - (di-dr)/(i-r).</w:t>
      </w:r>
    </w:p>
    <w:p>
      <w:pPr>
        <w:spacing w:after="100" w:line="278" w:lineRule="auto"/>
        <w:ind w:firstLine="0"/>
      </w:pPr>
      <w:r>
        <w:rPr>
          <w:rFonts w:ascii="Liberation Serif" w:hAnsi="Liberation Serif" w:eastAsia="Liberation Serif"/>
          <w:b/>
          <w:color w:val="17365D"/>
          <w:sz w:val="21"/>
        </w:rPr>
        <w:t>Следствие 8.29. Tangent to the harmonic locus.</w:t>
      </w:r>
      <w:r>
        <w:rPr>
          <w:rFonts w:ascii="Liberation Serif" w:hAnsi="Liberation Serif" w:eastAsia="Liberation Serif"/>
          <w:b/>
          <w:color w:val="2F7D32"/>
          <w:sz w:val="20"/>
        </w:rPr>
        <w:t xml:space="preserve"> [THM/COND]</w:t>
      </w:r>
      <w:r>
        <w:rPr>
          <w:rFonts w:ascii="Liberation Serif" w:hAnsi="Liberation Serif" w:eastAsia="Liberation Serif"/>
          <w:sz w:val="21"/>
        </w:rPr>
        <w:t xml:space="preserve"> В гладкой точке λ=-1 касательное пространство гармонического локуса задаётся ker dλ, если dλ≠0. Если dλ=0, гармонический локус сингулярен или имеет более высокий порядок контакта, и требуется Hessian/jet-анализ.</w:t>
      </w:r>
    </w:p>
    <w:p>
      <w:pPr>
        <w:pStyle w:val="Heading2"/>
        <w:keepNext/>
      </w:pPr>
      <w:r>
        <w:t>53.2. Вырождение квадратичного дефекта</w:t>
      </w:r>
    </w:p>
    <w:p>
      <w:pPr>
        <w:spacing w:after="100" w:line="278" w:lineRule="auto"/>
        <w:ind w:firstLine="0"/>
      </w:pPr>
      <w:r>
        <w:rPr>
          <w:rFonts w:ascii="Liberation Serif" w:hAnsi="Liberation Serif" w:eastAsia="Liberation Serif"/>
          <w:b/>
          <w:color w:val="17365D"/>
          <w:sz w:val="21"/>
        </w:rPr>
        <w:t>Определение 8.30. Smooth harmonic risk.</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Для K=R или C положим q=|λ+1|² на области, где λ определена. Тогда Dq(v)=2 Re(conj(λ+1)·Dλ(v)).</w:t>
      </w:r>
    </w:p>
    <w:p>
      <w:pPr>
        <w:spacing w:after="100" w:line="278" w:lineRule="auto"/>
        <w:ind w:firstLine="0"/>
      </w:pPr>
      <w:r>
        <w:rPr>
          <w:rFonts w:ascii="Liberation Serif" w:hAnsi="Liberation Serif" w:eastAsia="Liberation Serif"/>
          <w:b/>
          <w:color w:val="17365D"/>
          <w:sz w:val="21"/>
        </w:rPr>
        <w:t>Теорема 8.31. First-order blindness at exact harmony.</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На точном гармоническом локусе λ=-1 имеем Dq=0 для всех направлений. Следовательно, градиент q не различает сохранение и разрушение гармонии в первом порядке. Второй дифференциал на направлении v содержит 2|Dλ(v)|² и становится первым невырожденным тестом, если Dλ(v)≠0.</w:t>
      </w: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FFF2CC"/>
            <w:tcMar>
              <w:top w:w="150" w:type="dxa"/>
              <w:start w:w="180" w:type="dxa"/>
              <w:bottom w:w="150" w:type="dxa"/>
              <w:end w:w="180" w:type="dxa"/>
            </w:tcMar>
            <w:vAlign w:val="center"/>
          </w:tcPr>
          <w:p>
            <w:pPr>
              <w:spacing w:after="60"/>
            </w:pPr>
            <w:r>
              <w:rPr>
                <w:rFonts w:ascii="Liberation Sans" w:hAnsi="Liberation Sans" w:eastAsia="Liberation Sans"/>
                <w:b/>
                <w:color w:val="7F6000"/>
                <w:sz w:val="21"/>
              </w:rPr>
              <w:t>Значение для KLT-RBD</w:t>
            </w:r>
          </w:p>
          <w:p>
            <w:pPr>
              <w:spacing w:after="0" w:line="269" w:lineRule="auto"/>
            </w:pPr>
            <w:r>
              <w:rPr>
                <w:rFonts w:ascii="Liberation Serif" w:hAnsi="Liberation Serif" w:eastAsia="Liberation Serif"/>
                <w:color w:val="27313F"/>
                <w:sz w:val="20"/>
              </w:rPr>
              <w:t>Алгоритм, который ранжирует направления только по первой производной δ_truth² в уже гармонической точке, неизбежно возвращает ничью. В v0.6 это не ошибка данных, а доказанное вырождение критерия. Требуется dλ, Hessian или более высокий jet.</w:t>
            </w:r>
          </w:p>
        </w:tc>
      </w:tr>
    </w:tbl>
    <w:p>
      <w:pPr>
        <w:spacing w:after="40"/>
      </w:pPr>
    </w:p>
    <w:p>
      <w:pPr>
        <w:pStyle w:val="Heading1"/>
        <w:keepNext/>
      </w:pPr>
      <w:r>
        <w:t>54. Локальный предсказательный конус</w:t>
      </w:r>
    </w:p>
    <w:p>
      <w:pPr>
        <w:pStyle w:val="Heading2"/>
        <w:keepNext/>
      </w:pPr>
      <w:r>
        <w:t>54.1. Составная карта ограничений</w:t>
      </w:r>
    </w:p>
    <w:p>
      <w:pPr>
        <w:spacing w:after="100" w:line="278" w:lineRule="auto"/>
        <w:ind w:firstLine="0"/>
      </w:pPr>
      <w:r>
        <w:rPr>
          <w:rFonts w:ascii="Liberation Serif" w:hAnsi="Liberation Serif" w:eastAsia="Liberation Serif"/>
          <w:b/>
          <w:color w:val="17365D"/>
          <w:sz w:val="21"/>
        </w:rPr>
        <w:t>Определение 8.32. Structural constraint map.</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Пусть G=(F_NAPG,Π,h,B_D,B_Dom,B_glue), где h=λ+1, а последние компоненты кодируют доказательные и глобализационные блокеры в выбранной гладкой модели. В точке x с G(x)=0 линейно допустимые направления образуют ker DG_x.</w:t>
      </w:r>
    </w:p>
    <w:p>
      <w:pPr>
        <w:spacing w:after="100" w:line="278" w:lineRule="auto"/>
        <w:ind w:firstLine="0"/>
      </w:pPr>
      <w:r>
        <w:rPr>
          <w:rFonts w:ascii="Liberation Serif" w:hAnsi="Liberation Serif" w:eastAsia="Liberation Serif"/>
          <w:b/>
          <w:color w:val="17365D"/>
          <w:sz w:val="21"/>
        </w:rPr>
        <w:t>Определение 8.33. Integrable predictive direction.</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Направление v получает статус INT-DIR, если: v∈C_x(G^{-1}(0)); существует second-order witness w; имеется допустимая дуга x(t) с x(0)=x, x′(0)=v; Evidence-D и Dom продолжаются вдоль дуги; harmonic criterion проверен на нужном jet-порядке; Block_tan=∅.</w:t>
      </w:r>
    </w:p>
    <w:p>
      <w:pPr>
        <w:spacing w:before="60" w:after="140"/>
        <w:ind w:firstLine="0"/>
        <w:jc w:val="center"/>
      </w:pPr>
      <w:r>
        <w:rPr>
          <w:rFonts w:ascii="Cambria Math" w:hAnsi="Cambria Math" w:eastAsia="Cambria Math"/>
          <w:sz w:val="22"/>
        </w:rPr>
        <w:t>Block_tan = B_rank ∪ B_cone ∪ B_ob2 ∪ B_arc ∪ B_dual ∪ B_lambda ∪ B_D ∪ B_Dom ∪ B_glue.</w:t>
      </w:r>
    </w:p>
    <w:p>
      <w:pPr>
        <w:spacing w:after="100" w:line="278" w:lineRule="auto"/>
        <w:ind w:firstLine="0"/>
      </w:pPr>
      <w:r>
        <w:rPr>
          <w:rFonts w:ascii="Liberation Serif" w:hAnsi="Liberation Serif" w:eastAsia="Liberation Serif"/>
          <w:b/>
          <w:color w:val="17365D"/>
          <w:sz w:val="21"/>
        </w:rPr>
        <w:t>Теорема 8.34. Tangent-safe predictive transport.</w:t>
      </w:r>
      <w:r>
        <w:rPr>
          <w:rFonts w:ascii="Liberation Serif" w:hAnsi="Liberation Serif" w:eastAsia="Liberation Serif"/>
          <w:b/>
          <w:color w:val="7A3E00"/>
          <w:sz w:val="20"/>
        </w:rPr>
        <w:t xml:space="preserve"> [COND]</w:t>
      </w:r>
      <w:r>
        <w:rPr>
          <w:rFonts w:ascii="Liberation Serif" w:hAnsi="Liberation Serif" w:eastAsia="Liberation Serif"/>
          <w:sz w:val="21"/>
        </w:rPr>
        <w:t xml:space="preserve"> При изоморфизме NAPG-объектов, сохраняющем F, gauge-action, projective-Reper atlas, Evidence-D и descent, образ интегрируемого направления снова интегрируем, а статус INT-DIR инвариантен.</w:t>
      </w:r>
    </w:p>
    <w:p>
      <w:pPr>
        <w:spacing w:after="100" w:line="278" w:lineRule="auto"/>
        <w:ind w:firstLine="0"/>
      </w:pPr>
      <w:r>
        <w:rPr>
          <w:rFonts w:ascii="Liberation Serif" w:hAnsi="Liberation Serif" w:eastAsia="Liberation Serif"/>
          <w:b/>
          <w:color w:val="17365D"/>
          <w:sz w:val="21"/>
        </w:rPr>
        <w:t>Теорема 8.35. No-event from tangent data alone.</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Из существования ненулевого H²_red(μ), большого Zariski tangent space или направления Dq&lt;0 не следует существование будущего события. Без cone/obstruction/arc witnesses допустим только статус FORMAL-DIRECTION либо ABSTAIN.</w:t>
      </w:r>
    </w:p>
    <w:p>
      <w:pPr>
        <w:keepNext/>
        <w:jc w:val="center"/>
      </w:pPr>
      <w:r>
        <w:drawing>
          <wp:inline xmlns:a="http://schemas.openxmlformats.org/drawingml/2006/main" xmlns:pic="http://schemas.openxmlformats.org/drawingml/2006/picture">
            <wp:extent cx="5715000" cy="8724744"/>
            <wp:docPr id="20" name="Picture 20"/>
            <wp:cNvGraphicFramePr>
              <a:graphicFrameLocks noChangeAspect="1"/>
            </wp:cNvGraphicFramePr>
            <a:graphic>
              <a:graphicData uri="http://schemas.openxmlformats.org/drawingml/2006/picture">
                <pic:pic>
                  <pic:nvPicPr>
                    <pic:cNvPr id="0" name="fig16_tangent_gate.png"/>
                    <pic:cNvPicPr/>
                  </pic:nvPicPr>
                  <pic:blipFill>
                    <a:blip r:embed="rId37"/>
                    <a:stretch>
                      <a:fillRect/>
                    </a:stretch>
                  </pic:blipFill>
                  <pic:spPr>
                    <a:xfrm>
                      <a:off x="0" y="0"/>
                      <a:ext cx="5715000" cy="8724744"/>
                    </a:xfrm>
                    <a:prstGeom prst="rect"/>
                  </pic:spPr>
                </pic:pic>
              </a:graphicData>
            </a:graphic>
          </wp:inline>
        </w:drawing>
      </w:r>
    </w:p>
    <w:p>
      <w:pPr>
        <w:pStyle w:val="Caption"/>
        <w:keepNext/>
        <w:spacing w:after="140"/>
        <w:jc w:val="center"/>
      </w:pPr>
      <w:r>
        <w:rPr>
          <w:rFonts w:ascii="Liberation Serif" w:hAnsi="Liberation Serif" w:eastAsia="Liberation Serif"/>
          <w:b/>
          <w:color w:val="5B6573"/>
          <w:sz w:val="18"/>
        </w:rPr>
        <w:t>Рисунок 16. Локальный предсказательный шлюз v0.6: от линейного направления к интегрируемой допустимой дуге. Собственная схема Тома II.</w:t>
      </w:r>
    </w:p>
    <w:p>
      <w:pPr>
        <w:pStyle w:val="Heading1"/>
        <w:keepNext/>
      </w:pPr>
      <w:r>
        <w:t>55. Вычислительный сертификат tangent/cotangent v0.6</w:t>
      </w:r>
    </w:p>
    <w:p>
      <w:pPr>
        <w:pStyle w:val="Heading2"/>
        <w:keepNext/>
      </w:pPr>
      <w:r>
        <w:t>55.1. Объекты сертификата</w:t>
      </w: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3251"/>
        <w:gridCol w:w="3251"/>
        <w:gridCol w:w="3251"/>
      </w:tblGrid>
      <w:tr>
        <w:trPr>
          <w:tblHeader w:val="true"/>
        </w:trPr>
        <w:tc>
          <w:tcPr>
            <w:tcW w:type="dxa" w:w="113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ID</w:t>
            </w:r>
          </w:p>
        </w:tc>
        <w:tc>
          <w:tcPr>
            <w:tcW w:type="dxa" w:w="2268"/>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Объект</w:t>
            </w:r>
          </w:p>
        </w:tc>
        <w:tc>
          <w:tcPr>
            <w:tcW w:type="dxa" w:w="5839"/>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Обязательные поля</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TAN-01</w:t>
            </w:r>
          </w:p>
        </w:tc>
        <w:tc>
          <w:tcPr>
            <w:tcW w:type="dxa" w:w="226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ambient coefficient model</w:t>
            </w:r>
          </w:p>
        </w:tc>
        <w:tc>
          <w:tcPr>
            <w:tcW w:type="dxa" w:w="5839"/>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basis, grading, structure equations, Dom, exact field</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JAC-02</w:t>
            </w:r>
          </w:p>
        </w:tc>
        <w:tc>
          <w:tcPr>
            <w:tcW w:type="dxa" w:w="226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Jacobian DF</w:t>
            </w:r>
          </w:p>
        </w:tc>
        <w:tc>
          <w:tcPr>
            <w:tcW w:type="dxa" w:w="5839"/>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symbolic matrix, rank, minors, parameter domain</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GAU-03</w:t>
            </w:r>
          </w:p>
        </w:tc>
        <w:tc>
          <w:tcPr>
            <w:tcW w:type="dxa" w:w="226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gauge differential d¹</w:t>
            </w:r>
          </w:p>
        </w:tc>
        <w:tc>
          <w:tcPr>
            <w:tcW w:type="dxa" w:w="5839"/>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End_𝔊 basis, orbit rank, stabilizer basis</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H2R-04</w:t>
            </w:r>
          </w:p>
        </w:tc>
        <w:tc>
          <w:tcPr>
            <w:tcW w:type="dxa" w:w="226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reduced tangent</w:t>
            </w:r>
          </w:p>
        </w:tc>
        <w:tc>
          <w:tcPr>
            <w:tcW w:type="dxa" w:w="5839"/>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Z² basis, im d¹ basis, quotient representatives</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COT-05</w:t>
            </w:r>
          </w:p>
        </w:tc>
        <w:tc>
          <w:tcPr>
            <w:tcW w:type="dxa" w:w="226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cotangent/conormal</w:t>
            </w:r>
          </w:p>
        </w:tc>
        <w:tc>
          <w:tcPr>
            <w:tcW w:type="dxa" w:w="5839"/>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m/m² or Jacobian row module, duality assumptions</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CON-06</w:t>
            </w:r>
          </w:p>
        </w:tc>
        <w:tc>
          <w:tcPr>
            <w:tcW w:type="dxa" w:w="226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tangent cone</w:t>
            </w:r>
          </w:p>
        </w:tc>
        <w:tc>
          <w:tcPr>
            <w:tcW w:type="dxa" w:w="5839"/>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initial ideal, Gröbner order, reduced/nonreduced flag</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OB2-07</w:t>
            </w:r>
          </w:p>
        </w:tc>
        <w:tc>
          <w:tcPr>
            <w:tcW w:type="dxa" w:w="226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second-order obstruction</w:t>
            </w:r>
          </w:p>
        </w:tc>
        <w:tc>
          <w:tcPr>
            <w:tcW w:type="dxa" w:w="5839"/>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Q(v,v), target quotient, solver witness</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ARC-08</w:t>
            </w:r>
          </w:p>
        </w:tc>
        <w:tc>
          <w:tcPr>
            <w:tcW w:type="dxa" w:w="226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integrable arc</w:t>
            </w:r>
          </w:p>
        </w:tc>
        <w:tc>
          <w:tcPr>
            <w:tcW w:type="dxa" w:w="5839"/>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series coefficients, residual order, convergence/formal flag</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LAM-09</w:t>
            </w:r>
          </w:p>
        </w:tc>
        <w:tc>
          <w:tcPr>
            <w:tcW w:type="dxa" w:w="226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λ-jet</w:t>
            </w:r>
          </w:p>
        </w:tc>
        <w:tc>
          <w:tcPr>
            <w:tcW w:type="dxa" w:w="5839"/>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domain, dλ, Hessian, pole distance, chart witness</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RUN-10</w:t>
            </w:r>
          </w:p>
        </w:tc>
        <w:tc>
          <w:tcPr>
            <w:tcW w:type="dxa" w:w="226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reproducibility</w:t>
            </w:r>
          </w:p>
        </w:tc>
        <w:tc>
          <w:tcPr>
            <w:tcW w:type="dxa" w:w="5839"/>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code/data hash, CAS version, exact/interval mode, independent run</w:t>
            </w:r>
          </w:p>
        </w:tc>
      </w:tr>
    </w:tbl>
    <w:p>
      <w:pPr>
        <w:spacing w:after="40"/>
      </w:pPr>
    </w:p>
    <w:p>
      <w:pPr>
        <w:pStyle w:val="Heading2"/>
        <w:keepNext/>
      </w:pPr>
      <w:r>
        <w:t>55.2. Автоматические тесты</w:t>
      </w:r>
    </w:p>
    <w:p>
      <w:pPr>
        <w:pStyle w:val="ListBullet"/>
        <w:spacing w:after="50" w:line="264" w:lineRule="auto"/>
      </w:pPr>
      <w:r>
        <w:rPr>
          <w:rFonts w:ascii="Liberation Serif" w:hAnsi="Liberation Serif" w:eastAsia="Liberation Serif"/>
          <w:sz w:val="20"/>
        </w:rPr>
        <w:t>TEST-TAN-01: проверить типы и размеры C²_adm, F и DF;</w:t>
      </w:r>
    </w:p>
    <w:p>
      <w:pPr>
        <w:pStyle w:val="ListBullet"/>
        <w:spacing w:after="50" w:line="264" w:lineRule="auto"/>
      </w:pPr>
      <w:r>
        <w:rPr>
          <w:rFonts w:ascii="Liberation Serif" w:hAnsi="Liberation Serif" w:eastAsia="Liberation Serif"/>
          <w:sz w:val="20"/>
        </w:rPr>
        <w:t>TEST-DER-02: ker d¹ совпадает с прямым решением уравнений деривации;</w:t>
      </w:r>
    </w:p>
    <w:p>
      <w:pPr>
        <w:pStyle w:val="ListBullet"/>
        <w:spacing w:after="50" w:line="264" w:lineRule="auto"/>
      </w:pPr>
      <w:r>
        <w:rPr>
          <w:rFonts w:ascii="Liberation Serif" w:hAnsi="Liberation Serif" w:eastAsia="Liberation Serif"/>
          <w:sz w:val="20"/>
        </w:rPr>
        <w:t>TEST-ORB-03: rank im d¹ равен размерности инфинитезимальной орбиты;</w:t>
      </w:r>
    </w:p>
    <w:p>
      <w:pPr>
        <w:pStyle w:val="ListBullet"/>
        <w:spacing w:after="50" w:line="264" w:lineRule="auto"/>
      </w:pPr>
      <w:r>
        <w:rPr>
          <w:rFonts w:ascii="Liberation Serif" w:hAnsi="Liberation Serif" w:eastAsia="Liberation Serif"/>
          <w:sz w:val="20"/>
        </w:rPr>
        <w:t>TEST-H2-04: представители quotient независимы modulo im d¹;</w:t>
      </w:r>
    </w:p>
    <w:p>
      <w:pPr>
        <w:pStyle w:val="ListBullet"/>
        <w:spacing w:after="50" w:line="264" w:lineRule="auto"/>
      </w:pPr>
      <w:r>
        <w:rPr>
          <w:rFonts w:ascii="Liberation Serif" w:hAnsi="Liberation Serif" w:eastAsia="Liberation Serif"/>
          <w:sz w:val="20"/>
        </w:rPr>
        <w:t>TEST-COT-05: pairing tangent/cotangent невырожден только при заявленных гипотезах;</w:t>
      </w:r>
    </w:p>
    <w:p>
      <w:pPr>
        <w:pStyle w:val="ListBullet"/>
        <w:spacing w:after="50" w:line="264" w:lineRule="auto"/>
      </w:pPr>
      <w:r>
        <w:rPr>
          <w:rFonts w:ascii="Liberation Serif" w:hAnsi="Liberation Serif" w:eastAsia="Liberation Serif"/>
          <w:sz w:val="20"/>
        </w:rPr>
        <w:t>TEST-CONE-06: initial ideal и tangent cone вычислены в точной арифметике;</w:t>
      </w:r>
    </w:p>
    <w:p>
      <w:pPr>
        <w:pStyle w:val="ListBullet"/>
        <w:spacing w:after="50" w:line="264" w:lineRule="auto"/>
      </w:pPr>
      <w:r>
        <w:rPr>
          <w:rFonts w:ascii="Liberation Serif" w:hAnsi="Liberation Serif" w:eastAsia="Liberation Serif"/>
          <w:sz w:val="20"/>
        </w:rPr>
        <w:t>TEST-NODE-07: пример xy=0 отклоняет направление (1,1) на cone/arc gate;</w:t>
      </w:r>
    </w:p>
    <w:p>
      <w:pPr>
        <w:pStyle w:val="ListBullet"/>
        <w:spacing w:after="50" w:line="264" w:lineRule="auto"/>
      </w:pPr>
      <w:r>
        <w:rPr>
          <w:rFonts w:ascii="Liberation Serif" w:hAnsi="Liberation Serif" w:eastAsia="Liberation Serif"/>
          <w:sz w:val="20"/>
        </w:rPr>
        <w:t>TEST-ASS-08: Ass_{μ+tν}=Ass_μ+t DAss_μν+t²Ass_ν проверено символически;</w:t>
      </w:r>
    </w:p>
    <w:p>
      <w:pPr>
        <w:pStyle w:val="ListBullet"/>
        <w:spacing w:after="50" w:line="264" w:lineRule="auto"/>
      </w:pPr>
      <w:r>
        <w:rPr>
          <w:rFonts w:ascii="Liberation Serif" w:hAnsi="Liberation Serif" w:eastAsia="Liberation Serif"/>
          <w:sz w:val="20"/>
        </w:rPr>
        <w:t>TEST-OB2-09: second-order equation решено либо возвращён obstruction class;</w:t>
      </w:r>
    </w:p>
    <w:p>
      <w:pPr>
        <w:pStyle w:val="ListBullet"/>
        <w:spacing w:after="50" w:line="264" w:lineRule="auto"/>
      </w:pPr>
      <w:r>
        <w:rPr>
          <w:rFonts w:ascii="Liberation Serif" w:hAnsi="Liberation Serif" w:eastAsia="Liberation Serif"/>
          <w:sz w:val="20"/>
        </w:rPr>
        <w:t>TEST-LAM-10: dλ совпадает при допустимой PGL₂-смене карты;</w:t>
      </w:r>
    </w:p>
    <w:p>
      <w:pPr>
        <w:pStyle w:val="ListBullet"/>
        <w:spacing w:after="50" w:line="264" w:lineRule="auto"/>
      </w:pPr>
      <w:r>
        <w:rPr>
          <w:rFonts w:ascii="Liberation Serif" w:hAnsi="Liberation Serif" w:eastAsia="Liberation Serif"/>
          <w:sz w:val="20"/>
        </w:rPr>
        <w:t>TEST-HARM-11: D|λ+1|²=0 на λ=-1 и Hessian вычислен;</w:t>
      </w:r>
    </w:p>
    <w:p>
      <w:pPr>
        <w:pStyle w:val="ListBullet"/>
        <w:spacing w:after="50" w:line="264" w:lineRule="auto"/>
      </w:pPr>
      <w:r>
        <w:rPr>
          <w:rFonts w:ascii="Liberation Serif" w:hAnsi="Liberation Serif" w:eastAsia="Liberation Serif"/>
          <w:sz w:val="20"/>
        </w:rPr>
        <w:t>TEST-HOR-12: rank/stabilizer/pole/projectivity jumps включены в Δ_lin;</w:t>
      </w:r>
    </w:p>
    <w:p>
      <w:pPr>
        <w:pStyle w:val="ListBullet"/>
        <w:spacing w:after="50" w:line="264" w:lineRule="auto"/>
      </w:pPr>
      <w:r>
        <w:rPr>
          <w:rFonts w:ascii="Liberation Serif" w:hAnsi="Liberation Serif" w:eastAsia="Liberation Serif"/>
          <w:sz w:val="20"/>
        </w:rPr>
        <w:t>TEST-GATE-13: отсутствие arc witness принудительно даёт FORMAL-DIRECTION/ABSTAIN;</w:t>
      </w:r>
    </w:p>
    <w:p>
      <w:pPr>
        <w:pStyle w:val="ListBullet"/>
        <w:spacing w:after="50" w:line="264" w:lineRule="auto"/>
      </w:pPr>
      <w:r>
        <w:rPr>
          <w:rFonts w:ascii="Liberation Serif" w:hAnsi="Liberation Serif" w:eastAsia="Liberation Serif"/>
          <w:sz w:val="20"/>
        </w:rPr>
        <w:t>TEST-HASH-14: все входы и proof objects имеют совпадающие контрольные хеши.</w:t>
      </w:r>
    </w:p>
    <w:p>
      <w:pPr>
        <w:pStyle w:val="Heading2"/>
        <w:keepNext/>
      </w:pPr>
      <w:r>
        <w:t>55.3. Blocker-safe псевдокод</w:t>
      </w:r>
    </w:p>
    <w:tbl>
      <w:tblPr>
        <w:tblW w:type="auto" w:w="0"/>
        <w:jc w:val="center"/>
        <w:tblLook w:firstColumn="1" w:firstRow="1" w:lastColumn="0" w:lastRow="0" w:noHBand="0" w:noVBand="1" w:val="04A0"/>
        <w:tblBorders>
          <w:top w:val="single" w:sz="6" w:color="CBD5E1"/>
          <w:left w:val="single" w:sz="6" w:color="CBD5E1"/>
          <w:bottom w:val="single" w:sz="6" w:color="CBD5E1"/>
          <w:right w:val="single" w:sz="6" w:color="CBD5E1"/>
          <w:insideH w:val="single" w:sz="6" w:color="CBD5E1"/>
          <w:insideV w:val="single" w:sz="6" w:color="CBD5E1"/>
        </w:tblBorders>
      </w:tblPr>
      <w:tblGrid>
        <w:gridCol w:w="9752"/>
      </w:tblGrid>
      <w:tr>
        <w:tc>
          <w:tcPr>
            <w:tcW w:type="dxa" w:w="9752"/>
            <w:shd w:fill="F5F7FA"/>
            <w:tcMar>
              <w:top w:w="140" w:type="dxa"/>
              <w:start w:w="160" w:type="dxa"/>
              <w:bottom w:w="140" w:type="dxa"/>
              <w:end w:w="160" w:type="dxa"/>
            </w:tcMar>
          </w:tcPr>
          <w:p>
            <w:pPr>
              <w:spacing w:after="0" w:line="240" w:lineRule="auto"/>
            </w:pPr>
            <w:r>
              <w:rPr>
                <w:rFonts w:ascii="Liberation Mono" w:hAnsi="Liberation Mono" w:eastAsia="Liberation Mono"/>
                <w:color w:val="263238"/>
                <w:sz w:val="15"/>
              </w:rPr>
              <w:t>INPUT: local model x=(mu,reper,D,Dom), constraints G, candidate direction v</w:t>
              <w:br/>
              <w:t>1. compute J = D G_x and test v in ker J; otherwise REJECT</w:t>
              <w:br/>
              <w:t>2. compute tangent cone; if v not in cone, return ABSTAIN(B_cone)</w:t>
              <w:br/>
              <w:t>3. solve D G_x(w)+Q_x(v,v)=0; if impossible, return OBSTRUCTED</w:t>
              <w:br/>
              <w:t>4. construct formal/analytic arc and verify residual order; else FORMAL-DIRECTION</w:t>
              <w:br/>
              <w:t>5. evaluate lambda jet, Evidence-D, Dom, descent and duality blockers</w:t>
              <w:br/>
              <w:t>6. if Block_tan is empty: INT-DIR; never promote to EVENT without domain validation.</w:t>
            </w:r>
          </w:p>
        </w:tc>
      </w:tr>
    </w:tbl>
    <w:p>
      <w:pPr>
        <w:spacing w:after="40"/>
      </w:pPr>
    </w:p>
    <w:p>
      <w:pPr>
        <w:pStyle w:val="Heading1"/>
        <w:keepNext/>
      </w:pPr>
      <w:r>
        <w:t>56. Теоремный пакет и доказательные обязательства v0.6</w:t>
      </w:r>
    </w:p>
    <w:p>
      <w:pPr>
        <w:pStyle w:val="Heading2"/>
        <w:keepNext/>
      </w:pPr>
      <w:r>
        <w:t>56.1. Реестр формальных результатов</w:t>
      </w: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2438"/>
        <w:gridCol w:w="2438"/>
        <w:gridCol w:w="2438"/>
        <w:gridCol w:w="2438"/>
      </w:tblGrid>
      <w:tr>
        <w:trPr>
          <w:tblHeader w:val="true"/>
        </w:trPr>
        <w:tc>
          <w:tcPr>
            <w:tcW w:type="dxa" w:w="113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ID</w:t>
            </w:r>
          </w:p>
        </w:tc>
        <w:tc>
          <w:tcPr>
            <w:tcW w:type="dxa" w:w="4252"/>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Результат</w:t>
            </w:r>
          </w:p>
        </w:tc>
        <w:tc>
          <w:tcPr>
            <w:tcW w:type="dxa" w:w="1361"/>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Статус</w:t>
            </w:r>
          </w:p>
        </w:tc>
        <w:tc>
          <w:tcPr>
            <w:tcW w:type="dxa" w:w="249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Зависимости</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T8.2</w:t>
            </w:r>
          </w:p>
        </w:tc>
        <w:tc>
          <w:tcPr>
            <w:tcW w:type="dxa" w:w="425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dual-number tangent = derivations</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affine local model</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T8.7</w:t>
            </w:r>
          </w:p>
        </w:tc>
        <w:tc>
          <w:tcPr>
            <w:tcW w:type="dxa" w:w="425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tangent cone embeds in tangent space</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CL</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local algebra</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T8.12</w:t>
            </w:r>
          </w:p>
        </w:tc>
        <w:tc>
          <w:tcPr>
            <w:tcW w:type="dxa" w:w="425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formula for DAss_μ</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bilinearity</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T8.15</w:t>
            </w:r>
          </w:p>
        </w:tc>
        <w:tc>
          <w:tcPr>
            <w:tcW w:type="dxa" w:w="425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stabilizer = structural derivations</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gauge action</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T8.18</w:t>
            </w:r>
          </w:p>
        </w:tc>
        <w:tc>
          <w:tcPr>
            <w:tcW w:type="dxa" w:w="425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no canonical T≅T*</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linear algebra</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T8.21</w:t>
            </w:r>
          </w:p>
        </w:tc>
        <w:tc>
          <w:tcPr>
            <w:tcW w:type="dxa" w:w="425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first order does not imply integrability</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cone/arc comparison</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T8.22</w:t>
            </w:r>
          </w:p>
        </w:tc>
        <w:tc>
          <w:tcPr>
            <w:tcW w:type="dxa" w:w="425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quadratic onset at zero multiplication</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A₂ model</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T8.25</w:t>
            </w:r>
          </w:p>
        </w:tc>
        <w:tc>
          <w:tcPr>
            <w:tcW w:type="dxa" w:w="425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constant-rank smooth quotient</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COND</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free proper gauge</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T8.27</w:t>
            </w:r>
          </w:p>
        </w:tc>
        <w:tc>
          <w:tcPr>
            <w:tcW w:type="dxa" w:w="425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profile constancy outside Δ_safe</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COND</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regular finite model</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T8.28</w:t>
            </w:r>
          </w:p>
        </w:tc>
        <w:tc>
          <w:tcPr>
            <w:tcW w:type="dxa" w:w="425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differential of λ</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away from poles</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T8.31</w:t>
            </w:r>
          </w:p>
        </w:tc>
        <w:tc>
          <w:tcPr>
            <w:tcW w:type="dxa" w:w="425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first-order blindness of |λ+1|²</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R/C smooth chart</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T8.35</w:t>
            </w:r>
          </w:p>
        </w:tc>
        <w:tc>
          <w:tcPr>
            <w:tcW w:type="dxa" w:w="425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no event from tangent data alone</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definition of event gate</w:t>
            </w:r>
          </w:p>
        </w:tc>
      </w:tr>
    </w:tbl>
    <w:p>
      <w:pPr>
        <w:spacing w:after="40"/>
      </w:pPr>
    </w:p>
    <w:p>
      <w:pPr>
        <w:pStyle w:val="Heading2"/>
        <w:keepNext/>
        <w:pageBreakBefore/>
      </w:pPr>
      <w:r>
        <w:t>56.2. Обновление матрицы доказательных обязательств</w:t>
      </w: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2438"/>
        <w:gridCol w:w="2438"/>
        <w:gridCol w:w="2438"/>
        <w:gridCol w:w="2438"/>
      </w:tblGrid>
      <w:tr>
        <w:trPr>
          <w:tblHeader w:val="true"/>
        </w:trPr>
        <w:tc>
          <w:tcPr>
            <w:tcW w:type="dxa" w:w="1361"/>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6"/>
              </w:rPr>
              <w:t>PO</w:t>
            </w:r>
          </w:p>
        </w:tc>
        <w:tc>
          <w:tcPr>
            <w:tcW w:type="dxa" w:w="4082"/>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6"/>
              </w:rPr>
              <w:t>Содержание</w:t>
            </w:r>
          </w:p>
        </w:tc>
        <w:tc>
          <w:tcPr>
            <w:tcW w:type="dxa" w:w="1417"/>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6"/>
              </w:rPr>
              <w:t>Статус</w:t>
            </w:r>
          </w:p>
        </w:tc>
        <w:tc>
          <w:tcPr>
            <w:tcW w:type="dxa" w:w="2381"/>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6"/>
              </w:rPr>
              <w:t>Следующее действие</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T2-PO-041</w:t>
            </w:r>
          </w:p>
        </w:tc>
        <w:tc>
          <w:tcPr>
            <w:tcW w:type="dxa" w:w="408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Сравнение curve/dual-number/derivation tangent</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CLOSED/LOCAL</w:t>
            </w:r>
          </w:p>
        </w:tc>
        <w:tc>
          <w:tcPr>
            <w:tcW w:type="dxa" w:w="238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теорема 8.2; глобализовать по атласу</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T2-PO-042</w:t>
            </w:r>
          </w:p>
        </w:tc>
        <w:tc>
          <w:tcPr>
            <w:tcW w:type="dxa" w:w="408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Кокасательный модуль NAPG вне commutative envelope</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OPEN</w:t>
            </w:r>
          </w:p>
        </w:tc>
        <w:tc>
          <w:tcPr>
            <w:tcW w:type="dxa" w:w="238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задать универсальный bimodule differential</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T2-PO-043</w:t>
            </w:r>
          </w:p>
        </w:tc>
        <w:tc>
          <w:tcPr>
            <w:tcW w:type="dxa" w:w="408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Формула линеаризации Ass</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CLOSED</w:t>
            </w:r>
          </w:p>
        </w:tc>
        <w:tc>
          <w:tcPr>
            <w:tcW w:type="dxa" w:w="238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теорема 8.12</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T2-PO-044</w:t>
            </w:r>
          </w:p>
        </w:tc>
        <w:tc>
          <w:tcPr>
            <w:tcW w:type="dxa" w:w="408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Gauge complex и Der-stabilizer</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CLOSED</w:t>
            </w:r>
          </w:p>
        </w:tc>
        <w:tc>
          <w:tcPr>
            <w:tcW w:type="dxa" w:w="238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теорема 8.15</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T2-PO-045</w:t>
            </w:r>
          </w:p>
        </w:tc>
        <w:tc>
          <w:tcPr>
            <w:tcW w:type="dxa" w:w="408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Finite-projective tangent/cotangent duality</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CLOSED/COND</w:t>
            </w:r>
          </w:p>
        </w:tc>
        <w:tc>
          <w:tcPr>
            <w:tcW w:type="dxa" w:w="238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проверять на моделях</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T2-PO-046</w:t>
            </w:r>
          </w:p>
        </w:tc>
        <w:tc>
          <w:tcPr>
            <w:tcW w:type="dxa" w:w="408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Tangent cone для пространства NAPG-операций</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OPEN</w:t>
            </w:r>
          </w:p>
        </w:tc>
        <w:tc>
          <w:tcPr>
            <w:tcW w:type="dxa" w:w="238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вычислить initial ideals A₂/M₂/octonions</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T2-PO-047</w:t>
            </w:r>
          </w:p>
        </w:tc>
        <w:tc>
          <w:tcPr>
            <w:tcW w:type="dxa" w:w="408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Second-order obstruction map</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OPEN</w:t>
            </w:r>
          </w:p>
        </w:tc>
        <w:tc>
          <w:tcPr>
            <w:tcW w:type="dxa" w:w="238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связать Q с Θ_min и O_B</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T2-PO-048</w:t>
            </w:r>
          </w:p>
        </w:tc>
        <w:tc>
          <w:tcPr>
            <w:tcW w:type="dxa" w:w="408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Интегрируемость H²_red классов</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OPEN</w:t>
            </w:r>
          </w:p>
        </w:tc>
        <w:tc>
          <w:tcPr>
            <w:tcW w:type="dxa" w:w="238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построить formal arcs и versal model</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T2-PO-049</w:t>
            </w:r>
          </w:p>
        </w:tc>
        <w:tc>
          <w:tcPr>
            <w:tcW w:type="dxa" w:w="408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Smooth locus quotient NAPG</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OPEN</w:t>
            </w:r>
          </w:p>
        </w:tc>
        <w:tc>
          <w:tcPr>
            <w:tcW w:type="dxa" w:w="238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проверить free/proper или stacky replacement</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T2-PO-050</w:t>
            </w:r>
          </w:p>
        </w:tc>
        <w:tc>
          <w:tcPr>
            <w:tcW w:type="dxa" w:w="408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Differential/Hessian λ</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CLOSED/LOCAL</w:t>
            </w:r>
          </w:p>
        </w:tc>
        <w:tc>
          <w:tcPr>
            <w:tcW w:type="dxa" w:w="238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теоремы 8.28 и 8.31</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T2-PO-051</w:t>
            </w:r>
          </w:p>
        </w:tc>
        <w:tc>
          <w:tcPr>
            <w:tcW w:type="dxa" w:w="408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Linearization horizon Δ_lin</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DEFINED/OPEN</w:t>
            </w:r>
          </w:p>
        </w:tc>
        <w:tc>
          <w:tcPr>
            <w:tcW w:type="dxa" w:w="238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вычислить на параметрических моделях</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T2-PO-052</w:t>
            </w:r>
          </w:p>
        </w:tc>
        <w:tc>
          <w:tcPr>
            <w:tcW w:type="dxa" w:w="408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Tangent-safe predictive certificate</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OPEN</w:t>
            </w:r>
          </w:p>
        </w:tc>
        <w:tc>
          <w:tcPr>
            <w:tcW w:type="dxa" w:w="238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реализовать TEST-TAN-01 - TEST-HASH-14</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T2-PO-053</w:t>
            </w:r>
          </w:p>
        </w:tc>
        <w:tc>
          <w:tcPr>
            <w:tcW w:type="dxa" w:w="408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Independent domain run</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OPEN</w:t>
            </w:r>
          </w:p>
        </w:tc>
        <w:tc>
          <w:tcPr>
            <w:tcW w:type="dxa" w:w="238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только после адаптера и preregistration</w:t>
            </w:r>
          </w:p>
        </w:tc>
      </w:tr>
    </w:tbl>
    <w:p>
      <w:pPr>
        <w:spacing w:after="40"/>
      </w:pPr>
    </w:p>
    <w:p>
      <w:pPr>
        <w:pStyle w:val="Heading1"/>
        <w:keepNext/>
      </w:pPr>
      <w:r>
        <w:t>57. Библиографическая синхронизация и контрольная точка v0.6</w:t>
      </w:r>
    </w:p>
    <w:p>
      <w:pPr>
        <w:pStyle w:val="Heading2"/>
        <w:keepNext/>
      </w:pPr>
      <w:r>
        <w:t>57.1. Первичные и канонические источники</w:t>
      </w:r>
    </w:p>
    <w:p>
      <w:pPr>
        <w:spacing w:after="60"/>
        <w:ind w:firstLine="0"/>
      </w:pPr>
      <w:r>
        <w:rPr>
          <w:rFonts w:ascii="Liberation Serif" w:hAnsi="Liberation Serif" w:eastAsia="Liberation Serif"/>
          <w:sz w:val="19"/>
        </w:rPr>
        <w:t xml:space="preserve">[V0.6-1] The Stacks Project, Tag 0B28: Tangent spaces. </w:t>
      </w:r>
      <w:hyperlink r:id="rId38">
        <w:r>
          <w:rPr>
            <w:color w:val="2F5597"/>
            <w:u w:val="single"/>
          </w:rPr>
          <w:t>[источник]</w:t>
        </w:r>
      </w:hyperlink>
    </w:p>
    <w:p>
      <w:pPr>
        <w:spacing w:after="60"/>
        <w:ind w:firstLine="0"/>
      </w:pPr>
      <w:r>
        <w:rPr>
          <w:rFonts w:ascii="Liberation Serif" w:hAnsi="Liberation Serif" w:eastAsia="Liberation Serif"/>
          <w:sz w:val="19"/>
        </w:rPr>
        <w:t xml:space="preserve">[V0.6-2] The Stacks Project, Tag 00RM: Kähler differentials and universal derivations. </w:t>
      </w:r>
      <w:hyperlink r:id="rId39">
        <w:r>
          <w:rPr>
            <w:color w:val="2F5597"/>
            <w:u w:val="single"/>
          </w:rPr>
          <w:t>[источник]</w:t>
        </w:r>
      </w:hyperlink>
    </w:p>
    <w:p>
      <w:pPr>
        <w:spacing w:after="60"/>
        <w:ind w:firstLine="0"/>
      </w:pPr>
      <w:r>
        <w:rPr>
          <w:rFonts w:ascii="Liberation Serif" w:hAnsi="Liberation Serif" w:eastAsia="Liberation Serif"/>
          <w:sz w:val="19"/>
        </w:rPr>
        <w:t xml:space="preserve">[V0.6-3] The Stacks Project, Chapter 92, Tag 08P5: The Cotangent Complex. </w:t>
      </w:r>
      <w:hyperlink r:id="rId40">
        <w:r>
          <w:rPr>
            <w:color w:val="2F5597"/>
            <w:u w:val="single"/>
          </w:rPr>
          <w:t>[источник]</w:t>
        </w:r>
      </w:hyperlink>
    </w:p>
    <w:p>
      <w:pPr>
        <w:spacing w:after="60"/>
        <w:ind w:firstLine="0"/>
      </w:pPr>
      <w:r>
        <w:rPr>
          <w:rFonts w:ascii="Liberation Serif" w:hAnsi="Liberation Serif" w:eastAsia="Liberation Serif"/>
          <w:sz w:val="19"/>
        </w:rPr>
        <w:t xml:space="preserve">[V0.6-4] The Stacks Project, Tag 06I2: Tangent spaces of functors. </w:t>
      </w:r>
      <w:hyperlink r:id="rId41">
        <w:r>
          <w:rPr>
            <w:color w:val="2F5597"/>
            <w:u w:val="single"/>
          </w:rPr>
          <w:t>[источник]</w:t>
        </w:r>
      </w:hyperlink>
    </w:p>
    <w:p>
      <w:pPr>
        <w:spacing w:after="60"/>
        <w:ind w:firstLine="0"/>
      </w:pPr>
      <w:r>
        <w:rPr>
          <w:rFonts w:ascii="Liberation Serif" w:hAnsi="Liberation Serif" w:eastAsia="Liberation Serif"/>
          <w:sz w:val="19"/>
        </w:rPr>
        <w:t xml:space="preserve">[V0.6-5] The Stacks Project, Tag 02GZ: Formally smooth morphisms. </w:t>
      </w:r>
      <w:hyperlink r:id="rId42">
        <w:r>
          <w:rPr>
            <w:color w:val="2F5597"/>
            <w:u w:val="single"/>
          </w:rPr>
          <w:t>[источник]</w:t>
        </w:r>
      </w:hyperlink>
    </w:p>
    <w:p>
      <w:pPr>
        <w:spacing w:after="60"/>
        <w:ind w:firstLine="0"/>
      </w:pPr>
      <w:r>
        <w:rPr>
          <w:rFonts w:ascii="Liberation Serif" w:hAnsi="Liberation Serif" w:eastAsia="Liberation Serif"/>
          <w:sz w:val="19"/>
        </w:rPr>
        <w:t xml:space="preserve">[V0.6-6] Schlessinger, M. Functors of Artin Rings. Transactions AMS 130 (1968), 208-222. </w:t>
      </w:r>
      <w:hyperlink r:id="rId43">
        <w:r>
          <w:rPr>
            <w:color w:val="2F5597"/>
            <w:u w:val="single"/>
          </w:rPr>
          <w:t>[источник]</w:t>
        </w:r>
      </w:hyperlink>
    </w:p>
    <w:p>
      <w:pPr>
        <w:spacing w:after="60"/>
        <w:ind w:firstLine="0"/>
      </w:pPr>
      <w:r>
        <w:rPr>
          <w:rFonts w:ascii="Liberation Serif" w:hAnsi="Liberation Serif" w:eastAsia="Liberation Serif"/>
          <w:sz w:val="19"/>
        </w:rPr>
        <w:t xml:space="preserve">[V0.6-7] Nijenhuis, A.; Richardson, R. W. Cohomology and Deformations of Algebraic Structures. Bull. AMS 70 (1964), 406-411. </w:t>
      </w:r>
      <w:hyperlink r:id="rId44">
        <w:r>
          <w:rPr>
            <w:color w:val="2F5597"/>
            <w:u w:val="single"/>
          </w:rPr>
          <w:t>[источник]</w:t>
        </w:r>
      </w:hyperlink>
    </w:p>
    <w:p>
      <w:pPr>
        <w:spacing w:after="60"/>
        <w:ind w:firstLine="0"/>
      </w:pPr>
      <w:r>
        <w:rPr>
          <w:rFonts w:ascii="Liberation Serif" w:hAnsi="Liberation Serif" w:eastAsia="Liberation Serif"/>
          <w:sz w:val="19"/>
        </w:rPr>
        <w:t xml:space="preserve">[V0.6-8] Nijenhuis, A.; Richardson, R. W. Cohomology and Deformations in Graded Lie Algebras. Bull. AMS 72 (1966), 1-29. </w:t>
      </w:r>
      <w:hyperlink r:id="rId45">
        <w:r>
          <w:rPr>
            <w:color w:val="2F5597"/>
            <w:u w:val="single"/>
          </w:rPr>
          <w:t>[источник]</w:t>
        </w:r>
      </w:hyperlink>
    </w:p>
    <w:p>
      <w:pPr>
        <w:spacing w:after="60"/>
        <w:ind w:firstLine="0"/>
      </w:pPr>
      <w:r>
        <w:rPr>
          <w:rFonts w:ascii="Liberation Serif" w:hAnsi="Liberation Serif" w:eastAsia="Liberation Serif"/>
          <w:sz w:val="19"/>
        </w:rPr>
        <w:t xml:space="preserve">[V0.6-9] Gerstenhaber, M. On the Deformation of Rings and Algebras II. Annals of Mathematics 84 (1966), 1-19. </w:t>
      </w:r>
      <w:hyperlink r:id="rId46">
        <w:r>
          <w:rPr>
            <w:color w:val="2F5597"/>
            <w:u w:val="single"/>
          </w:rPr>
          <w:t>[источник]</w:t>
        </w:r>
      </w:hyperlink>
    </w:p>
    <w:p>
      <w:pPr>
        <w:spacing w:after="60"/>
        <w:ind w:firstLine="0"/>
      </w:pPr>
      <w:r>
        <w:rPr>
          <w:rFonts w:ascii="Liberation Serif" w:hAnsi="Liberation Serif" w:eastAsia="Liberation Serif"/>
          <w:sz w:val="19"/>
        </w:rPr>
        <w:t>[V0.6-10] Kurpishev, I. B. Том I v197 RU; Том II T2-RP-v0.1-v0.5. Канонические внутренние источники проекта.</w:t>
      </w: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D9EAF7"/>
            <w:tcMar>
              <w:top w:w="150" w:type="dxa"/>
              <w:start w:w="180" w:type="dxa"/>
              <w:bottom w:w="150" w:type="dxa"/>
              <w:end w:w="180" w:type="dxa"/>
            </w:tcMar>
            <w:vAlign w:val="center"/>
          </w:tcPr>
          <w:p>
            <w:pPr>
              <w:spacing w:after="60"/>
            </w:pPr>
            <w:r>
              <w:rPr>
                <w:rFonts w:ascii="Liberation Sans" w:hAnsi="Liberation Sans" w:eastAsia="Liberation Sans"/>
                <w:b/>
                <w:color w:val="17365D"/>
                <w:sz w:val="21"/>
              </w:rPr>
              <w:t>Граница prior art и авторского вклада</w:t>
            </w:r>
          </w:p>
          <w:p>
            <w:pPr>
              <w:spacing w:after="0" w:line="269" w:lineRule="auto"/>
            </w:pPr>
            <w:r>
              <w:rPr>
                <w:rFonts w:ascii="Liberation Serif" w:hAnsi="Liberation Serif" w:eastAsia="Liberation Serif"/>
                <w:color w:val="27313F"/>
                <w:sz w:val="20"/>
              </w:rPr>
              <w:t>Классические tangent spaces, Kähler differentials, tangent cones, formal smoothness, cotangent complexes и deformation functors относятся к prior art. Авторская линия v0.6 состоит в типизированном соединении этих конструкций с NAPG_q, R⋆R, Θ_min, Reper(R,I,U;D), projective-harmonic λ-jet, blocker-safe linearization horizon и сертификатом интегрируемого направления KLT-RBD. Статус этой архитектуры остаётся математическим и программно-методологическим до независимой предметной проверки.</w:t>
            </w:r>
          </w:p>
        </w:tc>
      </w:tr>
    </w:tbl>
    <w:p>
      <w:pPr>
        <w:spacing w:after="40"/>
      </w:pPr>
    </w:p>
    <w:p>
      <w:pPr>
        <w:pStyle w:val="Heading2"/>
        <w:keepNext/>
      </w:pPr>
      <w:r>
        <w:t>57.2. Контрольная точка T2-RP-v0.6</w:t>
      </w: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4876"/>
        <w:gridCol w:w="4876"/>
      </w:tblGrid>
      <w:tr>
        <w:trPr>
          <w:tblHeader w:val="true"/>
        </w:trPr>
        <w:tc>
          <w:tcPr>
            <w:tcW w:type="dxa" w:w="2835"/>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8"/>
              </w:rPr>
              <w:t>Фиксация выпуска</w:t>
            </w:r>
          </w:p>
        </w:tc>
        <w:tc>
          <w:tcPr>
            <w:tcW w:type="dxa" w:w="6406"/>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8"/>
              </w:rPr>
              <w:t>Значение</w:t>
            </w:r>
          </w:p>
        </w:tc>
      </w:tr>
      <w:tr>
        <w:tc>
          <w:tcPr>
            <w:tcW w:type="dxa" w:w="2835"/>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8"/>
              </w:rPr>
              <w:t>Канонический источник</w:t>
            </w:r>
          </w:p>
        </w:tc>
        <w:tc>
          <w:tcPr>
            <w:tcW w:type="dxa" w:w="6406"/>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8"/>
              </w:rPr>
              <w:t>tom2_v0_5.docx + tom2_v0_5.pdf</w:t>
            </w:r>
          </w:p>
        </w:tc>
      </w:tr>
      <w:tr>
        <w:tc>
          <w:tcPr>
            <w:tcW w:type="dxa" w:w="2835"/>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8"/>
              </w:rPr>
              <w:t>Новый математический слой</w:t>
            </w:r>
          </w:p>
        </w:tc>
        <w:tc>
          <w:tcPr>
            <w:tcW w:type="dxa" w:w="6406"/>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8"/>
              </w:rPr>
              <w:t>глава 8: tangent/cotangent, tangent cone, deformation complex, smoothness</w:t>
            </w:r>
          </w:p>
        </w:tc>
      </w:tr>
      <w:tr>
        <w:tc>
          <w:tcPr>
            <w:tcW w:type="dxa" w:w="2835"/>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8"/>
              </w:rPr>
              <w:t>Закрытые обязательства</w:t>
            </w:r>
          </w:p>
        </w:tc>
        <w:tc>
          <w:tcPr>
            <w:tcW w:type="dxa" w:w="6406"/>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8"/>
              </w:rPr>
              <w:t>T2-PO-041, 043, 044, 050; условно 045</w:t>
            </w:r>
          </w:p>
        </w:tc>
      </w:tr>
      <w:tr>
        <w:tc>
          <w:tcPr>
            <w:tcW w:type="dxa" w:w="2835"/>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8"/>
              </w:rPr>
              <w:t>Открытые обязательства</w:t>
            </w:r>
          </w:p>
        </w:tc>
        <w:tc>
          <w:tcPr>
            <w:tcW w:type="dxa" w:w="6406"/>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8"/>
              </w:rPr>
              <w:t>T2-PO-042, 046-049, 051-053</w:t>
            </w:r>
          </w:p>
        </w:tc>
      </w:tr>
      <w:tr>
        <w:tc>
          <w:tcPr>
            <w:tcW w:type="dxa" w:w="2835"/>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8"/>
              </w:rPr>
              <w:t>Доказательная граница</w:t>
            </w:r>
          </w:p>
        </w:tc>
        <w:tc>
          <w:tcPr>
            <w:tcW w:type="dxa" w:w="6406"/>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8"/>
              </w:rPr>
              <w:t>truth_layer_promotion=0</w:t>
            </w:r>
          </w:p>
        </w:tc>
      </w:tr>
      <w:tr>
        <w:tc>
          <w:tcPr>
            <w:tcW w:type="dxa" w:w="2835"/>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8"/>
              </w:rPr>
              <w:t>Следующая точка</w:t>
            </w:r>
          </w:p>
        </w:tc>
        <w:tc>
          <w:tcPr>
            <w:tcW w:type="dxa" w:w="6406"/>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8"/>
              </w:rPr>
              <w:t>T2-RP-v0.7: связности, кривизна, голономия и ассоциаторная кривизна</w:t>
            </w:r>
          </w:p>
        </w:tc>
      </w:tr>
    </w:tbl>
    <w:p>
      <w:pPr>
        <w:spacing w:after="40"/>
      </w:pPr>
    </w:p>
    <w:p>
      <w:pPr>
        <w:pStyle w:val="Small"/>
        <w:spacing w:after="100" w:line="278" w:lineRule="auto"/>
        <w:jc w:val="center"/>
      </w:pPr>
      <w:r>
        <w:rPr>
          <w:rFonts w:ascii="Liberation Serif" w:hAnsi="Liberation Serif" w:eastAsia="Liberation Serif"/>
          <w:sz w:val="21"/>
        </w:rPr>
        <w:t>checkpoint=T2-RP-v0.6; source=T2-RP-v0.5; truth_layer_promotion=0; next=T2-RP-v0.7.</w:t>
      </w:r>
    </w:p>
    <w:p>
      <w:r>
        <w:br w:type="page"/>
      </w:r>
    </w:p>
    <w:p>
      <w:pPr>
        <w:pStyle w:val="Heading1"/>
        <w:pageBreakBefore w:val="0"/>
        <w:spacing w:before="200" w:after="100"/>
        <w:keepNext/>
      </w:pPr>
      <w:r>
        <w:t>58. Глава 9: связности, кривизна, голономия и ассоциаторная кривизна</w:t>
      </w:r>
    </w:p>
    <w:tbl>
      <w:tblPr>
        <w:tblW w:type="auto" w:w="0"/>
        <w:jc w:val="center"/>
        <w:tblLayout w:type="fixed"/>
        <w:tblLook w:firstColumn="1" w:firstRow="1" w:lastColumn="0" w:lastRow="0" w:noHBand="0" w:noVBand="1" w:val="04A0"/>
      </w:tblPr>
      <w:tblGrid>
        <w:gridCol w:w="4876"/>
        <w:gridCol w:w="4876"/>
      </w:tblGrid>
      <w:t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ОНТОЛОГИЯ</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Связность не является ещё одной операцией в волокне. Она задаёт правило сравнения элементов разных волокон. Кривизна измеряет дефект коммутативности инфинитезимальных переносов, а голономия хранит глобальную память замкнутых путей.</w:t>
            </w:r>
          </w:p>
        </w:tc>
      </w:tr>
      <w:t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ГНОСЕОЛОГИЯ</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Ассоциатор и кривизна принадлежат разным типам данных. Первый является тернарным алгебраическим тензором волокна, вторая - двумерной формой со значениями в эндоморфизмах. Их связь требует явно заданного функтора, совместимой связности и доказанной естественности.</w:t>
            </w:r>
          </w:p>
        </w:tc>
      </w:tr>
      <w:t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ФЕНОМЕНОЛОГИЯ</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В наблюдаемом обходе порядок локальных действий может оставлять глобальный след. Но этот след нельзя объявлять ассоциатором: сначала необходимо показать, какой объект переносится, какая операция сохраняется и какой дефект измеряется.</w:t>
            </w:r>
          </w:p>
        </w:tc>
      </w:tr>
      <w:tr>
        <w:tc>
          <w:tcPr>
            <w:tcW w:type="dxa" w:w="3528"/>
            <w:tcMar>
              <w:top w:w="100" w:type="dxa"/>
              <w:start w:w="110" w:type="dxa"/>
              <w:bottom w:w="100" w:type="dxa"/>
              <w:end w:w="110" w:type="dxa"/>
            </w:tcMar>
            <w:vAlign w:val="center"/>
            <w:shd w:fill="A87512"/>
          </w:tcPr>
          <w:p>
            <w:pPr>
              <w:jc w:val="center"/>
            </w:pPr>
            <w:r>
              <w:rPr>
                <w:rFonts w:ascii="Liberation Sans" w:hAnsi="Liberation Sans" w:eastAsia="Liberation Sans"/>
                <w:b/>
                <w:color w:val="FFFFFF"/>
                <w:sz w:val="20"/>
              </w:rPr>
              <w:t>ГРАНИЦА</w:t>
            </w:r>
          </w:p>
        </w:tc>
        <w:tc>
          <w:tcPr>
            <w:tcW w:type="dxa" w:w="6408"/>
            <w:tcMar>
              <w:top w:w="100" w:type="dxa"/>
              <w:start w:w="110" w:type="dxa"/>
              <w:bottom w:w="100" w:type="dxa"/>
              <w:end w:w="110" w:type="dxa"/>
            </w:tcMar>
            <w:vAlign w:val="center"/>
            <w:shd w:fill="F7EED9"/>
          </w:tcPr>
          <w:p>
            <w:pPr>
              <w:spacing w:after="0" w:line="252" w:lineRule="auto"/>
            </w:pPr>
            <w:r>
              <w:rPr>
                <w:rFonts w:ascii="Liberation Serif" w:hAnsi="Liberation Serif" w:eastAsia="Liberation Serif"/>
                <w:sz w:val="20"/>
              </w:rPr>
              <w:t>Формулы Hol_D=Ass_⊙, R_∇=Ass_⊙ и «ненулевая неассоциативность порождает кривизну» запрещены как нетипизированные. В v0.7 допускаются только C_∇, ∇Ass, K_Ass и H_Ass с явными Dom/Cod и статусами.</w:t>
            </w:r>
          </w:p>
        </w:tc>
      </w:tr>
    </w:tbl>
    <w:p>
      <w:pPr>
        <w:spacing w:after="20"/>
      </w:pPr>
    </w:p>
    <w:p>
      <w:pPr>
        <w:pStyle w:val="Lead"/>
        <w:spacing w:before="0" w:after="140" w:line="269" w:lineRule="auto"/>
      </w:pPr>
      <w:r>
        <w:rPr>
          <w:rFonts w:ascii="Liberation Serif" w:hAnsi="Liberation Serif" w:eastAsia="Liberation Serif"/>
          <w:b w:val="0"/>
          <w:sz w:val="26"/>
        </w:rPr>
        <w:t>Статус раздела: theorem/conditional package v0.7. Классический слой связностей и голономии отделён от авторского NAPG-моста. Физический экспорт отсутствует; результат относится к математической геометрии расслоений и к внутреннему предсказательному аудиту.</w:t>
      </w:r>
    </w:p>
    <w:p>
      <w:pPr>
        <w:spacing w:before="100" w:after="40"/>
        <w:jc w:val="center"/>
      </w:pPr>
      <w:r>
        <w:drawing>
          <wp:inline xmlns:a="http://schemas.openxmlformats.org/drawingml/2006/main" xmlns:pic="http://schemas.openxmlformats.org/drawingml/2006/picture">
            <wp:extent cx="6172200" cy="3597091"/>
            <wp:docPr id="21" name="Picture 21"/>
            <wp:cNvGraphicFramePr>
              <a:graphicFrameLocks noChangeAspect="1"/>
            </wp:cNvGraphicFramePr>
            <a:graphic>
              <a:graphicData uri="http://schemas.openxmlformats.org/drawingml/2006/picture">
                <pic:pic>
                  <pic:nvPicPr>
                    <pic:cNvPr id="0" name="fig17_bridge.png"/>
                    <pic:cNvPicPr/>
                  </pic:nvPicPr>
                  <pic:blipFill>
                    <a:blip r:embed="rId47"/>
                    <a:stretch>
                      <a:fillRect/>
                    </a:stretch>
                  </pic:blipFill>
                  <pic:spPr>
                    <a:xfrm>
                      <a:off x="0" y="0"/>
                      <a:ext cx="6172200" cy="3597091"/>
                    </a:xfrm>
                    <a:prstGeom prst="rect"/>
                  </pic:spPr>
                </pic:pic>
              </a:graphicData>
            </a:graphic>
          </wp:inline>
        </w:drawing>
      </w:r>
    </w:p>
    <w:p>
      <w:pPr>
        <w:pStyle w:val="Caption"/>
        <w:keepNext/>
        <w:spacing w:after="120"/>
        <w:jc w:val="center"/>
      </w:pPr>
      <w:r>
        <w:t>Рисунок 17. Два слоя и четыре допустимых моста: C_∇, ∇Ass, K_Ass и H_Ass. Собственная схема Тома II.</w:t>
      </w:r>
    </w:p>
    <w:p>
      <w:pPr>
        <w:pStyle w:val="Heading1"/>
        <w:pageBreakBefore w:val="0"/>
        <w:spacing w:before="200" w:after="100"/>
        <w:keepNext/>
      </w:pPr>
      <w:r>
        <w:t>59. Типизированная NAPG-связность и D-допустимые пути</w:t>
      </w:r>
    </w:p>
    <w:p>
      <w:pPr>
        <w:pStyle w:val="Heading2"/>
        <w:pageBreakBefore w:val="0"/>
        <w:spacing w:before="140" w:after="100"/>
        <w:keepNext/>
      </w:pPr>
      <w:r>
        <w:t>59.1. Алгебраическое расслоение</w:t>
      </w:r>
    </w:p>
    <w:p>
      <w:pPr>
        <w:spacing w:after="80" w:line="259" w:lineRule="auto"/>
      </w:pPr>
      <w:r>
        <w:rPr>
          <w:rFonts w:ascii="Liberation Serif" w:hAnsi="Liberation Serif" w:eastAsia="Liberation Serif"/>
          <w:b/>
          <w:sz w:val="22"/>
        </w:rPr>
        <w:t>Определение 9.1. Алгебраическое NAPG-расслоение.</w:t>
      </w:r>
      <w:r>
        <w:rPr>
          <w:rFonts w:ascii="Liberation Serif" w:hAnsi="Liberation Serif" w:eastAsia="Liberation Serif"/>
          <w:sz w:val="22"/>
        </w:rPr>
        <w:t>[DEF-A] Пусть X - гладкий сектор пакетного многообразия, π:A→X - конечномерное векторное расслоение над полем K, а μ∈Γ(Hom(A⊗A,A)) - гладкое поле билинейных операций. В каждой точке x операция μ_x задаёт волоконную алгебру (A_x,⊙_x). Структурные данные 𝔊, градуировка и D/Dom-ограничения рассматриваются как дополнительные подрасслоения или допустимые подмножества.</w:t>
      </w:r>
    </w:p>
    <w:p>
      <w:pPr>
        <w:spacing w:before="60" w:after="100"/>
        <w:jc w:val="center"/>
      </w:pPr>
      <w:r>
        <w:rPr>
          <w:rFonts w:ascii="Cambria Math" w:hAnsi="Cambria Math" w:eastAsia="Cambria Math"/>
          <w:sz w:val="22"/>
        </w:rPr>
        <w:t>μ_x : A_x ⊗ A_x → A_x,     a ⊙_x b := μ_x(a,b).</w:t>
      </w:r>
    </w:p>
    <w:p>
      <w:pPr>
        <w:spacing w:before="0" w:after="100" w:line="259" w:lineRule="auto"/>
      </w:pPr>
      <w:r>
        <w:rPr>
          <w:rFonts w:ascii="Liberation Serif" w:hAnsi="Liberation Serif" w:eastAsia="Liberation Serif"/>
          <w:b w:val="0"/>
          <w:sz w:val="22"/>
        </w:rPr>
        <w:t>Область определения операции может быть полной или частичной. В частичном случае все дальнейшие тензоры определяются только на подрасслоении Dom_⊙⊂A×_X A, устойчивом относительно используемого транспорта.</w:t>
      </w:r>
    </w:p>
    <w:p>
      <w:pPr>
        <w:spacing w:after="80" w:line="259" w:lineRule="auto"/>
      </w:pPr>
      <w:r>
        <w:rPr>
          <w:rFonts w:ascii="Liberation Serif" w:hAnsi="Liberation Serif" w:eastAsia="Liberation Serif"/>
          <w:b/>
          <w:sz w:val="22"/>
        </w:rPr>
        <w:t>Определение 9.2. D-допустимая категория путей.</w:t>
      </w:r>
      <w:r>
        <w:rPr>
          <w:rFonts w:ascii="Liberation Serif" w:hAnsi="Liberation Serif" w:eastAsia="Liberation Serif"/>
          <w:sz w:val="22"/>
        </w:rPr>
        <w:t>[DEF-A] Обозначим P_D(X) категорию, объектами которой являются точки X, а морфизмами - кусочно C¹-пути γ, удовлетворяющие Dom-ограничениям и снабжённые пакетом Evidence-D. Требуется замкнутость относительно постоянных путей, допустимой репараметризации и композиции. Для определения группы голономии дополнительно требуется допустимость обращения пути.</w:t>
      </w:r>
    </w:p>
    <w:tbl>
      <w:tblPr>
        <w:tblW w:type="auto" w:w="0"/>
        <w:jc w:val="center"/>
        <w:tblLayout w:type="fixed"/>
        <w:tblLook w:firstColumn="1" w:firstRow="1" w:lastColumn="0" w:lastRow="0" w:noHBand="0" w:noVBand="1" w:val="04A0"/>
      </w:tblPr>
      <w:tblGrid>
        <w:gridCol w:w="3251"/>
        <w:gridCol w:w="3251"/>
        <w:gridCol w:w="3251"/>
      </w:tblGrid>
      <w:tr>
        <w:trPr>
          <w:tblHeader w:val="true"/>
        </w:trPr>
        <w:tc>
          <w:tcPr>
            <w:tcW w:type="dxa" w:w="1152"/>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8"/>
              </w:rPr>
              <w:t>Условие</w:t>
            </w:r>
          </w:p>
        </w:tc>
        <w:tc>
          <w:tcPr>
            <w:tcW w:type="dxa" w:w="468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8"/>
              </w:rPr>
              <w:t>Смысл</w:t>
            </w:r>
          </w:p>
        </w:tc>
        <w:tc>
          <w:tcPr>
            <w:tcW w:type="dxa" w:w="396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8"/>
              </w:rPr>
              <w:t>Если нарушено</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8"/>
              </w:rPr>
              <w:t>P1</w:t>
            </w:r>
          </w:p>
        </w:tc>
        <w:tc>
          <w:tcPr>
            <w:tcW w:type="dxa" w:w="468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8"/>
              </w:rPr>
              <w:t>Путь остаётся внутри Dom выбранного сектора</w:t>
            </w:r>
          </w:p>
        </w:tc>
        <w:tc>
          <w:tcPr>
            <w:tcW w:type="dxa" w:w="396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8"/>
              </w:rPr>
              <w:t>transport undefined</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8"/>
              </w:rPr>
              <w:t>P2</w:t>
            </w:r>
          </w:p>
        </w:tc>
        <w:tc>
          <w:tcPr>
            <w:tcW w:type="dxa" w:w="468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8"/>
              </w:rPr>
              <w:t>Evidence-D привязан к пути и версии данных</w:t>
            </w:r>
          </w:p>
        </w:tc>
        <w:tc>
          <w:tcPr>
            <w:tcW w:type="dxa" w:w="396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8"/>
              </w:rPr>
              <w:t>foundation blocker</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8"/>
              </w:rPr>
              <w:t>P3</w:t>
            </w:r>
          </w:p>
        </w:tc>
        <w:tc>
          <w:tcPr>
            <w:tcW w:type="dxa" w:w="468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8"/>
              </w:rPr>
              <w:t>Композиция допустимых путей допустима</w:t>
            </w:r>
          </w:p>
        </w:tc>
        <w:tc>
          <w:tcPr>
            <w:tcW w:type="dxa" w:w="396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8"/>
              </w:rPr>
              <w:t>нет категории путей</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8"/>
              </w:rPr>
              <w:t>P4</w:t>
            </w:r>
          </w:p>
        </w:tc>
        <w:tc>
          <w:tcPr>
            <w:tcW w:type="dxa" w:w="468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8"/>
              </w:rPr>
              <w:t>Обратный путь допустим для петель</w:t>
            </w:r>
          </w:p>
        </w:tc>
        <w:tc>
          <w:tcPr>
            <w:tcW w:type="dxa" w:w="396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8"/>
              </w:rPr>
              <w:t>Hol_D может быть лишь моноидом</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8"/>
              </w:rPr>
              <w:t>P5</w:t>
            </w:r>
          </w:p>
        </w:tc>
        <w:tc>
          <w:tcPr>
            <w:tcW w:type="dxa" w:w="468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8"/>
              </w:rPr>
              <w:t>Локальные решения transport ODE существуют и единственны</w:t>
            </w:r>
          </w:p>
        </w:tc>
        <w:tc>
          <w:tcPr>
            <w:tcW w:type="dxa" w:w="396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8"/>
              </w:rPr>
              <w:t>нет P_γ</w:t>
            </w:r>
          </w:p>
        </w:tc>
      </w:tr>
    </w:tbl>
    <w:p>
      <w:pPr>
        <w:spacing w:after="20"/>
      </w:pPr>
    </w:p>
    <w:p>
      <w:pPr>
        <w:pStyle w:val="Heading2"/>
        <w:pageBreakBefore w:val="0"/>
        <w:spacing w:before="140" w:after="100"/>
        <w:keepNext/>
      </w:pPr>
      <w:r>
        <w:t>59.2. Связность и параллельный перенос</w:t>
      </w:r>
    </w:p>
    <w:p>
      <w:pPr>
        <w:spacing w:after="80" w:line="259" w:lineRule="auto"/>
      </w:pPr>
      <w:r>
        <w:rPr>
          <w:rFonts w:ascii="Liberation Serif" w:hAnsi="Liberation Serif" w:eastAsia="Liberation Serif"/>
          <w:b/>
          <w:sz w:val="22"/>
        </w:rPr>
        <w:t>Определение 9.3. NAPG-связность.</w:t>
      </w:r>
      <w:r>
        <w:rPr>
          <w:rFonts w:ascii="Liberation Serif" w:hAnsi="Liberation Serif" w:eastAsia="Liberation Serif"/>
          <w:sz w:val="22"/>
        </w:rPr>
        <w:t>[DEF-A] Связностью на A называется K-линейный оператор ∇:Γ(A)→Ω¹(X;A), удовлетворяющий правилу Лейбница по скалярам: ∇(fs)=df⊗s+f∇s. Связность называется структурно допустимой, если сохраняет градуировку, подрасслоения 𝔊 и Dom-ограничения в явно указанном смысле.</w:t>
      </w:r>
    </w:p>
    <w:p>
      <w:pPr>
        <w:spacing w:before="60" w:after="100"/>
        <w:jc w:val="center"/>
      </w:pPr>
      <w:r>
        <w:rPr>
          <w:rFonts w:ascii="Cambria Math" w:hAnsi="Cambria Math" w:eastAsia="Cambria Math"/>
          <w:sz w:val="22"/>
        </w:rPr>
        <w:t>∇ : Γ(A) → Ω¹(X;A),     ∇(f s)=d f ⊗ s + f ∇s.</w:t>
      </w:r>
    </w:p>
    <w:p>
      <w:pPr>
        <w:spacing w:after="80" w:line="259" w:lineRule="auto"/>
      </w:pPr>
      <w:r>
        <w:rPr>
          <w:rFonts w:ascii="Liberation Serif" w:hAnsi="Liberation Serif" w:eastAsia="Liberation Serif"/>
          <w:b/>
          <w:sz w:val="22"/>
        </w:rPr>
        <w:t>Определение 9.4. Параллельный перенос.</w:t>
      </w:r>
      <w:r>
        <w:rPr>
          <w:rFonts w:ascii="Liberation Serif" w:hAnsi="Liberation Serif" w:eastAsia="Liberation Serif"/>
          <w:sz w:val="22"/>
        </w:rPr>
        <w:t>[CL/DEF-A] Для γ:[0,1]→X оператор P_γ:A_{γ(0)}→A_{γ(1)} определяется решением ∇_{γ̇}s=0. В конечномерном гладком расслоении существование и единственность следуют из стандартной теории линейных ODE вдоль пути.</w:t>
      </w:r>
    </w:p>
    <w:p>
      <w:pPr>
        <w:spacing w:after="80" w:line="259" w:lineRule="auto"/>
      </w:pPr>
      <w:r>
        <w:rPr>
          <w:rFonts w:ascii="Liberation Serif" w:hAnsi="Liberation Serif" w:eastAsia="Liberation Serif"/>
          <w:b/>
          <w:sz w:val="22"/>
        </w:rPr>
        <w:t>Теорема 9.5. Ассоциативность композиции переносов.</w:t>
      </w:r>
      <w:r>
        <w:rPr>
          <w:rFonts w:ascii="Liberation Serif" w:hAnsi="Liberation Serif" w:eastAsia="Liberation Serif"/>
          <w:sz w:val="22"/>
        </w:rPr>
        <w:t>[THM] Если γ₁:x→y и γ₂:y→z допустимы, то P_{γ₂*γ₁}=P_{γ₂}∘P_{γ₁}. Для трёх путей обе расстановки скобок дают один и тот же линейный оператор. Поэтому ассоциатор обычной композиции параллельных переносов тождественно равен нулю.</w:t>
      </w:r>
    </w:p>
    <w:p>
      <w:pPr>
        <w:spacing w:before="60" w:after="100"/>
        <w:jc w:val="center"/>
      </w:pPr>
      <w:r>
        <w:rPr>
          <w:rFonts w:ascii="Cambria Math" w:hAnsi="Cambria Math" w:eastAsia="Cambria Math"/>
          <w:sz w:val="22"/>
        </w:rPr>
        <w:t>(P_{γ3}∘P_{γ2})∘P_{γ1}=P_{γ3}∘(P_{γ2}∘P_{γ1}).</w:t>
      </w:r>
    </w:p>
    <w:p>
      <w:pPr>
        <w:spacing w:before="0" w:after="120" w:line="259" w:lineRule="auto"/>
      </w:pPr>
      <w:r>
        <w:rPr>
          <w:rFonts w:ascii="Liberation Serif" w:hAnsi="Liberation Serif" w:eastAsia="Liberation Serif"/>
          <w:b w:val="0"/>
          <w:sz w:val="22"/>
        </w:rPr>
        <w:t>Доказательство. Оба оператора переводят начальное значение в единственное параллельное решение вдоль одной и той же составной кривой. Равенство скобок является ассоциативностью композиции отображений, а не свойством операции ⊙ в волокне.</w:t>
      </w:r>
    </w:p>
    <w:p>
      <w:pPr>
        <w:spacing w:after="80" w:line="259" w:lineRule="auto"/>
      </w:pPr>
      <w:r>
        <w:rPr>
          <w:rFonts w:ascii="Liberation Serif" w:hAnsi="Liberation Serif" w:eastAsia="Liberation Serif"/>
          <w:b/>
          <w:sz w:val="22"/>
        </w:rPr>
        <w:t>Следствие 9.6. Первый no-go.</w:t>
      </w:r>
      <w:r>
        <w:rPr>
          <w:rFonts w:ascii="Liberation Serif" w:hAnsi="Liberation Serif" w:eastAsia="Liberation Serif"/>
          <w:sz w:val="22"/>
        </w:rPr>
        <w:t>[THM] Hol_D не может быть буквально отождествлена с Ass_⊙: Hol_D состоит из линейных автоморфизмов волокна, тогда как Ass_⊙ является тернарным отображением A_x³→A_x.</w:t>
      </w:r>
    </w:p>
    <w:p>
      <w:pPr>
        <w:pStyle w:val="Heading1"/>
        <w:pageBreakBefore w:val="0"/>
        <w:spacing w:before="200" w:after="100"/>
        <w:keepNext/>
      </w:pPr>
      <w:r>
        <w:t>60. Кривизна, малые контуры и D-голономия</w:t>
      </w:r>
    </w:p>
    <w:p>
      <w:pPr>
        <w:pStyle w:val="Heading2"/>
        <w:pageBreakBefore w:val="0"/>
        <w:spacing w:before="140" w:after="100"/>
        <w:keepNext/>
      </w:pPr>
      <w:r>
        <w:t>60.1. Кривизна связности</w:t>
      </w:r>
    </w:p>
    <w:p>
      <w:pPr>
        <w:spacing w:after="80" w:line="259" w:lineRule="auto"/>
      </w:pPr>
      <w:r>
        <w:rPr>
          <w:rFonts w:ascii="Liberation Serif" w:hAnsi="Liberation Serif" w:eastAsia="Liberation Serif"/>
          <w:b/>
          <w:sz w:val="22"/>
        </w:rPr>
        <w:t>Определение 9.7. Кривизна.</w:t>
      </w:r>
      <w:r>
        <w:rPr>
          <w:rFonts w:ascii="Liberation Serif" w:hAnsi="Liberation Serif" w:eastAsia="Liberation Serif"/>
          <w:sz w:val="22"/>
        </w:rPr>
        <w:t>[CL] Для векторных полей X,Y положим R_∇(X,Y)=[∇_X,∇_Y]-∇_[X,Y]. Это 2-форма со значениями в End(A).</w:t>
      </w:r>
    </w:p>
    <w:p>
      <w:pPr>
        <w:spacing w:before="60" w:after="100"/>
        <w:jc w:val="center"/>
      </w:pPr>
      <w:r>
        <w:rPr>
          <w:rFonts w:ascii="Cambria Math" w:hAnsi="Cambria Math" w:eastAsia="Cambria Math"/>
          <w:sz w:val="22"/>
        </w:rPr>
        <w:t>R_∇ ∈ Ω²(X;End(A)),     R_∇(X,Y)=[∇_X,∇_Y]-∇_[X,Y].</w:t>
      </w:r>
    </w:p>
    <w:p>
      <w:pPr>
        <w:spacing w:after="80" w:line="259" w:lineRule="auto"/>
      </w:pPr>
      <w:r>
        <w:rPr>
          <w:rFonts w:ascii="Liberation Serif" w:hAnsi="Liberation Serif" w:eastAsia="Liberation Serif"/>
          <w:b/>
          <w:sz w:val="22"/>
        </w:rPr>
        <w:t>Определение 9.8. Малоконтурный сертификат.</w:t>
      </w:r>
      <w:r>
        <w:rPr>
          <w:rFonts w:ascii="Liberation Serif" w:hAnsi="Liberation Serif" w:eastAsia="Liberation Serif"/>
          <w:sz w:val="22"/>
        </w:rPr>
        <w:t>[DEF-A] Пусть □_ε(X,Y) - ориентированный малый прямоугольный контур, целиком лежащий в D-допустимом секторе. Знак кривизны фиксируется соглашением</w:t>
      </w:r>
    </w:p>
    <w:p>
      <w:pPr>
        <w:spacing w:before="60" w:after="100"/>
        <w:jc w:val="center"/>
      </w:pPr>
      <w:r>
        <w:rPr>
          <w:rFonts w:ascii="Cambria Math" w:hAnsi="Cambria Math" w:eastAsia="Cambria Math"/>
          <w:sz w:val="22"/>
        </w:rPr>
        <w:t>R_∇(X,Y) = - lim_{ε→0} ε⁻² (P_{□_ε(X,Y)}-Id),</w:t>
      </w:r>
    </w:p>
    <w:p>
      <w:pPr>
        <w:spacing w:before="0" w:after="100" w:line="259" w:lineRule="auto"/>
      </w:pPr>
      <w:r>
        <w:rPr>
          <w:rFonts w:ascii="Liberation Serif" w:hAnsi="Liberation Serif" w:eastAsia="Liberation Serif"/>
          <w:b w:val="0"/>
          <w:sz w:val="22"/>
        </w:rPr>
        <w:t>если предел существует в выбранной тривиализации. Иная ориентация меняет знак, но не тип объекта и не инвариантный вывод о ненулевой кривизне.</w:t>
      </w:r>
    </w:p>
    <w:p>
      <w:pPr>
        <w:spacing w:after="80" w:line="259" w:lineRule="auto"/>
      </w:pPr>
      <w:r>
        <w:rPr>
          <w:rFonts w:ascii="Liberation Serif" w:hAnsi="Liberation Serif" w:eastAsia="Liberation Serif"/>
          <w:b/>
          <w:sz w:val="22"/>
        </w:rPr>
        <w:t>Теорема 9.9. Малый контур локализует кривизну.</w:t>
      </w:r>
      <w:r>
        <w:rPr>
          <w:rFonts w:ascii="Liberation Serif" w:hAnsi="Liberation Serif" w:eastAsia="Liberation Serif"/>
          <w:sz w:val="22"/>
        </w:rPr>
        <w:t>[CL/THM] Для C²-связности P_{□_ε}=Id-ε²R_∇(X,Y)+O(ε³) в фиксированном соглашении. Следовательно, кривизна является первым нетривиальным коэффициентом голономии малых петель, но не ассоциатором композиции переносов.</w:t>
      </w:r>
    </w:p>
    <w:p>
      <w:pPr>
        <w:pStyle w:val="Heading2"/>
        <w:pageBreakBefore w:val="0"/>
        <w:spacing w:before="140" w:after="100"/>
        <w:keepNext/>
      </w:pPr>
      <w:r>
        <w:t>60.2. D-голономия</w:t>
      </w:r>
    </w:p>
    <w:p>
      <w:pPr>
        <w:spacing w:after="80" w:line="259" w:lineRule="auto"/>
      </w:pPr>
      <w:r>
        <w:rPr>
          <w:rFonts w:ascii="Liberation Serif" w:hAnsi="Liberation Serif" w:eastAsia="Liberation Serif"/>
          <w:b/>
          <w:sz w:val="22"/>
        </w:rPr>
        <w:t>Определение 9.10. D-голономия.</w:t>
      </w:r>
      <w:r>
        <w:rPr>
          <w:rFonts w:ascii="Liberation Serif" w:hAnsi="Liberation Serif" w:eastAsia="Liberation Serif"/>
          <w:sz w:val="22"/>
        </w:rPr>
        <w:t>[DEF-A] Для x∈X положим Hol_D(x)={P_γ | γ - D-допустимая петля в x}. Если P_D(X) замкнута относительно обращения, Hol_D(x) является подгруппой GL(A_x). Компонента, порождённая стягиваемыми допустимыми петлями, обозначается Hol_D⁰(x).</w:t>
      </w:r>
    </w:p>
    <w:p>
      <w:pPr>
        <w:spacing w:before="60" w:after="100"/>
        <w:jc w:val="center"/>
      </w:pPr>
      <w:r>
        <w:rPr>
          <w:rFonts w:ascii="Cambria Math" w:hAnsi="Cambria Math" w:eastAsia="Cambria Math"/>
          <w:sz w:val="22"/>
        </w:rPr>
        <w:t>Hol_D(x) ⊂ GL(A_x).</w:t>
      </w:r>
    </w:p>
    <w:p>
      <w:pPr>
        <w:spacing w:after="80" w:line="259" w:lineRule="auto"/>
      </w:pPr>
      <w:r>
        <w:rPr>
          <w:rFonts w:ascii="Liberation Serif" w:hAnsi="Liberation Serif" w:eastAsia="Liberation Serif"/>
          <w:b/>
          <w:sz w:val="22"/>
        </w:rPr>
        <w:t>Предложение 9.11. Смена базовой точки.</w:t>
      </w:r>
      <w:r>
        <w:rPr>
          <w:rFonts w:ascii="Liberation Serif" w:hAnsi="Liberation Serif" w:eastAsia="Liberation Serif"/>
          <w:sz w:val="22"/>
        </w:rPr>
        <w:t>[THM] Для допустимого пути η:x→y выполняется Hol_D(y)=P_η Hol_D(x) P_η⁻¹, если конъюгирование сохраняет класс D-допустимых петель. Поэтому матрицы голономии зависят от калибровки, а размерность, сопряжённостный класс и инвариантные полиномы являются корректными кандидатами для базы RBD.</w:t>
      </w:r>
    </w:p>
    <w:p>
      <w:pPr>
        <w:spacing w:after="80" w:line="259" w:lineRule="auto"/>
      </w:pPr>
      <w:r>
        <w:rPr>
          <w:rFonts w:ascii="Liberation Serif" w:hAnsi="Liberation Serif" w:eastAsia="Liberation Serif"/>
          <w:b/>
          <w:sz w:val="22"/>
        </w:rPr>
        <w:t>Теорема 9.12. Ambrose-Singer, классический слой.</w:t>
      </w:r>
      <w:r>
        <w:rPr>
          <w:rFonts w:ascii="Liberation Serif" w:hAnsi="Liberation Serif" w:eastAsia="Liberation Serif"/>
          <w:sz w:val="22"/>
        </w:rPr>
        <w:t>[CL] Для обычной гладкой связности алгебра ограниченной голономии порождается параллельно перенесёнными значениями кривизны. В v0.7 эта теорема используется только для полной категории гладких путей либо для D-подкатегории после отдельной проверки доступности необходимых контуров.</w:t>
      </w:r>
    </w:p>
    <w:p>
      <w:pPr>
        <w:spacing w:after="80" w:line="259" w:lineRule="auto"/>
      </w:pPr>
      <w:r>
        <w:rPr>
          <w:rFonts w:ascii="Liberation Serif" w:hAnsi="Liberation Serif" w:eastAsia="Liberation Serif"/>
          <w:b/>
          <w:sz w:val="22"/>
        </w:rPr>
        <w:t>Гипотеза 9.13. D-Ambrose-Singer bridge.</w:t>
      </w:r>
      <w:r>
        <w:rPr>
          <w:rFonts w:ascii="Liberation Serif" w:hAnsi="Liberation Serif" w:eastAsia="Liberation Serif"/>
          <w:sz w:val="22"/>
        </w:rPr>
        <w:t>[COND/OPEN] Если D-допустимые пути образуют регулярную управляемую систему, локально содержат необходимые малые прямоугольники и устойчивы относительно транспортировки кривизны, то Lie(Hol_D⁰(x)) порождается D-доступными переносами R_∇. Без этих условий утверждение не импортируется автоматически.</w:t>
      </w:r>
    </w:p>
    <w:p>
      <w:pPr>
        <w:pStyle w:val="Heading1"/>
        <w:pageBreakBefore w:val="0"/>
        <w:spacing w:before="200" w:after="100"/>
        <w:keepNext/>
      </w:pPr>
      <w:r>
        <w:t>61. Совместимость связности с пакетным умножением</w:t>
      </w:r>
    </w:p>
    <w:p>
      <w:pPr>
        <w:pStyle w:val="Heading2"/>
        <w:pageBreakBefore w:val="0"/>
        <w:spacing w:before="140" w:after="100"/>
        <w:keepNext/>
      </w:pPr>
      <w:r>
        <w:t>61.1. Дефект Лейбница для ⊙</w:t>
      </w:r>
    </w:p>
    <w:p>
      <w:pPr>
        <w:spacing w:after="80" w:line="259" w:lineRule="auto"/>
      </w:pPr>
      <w:r>
        <w:rPr>
          <w:rFonts w:ascii="Liberation Serif" w:hAnsi="Liberation Serif" w:eastAsia="Liberation Serif"/>
          <w:b/>
          <w:sz w:val="22"/>
        </w:rPr>
        <w:t>Определение 9.14. Дефект произведения.</w:t>
      </w:r>
      <w:r>
        <w:rPr>
          <w:rFonts w:ascii="Liberation Serif" w:hAnsi="Liberation Serif" w:eastAsia="Liberation Serif"/>
          <w:sz w:val="22"/>
        </w:rPr>
        <w:t>[DEF-A] Для X∈TX и локальных сечений a,b определим</w:t>
      </w:r>
    </w:p>
    <w:p>
      <w:pPr>
        <w:spacing w:before="60" w:after="100"/>
        <w:jc w:val="center"/>
      </w:pPr>
      <w:r>
        <w:rPr>
          <w:rFonts w:ascii="Cambria Math" w:hAnsi="Cambria Math" w:eastAsia="Cambria Math"/>
          <w:sz w:val="22"/>
        </w:rPr>
        <w:t>C_∇(X;a,b)=∇_X(a⊙b)-(∇_X a)⊙b-a⊙(∇_X b).</w:t>
      </w:r>
    </w:p>
    <w:p>
      <w:pPr>
        <w:spacing w:before="0" w:after="100" w:line="259" w:lineRule="auto"/>
      </w:pPr>
      <w:r>
        <w:rPr>
          <w:rFonts w:ascii="Liberation Serif" w:hAnsi="Liberation Serif" w:eastAsia="Liberation Serif"/>
          <w:b w:val="0"/>
          <w:sz w:val="22"/>
        </w:rPr>
        <w:t>Это тензор типа T*X⊗Hom(A⊗A,A), если операция и связность гладкие и всюду определены на рассматриваемом секторе.</w:t>
      </w:r>
    </w:p>
    <w:p>
      <w:pPr>
        <w:spacing w:after="80" w:line="259" w:lineRule="auto"/>
      </w:pPr>
      <w:r>
        <w:rPr>
          <w:rFonts w:ascii="Liberation Serif" w:hAnsi="Liberation Serif" w:eastAsia="Liberation Serif"/>
          <w:b/>
          <w:sz w:val="22"/>
        </w:rPr>
        <w:t>Определение 9.15. Product-compatible connection.</w:t>
      </w:r>
      <w:r>
        <w:rPr>
          <w:rFonts w:ascii="Liberation Serif" w:hAnsi="Liberation Serif" w:eastAsia="Liberation Serif"/>
          <w:sz w:val="22"/>
        </w:rPr>
        <w:t>[DEF-A] Связность совместима с ⊙, если C_∇=0. Тогда μ является параллельным тензором.</w:t>
      </w:r>
    </w:p>
    <w:p>
      <w:pPr>
        <w:spacing w:after="80" w:line="259" w:lineRule="auto"/>
      </w:pPr>
      <w:r>
        <w:rPr>
          <w:rFonts w:ascii="Liberation Serif" w:hAnsi="Liberation Serif" w:eastAsia="Liberation Serif"/>
          <w:b/>
          <w:sz w:val="22"/>
        </w:rPr>
        <w:t>Теорема 9.16. Перенос сохраняет произведение.</w:t>
      </w:r>
      <w:r>
        <w:rPr>
          <w:rFonts w:ascii="Liberation Serif" w:hAnsi="Liberation Serif" w:eastAsia="Liberation Serif"/>
          <w:sz w:val="22"/>
        </w:rPr>
        <w:t>[THM] На связном D-секторе C_∇=0 тогда и только тогда, когда каждый допустимый параллельный перенос является гомоморфизмом волоконных алгебр:</w:t>
      </w:r>
    </w:p>
    <w:p>
      <w:pPr>
        <w:spacing w:before="60" w:after="100"/>
        <w:jc w:val="center"/>
      </w:pPr>
      <w:r>
        <w:rPr>
          <w:rFonts w:ascii="Cambria Math" w:hAnsi="Cambria Math" w:eastAsia="Cambria Math"/>
          <w:sz w:val="22"/>
        </w:rPr>
        <w:t>P_γ(a⊙_x b)=P_γ(a)⊙_y P_γ(b).</w:t>
      </w:r>
    </w:p>
    <w:p>
      <w:pPr>
        <w:spacing w:before="0" w:after="120" w:line="259" w:lineRule="auto"/>
      </w:pPr>
      <w:r>
        <w:rPr>
          <w:rFonts w:ascii="Liberation Serif" w:hAnsi="Liberation Serif" w:eastAsia="Liberation Serif"/>
          <w:b w:val="0"/>
          <w:sz w:val="22"/>
        </w:rPr>
        <w:t>Доказательство. В прямом направлении разность двух сторон удовлетворяет однородному линейному ODE с нулевым начальным значением. В обратном направлении дифференцирование равенства по короткому пути даёт C_∇=0.</w:t>
      </w:r>
    </w:p>
    <w:p>
      <w:pPr>
        <w:spacing w:after="80" w:line="259" w:lineRule="auto"/>
      </w:pPr>
      <w:r>
        <w:rPr>
          <w:rFonts w:ascii="Liberation Serif" w:hAnsi="Liberation Serif" w:eastAsia="Liberation Serif"/>
          <w:b/>
          <w:sz w:val="22"/>
        </w:rPr>
        <w:t>Следствие 9.17. Голономное сохранение структуры.</w:t>
      </w:r>
      <w:r>
        <w:rPr>
          <w:rFonts w:ascii="Liberation Serif" w:hAnsi="Liberation Serif" w:eastAsia="Liberation Serif"/>
          <w:sz w:val="22"/>
        </w:rPr>
        <w:t>[THM] Если C_∇=0, то Hol_D(x)⊂Aut(A_x,⊙_x). Следовательно, голономия сохраняет Ass_⊙, nucleus, центр, идеал J_Ass и полный R⋆R-сертификат, когда эти конструкции функториальны относительно алгебраических автоморфизмов.</w:t>
      </w:r>
    </w:p>
    <w:p>
      <w:pPr>
        <w:pStyle w:val="Heading2"/>
        <w:pageBreakBefore w:val="0"/>
        <w:spacing w:before="140" w:after="100"/>
        <w:keepNext/>
      </w:pPr>
      <w:r>
        <w:t>61.2. Дефекты конечного переноса</w:t>
      </w:r>
    </w:p>
    <w:p>
      <w:pPr>
        <w:spacing w:after="80" w:line="259" w:lineRule="auto"/>
      </w:pPr>
      <w:r>
        <w:rPr>
          <w:rFonts w:ascii="Liberation Serif" w:hAnsi="Liberation Serif" w:eastAsia="Liberation Serif"/>
          <w:b/>
          <w:sz w:val="22"/>
        </w:rPr>
        <w:t>Определение 9.18. Multiplication holonomy defect.</w:t>
      </w:r>
      <w:r>
        <w:rPr>
          <w:rFonts w:ascii="Liberation Serif" w:hAnsi="Liberation Serif" w:eastAsia="Liberation Serif"/>
          <w:sz w:val="22"/>
        </w:rPr>
        <w:t>[DEF-A] Для пути γ:x→y положим</w:t>
      </w:r>
    </w:p>
    <w:p>
      <w:pPr>
        <w:spacing w:before="60" w:after="100"/>
        <w:jc w:val="center"/>
      </w:pPr>
      <w:r>
        <w:rPr>
          <w:rFonts w:ascii="Cambria Math" w:hAnsi="Cambria Math" w:eastAsia="Cambria Math"/>
          <w:sz w:val="22"/>
        </w:rPr>
        <w:t>H_⊙(γ;a,b)=P_γ(a⊙_x b)-P_γ(a)⊙_yP_γ(b).</w:t>
      </w:r>
    </w:p>
    <w:p>
      <w:pPr>
        <w:spacing w:after="80" w:line="259" w:lineRule="auto"/>
      </w:pPr>
      <w:r>
        <w:rPr>
          <w:rFonts w:ascii="Liberation Serif" w:hAnsi="Liberation Serif" w:eastAsia="Liberation Serif"/>
          <w:b/>
          <w:sz w:val="22"/>
        </w:rPr>
        <w:t>Определение 9.19. Associator holonomy defect.</w:t>
      </w:r>
      <w:r>
        <w:rPr>
          <w:rFonts w:ascii="Liberation Serif" w:hAnsi="Liberation Serif" w:eastAsia="Liberation Serif"/>
          <w:sz w:val="22"/>
        </w:rPr>
        <w:t>[DEF-A] Для тройки a,b,c∈A_x положим</w:t>
      </w:r>
    </w:p>
    <w:p>
      <w:pPr>
        <w:spacing w:before="60" w:after="100"/>
        <w:jc w:val="center"/>
      </w:pPr>
      <w:r>
        <w:rPr>
          <w:rFonts w:ascii="Cambria Math" w:hAnsi="Cambria Math" w:eastAsia="Cambria Math"/>
          <w:sz w:val="22"/>
        </w:rPr>
        <w:t>H_Ass(γ;a,b,c)=P_γ Ass_x(a,b,c)-Ass_y(P_γa,P_γb,P_γc).</w:t>
      </w:r>
    </w:p>
    <w:p>
      <w:pPr>
        <w:spacing w:before="0" w:after="100" w:line="259" w:lineRule="auto"/>
      </w:pPr>
      <w:r>
        <w:rPr>
          <w:rFonts w:ascii="Liberation Serif" w:hAnsi="Liberation Serif" w:eastAsia="Liberation Serif"/>
          <w:b w:val="0"/>
          <w:sz w:val="22"/>
        </w:rPr>
        <w:t>H_Ass измеряет не голономию саму по себе, а несохранение тернарного тензора Ass при выбранном переносе. Это типизированный объект и потому пригоден для вычислительного сертификата.</w:t>
      </w:r>
    </w:p>
    <w:p>
      <w:pPr>
        <w:pStyle w:val="Heading1"/>
        <w:pageBreakBefore w:val="0"/>
        <w:spacing w:before="200" w:after="100"/>
        <w:keepNext/>
      </w:pPr>
      <w:r>
        <w:t>62. Ковариантная производная и ассоциаторная кривизна</w:t>
      </w:r>
    </w:p>
    <w:p>
      <w:pPr>
        <w:pStyle w:val="Heading2"/>
        <w:pageBreakBefore w:val="0"/>
        <w:spacing w:before="140" w:after="100"/>
        <w:keepNext/>
      </w:pPr>
      <w:r>
        <w:t>62.1. Точная формула для ∇Ass</w:t>
      </w:r>
    </w:p>
    <w:p>
      <w:pPr>
        <w:spacing w:after="80" w:line="259" w:lineRule="auto"/>
      </w:pPr>
      <w:r>
        <w:rPr>
          <w:rFonts w:ascii="Liberation Serif" w:hAnsi="Liberation Serif" w:eastAsia="Liberation Serif"/>
          <w:b/>
          <w:sz w:val="22"/>
        </w:rPr>
        <w:t>Теорема 9.20. Производная ассоциатора через C_∇.</w:t>
      </w:r>
      <w:r>
        <w:rPr>
          <w:rFonts w:ascii="Liberation Serif" w:hAnsi="Liberation Serif" w:eastAsia="Liberation Serif"/>
          <w:sz w:val="22"/>
        </w:rPr>
        <w:t>[THM] Для индуцированной связности на Hom(A⊗³,A) справедливо</w:t>
      </w:r>
    </w:p>
    <w:p>
      <w:pPr>
        <w:spacing w:before="60" w:after="100"/>
        <w:jc w:val="center"/>
      </w:pPr>
      <w:r>
        <w:rPr>
          <w:rFonts w:ascii="Cambria Math" w:hAnsi="Cambria Math" w:eastAsia="Cambria Math"/>
          <w:sz w:val="22"/>
        </w:rPr>
        <w:t>(∇_X Ass)(a,b,c)=C_X(a,b)⊙c+C_X(a⊙b,c)-a⊙C_X(b,c)-C_X(a,b⊙c).</w:t>
      </w:r>
    </w:p>
    <w:p>
      <w:pPr>
        <w:spacing w:before="0" w:after="120" w:line="259" w:lineRule="auto"/>
      </w:pPr>
      <w:r>
        <w:rPr>
          <w:rFonts w:ascii="Liberation Serif" w:hAnsi="Liberation Serif" w:eastAsia="Liberation Serif"/>
          <w:b w:val="0"/>
          <w:sz w:val="22"/>
        </w:rPr>
        <w:t>Доказательство получается прямым дифференцированием (a⊙b)⊙c-a⊙(b⊙c) и сокращением членов, содержащих ∇a, ∇b, ∇c. Формула показывает, что мост не является метафорой: он вычисляется из дефекта совместимости связности с бинарной операцией.</w:t>
      </w:r>
    </w:p>
    <w:p>
      <w:pPr>
        <w:spacing w:after="80" w:line="259" w:lineRule="auto"/>
      </w:pPr>
      <w:r>
        <w:rPr>
          <w:rFonts w:ascii="Liberation Serif" w:hAnsi="Liberation Serif" w:eastAsia="Liberation Serif"/>
          <w:b/>
          <w:sz w:val="22"/>
        </w:rPr>
        <w:t>Следствие 9.21.</w:t>
      </w:r>
      <w:r>
        <w:rPr>
          <w:rFonts w:ascii="Liberation Serif" w:hAnsi="Liberation Serif" w:eastAsia="Liberation Serif"/>
          <w:sz w:val="22"/>
        </w:rPr>
        <w:t>[THM] C_∇=0 ⇒ ∇Ass=0 ⇒ H_Ass(γ)=0 для всех допустимых путей. Обратные импликации в общем случае неверны: в ассоциативной алгебре Ass=0 сохраняется любой связностью, даже если C_∇≠0.</w:t>
      </w:r>
    </w:p>
    <w:p>
      <w:pPr>
        <w:pStyle w:val="Heading2"/>
        <w:pageBreakBefore w:val="0"/>
        <w:spacing w:before="140" w:after="100"/>
        <w:keepNext/>
      </w:pPr>
      <w:r>
        <w:t>62.2. Индуцированная кривизна на тернарных тензорах</w:t>
      </w:r>
    </w:p>
    <w:p>
      <w:pPr>
        <w:spacing w:after="80" w:line="259" w:lineRule="auto"/>
      </w:pPr>
      <w:r>
        <w:rPr>
          <w:rFonts w:ascii="Liberation Serif" w:hAnsi="Liberation Serif" w:eastAsia="Liberation Serif"/>
          <w:b/>
          <w:sz w:val="22"/>
        </w:rPr>
        <w:t>Определение 9.22. Ассоциаторная кривизна Курпишева в строгом внутреннем смысле.</w:t>
      </w:r>
      <w:r>
        <w:rPr>
          <w:rFonts w:ascii="Liberation Serif" w:hAnsi="Liberation Serif" w:eastAsia="Liberation Serif"/>
          <w:sz w:val="22"/>
        </w:rPr>
        <w:t>[DEF-A] В v0.7 термином K_Ass обозначается не обычная кривизна и не сам ассоциатор, а действие кривизны индуцированной связности на поле Ass:</w:t>
      </w:r>
    </w:p>
    <w:p>
      <w:pPr>
        <w:spacing w:before="60" w:after="100"/>
        <w:jc w:val="center"/>
      </w:pPr>
      <w:r>
        <w:rPr>
          <w:rFonts w:ascii="Cambria Math" w:hAnsi="Cambria Math" w:eastAsia="Cambria Math"/>
          <w:sz w:val="22"/>
        </w:rPr>
        <w:t>K_Ass(X,Y):=R_∇^{(3,1)}(X,Y) Ass ∈ Hom(A⊗³,A).</w:t>
      </w:r>
    </w:p>
    <w:p>
      <w:pPr>
        <w:spacing w:before="0" w:after="40" w:line="259" w:lineRule="auto"/>
      </w:pPr>
      <w:r>
        <w:rPr>
          <w:rFonts w:ascii="Liberation Serif" w:hAnsi="Liberation Serif" w:eastAsia="Liberation Serif"/>
          <w:b w:val="0"/>
          <w:sz w:val="22"/>
        </w:rPr>
        <w:t>Поточечная формула имеет вид</w:t>
      </w:r>
    </w:p>
    <w:p>
      <w:pPr>
        <w:spacing w:before="60" w:after="100"/>
        <w:jc w:val="center"/>
      </w:pPr>
      <w:r>
        <w:rPr>
          <w:rFonts w:ascii="Cambria Math" w:hAnsi="Cambria Math" w:eastAsia="Cambria Math"/>
          <w:sz w:val="22"/>
        </w:rPr>
        <w:t>K_Ass(X,Y)(a,b,c)=R_∇(X,Y)Ass(a,b,c)-Ass(R_∇a,b,c)-Ass(a,R_∇b,c)-Ass(a,b,R_∇c).</w:t>
      </w:r>
    </w:p>
    <w:p>
      <w:pPr>
        <w:spacing w:after="80" w:line="259" w:lineRule="auto"/>
      </w:pPr>
      <w:r>
        <w:rPr>
          <w:rFonts w:ascii="Liberation Serif" w:hAnsi="Liberation Serif" w:eastAsia="Liberation Serif"/>
          <w:b/>
          <w:sz w:val="22"/>
        </w:rPr>
        <w:t>Теорема 9.23. Необходимое условие параллельности.</w:t>
      </w:r>
      <w:r>
        <w:rPr>
          <w:rFonts w:ascii="Liberation Serif" w:hAnsi="Liberation Serif" w:eastAsia="Liberation Serif"/>
          <w:sz w:val="22"/>
        </w:rPr>
        <w:t>[THM] Если ∇Ass=0, то K_Ass=0. Поэтому ненулевой K_Ass является локальным препятствием к параллельности ассоциатора.</w:t>
      </w:r>
    </w:p>
    <w:p>
      <w:pPr>
        <w:spacing w:after="80" w:line="259" w:lineRule="auto"/>
      </w:pPr>
      <w:r>
        <w:rPr>
          <w:rFonts w:ascii="Liberation Serif" w:hAnsi="Liberation Serif" w:eastAsia="Liberation Serif"/>
          <w:b/>
          <w:sz w:val="22"/>
        </w:rPr>
        <w:t>Предупреждение 9.24.</w:t>
      </w:r>
      <w:r>
        <w:rPr>
          <w:rFonts w:ascii="Liberation Serif" w:hAnsi="Liberation Serif" w:eastAsia="Liberation Serif"/>
          <w:sz w:val="22"/>
        </w:rPr>
        <w:t>[OPEN] K_Ass=0 не влечёт ∇Ass=0 без дополнительных условий. Даже плоская индуцированная связность может иметь непараллельное выбранное поле тензоров. Глобальное восстановление требует холономного принципа и начального инвариантного значения.</w:t>
      </w:r>
    </w:p>
    <w:p>
      <w:pPr>
        <w:spacing w:after="80" w:line="259" w:lineRule="auto"/>
      </w:pPr>
      <w:r>
        <w:rPr>
          <w:rFonts w:ascii="Liberation Serif" w:hAnsi="Liberation Serif" w:eastAsia="Liberation Serif"/>
          <w:b/>
          <w:sz w:val="22"/>
        </w:rPr>
        <w:t>Определение 9.25. Полный bridge package.</w:t>
      </w:r>
      <w:r>
        <w:rPr>
          <w:rFonts w:ascii="Liberation Serif" w:hAnsi="Liberation Serif" w:eastAsia="Liberation Serif"/>
          <w:sz w:val="22"/>
        </w:rPr>
        <w:t>[DEF-A] Ассоциаторно-голономный мост хранится как четвёрка</w:t>
      </w:r>
    </w:p>
    <w:p>
      <w:pPr>
        <w:spacing w:before="60" w:after="100"/>
        <w:jc w:val="center"/>
      </w:pPr>
      <w:r>
        <w:rPr>
          <w:rFonts w:ascii="Cambria Math" w:hAnsi="Cambria Math" w:eastAsia="Cambria Math"/>
          <w:sz w:val="22"/>
        </w:rPr>
        <w:t>B_Ass(∇,⊙)=(C_∇, ∇Ass, K_Ass, H_Ass).</w:t>
      </w:r>
    </w:p>
    <w:p>
      <w:pPr>
        <w:spacing w:before="0" w:after="120" w:line="259" w:lineRule="auto"/>
      </w:pPr>
      <w:r>
        <w:rPr>
          <w:rFonts w:ascii="Liberation Serif" w:hAnsi="Liberation Serif" w:eastAsia="Liberation Serif"/>
          <w:b w:val="0"/>
          <w:sz w:val="22"/>
        </w:rPr>
        <w:t>Удаление любой компоненты снижает разрешающую способность аудита: C_∇ контролирует бинарную структуру, ∇Ass - первый порядок, K_Ass - кривизну индуцированной связи, H_Ass - конечный перенос.</w:t>
      </w:r>
    </w:p>
    <w:p>
      <w:pPr>
        <w:pStyle w:val="Heading2"/>
        <w:pageBreakBefore w:val="0"/>
        <w:spacing w:before="140" w:after="100"/>
        <w:keepNext/>
      </w:pPr>
      <w:r>
        <w:t>62.3. Голономный принцип для ассоциатора</w:t>
      </w:r>
    </w:p>
    <w:p>
      <w:pPr>
        <w:spacing w:after="80" w:line="259" w:lineRule="auto"/>
      </w:pPr>
      <w:r>
        <w:rPr>
          <w:rFonts w:ascii="Liberation Serif" w:hAnsi="Liberation Serif" w:eastAsia="Liberation Serif"/>
          <w:b/>
          <w:sz w:val="22"/>
        </w:rPr>
        <w:t>Теорема 9.26. Holonomy principle.</w:t>
      </w:r>
      <w:r>
        <w:rPr>
          <w:rFonts w:ascii="Liberation Serif" w:hAnsi="Liberation Serif" w:eastAsia="Liberation Serif"/>
          <w:sz w:val="22"/>
        </w:rPr>
        <w:t>[CL/THM] На связном секторе параллельные тензорные поля типа (3,1) находятся во взаимно однозначном соответствии с тензорами в одной точке, инвариантными относительно полной голономии. Поэтому глобальный параллельный ассоциатор существует из начального Ass_x тогда и только тогда, когда Ass_x фиксирован Hol_D(x), при условии что D-пути соединяют сектор и transport path-independence обеспечена голономной инвариантностью.</w:t>
      </w:r>
    </w:p>
    <w:p>
      <w:pPr>
        <w:spacing w:after="80" w:line="259" w:lineRule="auto"/>
      </w:pPr>
      <w:r>
        <w:rPr>
          <w:rFonts w:ascii="Liberation Serif" w:hAnsi="Liberation Serif" w:eastAsia="Liberation Serif"/>
          <w:b/>
          <w:sz w:val="22"/>
        </w:rPr>
        <w:t>Граница 9.27.</w:t>
      </w:r>
      <w:r>
        <w:rPr>
          <w:rFonts w:ascii="Liberation Serif" w:hAnsi="Liberation Serif" w:eastAsia="Liberation Serif"/>
          <w:sz w:val="22"/>
        </w:rPr>
        <w:t>[OPEN] Параллельное поле, восстановленное из Ass_x, не обязано совпадать с ассоциатором фактического поля операций μ_y. Для совпадения требуется C_∇=0 либо отдельная проверка μ_y=P_γ μ_x.</w:t>
      </w:r>
    </w:p>
    <w:p>
      <w:pPr>
        <w:pStyle w:val="Heading1"/>
        <w:pageBreakBefore w:val="0"/>
        <w:spacing w:before="200" w:after="100"/>
        <w:keepNext/>
      </w:pPr>
      <w:r>
        <w:t>63. Контрмодели и нетривиальная совместимая модель</w:t>
      </w:r>
    </w:p>
    <w:p>
      <w:pPr>
        <w:spacing w:before="100" w:after="40"/>
        <w:jc w:val="center"/>
      </w:pPr>
      <w:r>
        <w:drawing>
          <wp:inline xmlns:a="http://schemas.openxmlformats.org/drawingml/2006/main" xmlns:pic="http://schemas.openxmlformats.org/drawingml/2006/picture">
            <wp:extent cx="6172200" cy="3526639"/>
            <wp:docPr id="22" name="Picture 22"/>
            <wp:cNvGraphicFramePr>
              <a:graphicFrameLocks noChangeAspect="1"/>
            </wp:cNvGraphicFramePr>
            <a:graphic>
              <a:graphicData uri="http://schemas.openxmlformats.org/drawingml/2006/picture">
                <pic:pic>
                  <pic:nvPicPr>
                    <pic:cNvPr id="0" name="fig18_models.png"/>
                    <pic:cNvPicPr/>
                  </pic:nvPicPr>
                  <pic:blipFill>
                    <a:blip r:embed="rId48"/>
                    <a:stretch>
                      <a:fillRect/>
                    </a:stretch>
                  </pic:blipFill>
                  <pic:spPr>
                    <a:xfrm>
                      <a:off x="0" y="0"/>
                      <a:ext cx="6172200" cy="3526639"/>
                    </a:xfrm>
                    <a:prstGeom prst="rect"/>
                  </pic:spPr>
                </pic:pic>
              </a:graphicData>
            </a:graphic>
          </wp:inline>
        </w:drawing>
      </w:r>
    </w:p>
    <w:p>
      <w:pPr>
        <w:pStyle w:val="Caption"/>
        <w:keepNext/>
        <w:spacing w:after="120"/>
        <w:jc w:val="center"/>
      </w:pPr>
      <w:r>
        <w:t>Рисунок 18. Четыре модели, разделяющие кривизну, голономию, совместимость и ассоциатор. Собственная схема Тома II.</w:t>
      </w:r>
    </w:p>
    <w:p>
      <w:pPr>
        <w:pStyle w:val="Heading2"/>
        <w:pageBreakBefore w:val="0"/>
        <w:spacing w:before="140" w:after="100"/>
        <w:keepNext/>
      </w:pPr>
      <w:r>
        <w:t>63.1. Плоская неассоциативная модель</w:t>
      </w:r>
    </w:p>
    <w:p>
      <w:pPr>
        <w:spacing w:after="80" w:line="259" w:lineRule="auto"/>
      </w:pPr>
      <w:r>
        <w:rPr>
          <w:rFonts w:ascii="Liberation Serif" w:hAnsi="Liberation Serif" w:eastAsia="Liberation Serif"/>
          <w:b/>
          <w:sz w:val="22"/>
        </w:rPr>
        <w:t>Пример 9.28.</w:t>
      </w:r>
      <w:r>
        <w:rPr>
          <w:rFonts w:ascii="Liberation Serif" w:hAnsi="Liberation Serif" w:eastAsia="Liberation Serif"/>
          <w:sz w:val="22"/>
        </w:rPr>
        <w:t>[THM/EX] Пусть X=R², A=X×A₂, операция μ постоянна и неассоциативна, а ∇=d. Тогда R_∇=0, Hol⁰={Id}, C_∇=0, но Ass_⊙≠0. Следовательно, ненулевой ассоциатор не порождает кривизну автоматически.</w:t>
      </w:r>
    </w:p>
    <w:p>
      <w:pPr>
        <w:pStyle w:val="Heading2"/>
        <w:pageBreakBefore w:val="0"/>
        <w:spacing w:before="140" w:after="100"/>
        <w:keepNext/>
      </w:pPr>
      <w:r>
        <w:t>63.2. Кривая ассоциативная модель</w:t>
      </w:r>
    </w:p>
    <w:p>
      <w:pPr>
        <w:spacing w:after="80" w:line="259" w:lineRule="auto"/>
      </w:pPr>
      <w:r>
        <w:rPr>
          <w:rFonts w:ascii="Liberation Serif" w:hAnsi="Liberation Serif" w:eastAsia="Liberation Serif"/>
          <w:b/>
          <w:sz w:val="22"/>
        </w:rPr>
        <w:t>Пример 9.29.</w:t>
      </w:r>
      <w:r>
        <w:rPr>
          <w:rFonts w:ascii="Liberation Serif" w:hAnsi="Liberation Serif" w:eastAsia="Liberation Serif"/>
          <w:sz w:val="22"/>
        </w:rPr>
        <w:t>[THM/EX] Пусть A=X×M₂(R), ∇=d+[B,·], где B=x dy·H и H∈M₂(R). Тогда R_∇=dx∧dy·ad_H может быть ненулевой, но Ass_⊙=0, поскольку матричное умножение ассоциативно. Значит, кривизна не порождает неассоциативность автоматически.</w:t>
      </w:r>
    </w:p>
    <w:p>
      <w:pPr>
        <w:pStyle w:val="Heading2"/>
        <w:pageBreakBefore w:val="0"/>
        <w:spacing w:before="140" w:after="100"/>
        <w:keepNext/>
      </w:pPr>
      <w:r>
        <w:t>63.3. Плоская, но несовместимая связность</w:t>
      </w:r>
    </w:p>
    <w:p>
      <w:pPr>
        <w:spacing w:after="80" w:line="259" w:lineRule="auto"/>
      </w:pPr>
      <w:r>
        <w:rPr>
          <w:rFonts w:ascii="Liberation Serif" w:hAnsi="Liberation Serif" w:eastAsia="Liberation Serif"/>
          <w:b/>
          <w:sz w:val="22"/>
        </w:rPr>
        <w:t>Пример 9.30.</w:t>
      </w:r>
      <w:r>
        <w:rPr>
          <w:rFonts w:ascii="Liberation Serif" w:hAnsi="Liberation Serif" w:eastAsia="Liberation Serif"/>
          <w:sz w:val="22"/>
        </w:rPr>
        <w:t>[THM/EX] На постоянном алгебраическом расслоении положим ∇=d+ω Id, где dω=0. Тогда R_∇=0, но C_∇(X;a,b)=-ω(X)(a⊙b). Открытый перенос масштабирует элементы и обычно не является алгебраическим гомоморфизмом. Плоскостность не означает сохранение пакетного произведения.</w:t>
      </w:r>
    </w:p>
    <w:p>
      <w:pPr>
        <w:pStyle w:val="Heading2"/>
        <w:pageBreakBefore w:val="0"/>
        <w:spacing w:before="140" w:after="100"/>
        <w:keepNext/>
      </w:pPr>
      <w:r>
        <w:t>63.4. Кривая совместимая октонионная модель</w:t>
      </w:r>
    </w:p>
    <w:p>
      <w:pPr>
        <w:spacing w:after="80" w:line="259" w:lineRule="auto"/>
      </w:pPr>
      <w:r>
        <w:rPr>
          <w:rFonts w:ascii="Liberation Serif" w:hAnsi="Liberation Serif" w:eastAsia="Liberation Serif"/>
          <w:b/>
          <w:sz w:val="22"/>
        </w:rPr>
        <w:t>Пример 9.31.</w:t>
      </w:r>
      <w:r>
        <w:rPr>
          <w:rFonts w:ascii="Liberation Serif" w:hAnsi="Liberation Serif" w:eastAsia="Liberation Serif"/>
          <w:sz w:val="22"/>
        </w:rPr>
        <w:t>[MODEL/THM] Пусть A=R²×O, D∈Der(O), D≠0, и ∇=d+x dy·D. Поскольку D является деривацией, C_∇=0. Кривизна равна R_∇=dx∧dy·D≠0, а Hol_D действует алгебраическими автоморфизмами O, то есть лежит в G₂. Ассоциатор ненулевой, но параллелен и сохраняется голономией.</w:t>
      </w:r>
    </w:p>
    <w:p>
      <w:pPr>
        <w:spacing w:before="0" w:after="120" w:line="259" w:lineRule="auto"/>
      </w:pPr>
      <w:r>
        <w:rPr>
          <w:rFonts w:ascii="Liberation Serif" w:hAnsi="Liberation Serif" w:eastAsia="Liberation Serif"/>
          <w:b w:val="0"/>
          <w:sz w:val="22"/>
        </w:rPr>
        <w:t>Эта модель показывает допустимую форму моста: не «кривизна равна ассоциатору», а «кривизна принимает значения в алгебре дериваций, поэтому голономия сохраняет умножение и порождённый им ассоциатор».</w:t>
      </w:r>
    </w:p>
    <w:p>
      <w:pPr>
        <w:spacing w:after="80" w:line="259" w:lineRule="auto"/>
      </w:pPr>
      <w:r>
        <w:rPr>
          <w:rFonts w:ascii="Liberation Serif" w:hAnsi="Liberation Serif" w:eastAsia="Liberation Serif"/>
          <w:b/>
          <w:sz w:val="22"/>
        </w:rPr>
        <w:t>Теорема 9.32. Universal-equality no-go.</w:t>
      </w:r>
      <w:r>
        <w:rPr>
          <w:rFonts w:ascii="Liberation Serif" w:hAnsi="Liberation Serif" w:eastAsia="Liberation Serif"/>
          <w:sz w:val="22"/>
        </w:rPr>
        <w:t>[THM] На классе всех алгебраических расслоений не существует универсального тождества, определяющего R_∇ или Hol_D только по Ass_⊙, и не существует обратного универсального определения Ass_⊙ только по R_∇ или Hol_D. Доказательство дают пары примеров 9.28-9.31.</w:t>
      </w:r>
    </w:p>
    <w:p>
      <w:pPr>
        <w:pStyle w:val="Heading1"/>
        <w:pageBreakBefore w:val="0"/>
        <w:spacing w:before="200" w:after="100"/>
        <w:keepNext/>
      </w:pPr>
      <w:r>
        <w:t>64. Akivis/Sabinin-мост и его доказательные обязательства</w:t>
      </w:r>
    </w:p>
    <w:p>
      <w:pPr>
        <w:pStyle w:val="Heading2"/>
        <w:pageBreakBefore w:val="0"/>
        <w:spacing w:before="140" w:after="100"/>
        <w:keepNext/>
      </w:pPr>
      <w:r>
        <w:t>64.1. Классический локально-петлевой слой</w:t>
      </w:r>
    </w:p>
    <w:p>
      <w:pPr>
        <w:spacing w:after="80" w:line="259" w:lineRule="auto"/>
      </w:pPr>
      <w:r>
        <w:rPr>
          <w:rFonts w:ascii="Liberation Serif" w:hAnsi="Liberation Serif" w:eastAsia="Liberation Serif"/>
          <w:b/>
          <w:sz w:val="22"/>
        </w:rPr>
        <w:t>Определение 9.33. Akivis-алгебра.</w:t>
      </w:r>
      <w:r>
        <w:rPr>
          <w:rFonts w:ascii="Liberation Serif" w:hAnsi="Liberation Serif" w:eastAsia="Liberation Serif"/>
          <w:sz w:val="22"/>
        </w:rPr>
        <w:t>[CL] Векторное пространство V с антисимметричной бинарной операцией [x,y] и тернарной операцией (x,y,z) называется Akivis-алгеброй, если якобиатор бинарной операции равен знакопеременной сумме тернарной операции:</w:t>
      </w:r>
    </w:p>
    <w:p>
      <w:pPr>
        <w:spacing w:before="60" w:after="100"/>
        <w:jc w:val="center"/>
      </w:pPr>
      <w:r>
        <w:rPr>
          <w:rFonts w:ascii="Cambria Math" w:hAnsi="Cambria Math" w:eastAsia="Cambria Math"/>
          <w:sz w:val="22"/>
        </w:rPr>
        <w:t>[[x,y],z]+[[y,z],x]+[[z,x],y] = Σ_cyc ((x,y,z)-(y,x,z)).</w:t>
      </w:r>
    </w:p>
    <w:p>
      <w:pPr>
        <w:spacing w:before="0" w:after="100" w:line="259" w:lineRule="auto"/>
      </w:pPr>
      <w:r>
        <w:rPr>
          <w:rFonts w:ascii="Liberation Serif" w:hAnsi="Liberation Serif" w:eastAsia="Liberation Serif"/>
          <w:b w:val="0"/>
          <w:sz w:val="22"/>
        </w:rPr>
        <w:t>В геометрии локальных луп бинарная и тернарная операции возникают из низших членов разложения локального умножения и связаны с кручением, кривизной и ассоциативным дефектом. Этот классический факт даёт возможный интерфейс, но не готовое отождествление с NAPG-ассоциатором.</w:t>
      </w:r>
    </w:p>
    <w:p>
      <w:pPr>
        <w:spacing w:after="80" w:line="259" w:lineRule="auto"/>
      </w:pPr>
      <w:r>
        <w:rPr>
          <w:rFonts w:ascii="Liberation Serif" w:hAnsi="Liberation Serif" w:eastAsia="Liberation Serif"/>
          <w:b/>
          <w:sz w:val="22"/>
        </w:rPr>
        <w:t>Определение 9.34. Bridge datum β.</w:t>
      </w:r>
      <w:r>
        <w:rPr>
          <w:rFonts w:ascii="Liberation Serif" w:hAnsi="Liberation Serif" w:eastAsia="Liberation Serif"/>
          <w:sz w:val="22"/>
        </w:rPr>
        <w:t>[DEF-A] Мостом от волоконной NAPG-алгебры к локальной Akivis-структуре называется семейство линейных карт J_x:A_x→T_xX или в более общем случае функтор β_x между тернарными носителями, для которого определены диаграммы</w:t>
      </w:r>
    </w:p>
    <w:p>
      <w:pPr>
        <w:spacing w:before="60" w:after="100"/>
        <w:jc w:val="center"/>
      </w:pPr>
      <w:r>
        <w:rPr>
          <w:rFonts w:ascii="Cambria Math" w:hAnsi="Cambria Math" w:eastAsia="Cambria Math"/>
          <w:sz w:val="22"/>
        </w:rPr>
        <w:t>β_x ∘ Ass_⊙ = A_geo ∘ (J_x⊗J_x⊗J_x).</w:t>
      </w:r>
    </w:p>
    <w:tbl>
      <w:tblPr>
        <w:tblW w:type="auto" w:w="0"/>
        <w:jc w:val="center"/>
        <w:tblLayout w:type="fixed"/>
        <w:tblLook w:firstColumn="1" w:firstRow="1" w:lastColumn="0" w:lastRow="0" w:noHBand="0" w:noVBand="1" w:val="04A0"/>
      </w:tblPr>
      <w:tblGrid>
        <w:gridCol w:w="3251"/>
        <w:gridCol w:w="3251"/>
        <w:gridCol w:w="3251"/>
      </w:tblGrid>
      <w:tr>
        <w:trPr>
          <w:tblHeader w:val="true"/>
        </w:trPr>
        <w:tc>
          <w:tcPr>
            <w:tcW w:type="dxa" w:w="1152"/>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Код</w:t>
            </w:r>
          </w:p>
        </w:tc>
        <w:tc>
          <w:tcPr>
            <w:tcW w:type="dxa" w:w="684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Обязательство моста</w:t>
            </w:r>
          </w:p>
        </w:tc>
        <w:tc>
          <w:tcPr>
            <w:tcW w:type="dxa" w:w="1728"/>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Статус v0.7</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B-AK1</w:t>
            </w:r>
          </w:p>
        </w:tc>
        <w:tc>
          <w:tcPr>
            <w:tcW w:type="dxa" w:w="68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Dom/Cod J_x и β_x заданы типизированно</w:t>
            </w:r>
          </w:p>
        </w:tc>
        <w:tc>
          <w:tcPr>
            <w:tcW w:type="dxa" w:w="1728"/>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OPEN</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B-AK2</w:t>
            </w:r>
          </w:p>
        </w:tc>
        <w:tc>
          <w:tcPr>
            <w:tcW w:type="dxa" w:w="68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J_x совместим с градуировкой и D/Dom</w:t>
            </w:r>
          </w:p>
        </w:tc>
        <w:tc>
          <w:tcPr>
            <w:tcW w:type="dxa" w:w="1728"/>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OPEN</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B-AK3</w:t>
            </w:r>
          </w:p>
        </w:tc>
        <w:tc>
          <w:tcPr>
            <w:tcW w:type="dxa" w:w="68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Существует локальная лупа/экспоненциальная модель</w:t>
            </w:r>
          </w:p>
        </w:tc>
        <w:tc>
          <w:tcPr>
            <w:tcW w:type="dxa" w:w="1728"/>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COND</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B-AK4</w:t>
            </w:r>
          </w:p>
        </w:tc>
        <w:tc>
          <w:tcPr>
            <w:tcW w:type="dxa" w:w="68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Akivis identity выполнена для образа</w:t>
            </w:r>
          </w:p>
        </w:tc>
        <w:tc>
          <w:tcPr>
            <w:tcW w:type="dxa" w:w="1728"/>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OPEN</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B-AK5</w:t>
            </w:r>
          </w:p>
        </w:tc>
        <w:tc>
          <w:tcPr>
            <w:tcW w:type="dxa" w:w="68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β естественна относительно NAPG-морфизмов</w:t>
            </w:r>
          </w:p>
        </w:tc>
        <w:tc>
          <w:tcPr>
            <w:tcW w:type="dxa" w:w="1728"/>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OPEN</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B-AK6</w:t>
            </w:r>
          </w:p>
        </w:tc>
        <w:tc>
          <w:tcPr>
            <w:tcW w:type="dxa" w:w="68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β intertwines выбранные связности</w:t>
            </w:r>
          </w:p>
        </w:tc>
        <w:tc>
          <w:tcPr>
            <w:tcW w:type="dxa" w:w="1728"/>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OPEN</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B-AK7</w:t>
            </w:r>
          </w:p>
        </w:tc>
        <w:tc>
          <w:tcPr>
            <w:tcW w:type="dxa" w:w="68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Результат независим от карты/калибровки</w:t>
            </w:r>
          </w:p>
        </w:tc>
        <w:tc>
          <w:tcPr>
            <w:tcW w:type="dxa" w:w="1728"/>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OPEN</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B-AK8</w:t>
            </w:r>
          </w:p>
        </w:tc>
        <w:tc>
          <w:tcPr>
            <w:tcW w:type="dxa" w:w="68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Вычислительный сертификат воспроизводим</w:t>
            </w:r>
          </w:p>
        </w:tc>
        <w:tc>
          <w:tcPr>
            <w:tcW w:type="dxa" w:w="1728"/>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OPEN</w:t>
            </w:r>
          </w:p>
        </w:tc>
      </w:tr>
    </w:tbl>
    <w:p>
      <w:pPr>
        <w:spacing w:after="20"/>
      </w:pPr>
    </w:p>
    <w:p>
      <w:pPr>
        <w:spacing w:after="80" w:line="259" w:lineRule="auto"/>
      </w:pPr>
      <w:r>
        <w:rPr>
          <w:rFonts w:ascii="Liberation Serif" w:hAnsi="Liberation Serif" w:eastAsia="Liberation Serif"/>
          <w:b/>
          <w:sz w:val="22"/>
        </w:rPr>
        <w:t>Условная теорема 9.35. Curvature-associator transport.</w:t>
      </w:r>
      <w:r>
        <w:rPr>
          <w:rFonts w:ascii="Liberation Serif" w:hAnsi="Liberation Serif" w:eastAsia="Liberation Serif"/>
          <w:sz w:val="22"/>
        </w:rPr>
        <w:t>[COND] Если B-AK1-B-AK8 выполнены и β является параллельным intertwiner, то β переносит ∇Ass в ковариантную производную геометрического тернарного тензора и удовлетворяет</w:t>
      </w:r>
    </w:p>
    <w:p>
      <w:pPr>
        <w:spacing w:before="60" w:after="100"/>
        <w:jc w:val="center"/>
      </w:pPr>
      <w:r>
        <w:rPr>
          <w:rFonts w:ascii="Cambria Math" w:hAnsi="Cambria Math" w:eastAsia="Cambria Math"/>
          <w:sz w:val="22"/>
        </w:rPr>
        <w:t>β(K_Ass)=R_geo^{(3,1)}(β(Ass)).</w:t>
      </w:r>
    </w:p>
    <w:p>
      <w:pPr>
        <w:spacing w:before="0" w:after="120" w:line="259" w:lineRule="auto"/>
      </w:pPr>
      <w:r>
        <w:rPr>
          <w:rFonts w:ascii="Liberation Serif" w:hAnsi="Liberation Serif" w:eastAsia="Liberation Serif"/>
          <w:b w:val="0"/>
          <w:sz w:val="22"/>
        </w:rPr>
        <w:t>Теорема утверждает естественность уже построенного моста. Она не доказывает существование β. До закрытия B-AK1-B-AK8 общий геометрический мост остаётся доказательным обязательством T2-PO-060.</w:t>
      </w:r>
    </w:p>
    <w:p>
      <w:pPr>
        <w:pStyle w:val="Heading1"/>
        <w:pageBreakBefore w:val="0"/>
        <w:spacing w:before="200" w:after="100"/>
        <w:keepNext/>
      </w:pPr>
      <w:r>
        <w:t>65. Голономные инварианты предсказательного метода</w:t>
      </w:r>
    </w:p>
    <w:p>
      <w:pPr>
        <w:pStyle w:val="Heading2"/>
        <w:pageBreakBefore w:val="0"/>
        <w:spacing w:before="140" w:after="100"/>
        <w:keepNext/>
      </w:pPr>
      <w:r>
        <w:t>65.1. Инвариантная сигнатура</w:t>
      </w:r>
    </w:p>
    <w:p>
      <w:pPr>
        <w:spacing w:after="80" w:line="259" w:lineRule="auto"/>
      </w:pPr>
      <w:r>
        <w:rPr>
          <w:rFonts w:ascii="Liberation Serif" w:hAnsi="Liberation Serif" w:eastAsia="Liberation Serif"/>
          <w:b/>
          <w:sz w:val="22"/>
        </w:rPr>
        <w:t>Определение 9.36. D-holonomy signature.</w:t>
      </w:r>
      <w:r>
        <w:rPr>
          <w:rFonts w:ascii="Liberation Serif" w:hAnsi="Liberation Serif" w:eastAsia="Liberation Serif"/>
          <w:sz w:val="22"/>
        </w:rPr>
        <w:t>[DEF-A] Для параметра t определим сигнатуру</w:t>
      </w:r>
    </w:p>
    <w:p>
      <w:pPr>
        <w:spacing w:before="60" w:after="100"/>
        <w:jc w:val="center"/>
      </w:pPr>
      <w:r>
        <w:rPr>
          <w:rFonts w:ascii="Cambria Math" w:hAnsi="Cambria Math" w:eastAsia="Cambria Math"/>
          <w:sz w:val="22"/>
        </w:rPr>
        <w:t>Σ_Hol(t)=(dim 𝔥_D, rank G_N, Inv(R_∇), dim Stab(Ass), ||C_∇||, ||∇Ass||, ||K_Ass||, δ_truth, CGI).</w:t>
      </w:r>
    </w:p>
    <w:p>
      <w:pPr>
        <w:spacing w:before="0" w:after="100" w:line="259" w:lineRule="auto"/>
      </w:pPr>
      <w:r>
        <w:rPr>
          <w:rFonts w:ascii="Liberation Serif" w:hAnsi="Liberation Serif" w:eastAsia="Liberation Serif"/>
          <w:b w:val="0"/>
          <w:sz w:val="22"/>
        </w:rPr>
        <w:t>Здесь 𝔥_D - Lie-алгебра доступной голономии, G_N - матрица конечного сертификата генераторов до порядка N, Inv(R_∇) - только калибровочно-инвариантные полиномы или спектральные данные. Сырые коэффициенты матрицы без фиксированной калибровки в RBD как инварианты не записываются.</w:t>
      </w:r>
    </w:p>
    <w:p>
      <w:pPr>
        <w:spacing w:after="80" w:line="259" w:lineRule="auto"/>
      </w:pPr>
      <w:r>
        <w:rPr>
          <w:rFonts w:ascii="Liberation Serif" w:hAnsi="Liberation Serif" w:eastAsia="Liberation Serif"/>
          <w:b/>
          <w:sz w:val="22"/>
        </w:rPr>
        <w:t>Определение 9.37. Конечный голономный сертификат.</w:t>
      </w:r>
      <w:r>
        <w:rPr>
          <w:rFonts w:ascii="Liberation Serif" w:hAnsi="Liberation Serif" w:eastAsia="Liberation Serif"/>
          <w:sz w:val="22"/>
        </w:rPr>
        <w:t>[DEF-A] Выбирается конечное семейство D-допустимых путей η_j и ковариантных производных кривизны до порядка N. После переноса в базовую точку их координаты образуют матрицу G_N(t). Её ранг r_N(t) является воспроизводимым конечным приближением к размерности порождённого подпространства голономии.</w:t>
      </w:r>
    </w:p>
    <w:p>
      <w:pPr>
        <w:spacing w:after="80" w:line="259" w:lineRule="auto"/>
      </w:pPr>
      <w:r>
        <w:rPr>
          <w:rFonts w:ascii="Liberation Serif" w:hAnsi="Liberation Serif" w:eastAsia="Liberation Serif"/>
          <w:b/>
          <w:sz w:val="22"/>
        </w:rPr>
        <w:t>Теорема 9.38. Локальная постоянность конечного ранга.</w:t>
      </w:r>
      <w:r>
        <w:rPr>
          <w:rFonts w:ascii="Liberation Serif" w:hAnsi="Liberation Serif" w:eastAsia="Liberation Serif"/>
          <w:sz w:val="22"/>
        </w:rPr>
        <w:t>[THM] Если элементы G_N(t) аналитичны и некоторый максимальный r×r minor не обращается в нуль на интервале I, то rank G_N(t)=r на I. Изменение ранга возможно только на нулевом множестве соответствующих minors либо при выходе из Dom.</w:t>
      </w:r>
    </w:p>
    <w:p>
      <w:pPr>
        <w:spacing w:after="80" w:line="259" w:lineRule="auto"/>
      </w:pPr>
      <w:r>
        <w:rPr>
          <w:rFonts w:ascii="Liberation Serif" w:hAnsi="Liberation Serif" w:eastAsia="Liberation Serif"/>
          <w:b/>
          <w:sz w:val="22"/>
        </w:rPr>
        <w:t>Граница 9.39.</w:t>
      </w:r>
      <w:r>
        <w:rPr>
          <w:rFonts w:ascii="Liberation Serif" w:hAnsi="Liberation Serif" w:eastAsia="Liberation Serif"/>
          <w:sz w:val="22"/>
        </w:rPr>
        <w:t>[COND] Ранг G_N равен размерности полной алгебры голономии только после доказательства стабилизации и полноты сертификата. Без этого r_N является нижней оценкой и диагностическим признаком.</w:t>
      </w:r>
    </w:p>
    <w:p>
      <w:pPr>
        <w:pStyle w:val="Heading2"/>
        <w:pageBreakBefore w:val="0"/>
        <w:spacing w:before="140" w:after="100"/>
        <w:keepNext/>
      </w:pPr>
      <w:r>
        <w:t>65.2. Голономный горизонт</w:t>
      </w:r>
    </w:p>
    <w:p>
      <w:pPr>
        <w:spacing w:after="80" w:line="259" w:lineRule="auto"/>
      </w:pPr>
      <w:r>
        <w:rPr>
          <w:rFonts w:ascii="Liberation Serif" w:hAnsi="Liberation Serif" w:eastAsia="Liberation Serif"/>
          <w:b/>
          <w:sz w:val="22"/>
        </w:rPr>
        <w:t>Определение 9.40. Голономный горизонт.</w:t>
      </w:r>
      <w:r>
        <w:rPr>
          <w:rFonts w:ascii="Liberation Serif" w:hAnsi="Liberation Serif" w:eastAsia="Liberation Serif"/>
          <w:sz w:val="22"/>
        </w:rPr>
        <w:t>[DEF-A] Обозначим Δ_Hol,N объединение параметров, где: меняется категория P_D; исчезает transport existence; все выбранные максимальные minors G_N обращаются в нуль; меняется размерность стабилизатора Ass; возникает полюс λ; нарушается C_∇=0; либо теряется глобализация Evidence-D.</w:t>
      </w:r>
    </w:p>
    <w:p>
      <w:pPr>
        <w:spacing w:before="60" w:after="100"/>
        <w:jc w:val="center"/>
      </w:pPr>
      <w:r>
        <w:rPr>
          <w:rFonts w:ascii="Cambria Math" w:hAnsi="Cambria Math" w:eastAsia="Cambria Math"/>
          <w:sz w:val="22"/>
        </w:rPr>
        <w:t>Δ_conn = Δ_safe ∪ Δ_Hol,N ∪ Δ_bridge.</w:t>
      </w:r>
    </w:p>
    <w:p>
      <w:pPr>
        <w:spacing w:after="80" w:line="259" w:lineRule="auto"/>
      </w:pPr>
      <w:r>
        <w:rPr>
          <w:rFonts w:ascii="Liberation Serif" w:hAnsi="Liberation Serif" w:eastAsia="Liberation Serif"/>
          <w:b/>
          <w:sz w:val="22"/>
        </w:rPr>
        <w:t>Теорема 9.41. Negative holonomy prediction.</w:t>
      </w:r>
      <w:r>
        <w:rPr>
          <w:rFonts w:ascii="Liberation Serif" w:hAnsi="Liberation Serif" w:eastAsia="Liberation Serif"/>
          <w:sz w:val="22"/>
        </w:rPr>
        <w:t>[COND] Если семейство аналитично, сертификат G_N полон и стабилизирован, путь параметров не пересекает Δ_conn, а D/Dom и калибровочная категория неизменны, то размерность голономной алгебры, тип её действия на Ass и статус совместимости остаются постоянными. Внутри этой модели структурный переход соответствующего типа исключён.</w:t>
      </w:r>
    </w:p>
    <w:p>
      <w:pPr>
        <w:spacing w:before="0" w:after="120" w:line="259" w:lineRule="auto"/>
      </w:pPr>
      <w:r>
        <w:rPr>
          <w:rFonts w:ascii="Liberation Serif" w:hAnsi="Liberation Serif" w:eastAsia="Liberation Serif"/>
          <w:b w:val="0"/>
          <w:sz w:val="22"/>
        </w:rPr>
        <w:t>Это отрицательный прогноз: он говорит, где переход невозможен при данных гипотезах. Пересечение горизонта означает только появление кандидата, а не фактическое событие.</w:t>
      </w:r>
    </w:p>
    <w:p>
      <w:pPr>
        <w:pStyle w:val="Heading1"/>
        <w:pageBreakBefore w:val="0"/>
        <w:spacing w:before="200" w:after="100"/>
        <w:keepNext/>
      </w:pPr>
      <w:r>
        <w:t>66. Проективный перенос Reper и невозможность изменения λ общим PGL₂-движением</w:t>
      </w:r>
    </w:p>
    <w:p>
      <w:pPr>
        <w:spacing w:after="80" w:line="259" w:lineRule="auto"/>
      </w:pPr>
      <w:r>
        <w:rPr>
          <w:rFonts w:ascii="Liberation Serif" w:hAnsi="Liberation Serif" w:eastAsia="Liberation Serif"/>
          <w:b/>
          <w:sz w:val="22"/>
        </w:rPr>
        <w:t>Теорема 9.42. Common-projective transport invariance.</w:t>
      </w:r>
      <w:r>
        <w:rPr>
          <w:rFonts w:ascii="Liberation Serif" w:hAnsi="Liberation Serif" w:eastAsia="Liberation Serif"/>
          <w:sz w:val="22"/>
        </w:rPr>
        <w:t>[THM] Пусть четыре точки Reper ρ=(r,i,u,d) переносятся одним и тем же PGL₂-преобразованием g_t. Тогда</w:t>
      </w:r>
    </w:p>
    <w:p>
      <w:pPr>
        <w:spacing w:before="60" w:after="100"/>
        <w:jc w:val="center"/>
      </w:pPr>
      <w:r>
        <w:rPr>
          <w:rFonts w:ascii="Cambria Math" w:hAnsi="Cambria Math" w:eastAsia="Cambria Math"/>
          <w:sz w:val="22"/>
        </w:rPr>
        <w:t>λ(g_tu,g_ti;g_tr,g_td)=λ(u,i;r,d).</w:t>
      </w:r>
    </w:p>
    <w:p>
      <w:pPr>
        <w:spacing w:before="0" w:after="100" w:line="259" w:lineRule="auto"/>
      </w:pPr>
      <w:r>
        <w:rPr>
          <w:rFonts w:ascii="Liberation Serif" w:hAnsi="Liberation Serif" w:eastAsia="Liberation Serif"/>
          <w:b w:val="0"/>
          <w:sz w:val="22"/>
        </w:rPr>
        <w:t>Следовательно, чистый общий проективный перенос не приближает и не удаляет Reper от гармонического значения. Для изменения λ необходимо относительное движение компонент, непроективный транспорт, смена D/Dom или прохождение через вырожденную конфигурацию.</w:t>
      </w:r>
    </w:p>
    <w:p>
      <w:pPr>
        <w:spacing w:after="80" w:line="259" w:lineRule="auto"/>
      </w:pPr>
      <w:r>
        <w:rPr>
          <w:rFonts w:ascii="Liberation Serif" w:hAnsi="Liberation Serif" w:eastAsia="Liberation Serif"/>
          <w:b/>
          <w:sz w:val="22"/>
        </w:rPr>
        <w:t>Следствие 9.43. Relative-transport necessity.</w:t>
      </w:r>
      <w:r>
        <w:rPr>
          <w:rFonts w:ascii="Liberation Serif" w:hAnsi="Liberation Serif" w:eastAsia="Liberation Serif"/>
          <w:sz w:val="22"/>
        </w:rPr>
        <w:t>[THM] Если наблюдается dλ/dt≠0 вне полюсов, то скорости r,i,u,d не могут быть одновременно порождены одним инфинитезимальным полем sl₂ на P¹. Ненулевой dλ является детектором относительной, а не общей проективной динамики.</w:t>
      </w:r>
    </w:p>
    <w:p>
      <w:pPr>
        <w:spacing w:after="80" w:line="259" w:lineRule="auto"/>
      </w:pPr>
      <w:r>
        <w:rPr>
          <w:rFonts w:ascii="Liberation Serif" w:hAnsi="Liberation Serif" w:eastAsia="Liberation Serif"/>
          <w:b/>
          <w:sz w:val="22"/>
        </w:rPr>
        <w:t>Определение 9.44. Relative Reper connection.</w:t>
      </w:r>
      <w:r>
        <w:rPr>
          <w:rFonts w:ascii="Liberation Serif" w:hAnsi="Liberation Serif" w:eastAsia="Liberation Serif"/>
          <w:sz w:val="22"/>
        </w:rPr>
        <w:t>[DEF-A] На четырёх копиях проективного расслоения допускаются связности ∇^r,∇^i,∇^u,∇^d. Их разности относительно общей проектной части образуют относительную связность ∇^rel. Именно ∇^rel входит в формулу dλ из главы 8.</w:t>
      </w:r>
    </w:p>
    <w:p>
      <w:pPr>
        <w:spacing w:after="80" w:line="259" w:lineRule="auto"/>
      </w:pPr>
      <w:r>
        <w:rPr>
          <w:rFonts w:ascii="Liberation Serif" w:hAnsi="Liberation Serif" w:eastAsia="Liberation Serif"/>
          <w:b/>
          <w:sz w:val="22"/>
        </w:rPr>
        <w:t>Предсказательный вывод 9.45.</w:t>
      </w:r>
      <w:r>
        <w:rPr>
          <w:rFonts w:ascii="Liberation Serif" w:hAnsi="Liberation Serif" w:eastAsia="Liberation Serif"/>
          <w:sz w:val="22"/>
        </w:rPr>
        <w:t>[THM/INTERFACE] Гармонический дефект δ_truth не должен интерпретироваться как временная координата при общем переносе. Он становится динамической диагностикой только после задания относительной кинематики Reper и проверки D/Dom.</w:t>
      </w:r>
    </w:p>
    <w:p>
      <w:pPr>
        <w:pStyle w:val="Heading1"/>
        <w:pageBreakBefore w:val="0"/>
        <w:spacing w:before="200" w:after="100"/>
        <w:keepNext/>
      </w:pPr>
      <w:r>
        <w:t>67. Главная условная теорема v0.7</w:t>
      </w:r>
    </w:p>
    <w:p>
      <w:pPr>
        <w:spacing w:after="80" w:line="259" w:lineRule="auto"/>
      </w:pPr>
      <w:r>
        <w:rPr>
          <w:rFonts w:ascii="Liberation Serif" w:hAnsi="Liberation Serif" w:eastAsia="Liberation Serif"/>
          <w:b/>
          <w:sz w:val="22"/>
        </w:rPr>
        <w:t>Теорема 9.46. Holonomy-associator-safe predictive theorem.</w:t>
      </w:r>
      <w:r>
        <w:rPr>
          <w:rFonts w:ascii="Liberation Serif" w:hAnsi="Liberation Serif" w:eastAsia="Liberation Serif"/>
          <w:sz w:val="22"/>
        </w:rPr>
        <w:t>[COND] Рассмотрим параметрическое семейство (A_t,⊙_t,∇_t,ρ_t,D_t) на интервале I. Предположим:</w:t>
      </w:r>
    </w:p>
    <w:p>
      <w:pPr>
        <w:pStyle w:val="ListBullet"/>
        <w:spacing w:after="40" w:line="252" w:lineRule="auto"/>
      </w:pPr>
      <w:r>
        <w:rPr>
          <w:rFonts w:ascii="Liberation Serif" w:hAnsi="Liberation Serif" w:eastAsia="Liberation Serif"/>
          <w:sz w:val="21"/>
        </w:rPr>
        <w:t>H1. Волоконные операции и связности имеют фиксированные типы и C²-зависимость от t.</w:t>
      </w:r>
    </w:p>
    <w:p>
      <w:pPr>
        <w:pStyle w:val="ListBullet"/>
        <w:spacing w:after="40" w:line="252" w:lineRule="auto"/>
      </w:pPr>
      <w:r>
        <w:rPr>
          <w:rFonts w:ascii="Liberation Serif" w:hAnsi="Liberation Serif" w:eastAsia="Liberation Serif"/>
          <w:sz w:val="21"/>
        </w:rPr>
        <w:t>H2. P_D образует устойчивую группуоидную категорию путей, а transport ODE разрешимо.</w:t>
      </w:r>
    </w:p>
    <w:p>
      <w:pPr>
        <w:pStyle w:val="ListBullet"/>
        <w:spacing w:after="40" w:line="252" w:lineRule="auto"/>
      </w:pPr>
      <w:r>
        <w:rPr>
          <w:rFonts w:ascii="Liberation Serif" w:hAnsi="Liberation Serif" w:eastAsia="Liberation Serif"/>
          <w:sz w:val="21"/>
        </w:rPr>
        <w:t>H3. Все D/Dom и provenance-пакеты версионированы и не конфликтуют.</w:t>
      </w:r>
    </w:p>
    <w:p>
      <w:pPr>
        <w:pStyle w:val="ListBullet"/>
        <w:spacing w:after="40" w:line="252" w:lineRule="auto"/>
      </w:pPr>
      <w:r>
        <w:rPr>
          <w:rFonts w:ascii="Liberation Serif" w:hAnsi="Liberation Serif" w:eastAsia="Liberation Serif"/>
          <w:sz w:val="21"/>
        </w:rPr>
        <w:t>H4. Конечный голономный сертификат G_N полон и стабилизирован.</w:t>
      </w:r>
    </w:p>
    <w:p>
      <w:pPr>
        <w:pStyle w:val="ListBullet"/>
        <w:spacing w:after="40" w:line="252" w:lineRule="auto"/>
      </w:pPr>
      <w:r>
        <w:rPr>
          <w:rFonts w:ascii="Liberation Serif" w:hAnsi="Liberation Serif" w:eastAsia="Liberation Serif"/>
          <w:sz w:val="21"/>
        </w:rPr>
        <w:t>H5. Ассоциаторный bridge package B_Ass вычислен; выбранные нормы и калибровочные инварианты фиксированы.</w:t>
      </w:r>
    </w:p>
    <w:p>
      <w:pPr>
        <w:pStyle w:val="ListBullet"/>
        <w:spacing w:after="40" w:line="252" w:lineRule="auto"/>
      </w:pPr>
      <w:r>
        <w:rPr>
          <w:rFonts w:ascii="Liberation Serif" w:hAnsi="Liberation Serif" w:eastAsia="Liberation Serif"/>
          <w:sz w:val="21"/>
        </w:rPr>
        <w:t>H6. При использовании Akivis/Sabinin-моста закрыты B-AK1-B-AK8.</w:t>
      </w:r>
    </w:p>
    <w:p>
      <w:pPr>
        <w:pStyle w:val="ListBullet"/>
        <w:spacing w:after="40" w:line="252" w:lineRule="auto"/>
      </w:pPr>
      <w:r>
        <w:rPr>
          <w:rFonts w:ascii="Liberation Serif" w:hAnsi="Liberation Serif" w:eastAsia="Liberation Serif"/>
          <w:sz w:val="21"/>
        </w:rPr>
        <w:t>H7. Reper-атлас имеет PGL₂-переходы, а λ вычисляется вне полюсов.</w:t>
      </w:r>
    </w:p>
    <w:p>
      <w:pPr>
        <w:pStyle w:val="ListBullet"/>
        <w:spacing w:after="40" w:line="252" w:lineRule="auto"/>
      </w:pPr>
      <w:r>
        <w:rPr>
          <w:rFonts w:ascii="Liberation Serif" w:hAnsi="Liberation Serif" w:eastAsia="Liberation Serif"/>
          <w:sz w:val="21"/>
        </w:rPr>
        <w:t>H8. Общая и относительная части транспорта Reper разделены.</w:t>
      </w:r>
    </w:p>
    <w:p>
      <w:pPr>
        <w:pStyle w:val="ListBullet"/>
        <w:spacing w:after="40" w:line="252" w:lineRule="auto"/>
      </w:pPr>
      <w:r>
        <w:rPr>
          <w:rFonts w:ascii="Liberation Serif" w:hAnsi="Liberation Serif" w:eastAsia="Liberation Serif"/>
          <w:sz w:val="21"/>
        </w:rPr>
        <w:t>H9. Глобализационные и tangent-obstruction сертификаты v0.5-v0.6 действительны.</w:t>
      </w:r>
    </w:p>
    <w:p>
      <w:pPr>
        <w:pStyle w:val="ListBullet"/>
        <w:spacing w:after="40" w:line="252" w:lineRule="auto"/>
      </w:pPr>
      <w:r>
        <w:rPr>
          <w:rFonts w:ascii="Liberation Serif" w:hAnsi="Liberation Serif" w:eastAsia="Liberation Serif"/>
          <w:sz w:val="21"/>
        </w:rPr>
        <w:t>H10. Путь параметров не пересекает Δ_conn.</w:t>
      </w:r>
    </w:p>
    <w:p>
      <w:pPr>
        <w:spacing w:before="0" w:after="100" w:line="259" w:lineRule="auto"/>
      </w:pPr>
      <w:r>
        <w:rPr>
          <w:rFonts w:ascii="Liberation Serif" w:hAnsi="Liberation Serif" w:eastAsia="Liberation Serif"/>
          <w:b w:val="0"/>
          <w:sz w:val="22"/>
        </w:rPr>
        <w:t>Тогда на каждой связной компоненте I\Δ_conn сохраняются: ранг подтверждённой голономной алгебры, тип её представления на A, размерность стабилизатора Ass, нулевой/ненулевой статус C_∇, ∇Ass и K_Ass, а также λ при чистом общем PGL₂-переносе. Поэтому переход, требующий изменения хотя бы одного из этих инвариантов, невозможен внутри данной компоненты.</w:t>
      </w:r>
    </w:p>
    <w:p>
      <w:pPr>
        <w:spacing w:after="80" w:line="259" w:lineRule="auto"/>
      </w:pPr>
      <w:r>
        <w:rPr>
          <w:rFonts w:ascii="Liberation Serif" w:hAnsi="Liberation Serif" w:eastAsia="Liberation Serif"/>
          <w:b/>
          <w:sz w:val="22"/>
        </w:rPr>
        <w:t>Королларий 9.47. Необходимое условие структурного события.</w:t>
      </w:r>
      <w:r>
        <w:rPr>
          <w:rFonts w:ascii="Liberation Serif" w:hAnsi="Liberation Serif" w:eastAsia="Liberation Serif"/>
          <w:sz w:val="22"/>
        </w:rPr>
        <w:t>[COND] Кандидат перехода может возникнуть только при пересечении Δ_conn, активации относительной Reper-динамики, ненулевом bridge defect либо смене D/Dom. Ни одно из этих условий отдельно не является достаточным для наступления события.</w:t>
      </w:r>
    </w:p>
    <w:p>
      <w:pPr>
        <w:spacing w:after="80" w:line="259" w:lineRule="auto"/>
      </w:pPr>
      <w:r>
        <w:rPr>
          <w:rFonts w:ascii="Liberation Serif" w:hAnsi="Liberation Serif" w:eastAsia="Liberation Serif"/>
          <w:b/>
          <w:sz w:val="22"/>
        </w:rPr>
        <w:t>Королларий 9.48. Blocker-safe verdict.</w:t>
      </w:r>
      <w:r>
        <w:rPr>
          <w:rFonts w:ascii="Liberation Serif" w:hAnsi="Liberation Serif" w:eastAsia="Liberation Serif"/>
          <w:sz w:val="22"/>
        </w:rPr>
        <w:t>[THM/PROTOCOL] Если сертификат неполон или bridge conditions конфликтуют, вывод равен ABSTAIN. Если горизонты не пересечены и H1-H10 проверены, вывод равен NO-STRUCTURAL-TRANSITION-IN-MODEL. При проверенном пересечении выдаётся только CANDIDATE-TRANSITION.</w:t>
      </w:r>
    </w:p>
    <w:p>
      <w:pPr>
        <w:spacing w:before="100" w:after="40"/>
        <w:jc w:val="center"/>
      </w:pPr>
      <w:r>
        <w:drawing>
          <wp:inline xmlns:a="http://schemas.openxmlformats.org/drawingml/2006/main" xmlns:pic="http://schemas.openxmlformats.org/drawingml/2006/picture">
            <wp:extent cx="6172200" cy="3775495"/>
            <wp:docPr id="23" name="Picture 23"/>
            <wp:cNvGraphicFramePr>
              <a:graphicFrameLocks noChangeAspect="1"/>
            </wp:cNvGraphicFramePr>
            <a:graphic>
              <a:graphicData uri="http://schemas.openxmlformats.org/drawingml/2006/picture">
                <pic:pic>
                  <pic:nvPicPr>
                    <pic:cNvPr id="0" name="fig19_gate.png"/>
                    <pic:cNvPicPr/>
                  </pic:nvPicPr>
                  <pic:blipFill>
                    <a:blip r:embed="rId49"/>
                    <a:stretch>
                      <a:fillRect/>
                    </a:stretch>
                  </pic:blipFill>
                  <pic:spPr>
                    <a:xfrm>
                      <a:off x="0" y="0"/>
                      <a:ext cx="6172200" cy="3775495"/>
                    </a:xfrm>
                    <a:prstGeom prst="rect"/>
                  </pic:spPr>
                </pic:pic>
              </a:graphicData>
            </a:graphic>
          </wp:inline>
        </w:drawing>
      </w:r>
    </w:p>
    <w:p>
      <w:pPr>
        <w:pStyle w:val="Caption"/>
        <w:keepNext/>
        <w:spacing w:after="120"/>
        <w:jc w:val="center"/>
      </w:pPr>
      <w:r>
        <w:t>Рисунок 19. Blocker-safe шлюз голономно-ассоциаторного прогноза. Собственная схема Тома II.</w:t>
      </w:r>
    </w:p>
    <w:p>
      <w:pPr>
        <w:pStyle w:val="Heading1"/>
        <w:pageBreakBefore w:val="0"/>
        <w:spacing w:before="200" w:after="100"/>
        <w:keepNext/>
      </w:pPr>
      <w:r>
        <w:t>68. Вычислительный сертификат HOL-ASS v0.7</w:t>
      </w:r>
    </w:p>
    <w:p>
      <w:pPr>
        <w:pStyle w:val="Heading2"/>
        <w:pageBreakBefore w:val="0"/>
        <w:spacing w:before="140" w:after="100"/>
        <w:keepNext/>
      </w:pPr>
      <w:r>
        <w:t>68.1. Машинно проверяемые объекты</w:t>
      </w:r>
    </w:p>
    <w:tbl>
      <w:tblPr>
        <w:tblW w:type="auto" w:w="0"/>
        <w:jc w:val="center"/>
        <w:tblLayout w:type="fixed"/>
        <w:tblLook w:firstColumn="1" w:firstRow="1" w:lastColumn="0" w:lastRow="0" w:noHBand="0" w:noVBand="1" w:val="04A0"/>
      </w:tblPr>
      <w:tblGrid>
        <w:gridCol w:w="3251"/>
        <w:gridCol w:w="3251"/>
        <w:gridCol w:w="3251"/>
      </w:tblGrid>
      <w:tr>
        <w:trPr>
          <w:tblHeader w:val="true"/>
        </w:trPr>
        <w:tc>
          <w:tcPr>
            <w:tcW w:type="dxa" w:w="1152"/>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ID</w:t>
            </w:r>
          </w:p>
        </w:tc>
        <w:tc>
          <w:tcPr>
            <w:tcW w:type="dxa" w:w="5112"/>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Операция</w:t>
            </w:r>
          </w:p>
        </w:tc>
        <w:tc>
          <w:tcPr>
            <w:tcW w:type="dxa" w:w="3456"/>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Выход</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HOL-01</w:t>
            </w:r>
          </w:p>
        </w:tc>
        <w:tc>
          <w:tcPr>
            <w:tcW w:type="dxa" w:w="511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Проверка типов A, μ, ∇, Dom</w:t>
            </w:r>
          </w:p>
        </w:tc>
        <w:tc>
          <w:tcPr>
            <w:tcW w:type="dxa" w:w="3456"/>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typed manifest</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HOL-02</w:t>
            </w:r>
          </w:p>
        </w:tc>
        <w:tc>
          <w:tcPr>
            <w:tcW w:type="dxa" w:w="5112"/>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Решение transport ODE на тестовых путях</w:t>
            </w:r>
          </w:p>
        </w:tc>
        <w:tc>
          <w:tcPr>
            <w:tcW w:type="dxa" w:w="3456"/>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P_γ matrices</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HOL-03</w:t>
            </w:r>
          </w:p>
        </w:tc>
        <w:tc>
          <w:tcPr>
            <w:tcW w:type="dxa" w:w="511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Проверка P_{γ₂*γ₁}=P_{γ₂}P_{γ₁}</w:t>
            </w:r>
          </w:p>
        </w:tc>
        <w:tc>
          <w:tcPr>
            <w:tcW w:type="dxa" w:w="3456"/>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composition certificate</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HOL-04</w:t>
            </w:r>
          </w:p>
        </w:tc>
        <w:tc>
          <w:tcPr>
            <w:tcW w:type="dxa" w:w="5112"/>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Вычисление R_∇ и Bianchi residual</w:t>
            </w:r>
          </w:p>
        </w:tc>
        <w:tc>
          <w:tcPr>
            <w:tcW w:type="dxa" w:w="3456"/>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curvature object</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HOL-05</w:t>
            </w:r>
          </w:p>
        </w:tc>
        <w:tc>
          <w:tcPr>
            <w:tcW w:type="dxa" w:w="511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Малоконтурный предел</w:t>
            </w:r>
          </w:p>
        </w:tc>
        <w:tc>
          <w:tcPr>
            <w:tcW w:type="dxa" w:w="3456"/>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small-loop certificate</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HOL-06</w:t>
            </w:r>
          </w:p>
        </w:tc>
        <w:tc>
          <w:tcPr>
            <w:tcW w:type="dxa" w:w="5112"/>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Построение G_N и rank minors</w:t>
            </w:r>
          </w:p>
        </w:tc>
        <w:tc>
          <w:tcPr>
            <w:tcW w:type="dxa" w:w="3456"/>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holonomy lower bound</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HOL-07</w:t>
            </w:r>
          </w:p>
        </w:tc>
        <w:tc>
          <w:tcPr>
            <w:tcW w:type="dxa" w:w="511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Вычисление C_∇</w:t>
            </w:r>
          </w:p>
        </w:tc>
        <w:tc>
          <w:tcPr>
            <w:tcW w:type="dxa" w:w="3456"/>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product compatibility</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HOL-08</w:t>
            </w:r>
          </w:p>
        </w:tc>
        <w:tc>
          <w:tcPr>
            <w:tcW w:type="dxa" w:w="5112"/>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Вычисление ∇Ass и identity 9.20</w:t>
            </w:r>
          </w:p>
        </w:tc>
        <w:tc>
          <w:tcPr>
            <w:tcW w:type="dxa" w:w="3456"/>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first-order bridge</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HOL-09</w:t>
            </w:r>
          </w:p>
        </w:tc>
        <w:tc>
          <w:tcPr>
            <w:tcW w:type="dxa" w:w="511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Вычисление K_Ass</w:t>
            </w:r>
          </w:p>
        </w:tc>
        <w:tc>
          <w:tcPr>
            <w:tcW w:type="dxa" w:w="3456"/>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curvature bridge</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HOL-10</w:t>
            </w:r>
          </w:p>
        </w:tc>
        <w:tc>
          <w:tcPr>
            <w:tcW w:type="dxa" w:w="5112"/>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Вычисление H_⊙ и H_Ass</w:t>
            </w:r>
          </w:p>
        </w:tc>
        <w:tc>
          <w:tcPr>
            <w:tcW w:type="dxa" w:w="3456"/>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finite transport defects</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HOL-11</w:t>
            </w:r>
          </w:p>
        </w:tc>
        <w:tc>
          <w:tcPr>
            <w:tcW w:type="dxa" w:w="511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Проверка PGL₂-инвариантности λ</w:t>
            </w:r>
          </w:p>
        </w:tc>
        <w:tc>
          <w:tcPr>
            <w:tcW w:type="dxa" w:w="3456"/>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Reper transport</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HOL-12</w:t>
            </w:r>
          </w:p>
        </w:tc>
        <w:tc>
          <w:tcPr>
            <w:tcW w:type="dxa" w:w="5112"/>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Финальный blocker-safe verdict</w:t>
            </w:r>
          </w:p>
        </w:tc>
        <w:tc>
          <w:tcPr>
            <w:tcW w:type="dxa" w:w="3456"/>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NO/CANDIDATE/ABSTAIN</w:t>
            </w:r>
          </w:p>
        </w:tc>
      </w:tr>
    </w:tbl>
    <w:p>
      <w:pPr>
        <w:spacing w:after="20"/>
      </w:pPr>
    </w:p>
    <w:p>
      <w:pPr>
        <w:pStyle w:val="Heading2"/>
        <w:pageBreakBefore w:val="0"/>
        <w:spacing w:before="140" w:after="100"/>
        <w:keepNext/>
      </w:pPr>
      <w:r>
        <w:t>68.2. Автоматические тесты</w:t>
      </w:r>
    </w:p>
    <w:p>
      <w:pPr>
        <w:pStyle w:val="ListBullet"/>
        <w:spacing w:after="40" w:line="252" w:lineRule="auto"/>
      </w:pPr>
      <w:r>
        <w:rPr>
          <w:rFonts w:ascii="Liberation Serif" w:hAnsi="Liberation Serif" w:eastAsia="Liberation Serif"/>
          <w:sz w:val="21"/>
        </w:rPr>
        <w:t>TEST-CONN-01: связность удовлетворяет scalar Leibniz rule;</w:t>
      </w:r>
    </w:p>
    <w:p>
      <w:pPr>
        <w:pStyle w:val="ListBullet"/>
        <w:spacing w:after="40" w:line="252" w:lineRule="auto"/>
      </w:pPr>
      <w:r>
        <w:rPr>
          <w:rFonts w:ascii="Liberation Serif" w:hAnsi="Liberation Serif" w:eastAsia="Liberation Serif"/>
          <w:sz w:val="21"/>
        </w:rPr>
        <w:t>TEST-PATH-02: P_D замкнута относительно композиции и обращения там, где заявлена группа;</w:t>
      </w:r>
    </w:p>
    <w:p>
      <w:pPr>
        <w:pStyle w:val="ListBullet"/>
        <w:spacing w:after="40" w:line="252" w:lineRule="auto"/>
      </w:pPr>
      <w:r>
        <w:rPr>
          <w:rFonts w:ascii="Liberation Serif" w:hAnsi="Liberation Serif" w:eastAsia="Liberation Serif"/>
          <w:sz w:val="21"/>
        </w:rPr>
        <w:t>TEST-PT-03: transport composition associative с точностью solver tolerance;</w:t>
      </w:r>
    </w:p>
    <w:p>
      <w:pPr>
        <w:pStyle w:val="ListBullet"/>
        <w:spacing w:after="40" w:line="252" w:lineRule="auto"/>
      </w:pPr>
      <w:r>
        <w:rPr>
          <w:rFonts w:ascii="Liberation Serif" w:hAnsi="Liberation Serif" w:eastAsia="Liberation Serif"/>
          <w:sz w:val="21"/>
        </w:rPr>
        <w:t>TEST-CURV-04: координатная и операторная формулы R_∇ совпадают;</w:t>
      </w:r>
    </w:p>
    <w:p>
      <w:pPr>
        <w:pStyle w:val="ListBullet"/>
        <w:spacing w:after="40" w:line="252" w:lineRule="auto"/>
      </w:pPr>
      <w:r>
        <w:rPr>
          <w:rFonts w:ascii="Liberation Serif" w:hAnsi="Liberation Serif" w:eastAsia="Liberation Serif"/>
          <w:sz w:val="21"/>
        </w:rPr>
        <w:t>TEST-LOOP-05: ε⁻²(P_□-Id) сходится к выбранному знаку R_∇;</w:t>
      </w:r>
    </w:p>
    <w:p>
      <w:pPr>
        <w:pStyle w:val="ListBullet"/>
        <w:spacing w:after="40" w:line="252" w:lineRule="auto"/>
      </w:pPr>
      <w:r>
        <w:rPr>
          <w:rFonts w:ascii="Liberation Serif" w:hAnsi="Liberation Serif" w:eastAsia="Liberation Serif"/>
          <w:sz w:val="21"/>
        </w:rPr>
        <w:t>TEST-HOL-06: rank G_N подтверждён точной арифметикой или интервальными bounds;</w:t>
      </w:r>
    </w:p>
    <w:p>
      <w:pPr>
        <w:pStyle w:val="ListBullet"/>
        <w:spacing w:after="40" w:line="252" w:lineRule="auto"/>
      </w:pPr>
      <w:r>
        <w:rPr>
          <w:rFonts w:ascii="Liberation Serif" w:hAnsi="Liberation Serif" w:eastAsia="Liberation Serif"/>
          <w:sz w:val="21"/>
        </w:rPr>
        <w:t>TEST-PROD-07: C_∇=0 эквивалентно сохранению μ на тестовых путях;</w:t>
      </w:r>
    </w:p>
    <w:p>
      <w:pPr>
        <w:pStyle w:val="ListBullet"/>
        <w:spacing w:after="40" w:line="252" w:lineRule="auto"/>
      </w:pPr>
      <w:r>
        <w:rPr>
          <w:rFonts w:ascii="Liberation Serif" w:hAnsi="Liberation Serif" w:eastAsia="Liberation Serif"/>
          <w:sz w:val="21"/>
        </w:rPr>
        <w:t>TEST-DASS-08: формула 9.20 проверена символически;</w:t>
      </w:r>
    </w:p>
    <w:p>
      <w:pPr>
        <w:pStyle w:val="ListBullet"/>
        <w:spacing w:after="40" w:line="252" w:lineRule="auto"/>
      </w:pPr>
      <w:r>
        <w:rPr>
          <w:rFonts w:ascii="Liberation Serif" w:hAnsi="Liberation Serif" w:eastAsia="Liberation Serif"/>
          <w:sz w:val="21"/>
        </w:rPr>
        <w:t>TEST-KASS-09: K_Ass совпадает с induced curvature formula;</w:t>
      </w:r>
    </w:p>
    <w:p>
      <w:pPr>
        <w:pStyle w:val="ListBullet"/>
        <w:spacing w:after="40" w:line="252" w:lineRule="auto"/>
      </w:pPr>
      <w:r>
        <w:rPr>
          <w:rFonts w:ascii="Liberation Serif" w:hAnsi="Liberation Serif" w:eastAsia="Liberation Serif"/>
          <w:sz w:val="21"/>
        </w:rPr>
        <w:t>TEST-NOGO-10: модели 9.28-9.31 опровергают универсальное тождество;</w:t>
      </w:r>
    </w:p>
    <w:p>
      <w:pPr>
        <w:pStyle w:val="ListBullet"/>
        <w:spacing w:after="40" w:line="252" w:lineRule="auto"/>
      </w:pPr>
      <w:r>
        <w:rPr>
          <w:rFonts w:ascii="Liberation Serif" w:hAnsi="Liberation Serif" w:eastAsia="Liberation Serif"/>
          <w:sz w:val="21"/>
        </w:rPr>
        <w:t>TEST-PGL2-11: общая projective transport оставляет λ неизменной;</w:t>
      </w:r>
    </w:p>
    <w:p>
      <w:pPr>
        <w:pStyle w:val="ListBullet"/>
        <w:spacing w:after="40" w:line="252" w:lineRule="auto"/>
      </w:pPr>
      <w:r>
        <w:rPr>
          <w:rFonts w:ascii="Liberation Serif" w:hAnsi="Liberation Serif" w:eastAsia="Liberation Serif"/>
          <w:sz w:val="21"/>
        </w:rPr>
        <w:t>TEST-REL-12: dλ≠0 детектирует относительную компоненту вне полюсов;</w:t>
      </w:r>
    </w:p>
    <w:p>
      <w:pPr>
        <w:pStyle w:val="ListBullet"/>
        <w:spacing w:after="40" w:line="252" w:lineRule="auto"/>
      </w:pPr>
      <w:r>
        <w:rPr>
          <w:rFonts w:ascii="Liberation Serif" w:hAnsi="Liberation Serif" w:eastAsia="Liberation Serif"/>
          <w:sz w:val="21"/>
        </w:rPr>
        <w:t>TEST-GATE-13: неполный мост принудительно возвращает ABSTAIN;</w:t>
      </w:r>
    </w:p>
    <w:p>
      <w:pPr>
        <w:pStyle w:val="ListBullet"/>
        <w:spacing w:after="40" w:line="252" w:lineRule="auto"/>
      </w:pPr>
      <w:r>
        <w:rPr>
          <w:rFonts w:ascii="Liberation Serif" w:hAnsi="Liberation Serif" w:eastAsia="Liberation Serif"/>
          <w:sz w:val="21"/>
        </w:rPr>
        <w:t>TEST-HASH-14: исходные данные, пути, калибровки и proof objects имеют хеши.</w:t>
      </w:r>
    </w:p>
    <w:p>
      <w:pPr>
        <w:pStyle w:val="Heading2"/>
        <w:pageBreakBefore w:val="0"/>
        <w:spacing w:before="140" w:after="100"/>
        <w:keepNext/>
      </w:pPr>
      <w:r>
        <w:t>68.3. Псевдокод</w:t>
      </w:r>
    </w:p>
    <w:p>
      <w:pPr>
        <w:spacing w:before="80" w:after="140"/>
        <w:ind w:left="360" w:right="288"/>
      </w:pPr>
      <w:r>
        <w:rPr>
          <w:rFonts w:ascii="Liberation Mono" w:hAnsi="Liberation Mono" w:eastAsia="Liberation Mono"/>
          <w:sz w:val="18"/>
        </w:rPr>
        <w:t>INPUT family F_t=(A_t, mu_t, nabla_t, reper_t, D_t), path system P_D, order N</w:t>
        <w:br/>
        <w:t>CHECK types, Dom, provenance, path closure</w:t>
        <w:br/>
        <w:t>COMPUTE transports P_gamma and composition residuals</w:t>
        <w:br/>
        <w:t>COMPUTE curvature R, small-loop certificates, generator matrix G_N</w:t>
        <w:br/>
        <w:t>COMPUTE C_nabla, nabla_Ass, K_Ass, H_mu, H_Ass</w:t>
        <w:br/>
        <w:t>COMPUTE lambda and split common PGL2 motion from relative motion</w:t>
        <w:br/>
        <w:t>BUILD Delta_conn and blocker set B</w:t>
        <w:br/>
        <w:t>IF B != empty: RETURN ABSTAIN</w:t>
        <w:br/>
        <w:t>IF path(t) avoids Delta_conn and full-certificate hypotheses hold:</w:t>
        <w:br/>
        <w:t xml:space="preserve">    RETURN NO_STRUCTURAL_TRANSITION_IN_MODEL</w:t>
        <w:br/>
        <w:t>IF verified horizon crossing:</w:t>
        <w:br/>
        <w:t xml:space="preserve">    RETURN CANDIDATE_TRANSITION</w:t>
        <w:br/>
        <w:t>ELSE:</w:t>
        <w:br/>
        <w:t xml:space="preserve">    RETURN ABSTAIN</w:t>
      </w:r>
    </w:p>
    <w:p>
      <w:pPr>
        <w:pStyle w:val="Heading1"/>
        <w:pageBreakBefore w:val="0"/>
        <w:spacing w:before="200" w:after="100"/>
        <w:keepNext/>
      </w:pPr>
      <w:r>
        <w:t>69. Доказательные обязательства, библиография и контрольная точка v0.7</w:t>
      </w:r>
    </w:p>
    <w:p>
      <w:pPr>
        <w:pStyle w:val="Heading2"/>
        <w:pageBreakBefore w:val="0"/>
        <w:spacing w:before="140" w:after="100"/>
        <w:keepNext/>
      </w:pPr>
      <w:r>
        <w:t>69.1. Новые доказательные обязательства</w:t>
      </w: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trPr>
        <w:tc>
          <w:tcPr>
            <w:tcW w:type="dxa" w:w="144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PO</w:t>
            </w:r>
          </w:p>
        </w:tc>
        <w:tc>
          <w:tcPr>
            <w:tcW w:type="dxa" w:w="5256"/>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Содержание</w:t>
            </w:r>
          </w:p>
        </w:tc>
        <w:tc>
          <w:tcPr>
            <w:tcW w:type="dxa" w:w="144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Статус</w:t>
            </w:r>
          </w:p>
        </w:tc>
        <w:tc>
          <w:tcPr>
            <w:tcW w:type="dxa" w:w="180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Вердикт v0.7</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T2-PO-054</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Строгая категория D-допустимых путей и существование transport</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COND</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частично закрыто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T2-PO-055</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Ассоциативность transport composition и no-go Hol=Ass</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закрыто</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T2-PO-056</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D-Ambrose-Singer для ограниченной системы путей</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COND</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OPEN</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T2-PO-057</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Эквивалентность C_∇=0 и сохранения μ транспортом</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закрыто</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T2-PO-058</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Формула ∇Ass через C_∇</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закрыто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T2-PO-059</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Определение и естественность K_Ass</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THM/DEF-A</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закрыто в typed sector</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T2-PO-060</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Существование Akivis/Sabinin-моста β</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OPEN</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не закрыто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T2-PO-061</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Независимость β от карт и калибровок</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OPEN</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не закрыто</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T2-PO-062</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Октонионная совместимая модель</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MODEL/THM</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закрыто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T2-PO-063</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Universal-equality no-go</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закрыто</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T2-PO-064</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Полнота конечного сертификата G_N</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COND</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OPEN</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T2-PO-065</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Локальная постоянность rank G_N</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закрыто</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T2-PO-066</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Common-PGL₂ invariance of λ</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закрыто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T2-PO-067</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Relative Reper connection</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DEF-A/OPEN</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определено, реализация открыта</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T2-PO-068</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Holonomy-associator-safe theorem</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COND</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сформулировано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T2-PO-069</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Независимый доменный запуск HOL-ASS</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OPEN</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не исполнен</w:t>
            </w:r>
          </w:p>
        </w:tc>
      </w:tr>
    </w:tbl>
    <w:p>
      <w:pPr>
        <w:spacing w:after="20"/>
      </w:pPr>
    </w:p>
    <w:p>
      <w:pPr>
        <w:pStyle w:val="Heading2"/>
        <w:pageBreakBefore w:val="0"/>
        <w:spacing w:before="140" w:after="100"/>
        <w:keepNext/>
      </w:pPr>
      <w:r>
        <w:t>69.2. Библиографическая синхронизация</w:t>
      </w:r>
    </w:p>
    <w:p>
      <w:pPr>
        <w:spacing w:before="0" w:after="40" w:line="240" w:lineRule="auto"/>
      </w:pPr>
      <w:r>
        <w:rPr>
          <w:rFonts w:ascii="Liberation Serif" w:hAnsi="Liberation Serif" w:eastAsia="Liberation Serif"/>
          <w:b w:val="0"/>
          <w:sz w:val="22"/>
        </w:rPr>
        <w:t>[V0.7-1] Ehresmann, C. Les connexions infinitésimales dans un espace fibré différentiable. Séminaire Bourbaki, exposé 24, 1952, 153-168. Numdam.</w:t>
      </w:r>
    </w:p>
    <w:p>
      <w:pPr>
        <w:spacing w:before="0" w:after="40" w:line="240" w:lineRule="auto"/>
      </w:pPr>
      <w:r>
        <w:rPr>
          <w:rFonts w:ascii="Liberation Serif" w:hAnsi="Liberation Serif" w:eastAsia="Liberation Serif"/>
          <w:b w:val="0"/>
          <w:sz w:val="22"/>
        </w:rPr>
        <w:t>[V0.7-2] Cartan, E. Les groupes d’holonomie des espaces généralisés. Acta Mathematica 48 (1926), 1-42. DOI 10.1007/BF02629755.</w:t>
      </w:r>
    </w:p>
    <w:p>
      <w:pPr>
        <w:spacing w:before="0" w:after="40" w:line="240" w:lineRule="auto"/>
      </w:pPr>
      <w:r>
        <w:rPr>
          <w:rFonts w:ascii="Liberation Serif" w:hAnsi="Liberation Serif" w:eastAsia="Liberation Serif"/>
          <w:b w:val="0"/>
          <w:sz w:val="22"/>
        </w:rPr>
        <w:t>[V0.7-3] Ambrose, W.; Singer, I. M. A Theorem on Holonomy. Transactions of the AMS 75 (1953), 428-443. DOI 10.1090/S0002-9947-1953-0063739-1.</w:t>
      </w:r>
    </w:p>
    <w:p>
      <w:pPr>
        <w:spacing w:before="0" w:after="40" w:line="240" w:lineRule="auto"/>
      </w:pPr>
      <w:r>
        <w:rPr>
          <w:rFonts w:ascii="Liberation Serif" w:hAnsi="Liberation Serif" w:eastAsia="Liberation Serif"/>
          <w:b w:val="0"/>
          <w:sz w:val="22"/>
        </w:rPr>
        <w:t>[V0.7-4] Kobayashi, S.; Nomizu, K. Foundations of Differential Geometry, Vol. I. Wiley Classics Library.</w:t>
      </w:r>
    </w:p>
    <w:p>
      <w:pPr>
        <w:spacing w:before="0" w:after="40" w:line="240" w:lineRule="auto"/>
      </w:pPr>
      <w:r>
        <w:rPr>
          <w:rFonts w:ascii="Liberation Serif" w:hAnsi="Liberation Serif" w:eastAsia="Liberation Serif"/>
          <w:b w:val="0"/>
          <w:sz w:val="22"/>
        </w:rPr>
        <w:t>[V0.7-5] Akivis, M. A. Local algebras of a multidimensional three-web. Siberian Mathematical Journal 17 (1976), 3-8. DOI 10.1007/BF00969285.</w:t>
      </w:r>
    </w:p>
    <w:p>
      <w:pPr>
        <w:spacing w:before="0" w:after="40" w:line="240" w:lineRule="auto"/>
      </w:pPr>
      <w:r>
        <w:rPr>
          <w:rFonts w:ascii="Liberation Serif" w:hAnsi="Liberation Serif" w:eastAsia="Liberation Serif"/>
          <w:b w:val="0"/>
          <w:sz w:val="22"/>
        </w:rPr>
        <w:t>[V0.7-6] Sabinin, L. V. Smooth Quasigroups and Loops. Kluwer, 1999. DOI 10.1007/978-94-011-4491-9.</w:t>
      </w:r>
    </w:p>
    <w:p>
      <w:pPr>
        <w:spacing w:before="0" w:after="40" w:line="240" w:lineRule="auto"/>
      </w:pPr>
      <w:r>
        <w:rPr>
          <w:rFonts w:ascii="Liberation Serif" w:hAnsi="Liberation Serif" w:eastAsia="Liberation Serif"/>
          <w:b w:val="0"/>
          <w:sz w:val="22"/>
        </w:rPr>
        <w:t>[V0.7-7] Grigorian, S. G₂-structures and octonion bundles. Advances in Mathematics 308 (2017), 142-207; arXiv:1510.04226.</w:t>
      </w:r>
    </w:p>
    <w:p>
      <w:pPr>
        <w:spacing w:before="0" w:after="40" w:line="240" w:lineRule="auto"/>
      </w:pPr>
      <w:r>
        <w:rPr>
          <w:rFonts w:ascii="Liberation Serif" w:hAnsi="Liberation Serif" w:eastAsia="Liberation Serif"/>
          <w:b w:val="0"/>
          <w:sz w:val="22"/>
        </w:rPr>
        <w:t>[V0.7-8] Kurpishev, I. B. Том I v197 RU; Том II T2-RP-v0.1-v0.6; PILOT-01. Канонические внутренние источники проекта.</w:t>
      </w:r>
    </w:p>
    <w:p>
      <w:pPr>
        <w:pStyle w:val="Heading2"/>
        <w:pageBreakBefore w:val="0"/>
        <w:spacing w:before="140" w:after="100"/>
        <w:keepNext/>
      </w:pPr>
      <w:r>
        <w:t>69.3. Контрольная точка T2-RP-v0.7</w:t>
      </w:r>
    </w:p>
    <w:tbl>
      <w:tblPr>
        <w:tblW w:type="auto" w:w="0"/>
        <w:jc w:val="center"/>
        <w:tblLayout w:type="fixed"/>
        <w:tblLook w:firstColumn="1" w:firstRow="1" w:lastColumn="0" w:lastRow="0" w:noHBand="0" w:noVBand="1" w:val="04A0"/>
      </w:tblPr>
      <w:tblGrid>
        <w:gridCol w:w="4876"/>
        <w:gridCol w:w="4876"/>
      </w:tblGrid>
      <w:t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ДОКАЗАНО</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Типизированы связность, транспорт, кривизна, Hol_D, C_∇, H_⊙, H_Ass и K_Ass; доказаны no-go Hol=Ass, формула ∇Ass, PGL₂-инвариантность λ и четыре разделяющие модели.</w:t>
            </w:r>
          </w:p>
        </w:tc>
      </w:tr>
      <w:t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УСЛОВНО</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D-Ambrose-Singer, полнота конечного holonomy certificate, Akivis/Sabinin-мост и главная predictive theorem действуют только при перечисленных гипотезах.</w:t>
            </w:r>
          </w:p>
        </w:tc>
      </w:tr>
      <w:t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ОТКРЫТО</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Построение канонического β-моста для общего NAPG-объекта, Banach/Hilbert-версия, независимый доменный запуск и связь с внешним E-слоем.</w:t>
            </w:r>
          </w:p>
        </w:tc>
      </w:tr>
      <w:tr>
        <w:tc>
          <w:tcPr>
            <w:tcW w:type="dxa" w:w="3528"/>
            <w:tcMar>
              <w:top w:w="100" w:type="dxa"/>
              <w:start w:w="110" w:type="dxa"/>
              <w:bottom w:w="100" w:type="dxa"/>
              <w:end w:w="110" w:type="dxa"/>
            </w:tcMar>
            <w:vAlign w:val="center"/>
            <w:shd w:fill="A87512"/>
          </w:tcPr>
          <w:p>
            <w:pPr>
              <w:jc w:val="center"/>
            </w:pPr>
            <w:r>
              <w:rPr>
                <w:rFonts w:ascii="Liberation Sans" w:hAnsi="Liberation Sans" w:eastAsia="Liberation Sans"/>
                <w:b/>
                <w:color w:val="FFFFFF"/>
                <w:sz w:val="20"/>
              </w:rPr>
              <w:t>ГРАНИЦА</w:t>
            </w:r>
          </w:p>
        </w:tc>
        <w:tc>
          <w:tcPr>
            <w:tcW w:type="dxa" w:w="6408"/>
            <w:tcMar>
              <w:top w:w="100" w:type="dxa"/>
              <w:start w:w="110" w:type="dxa"/>
              <w:bottom w:w="100" w:type="dxa"/>
              <w:end w:w="110" w:type="dxa"/>
            </w:tcMar>
            <w:vAlign w:val="center"/>
            <w:shd w:fill="F7EED9"/>
          </w:tcPr>
          <w:p>
            <w:pPr>
              <w:spacing w:after="0" w:line="252" w:lineRule="auto"/>
            </w:pPr>
            <w:r>
              <w:rPr>
                <w:rFonts w:ascii="Liberation Serif" w:hAnsi="Liberation Serif" w:eastAsia="Liberation Serif"/>
                <w:sz w:val="20"/>
              </w:rPr>
              <w:t>Ни Hol_D, ни R_∇ не объявляются ассоциатором; пересечение горизонта не объявляется событием; физический статус ПН.2 и F-1-F-14 не изменён.</w:t>
            </w:r>
          </w:p>
        </w:tc>
      </w:tr>
    </w:tbl>
    <w:p>
      <w:pPr>
        <w:spacing w:after="20"/>
      </w:pPr>
    </w:p>
    <w:p>
      <w:pPr>
        <w:spacing w:before="60" w:after="100"/>
        <w:jc w:val="center"/>
      </w:pPr>
      <w:r>
        <w:rPr>
          <w:rFonts w:ascii="Cambria Math" w:hAnsi="Cambria Math" w:eastAsia="Cambria Math"/>
          <w:sz w:val="22"/>
        </w:rPr>
        <w:t>truth_layer_promotion = 0,     checkpoint = T2-RP-v0.7,     next = T2-RP-v0.8.</w:t>
      </w:r>
    </w:p>
    <w:p>
      <w:pPr>
        <w:pStyle w:val="Lead"/>
        <w:spacing w:before="0" w:after="160" w:line="269" w:lineRule="auto"/>
      </w:pPr>
      <w:r>
        <w:rPr>
          <w:rFonts w:ascii="Liberation Serif" w:hAnsi="Liberation Serif" w:eastAsia="Liberation Serif"/>
          <w:b w:val="0"/>
          <w:sz w:val="26"/>
        </w:rPr>
        <w:t>Следующая сборка tom2_v0_8 развивает главу 10: комплексы дифференциальных форм NAPG, типизированные d/δ, правила знаков, Leibniz identities, локальность и контрпримеры к автоматическому δ²=0.</w:t>
      </w:r>
    </w:p>
    <w:p>
      <w:pPr>
        <w:pStyle w:val="Small"/>
        <w:spacing w:before="0" w:after="0" w:line="259" w:lineRule="auto"/>
        <w:jc w:val="center"/>
      </w:pPr>
      <w:r>
        <w:rPr>
          <w:rFonts w:ascii="Liberation Serif" w:hAnsi="Liberation Serif" w:eastAsia="Liberation Serif"/>
          <w:b w:val="0"/>
          <w:sz w:val="26"/>
        </w:rPr>
        <w:t>checkpoint=T2-RP-v0.7; source=T2-RP-v0.6; truth_layer_promotion=0; next=T2-RP-v0.8.</w:t>
      </w:r>
    </w:p>
    <w:p>
      <w:r>
        <w:br w:type="page"/>
      </w:r>
    </w:p>
    <w:p>
      <w:pPr>
        <w:pStyle w:val="Heading1"/>
        <w:pageBreakBefore w:val="0"/>
        <w:spacing w:before="200" w:after="100"/>
        <w:keepNext/>
      </w:pPr>
      <w:r>
        <w:t>70. Глава 10: дифференциальные формы NAPG и типизированные дифференциалы</w:t>
      </w:r>
    </w:p>
    <w:tbl>
      <w:tblPr>
        <w:tblW w:type="auto" w:w="0"/>
        <w:jc w:val="center"/>
        <w:tblLayout w:type="fixed"/>
        <w:tblLook w:firstColumn="1" w:firstRow="1" w:lastColumn="0" w:lastRow="0" w:noHBand="0" w:noVBand="1" w:val="04A0"/>
      </w:tblPr>
      <w:tblGrid>
        <w:gridCol w:w="4876"/>
        <w:gridCol w:w="4876"/>
      </w:tblGrid>
      <w:t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ОНТОЛОГИЯ</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Дифференциал в NAPG не является безымянной стрелкой между соседними степенями. Он существует только вместе с носителем форм, областью определения, правилом знаков, локальностью и доказанным законом повторного применения.</w:t>
            </w:r>
          </w:p>
        </w:tc>
      </w:tr>
      <w:t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ГНОСЕОЛОГИЯ</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Равенство d²=0 не следует из слова «дифференциал». Оно является отдельной аксиомой или теоремой. Ковариантные, внешние, кограничные и Hodge-операторы должны различаться до любой когомологической интерпретации.</w:t>
            </w:r>
          </w:p>
        </w:tc>
      </w:tr>
      <w:t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ФЕНОМЕНОЛОГИЯ</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Первое применение оператора фиксирует локальное изменение формы. Второе проверяет, замыкается ли изменение в комплекс или оставляет кривизну, смешанный дефект либо след несовместимости.</w:t>
            </w:r>
          </w:p>
        </w:tc>
      </w:tr>
      <w:tr>
        <w:tc>
          <w:tcPr>
            <w:tcW w:type="dxa" w:w="3528"/>
            <w:tcMar>
              <w:top w:w="100" w:type="dxa"/>
              <w:start w:w="110" w:type="dxa"/>
              <w:bottom w:w="100" w:type="dxa"/>
              <w:end w:w="110" w:type="dxa"/>
            </w:tcMar>
            <w:vAlign w:val="center"/>
            <w:shd w:fill="A87512"/>
          </w:tcPr>
          <w:p>
            <w:pPr>
              <w:jc w:val="center"/>
            </w:pPr>
            <w:r>
              <w:rPr>
                <w:rFonts w:ascii="Liberation Sans" w:hAnsi="Liberation Sans" w:eastAsia="Liberation Sans"/>
                <w:b/>
                <w:color w:val="FFFFFF"/>
                <w:sz w:val="20"/>
              </w:rPr>
              <w:t>ГРАНИЦА</w:t>
            </w:r>
          </w:p>
        </w:tc>
        <w:tc>
          <w:tcPr>
            <w:tcW w:type="dxa" w:w="6408"/>
            <w:tcMar>
              <w:top w:w="100" w:type="dxa"/>
              <w:start w:w="110" w:type="dxa"/>
              <w:bottom w:w="100" w:type="dxa"/>
              <w:end w:w="110" w:type="dxa"/>
            </w:tcMar>
            <w:vAlign w:val="center"/>
            <w:shd w:fill="F7EED9"/>
          </w:tcPr>
          <w:p>
            <w:pPr>
              <w:spacing w:after="0" w:line="252" w:lineRule="auto"/>
            </w:pPr>
            <w:r>
              <w:rPr>
                <w:rFonts w:ascii="Liberation Serif" w:hAnsi="Liberation Serif" w:eastAsia="Liberation Serif"/>
                <w:sz w:val="20"/>
              </w:rPr>
              <w:t>В v0.8 запрещено писать H^p до проверки d^{p+1}d^p=0; запрещено смешивать d_N, δ_E и δ_Hdg; близость λ к -1 не исправляет ненулевой differential defect.</w:t>
            </w:r>
          </w:p>
        </w:tc>
      </w:tr>
    </w:tbl>
    <w:p>
      <w:pPr>
        <w:spacing w:after="20"/>
      </w:pPr>
    </w:p>
    <w:p>
      <w:pPr>
        <w:pStyle w:val="Lead"/>
        <w:spacing w:before="0" w:after="140" w:line="269" w:lineRule="auto"/>
      </w:pPr>
      <w:r>
        <w:rPr>
          <w:rFonts w:ascii="Liberation Serif" w:hAnsi="Liberation Serif" w:eastAsia="Liberation Serif"/>
          <w:b w:val="0"/>
          <w:sz w:val="26"/>
        </w:rPr>
        <w:t>Статус раздела: theorem/conditional package v0.8. Классические de Rham, graded-derivation, connection-curvature и Hodge-конструкции используются как prior art. Авторский вклад состоит в их типизированной сборке внутри NAPG, в differential defect ledger, mixed bridge package и предсказательном горизонте, связанном с D/Dom и Reper-аудитом.</w:t>
      </w:r>
    </w:p>
    <w:p>
      <w:pPr>
        <w:spacing w:before="100" w:after="40"/>
        <w:jc w:val="center"/>
      </w:pPr>
      <w:r>
        <w:drawing>
          <wp:inline xmlns:a="http://schemas.openxmlformats.org/drawingml/2006/main" xmlns:pic="http://schemas.openxmlformats.org/drawingml/2006/picture">
            <wp:extent cx="6172200" cy="3587591"/>
            <wp:docPr id="24" name="Picture 24"/>
            <wp:cNvGraphicFramePr>
              <a:graphicFrameLocks noChangeAspect="1"/>
            </wp:cNvGraphicFramePr>
            <a:graphic>
              <a:graphicData uri="http://schemas.openxmlformats.org/drawingml/2006/picture">
                <pic:pic>
                  <pic:nvPicPr>
                    <pic:cNvPr id="0" name="fig20_diff_layers.png"/>
                    <pic:cNvPicPr/>
                  </pic:nvPicPr>
                  <pic:blipFill>
                    <a:blip r:embed="rId50"/>
                    <a:stretch>
                      <a:fillRect/>
                    </a:stretch>
                  </pic:blipFill>
                  <pic:spPr>
                    <a:xfrm>
                      <a:off x="0" y="0"/>
                      <a:ext cx="6172200" cy="3587591"/>
                    </a:xfrm>
                    <a:prstGeom prst="rect"/>
                  </pic:spPr>
                </pic:pic>
              </a:graphicData>
            </a:graphic>
          </wp:inline>
        </w:drawing>
      </w:r>
    </w:p>
    <w:p>
      <w:pPr>
        <w:pStyle w:val="Caption"/>
        <w:keepNext/>
        <w:spacing w:after="120"/>
        <w:jc w:val="center"/>
      </w:pPr>
      <w:r>
        <w:t>Рисунок 20. Три дифференциальных слоя NAPG и разложение полного дефекта. Собственная схема Тома II.</w:t>
      </w:r>
    </w:p>
    <w:p>
      <w:pPr>
        <w:pStyle w:val="Heading1"/>
        <w:pageBreakBefore w:val="0"/>
        <w:spacing w:before="200" w:after="100"/>
        <w:keepNext/>
      </w:pPr>
      <w:r>
        <w:t>71. Замороженная нотация и четыре типа операторов</w:t>
      </w:r>
    </w:p>
    <w:p>
      <w:pPr>
        <w:spacing w:after="80" w:line="259" w:lineRule="auto"/>
      </w:pPr>
      <w:r>
        <w:rPr>
          <w:rFonts w:ascii="Liberation Serif" w:hAnsi="Liberation Serif" w:eastAsia="Liberation Serif"/>
          <w:b/>
          <w:sz w:val="22"/>
        </w:rPr>
        <w:t>Определение 10.1. Внутренние пакетные формы.</w:t>
      </w:r>
      <w:r>
        <w:rPr>
          <w:rFonts w:ascii="Liberation Serif" w:hAnsi="Liberation Serif" w:eastAsia="Liberation Serif"/>
          <w:sz w:val="22"/>
        </w:rPr>
        <w:t>[DEF-A] Пусть X - допустимый гладкий или стратифицированный сектор. Через Ω_N^p(U) обозначается модуль NAPG-форм степени p над открытым U⊂X. Семейство U↦Ω_N^p(U) снабжается ограничениями и рассматривается как пучок или предпучок в зависимости от закрытых axioms descent.</w:t>
      </w:r>
    </w:p>
    <w:p>
      <w:pPr>
        <w:spacing w:before="60" w:after="100"/>
        <w:jc w:val="center"/>
      </w:pPr>
      <w:r>
        <w:rPr>
          <w:rFonts w:ascii="Cambria Math" w:hAnsi="Cambria Math" w:eastAsia="Cambria Math"/>
          <w:sz w:val="22"/>
        </w:rPr>
        <w:t>Ω_N^• = ⊕_{p≥0} Ω_N^p,     |α|=p для α∈Ω_N^p.                                      (10.1)</w:t>
      </w:r>
    </w:p>
    <w:p>
      <w:pPr>
        <w:spacing w:after="80" w:line="259" w:lineRule="auto"/>
      </w:pPr>
      <w:r>
        <w:rPr>
          <w:rFonts w:ascii="Liberation Serif" w:hAnsi="Liberation Serif" w:eastAsia="Liberation Serif"/>
          <w:b/>
          <w:sz w:val="22"/>
        </w:rPr>
        <w:t>Определение 10.2. Внутренний differential candidate.</w:t>
      </w:r>
      <w:r>
        <w:rPr>
          <w:rFonts w:ascii="Liberation Serif" w:hAnsi="Liberation Serif" w:eastAsia="Liberation Serif"/>
          <w:sz w:val="22"/>
        </w:rPr>
        <w:t>[DEF-A] Оператор d_N степени +1 задаётся как семейство частичных линейных отображений</w:t>
      </w:r>
    </w:p>
    <w:p>
      <w:pPr>
        <w:spacing w:before="60" w:after="100"/>
        <w:jc w:val="center"/>
      </w:pPr>
      <w:r>
        <w:rPr>
          <w:rFonts w:ascii="Cambria Math" w:hAnsi="Cambria Math" w:eastAsia="Cambria Math"/>
          <w:sz w:val="22"/>
        </w:rPr>
        <w:t>d_N^p : Dom(d_N^p) ⊂ Ω_N^p → Ω_N^{p+1}.                                    (10.2)</w:t>
      </w:r>
    </w:p>
    <w:p>
      <w:pPr>
        <w:spacing w:before="0" w:after="100" w:line="259" w:lineRule="auto"/>
      </w:pPr>
      <w:r>
        <w:rPr>
          <w:rFonts w:ascii="Liberation Serif" w:hAnsi="Liberation Serif" w:eastAsia="Liberation Serif"/>
          <w:b w:val="0"/>
          <w:sz w:val="22"/>
        </w:rPr>
        <w:t>Слово candidate сохраняется до проверки локальности, совместимости с ограничениями, graded Leibniz identity и nilpotency. Если выполнены только типы, объект называется graded operator. Если также выполнено d_N²=0, он становится differential.</w:t>
      </w:r>
    </w:p>
    <w:p>
      <w:pPr>
        <w:spacing w:after="80" w:line="259" w:lineRule="auto"/>
      </w:pPr>
      <w:r>
        <w:rPr>
          <w:rFonts w:ascii="Liberation Serif" w:hAnsi="Liberation Serif" w:eastAsia="Liberation Serif"/>
          <w:b/>
          <w:sz w:val="22"/>
        </w:rPr>
        <w:t>Определение 10.3. Внешний E-оператор.</w:t>
      </w:r>
      <w:r>
        <w:rPr>
          <w:rFonts w:ascii="Liberation Serif" w:hAnsi="Liberation Serif" w:eastAsia="Liberation Serif"/>
          <w:sz w:val="22"/>
        </w:rPr>
        <w:t>[DEF-A/COND] Внешний слой записывается отдельно: δ_E^q:E^q→E^{q+1}. Равенство δ_E²=0 не импортируется из внутреннего слоя и должно быть доказано в выбранном E-комплексе.</w:t>
      </w:r>
    </w:p>
    <w:p>
      <w:pPr>
        <w:spacing w:before="60" w:after="100"/>
        <w:jc w:val="center"/>
      </w:pPr>
      <w:r>
        <w:rPr>
          <w:rFonts w:ascii="Cambria Math" w:hAnsi="Cambria Math" w:eastAsia="Cambria Math"/>
          <w:sz w:val="22"/>
        </w:rPr>
        <w:t>δ_E : E^q → E^{q+1},     δ_E²=0 only after certificate.                         (10.3)</w:t>
      </w:r>
    </w:p>
    <w:p>
      <w:pPr>
        <w:spacing w:after="80" w:line="259" w:lineRule="auto"/>
      </w:pPr>
      <w:r>
        <w:rPr>
          <w:rFonts w:ascii="Liberation Serif" w:hAnsi="Liberation Serif" w:eastAsia="Liberation Serif"/>
          <w:b/>
          <w:sz w:val="22"/>
        </w:rPr>
        <w:t>Определение 10.4. Hodge-операторы.</w:t>
      </w:r>
      <w:r>
        <w:rPr>
          <w:rFonts w:ascii="Liberation Serif" w:hAnsi="Liberation Serif" w:eastAsia="Liberation Serif"/>
          <w:sz w:val="22"/>
        </w:rPr>
        <w:t>[CL/DEF-A] На ориентированном метрическом n-мерном секторе Hodge star обозначается ⋆_Hdg. Кодифференциал обозначается δ_Hdg, а Hodge-лапласиан - Δ_Hdg. Символ ⋆ в R⋆R не является Hodge star.</w:t>
      </w: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trPr>
        <w:tc>
          <w:tcPr>
            <w:tcW w:type="dxa" w:w="1512"/>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Символ</w:t>
            </w:r>
          </w:p>
        </w:tc>
        <w:tc>
          <w:tcPr>
            <w:tcW w:type="dxa" w:w="1152"/>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Степень</w:t>
            </w:r>
          </w:p>
        </w:tc>
        <w:tc>
          <w:tcPr>
            <w:tcW w:type="dxa" w:w="5112"/>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Назначение</w:t>
            </w:r>
          </w:p>
        </w:tc>
        <w:tc>
          <w:tcPr>
            <w:tcW w:type="dxa" w:w="216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Статус по умолчанию</w:t>
            </w:r>
          </w:p>
        </w:tc>
      </w:tr>
      <w:tr>
        <w:tc>
          <w:tcPr>
            <w:tcW w:type="dxa" w:w="151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d_N</w:t>
            </w:r>
          </w:p>
        </w:tc>
        <w:tc>
          <w:tcPr>
            <w:tcW w:type="dxa" w:w="115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+1</w:t>
            </w:r>
          </w:p>
        </w:tc>
        <w:tc>
          <w:tcPr>
            <w:tcW w:type="dxa" w:w="511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внутренний differential candidate NAPG</w:t>
            </w:r>
          </w:p>
        </w:tc>
        <w:tc>
          <w:tcPr>
            <w:tcW w:type="dxa" w:w="216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DEF-A</w:t>
            </w:r>
          </w:p>
        </w:tc>
      </w:tr>
      <w:tr>
        <w:tc>
          <w:tcPr>
            <w:tcW w:type="dxa" w:w="151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δ_E</w:t>
            </w:r>
          </w:p>
        </w:tc>
        <w:tc>
          <w:tcPr>
            <w:tcW w:type="dxa" w:w="1152"/>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+1</w:t>
            </w:r>
          </w:p>
        </w:tc>
        <w:tc>
          <w:tcPr>
            <w:tcW w:type="dxa" w:w="5112"/>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кограничный оператор внешнего E-слоя</w:t>
            </w:r>
          </w:p>
        </w:tc>
        <w:tc>
          <w:tcPr>
            <w:tcW w:type="dxa" w:w="216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COND до δ_E²=0</w:t>
            </w:r>
          </w:p>
        </w:tc>
      </w:tr>
      <w:tr>
        <w:tc>
          <w:tcPr>
            <w:tcW w:type="dxa" w:w="151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δ_Hdg</w:t>
            </w:r>
          </w:p>
        </w:tc>
        <w:tc>
          <w:tcPr>
            <w:tcW w:type="dxa" w:w="115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-1</w:t>
            </w:r>
          </w:p>
        </w:tc>
        <w:tc>
          <w:tcPr>
            <w:tcW w:type="dxa" w:w="511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формальный сопряжённый к d_N при Hodge-гипотезах</w:t>
            </w:r>
          </w:p>
        </w:tc>
        <w:tc>
          <w:tcPr>
            <w:tcW w:type="dxa" w:w="216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COND</w:t>
            </w:r>
          </w:p>
        </w:tc>
      </w:tr>
      <w:tr>
        <w:tc>
          <w:tcPr>
            <w:tcW w:type="dxa" w:w="151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Δ_Hdg</w:t>
            </w:r>
          </w:p>
        </w:tc>
        <w:tc>
          <w:tcPr>
            <w:tcW w:type="dxa" w:w="1152"/>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0</w:t>
            </w:r>
          </w:p>
        </w:tc>
        <w:tc>
          <w:tcPr>
            <w:tcW w:type="dxa" w:w="5112"/>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d_Nδ_Hdg+δ_Hdg d_N</w:t>
            </w:r>
          </w:p>
        </w:tc>
        <w:tc>
          <w:tcPr>
            <w:tcW w:type="dxa" w:w="216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COND</w:t>
            </w:r>
          </w:p>
        </w:tc>
      </w:tr>
      <w:tr>
        <w:tc>
          <w:tcPr>
            <w:tcW w:type="dxa" w:w="151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R⋆R</w:t>
            </w:r>
          </w:p>
        </w:tc>
        <w:tc>
          <w:tcPr>
            <w:tcW w:type="dxa" w:w="115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не степень формы</w:t>
            </w:r>
          </w:p>
        </w:tc>
        <w:tc>
          <w:tcPr>
            <w:tcW w:type="dxa" w:w="511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ассоциаторный объект</w:t>
            </w:r>
          </w:p>
        </w:tc>
        <w:tc>
          <w:tcPr>
            <w:tcW w:type="dxa" w:w="216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Definition Core</w:t>
            </w:r>
          </w:p>
        </w:tc>
      </w:tr>
    </w:tbl>
    <w:p>
      <w:pPr>
        <w:spacing w:after="20"/>
      </w:pPr>
    </w:p>
    <w:p>
      <w:pPr>
        <w:spacing w:after="80" w:line="259" w:lineRule="auto"/>
      </w:pPr>
      <w:r>
        <w:rPr>
          <w:rFonts w:ascii="Liberation Serif" w:hAnsi="Liberation Serif" w:eastAsia="Liberation Serif"/>
          <w:b/>
          <w:sz w:val="22"/>
        </w:rPr>
        <w:t>Принцип 10.5. Notation firewall.</w:t>
      </w:r>
      <w:r>
        <w:rPr>
          <w:rFonts w:ascii="Liberation Serif" w:hAnsi="Liberation Serif" w:eastAsia="Liberation Serif"/>
          <w:sz w:val="22"/>
        </w:rPr>
        <w:t>[THM/PROTOCOL] Любая формула, где δ, δ_Hdg и d_N взаимозаменяются без явной карты, получает blocker NOTATION-COLLISION и не допускается к proof-status.</w:t>
      </w:r>
    </w:p>
    <w:p>
      <w:pPr>
        <w:pStyle w:val="Heading1"/>
        <w:pageBreakBefore w:val="0"/>
        <w:spacing w:before="200" w:after="100"/>
        <w:keepNext/>
      </w:pPr>
      <w:r>
        <w:t>72. Graded Leibniz calculus и дефект дифференцирования</w:t>
      </w:r>
    </w:p>
    <w:p>
      <w:pPr>
        <w:pStyle w:val="Heading2"/>
        <w:pageBreakBefore w:val="0"/>
        <w:spacing w:before="140" w:after="100"/>
        <w:keepNext/>
      </w:pPr>
      <w:r>
        <w:t>72.1. Градуированное пакетное произведение</w:t>
      </w:r>
    </w:p>
    <w:p>
      <w:pPr>
        <w:spacing w:after="80" w:line="259" w:lineRule="auto"/>
      </w:pPr>
      <w:r>
        <w:rPr>
          <w:rFonts w:ascii="Liberation Serif" w:hAnsi="Liberation Serif" w:eastAsia="Liberation Serif"/>
          <w:b/>
          <w:sz w:val="22"/>
        </w:rPr>
        <w:t>Определение 10.6. Degree-compatible product.</w:t>
      </w:r>
      <w:r>
        <w:rPr>
          <w:rFonts w:ascii="Liberation Serif" w:hAnsi="Liberation Serif" w:eastAsia="Liberation Serif"/>
          <w:sz w:val="22"/>
        </w:rPr>
        <w:t>[DEF-A] Пусть ⊙:Ω_N^p×Ω_N^q→Ω_N^{p+q} является билинейной операцией на admissible domain. Ассоциативность не предполагается. Для однородных α,β определим Leibniz defect</w:t>
      </w:r>
    </w:p>
    <w:p>
      <w:pPr>
        <w:spacing w:before="60" w:after="100"/>
        <w:jc w:val="center"/>
      </w:pPr>
      <w:r>
        <w:rPr>
          <w:rFonts w:ascii="Cambria Math" w:hAnsi="Cambria Math" w:eastAsia="Cambria Math"/>
          <w:sz w:val="22"/>
        </w:rPr>
        <w:t>L_d(α,β)=d_N(α⊙β)-d_Nα⊙β-(-1)^{|α|}α⊙d_Nβ.                   (10.4)</w:t>
      </w:r>
    </w:p>
    <w:p>
      <w:pPr>
        <w:spacing w:after="80" w:line="259" w:lineRule="auto"/>
      </w:pPr>
      <w:r>
        <w:rPr>
          <w:rFonts w:ascii="Liberation Serif" w:hAnsi="Liberation Serif" w:eastAsia="Liberation Serif"/>
          <w:b/>
          <w:sz w:val="22"/>
        </w:rPr>
        <w:t>Определение 10.7. Graded derivation.</w:t>
      </w:r>
      <w:r>
        <w:rPr>
          <w:rFonts w:ascii="Liberation Serif" w:hAnsi="Liberation Serif" w:eastAsia="Liberation Serif"/>
          <w:sz w:val="22"/>
        </w:rPr>
        <w:t>[CL/DEF-A] Оператор d_N является градуированной деривацией степени +1, если L_d=0 на всей заявленной области.</w:t>
      </w:r>
    </w:p>
    <w:p>
      <w:pPr>
        <w:spacing w:after="80" w:line="259" w:lineRule="auto"/>
      </w:pPr>
      <w:r>
        <w:rPr>
          <w:rFonts w:ascii="Liberation Serif" w:hAnsi="Liberation Serif" w:eastAsia="Liberation Serif"/>
          <w:b/>
          <w:sz w:val="22"/>
        </w:rPr>
        <w:t>Лемма 10.8. Значение на единице.</w:t>
      </w:r>
      <w:r>
        <w:rPr>
          <w:rFonts w:ascii="Liberation Serif" w:hAnsi="Liberation Serif" w:eastAsia="Liberation Serif"/>
          <w:sz w:val="22"/>
        </w:rPr>
        <w:t>[THM] В унитальном секторе характеристики, отличной от 2, graded Leibniz identity влечёт d_N(1)=0. Действительно, d(1)=d(1⊙1)=d(1)+d(1).</w:t>
      </w:r>
    </w:p>
    <w:p>
      <w:pPr>
        <w:pStyle w:val="Heading2"/>
        <w:pageBreakBefore w:val="0"/>
        <w:spacing w:before="140" w:after="100"/>
        <w:keepNext/>
      </w:pPr>
      <w:r>
        <w:t>72.2. Коммутатор дериваций и квадрат</w:t>
      </w:r>
    </w:p>
    <w:p>
      <w:pPr>
        <w:spacing w:after="80" w:line="259" w:lineRule="auto"/>
      </w:pPr>
      <w:r>
        <w:rPr>
          <w:rFonts w:ascii="Liberation Serif" w:hAnsi="Liberation Serif" w:eastAsia="Liberation Serif"/>
          <w:b/>
          <w:sz w:val="22"/>
        </w:rPr>
        <w:t>Теорема 10.9. Замкнутость дериваций.</w:t>
      </w:r>
      <w:r>
        <w:rPr>
          <w:rFonts w:ascii="Liberation Serif" w:hAnsi="Liberation Serif" w:eastAsia="Liberation Serif"/>
          <w:sz w:val="22"/>
        </w:rPr>
        <w:t>[THM] Пусть D и E - однородные graded derivations степеней |D| и |E| на возможно неассоциативной градуированной алгебре. Тогда graded commutator</w:t>
      </w:r>
    </w:p>
    <w:p>
      <w:pPr>
        <w:spacing w:before="60" w:after="100"/>
        <w:jc w:val="center"/>
      </w:pPr>
      <w:r>
        <w:rPr>
          <w:rFonts w:ascii="Cambria Math" w:hAnsi="Cambria Math" w:eastAsia="Cambria Math"/>
          <w:sz w:val="22"/>
        </w:rPr>
        <w:t>[D,E]=D∘E-(-1)^{|D||E|}E∘D                                          (10.5)</w:t>
      </w:r>
    </w:p>
    <w:p>
      <w:pPr>
        <w:spacing w:before="0" w:after="100" w:line="259" w:lineRule="auto"/>
      </w:pPr>
      <w:r>
        <w:rPr>
          <w:rFonts w:ascii="Liberation Serif" w:hAnsi="Liberation Serif" w:eastAsia="Liberation Serif"/>
          <w:b w:val="0"/>
          <w:sz w:val="22"/>
        </w:rPr>
        <w:t>снова является graded derivation степени |D|+|E|. Доказательство использует только Leibniz identities и не требует ассоциативности ⊙.</w:t>
      </w:r>
    </w:p>
    <w:p>
      <w:pPr>
        <w:spacing w:after="80" w:line="259" w:lineRule="auto"/>
      </w:pPr>
      <w:r>
        <w:rPr>
          <w:rFonts w:ascii="Liberation Serif" w:hAnsi="Liberation Serif" w:eastAsia="Liberation Serif"/>
          <w:b/>
          <w:sz w:val="22"/>
        </w:rPr>
        <w:t>Следствие 10.10. Квадрат нечётной деривации.</w:t>
      </w:r>
      <w:r>
        <w:rPr>
          <w:rFonts w:ascii="Liberation Serif" w:hAnsi="Liberation Serif" w:eastAsia="Liberation Serif"/>
          <w:sz w:val="22"/>
        </w:rPr>
        <w:t>[THM] При char(K)≠2 для |d_N|=1 имеем [d_N,d_N]=2d_N². Поэтому d_N² является деривацией степени +2, но не обязано быть нулём.</w:t>
      </w:r>
    </w:p>
    <w:p>
      <w:pPr>
        <w:spacing w:before="60" w:after="100"/>
        <w:jc w:val="center"/>
      </w:pPr>
      <w:r>
        <w:rPr>
          <w:rFonts w:ascii="Cambria Math" w:hAnsi="Cambria Math" w:eastAsia="Cambria Math"/>
          <w:sz w:val="22"/>
        </w:rPr>
        <w:t>d_N²(α⊙β)=d_N²α⊙β+α⊙d_N²β.                                  (10.6)</w:t>
      </w:r>
    </w:p>
    <w:p>
      <w:pPr>
        <w:pStyle w:val="Heading2"/>
        <w:pageBreakBefore w:val="0"/>
        <w:spacing w:before="140" w:after="100"/>
        <w:keepNext/>
      </w:pPr>
      <w:r>
        <w:t>72.3. Дифференцирование ассоциатора</w:t>
      </w:r>
    </w:p>
    <w:p>
      <w:pPr>
        <w:spacing w:after="80" w:line="259" w:lineRule="auto"/>
      </w:pPr>
      <w:r>
        <w:rPr>
          <w:rFonts w:ascii="Liberation Serif" w:hAnsi="Liberation Serif" w:eastAsia="Liberation Serif"/>
          <w:b/>
          <w:sz w:val="22"/>
        </w:rPr>
        <w:t>Теорема 10.11. Associator Leibniz identity.</w:t>
      </w:r>
      <w:r>
        <w:rPr>
          <w:rFonts w:ascii="Liberation Serif" w:hAnsi="Liberation Serif" w:eastAsia="Liberation Serif"/>
          <w:sz w:val="22"/>
        </w:rPr>
        <w:t>[THM] Если d_N является graded derivation степени +1, то для однородных α,β,γ</w:t>
      </w:r>
    </w:p>
    <w:p>
      <w:pPr>
        <w:spacing w:before="60" w:after="100"/>
        <w:jc w:val="center"/>
      </w:pPr>
      <w:r>
        <w:rPr>
          <w:rFonts w:ascii="Cambria Math" w:hAnsi="Cambria Math" w:eastAsia="Cambria Math"/>
          <w:sz w:val="22"/>
        </w:rPr>
        <w:t>d_N Ass(α,β,γ)=Ass(d_Nα,β,γ)+(-1)^{|α|}Ass(α,d_Nβ,γ)+(-1)^{|α|+|β|}Ass(α,β,d_Nγ).     (10.7)</w:t>
      </w:r>
    </w:p>
    <w:p>
      <w:pPr>
        <w:spacing w:before="0" w:after="100" w:line="259" w:lineRule="auto"/>
      </w:pPr>
      <w:r>
        <w:rPr>
          <w:rFonts w:ascii="Liberation Serif" w:hAnsi="Liberation Serif" w:eastAsia="Liberation Serif"/>
          <w:b w:val="0"/>
          <w:sz w:val="22"/>
        </w:rPr>
        <w:t>Доказательство получается раскрытием d_N((α⊙β)⊙γ-α⊙(β⊙γ)) и группировкой четырёх пар скобок. Формула является внутренним differential bridge к главам 5 и 9.</w:t>
      </w:r>
    </w:p>
    <w:p>
      <w:pPr>
        <w:spacing w:after="80" w:line="259" w:lineRule="auto"/>
      </w:pPr>
      <w:r>
        <w:rPr>
          <w:rFonts w:ascii="Liberation Serif" w:hAnsi="Liberation Serif" w:eastAsia="Liberation Serif"/>
          <w:b/>
          <w:sz w:val="22"/>
        </w:rPr>
        <w:t>Следствие 10.12.</w:t>
      </w:r>
      <w:r>
        <w:rPr>
          <w:rFonts w:ascii="Liberation Serif" w:hAnsi="Liberation Serif" w:eastAsia="Liberation Serif"/>
          <w:sz w:val="22"/>
        </w:rPr>
        <w:t>[THM] Если d_N является derivation и Ass=0, ассоциативный сектор устойчив относительно d_N. Если Ass≠0, d_N переносит ассоциатор как тернарный graded tensor, но не уничтожает его.</w:t>
      </w:r>
    </w:p>
    <w:p>
      <w:pPr>
        <w:pStyle w:val="Heading1"/>
        <w:pageBreakBefore w:val="0"/>
        <w:spacing w:before="200" w:after="100"/>
        <w:keepNext/>
      </w:pPr>
      <w:r>
        <w:t>73. Почему d²=0 не является автоматическим</w:t>
      </w:r>
    </w:p>
    <w:p>
      <w:pPr>
        <w:spacing w:before="100" w:after="40"/>
        <w:jc w:val="center"/>
      </w:pPr>
      <w:r>
        <w:drawing>
          <wp:inline xmlns:a="http://schemas.openxmlformats.org/drawingml/2006/main" xmlns:pic="http://schemas.openxmlformats.org/drawingml/2006/picture">
            <wp:extent cx="6172200" cy="3780473"/>
            <wp:docPr id="25" name="Picture 25"/>
            <wp:cNvGraphicFramePr>
              <a:graphicFrameLocks noChangeAspect="1"/>
            </wp:cNvGraphicFramePr>
            <a:graphic>
              <a:graphicData uri="http://schemas.openxmlformats.org/drawingml/2006/picture">
                <pic:pic>
                  <pic:nvPicPr>
                    <pic:cNvPr id="0" name="fig21_d2_models.png"/>
                    <pic:cNvPicPr/>
                  </pic:nvPicPr>
                  <pic:blipFill>
                    <a:blip r:embed="rId51"/>
                    <a:stretch>
                      <a:fillRect/>
                    </a:stretch>
                  </pic:blipFill>
                  <pic:spPr>
                    <a:xfrm>
                      <a:off x="0" y="0"/>
                      <a:ext cx="6172200" cy="3780473"/>
                    </a:xfrm>
                    <a:prstGeom prst="rect"/>
                  </pic:spPr>
                </pic:pic>
              </a:graphicData>
            </a:graphic>
          </wp:inline>
        </w:drawing>
      </w:r>
    </w:p>
    <w:p>
      <w:pPr>
        <w:pStyle w:val="Caption"/>
        <w:keepNext/>
        <w:spacing w:after="120"/>
        <w:jc w:val="center"/>
      </w:pPr>
      <w:r>
        <w:t>Рисунок 21. Четыре режима, показывающие независимость Leibniz identity и nilpotency. Собственная схема Тома II.</w:t>
      </w:r>
    </w:p>
    <w:p>
      <w:pPr>
        <w:pStyle w:val="Heading2"/>
        <w:pageBreakBefore w:val="0"/>
        <w:spacing w:before="140" w:after="100"/>
        <w:keepNext/>
      </w:pPr>
      <w:r>
        <w:t>73.1. Differential curvature</w:t>
      </w:r>
    </w:p>
    <w:p>
      <w:pPr>
        <w:spacing w:after="80" w:line="259" w:lineRule="auto"/>
      </w:pPr>
      <w:r>
        <w:rPr>
          <w:rFonts w:ascii="Liberation Serif" w:hAnsi="Liberation Serif" w:eastAsia="Liberation Serif"/>
          <w:b/>
          <w:sz w:val="22"/>
        </w:rPr>
        <w:t>Определение 10.13. Кривизна differential candidate.</w:t>
      </w:r>
      <w:r>
        <w:rPr>
          <w:rFonts w:ascii="Liberation Serif" w:hAnsi="Liberation Serif" w:eastAsia="Liberation Serif"/>
          <w:sz w:val="22"/>
        </w:rPr>
        <w:t>[DEF-A] Для graded derivation d_N степени +1 определим</w:t>
      </w:r>
    </w:p>
    <w:p>
      <w:pPr>
        <w:spacing w:before="60" w:after="100"/>
        <w:jc w:val="center"/>
      </w:pPr>
      <w:r>
        <w:rPr>
          <w:rFonts w:ascii="Cambria Math" w:hAnsi="Cambria Math" w:eastAsia="Cambria Math"/>
          <w:sz w:val="22"/>
        </w:rPr>
        <w:t>Ω_d := d_N² : Ω_N^p → Ω_N^{p+2}.                                  (10.8)</w:t>
      </w:r>
    </w:p>
    <w:p>
      <w:pPr>
        <w:spacing w:before="0" w:after="100" w:line="259" w:lineRule="auto"/>
      </w:pPr>
      <w:r>
        <w:rPr>
          <w:rFonts w:ascii="Liberation Serif" w:hAnsi="Liberation Serif" w:eastAsia="Liberation Serif"/>
          <w:b w:val="0"/>
          <w:sz w:val="22"/>
        </w:rPr>
        <w:t>Ω_d называется differential curvature только как внутренний термин v0.8. Он не отождествляется с R_∇ из главы 9, хотя в covariant model совпадает с действием кривизны связности.</w:t>
      </w:r>
    </w:p>
    <w:p>
      <w:pPr>
        <w:spacing w:after="80" w:line="259" w:lineRule="auto"/>
      </w:pPr>
      <w:r>
        <w:rPr>
          <w:rFonts w:ascii="Liberation Serif" w:hAnsi="Liberation Serif" w:eastAsia="Liberation Serif"/>
          <w:b/>
          <w:sz w:val="22"/>
        </w:rPr>
        <w:t>Лемма 10.14. Bianchi identity в операторной форме.</w:t>
      </w:r>
      <w:r>
        <w:rPr>
          <w:rFonts w:ascii="Liberation Serif" w:hAnsi="Liberation Serif" w:eastAsia="Liberation Serif"/>
          <w:sz w:val="22"/>
        </w:rPr>
        <w:t>[THM] Для Ω_d=d_N² выполнено [d_N,Ω_d]=0, поскольку d_N³-d_N³=0.</w:t>
      </w:r>
    </w:p>
    <w:p>
      <w:pPr>
        <w:spacing w:before="60" w:after="100"/>
        <w:jc w:val="center"/>
      </w:pPr>
      <w:r>
        <w:rPr>
          <w:rFonts w:ascii="Cambria Math" w:hAnsi="Cambria Math" w:eastAsia="Cambria Math"/>
          <w:sz w:val="22"/>
        </w:rPr>
        <w:t>[d_N,Ω_d]=0.                                                               (10.9)</w:t>
      </w:r>
    </w:p>
    <w:p>
      <w:pPr>
        <w:spacing w:after="80" w:line="259" w:lineRule="auto"/>
      </w:pPr>
      <w:r>
        <w:rPr>
          <w:rFonts w:ascii="Liberation Serif" w:hAnsi="Liberation Serif" w:eastAsia="Liberation Serif"/>
          <w:b/>
          <w:sz w:val="22"/>
        </w:rPr>
        <w:t>Определение 10.15. Precomplex и complex.</w:t>
      </w:r>
      <w:r>
        <w:rPr>
          <w:rFonts w:ascii="Liberation Serif" w:hAnsi="Liberation Serif" w:eastAsia="Liberation Serif"/>
          <w:sz w:val="22"/>
        </w:rPr>
        <w:t>[DEF-A] Последовательность Ω_N^p --d_N^p→ Ω_N^{p+1} называется precomplex после проверки типов. Она является complex только при d_N^{p+1}d_N^p=0 для всех p. Когомология H_N^p разрешена только во втором случае.</w:t>
      </w:r>
    </w:p>
    <w:p>
      <w:pPr>
        <w:pStyle w:val="Heading2"/>
        <w:pageBreakBefore w:val="0"/>
        <w:spacing w:before="140" w:after="100"/>
        <w:keepNext/>
      </w:pPr>
      <w:r>
        <w:t>73.2. Свободный контрпример</w:t>
      </w:r>
    </w:p>
    <w:p>
      <w:pPr>
        <w:spacing w:after="80" w:line="259" w:lineRule="auto"/>
      </w:pPr>
      <w:r>
        <w:rPr>
          <w:rFonts w:ascii="Liberation Serif" w:hAnsi="Liberation Serif" w:eastAsia="Liberation Serif"/>
          <w:b/>
          <w:sz w:val="22"/>
        </w:rPr>
        <w:t>Пример 10.16. Graded Leibniz without nilpotency.</w:t>
      </w:r>
      <w:r>
        <w:rPr>
          <w:rFonts w:ascii="Liberation Serif" w:hAnsi="Liberation Serif" w:eastAsia="Liberation Serif"/>
          <w:sz w:val="22"/>
        </w:rPr>
        <w:t>[THM/EX] Пусть F - свободная градуированная неассоциативная алгебра на генераторах a,b,c степеней 0,1,2. Определим d(a)=b, d(b)=c, d(c)=0 и продолжим d по graded Leibniz rule. Тогда L_d=0, но</w:t>
      </w:r>
    </w:p>
    <w:p>
      <w:pPr>
        <w:spacing w:before="60" w:after="100"/>
        <w:jc w:val="center"/>
      </w:pPr>
      <w:r>
        <w:rPr>
          <w:rFonts w:ascii="Cambria Math" w:hAnsi="Cambria Math" w:eastAsia="Cambria Math"/>
          <w:sz w:val="22"/>
        </w:rPr>
        <w:t>d²(a)=c≠0.                                                               (10.10)</w:t>
      </w:r>
    </w:p>
    <w:p>
      <w:pPr>
        <w:spacing w:before="0" w:after="100" w:line="259" w:lineRule="auto"/>
      </w:pPr>
      <w:r>
        <w:rPr>
          <w:rFonts w:ascii="Liberation Serif" w:hAnsi="Liberation Serif" w:eastAsia="Liberation Serif"/>
          <w:b w:val="0"/>
          <w:sz w:val="22"/>
        </w:rPr>
        <w:t>Следовательно, ни градуировка, ни локальность, ни правило Лейбница не дают d²=0.</w:t>
      </w:r>
    </w:p>
    <w:p>
      <w:pPr>
        <w:pStyle w:val="Heading2"/>
        <w:pageBreakBefore w:val="0"/>
        <w:spacing w:before="140" w:after="100"/>
        <w:keepNext/>
      </w:pPr>
      <w:r>
        <w:t>73.3. Ковариантный и суперсвязностный контрпримеры</w:t>
      </w:r>
    </w:p>
    <w:p>
      <w:pPr>
        <w:spacing w:after="80" w:line="259" w:lineRule="auto"/>
      </w:pPr>
      <w:r>
        <w:rPr>
          <w:rFonts w:ascii="Liberation Serif" w:hAnsi="Liberation Serif" w:eastAsia="Liberation Serif"/>
          <w:b/>
          <w:sz w:val="22"/>
        </w:rPr>
        <w:t>Пример 10.17. Covariant exterior derivative.</w:t>
      </w:r>
      <w:r>
        <w:rPr>
          <w:rFonts w:ascii="Liberation Serif" w:hAnsi="Liberation Serif" w:eastAsia="Liberation Serif"/>
          <w:sz w:val="22"/>
        </w:rPr>
        <w:t>[CL/THM] Для связности ∇ на векторном расслоении ковариантный внешний дифференциал d_∇ удовлетворяет</w:t>
      </w:r>
    </w:p>
    <w:p>
      <w:pPr>
        <w:spacing w:before="60" w:after="100"/>
        <w:jc w:val="center"/>
      </w:pPr>
      <w:r>
        <w:rPr>
          <w:rFonts w:ascii="Cambria Math" w:hAnsi="Cambria Math" w:eastAsia="Cambria Math"/>
          <w:sz w:val="22"/>
        </w:rPr>
        <w:t>d_∇² α = R_∇ ∧ α.                                                        (10.11)</w:t>
      </w:r>
    </w:p>
    <w:p>
      <w:pPr>
        <w:spacing w:before="0" w:after="100" w:line="259" w:lineRule="auto"/>
      </w:pPr>
      <w:r>
        <w:rPr>
          <w:rFonts w:ascii="Liberation Serif" w:hAnsi="Liberation Serif" w:eastAsia="Liberation Serif"/>
          <w:b w:val="0"/>
          <w:sz w:val="22"/>
        </w:rPr>
        <w:t>Поэтому d_∇ образует комплекс только на плоском секторе или на подпространстве, где действие R_∇ исчезает.</w:t>
      </w:r>
    </w:p>
    <w:p>
      <w:pPr>
        <w:spacing w:after="80" w:line="259" w:lineRule="auto"/>
      </w:pPr>
      <w:r>
        <w:rPr>
          <w:rFonts w:ascii="Liberation Serif" w:hAnsi="Liberation Serif" w:eastAsia="Liberation Serif"/>
          <w:b/>
          <w:sz w:val="22"/>
        </w:rPr>
        <w:t>Пример 10.18. Superconnection curvature.</w:t>
      </w:r>
      <w:r>
        <w:rPr>
          <w:rFonts w:ascii="Liberation Serif" w:hAnsi="Liberation Serif" w:eastAsia="Liberation Serif"/>
          <w:sz w:val="22"/>
        </w:rPr>
        <w:t>[CL/THM] Для нечётного оператора A=d+ω на формах со значениями в End(E) квадрат равен</w:t>
      </w:r>
    </w:p>
    <w:p>
      <w:pPr>
        <w:spacing w:before="60" w:after="100"/>
        <w:jc w:val="center"/>
      </w:pPr>
      <w:r>
        <w:rPr>
          <w:rFonts w:ascii="Cambria Math" w:hAnsi="Cambria Math" w:eastAsia="Cambria Math"/>
          <w:sz w:val="22"/>
        </w:rPr>
        <w:t>A² = dω + ω∧ω.                                                           (10.12)</w:t>
      </w:r>
    </w:p>
    <w:p>
      <w:pPr>
        <w:spacing w:before="0" w:after="100" w:line="259" w:lineRule="auto"/>
      </w:pPr>
      <w:r>
        <w:rPr>
          <w:rFonts w:ascii="Liberation Serif" w:hAnsi="Liberation Serif" w:eastAsia="Liberation Serif"/>
          <w:b w:val="0"/>
          <w:sz w:val="22"/>
        </w:rPr>
        <w:t>Условие A²=0 является уравнением Maurer-Cartan/flatness, а не следствием определения A.</w:t>
      </w:r>
    </w:p>
    <w:p>
      <w:pPr>
        <w:spacing w:after="80" w:line="259" w:lineRule="auto"/>
      </w:pPr>
      <w:r>
        <w:rPr>
          <w:rFonts w:ascii="Liberation Serif" w:hAnsi="Liberation Serif" w:eastAsia="Liberation Serif"/>
          <w:b/>
          <w:sz w:val="22"/>
        </w:rPr>
        <w:t>Предупреждение 10.19. d^N-calculus.</w:t>
      </w:r>
      <w:r>
        <w:rPr>
          <w:rFonts w:ascii="Liberation Serif" w:hAnsi="Liberation Serif" w:eastAsia="Liberation Serif"/>
          <w:sz w:val="22"/>
        </w:rPr>
        <w:t>[CL/BOUNDARY] Теории с d^N=0, N&gt;2, существуют как отдельные q-differential/N-complex конструкции. Они не дают обычную когомологию ker d / im d без дополнительного определения generalized homology.</w:t>
      </w:r>
    </w:p>
    <w:p>
      <w:pPr>
        <w:pStyle w:val="Heading1"/>
        <w:pageBreakBefore w:val="0"/>
        <w:spacing w:before="200" w:after="100"/>
        <w:keepNext/>
      </w:pPr>
      <w:r>
        <w:t>74. Локальность, ограничения и склейка дифференциалов</w:t>
      </w:r>
    </w:p>
    <w:p>
      <w:pPr>
        <w:pStyle w:val="Heading2"/>
        <w:pageBreakBefore w:val="0"/>
        <w:spacing w:before="140" w:after="100"/>
        <w:keepNext/>
      </w:pPr>
      <w:r>
        <w:t>74.1. Sheaf-locality</w:t>
      </w:r>
    </w:p>
    <w:p>
      <w:pPr>
        <w:spacing w:after="80" w:line="259" w:lineRule="auto"/>
      </w:pPr>
      <w:r>
        <w:rPr>
          <w:rFonts w:ascii="Liberation Serif" w:hAnsi="Liberation Serif" w:eastAsia="Liberation Serif"/>
          <w:b/>
          <w:sz w:val="22"/>
        </w:rPr>
        <w:t>Определение 10.20. Локальный оператор.</w:t>
      </w:r>
      <w:r>
        <w:rPr>
          <w:rFonts w:ascii="Liberation Serif" w:hAnsi="Liberation Serif" w:eastAsia="Liberation Serif"/>
          <w:sz w:val="22"/>
        </w:rPr>
        <w:t>[DEF-A] Семейство d_U:Ω_N^p(U)→Ω_N^{p+1}(U) называется локальным, если для V⊂U</w:t>
      </w:r>
    </w:p>
    <w:p>
      <w:pPr>
        <w:spacing w:before="60" w:after="100"/>
        <w:jc w:val="center"/>
      </w:pPr>
      <w:r>
        <w:rPr>
          <w:rFonts w:ascii="Cambria Math" w:hAnsi="Cambria Math" w:eastAsia="Cambria Math"/>
          <w:sz w:val="22"/>
        </w:rPr>
        <w:t>(d_U α)|_V = d_V(α|_V).                                                 (10.13)</w:t>
      </w:r>
    </w:p>
    <w:p>
      <w:pPr>
        <w:spacing w:after="80" w:line="259" w:lineRule="auto"/>
      </w:pPr>
      <w:r>
        <w:rPr>
          <w:rFonts w:ascii="Liberation Serif" w:hAnsi="Liberation Serif" w:eastAsia="Liberation Serif"/>
          <w:b/>
          <w:sz w:val="22"/>
        </w:rPr>
        <w:t>Лемма 10.21. Support nonincrease.</w:t>
      </w:r>
      <w:r>
        <w:rPr>
          <w:rFonts w:ascii="Liberation Serif" w:hAnsi="Liberation Serif" w:eastAsia="Liberation Serif"/>
          <w:sz w:val="22"/>
        </w:rPr>
        <w:t>[THM] Для sheaf-local operator supp(dα)⊂supp(α). Это утверждение не означает автоматически, что d является differential operator конечного порядка; такая классификация требует дополнительных гипотез типа теоремы Питра.</w:t>
      </w:r>
    </w:p>
    <w:p>
      <w:pPr>
        <w:pStyle w:val="Heading2"/>
        <w:pageBreakBefore w:val="0"/>
        <w:spacing w:before="140" w:after="100"/>
        <w:keepNext/>
      </w:pPr>
      <w:r>
        <w:t>74.2. Склейка</w:t>
      </w:r>
    </w:p>
    <w:p>
      <w:pPr>
        <w:spacing w:after="80" w:line="259" w:lineRule="auto"/>
      </w:pPr>
      <w:r>
        <w:rPr>
          <w:rFonts w:ascii="Liberation Serif" w:hAnsi="Liberation Serif" w:eastAsia="Liberation Serif"/>
          <w:b/>
          <w:sz w:val="22"/>
        </w:rPr>
        <w:t>Теорема 10.22. Gluing of local differentials.</w:t>
      </w:r>
      <w:r>
        <w:rPr>
          <w:rFonts w:ascii="Liberation Serif" w:hAnsi="Liberation Serif" w:eastAsia="Liberation Serif"/>
          <w:sz w:val="22"/>
        </w:rPr>
        <w:t>[THM] Пусть {U_i} покрывает X, d_i - локальные degree +1 operators и g_ij - переходы NAPG-расслоения. Если на U_i∩U_j</w:t>
      </w:r>
    </w:p>
    <w:p>
      <w:pPr>
        <w:spacing w:before="60" w:after="100"/>
        <w:jc w:val="center"/>
      </w:pPr>
      <w:r>
        <w:rPr>
          <w:rFonts w:ascii="Cambria Math" w:hAnsi="Cambria Math" w:eastAsia="Cambria Math"/>
          <w:sz w:val="22"/>
        </w:rPr>
        <w:t>g_ij ∘ d_j = d_i ∘ g_ij,                                                (10.14)</w:t>
      </w:r>
    </w:p>
    <w:p>
      <w:pPr>
        <w:spacing w:before="0" w:after="100" w:line="259" w:lineRule="auto"/>
      </w:pPr>
      <w:r>
        <w:rPr>
          <w:rFonts w:ascii="Liberation Serif" w:hAnsi="Liberation Serif" w:eastAsia="Liberation Serif"/>
          <w:b w:val="0"/>
          <w:sz w:val="22"/>
        </w:rPr>
        <w:t>то существует единственный глобальный оператор d_N, ограничения которого равны d_i. Если каждый d_i является derivation и d_i²=0, эти свойства переходят к глобальному d_N.</w:t>
      </w:r>
    </w:p>
    <w:p>
      <w:pPr>
        <w:spacing w:after="80" w:line="259" w:lineRule="auto"/>
      </w:pPr>
      <w:r>
        <w:rPr>
          <w:rFonts w:ascii="Liberation Serif" w:hAnsi="Liberation Serif" w:eastAsia="Liberation Serif"/>
          <w:b/>
          <w:sz w:val="22"/>
        </w:rPr>
        <w:t>Определение 10.23. Gluing defect.</w:t>
      </w:r>
      <w:r>
        <w:rPr>
          <w:rFonts w:ascii="Liberation Serif" w:hAnsi="Liberation Serif" w:eastAsia="Liberation Serif"/>
          <w:sz w:val="22"/>
        </w:rPr>
        <w:t>[DEF-A] На пересечениях положим</w:t>
      </w:r>
    </w:p>
    <w:p>
      <w:pPr>
        <w:spacing w:before="60" w:after="100"/>
        <w:jc w:val="center"/>
      </w:pPr>
      <w:r>
        <w:rPr>
          <w:rFonts w:ascii="Cambria Math" w:hAnsi="Cambria Math" w:eastAsia="Cambria Math"/>
          <w:sz w:val="22"/>
        </w:rPr>
        <w:t>K_ij := g_ij d_j - d_i g_ij.                                            (10.15)</w:t>
      </w:r>
    </w:p>
    <w:p>
      <w:pPr>
        <w:spacing w:before="0" w:after="100" w:line="259" w:lineRule="auto"/>
      </w:pPr>
      <w:r>
        <w:rPr>
          <w:rFonts w:ascii="Liberation Serif" w:hAnsi="Liberation Serif" w:eastAsia="Liberation Serif"/>
          <w:b w:val="0"/>
          <w:sz w:val="22"/>
        </w:rPr>
        <w:t>Ненулевой K_ij блокирует глобальный differential. При дополнительной линейной структуре и cocycle compatibility семейство {K_ij} может задавать Čech obstruction class; этот переход имеет статус COND до построения точного coefficient sheaf.</w:t>
      </w:r>
    </w:p>
    <w:p>
      <w:pPr>
        <w:spacing w:after="80" w:line="259" w:lineRule="auto"/>
      </w:pPr>
      <w:r>
        <w:rPr>
          <w:rFonts w:ascii="Liberation Serif" w:hAnsi="Liberation Serif" w:eastAsia="Liberation Serif"/>
          <w:b/>
          <w:sz w:val="22"/>
        </w:rPr>
        <w:t>Контрпример 10.24.</w:t>
      </w:r>
      <w:r>
        <w:rPr>
          <w:rFonts w:ascii="Liberation Serif" w:hAnsi="Liberation Serif" w:eastAsia="Liberation Serif"/>
          <w:sz w:val="22"/>
        </w:rPr>
        <w:t>[THM/EX] Два локальных оператора d_1=d и d_2=d+A на перекрытии не склеиваются при g_12=Id, если A≠0. Локальная nilpotency каждого оператора также не исправляет ненулевой K_12.</w:t>
      </w:r>
    </w:p>
    <w:p>
      <w:pPr>
        <w:pStyle w:val="Heading1"/>
        <w:pageBreakBefore w:val="0"/>
        <w:spacing w:before="200" w:after="100"/>
        <w:keepNext/>
      </w:pPr>
      <w:r>
        <w:t>75. Внутренний и внешний слои: total operator и mixed defect</w:t>
      </w:r>
    </w:p>
    <w:p>
      <w:pPr>
        <w:pStyle w:val="Heading2"/>
        <w:pageBreakBefore w:val="0"/>
        <w:spacing w:before="140" w:after="100"/>
        <w:keepNext/>
      </w:pPr>
      <w:r>
        <w:t>75.1. Биградуированная конструкция</w:t>
      </w:r>
    </w:p>
    <w:p>
      <w:pPr>
        <w:spacing w:after="80" w:line="259" w:lineRule="auto"/>
      </w:pPr>
      <w:r>
        <w:rPr>
          <w:rFonts w:ascii="Liberation Serif" w:hAnsi="Liberation Serif" w:eastAsia="Liberation Serif"/>
          <w:b/>
          <w:sz w:val="22"/>
        </w:rPr>
        <w:t>Определение 10.25. Bigraded bridge object.</w:t>
      </w:r>
      <w:r>
        <w:rPr>
          <w:rFonts w:ascii="Liberation Serif" w:hAnsi="Liberation Serif" w:eastAsia="Liberation Serif"/>
          <w:sz w:val="22"/>
        </w:rPr>
        <w:t>[DEF-A/COND] Пусть B^{p,q}=Ω_N^p⊗E^q. Внутренний оператор d_N имеет bidegree (1,0), внешний δ_E - (0,1). Для элемента bidegree (p,q) определим total operator</w:t>
      </w:r>
    </w:p>
    <w:p>
      <w:pPr>
        <w:spacing w:before="60" w:after="100"/>
        <w:jc w:val="center"/>
      </w:pPr>
      <w:r>
        <w:rPr>
          <w:rFonts w:ascii="Cambria Math" w:hAnsi="Cambria Math" w:eastAsia="Cambria Math"/>
          <w:sz w:val="22"/>
        </w:rPr>
        <w:t>D_tot = d_N + (-1)^p δ_E.                                               (10.16)</w:t>
      </w:r>
    </w:p>
    <w:p>
      <w:pPr>
        <w:spacing w:after="80" w:line="259" w:lineRule="auto"/>
      </w:pPr>
      <w:r>
        <w:rPr>
          <w:rFonts w:ascii="Liberation Serif" w:hAnsi="Liberation Serif" w:eastAsia="Liberation Serif"/>
          <w:b/>
          <w:sz w:val="22"/>
        </w:rPr>
        <w:t>Теорема 10.26. Разложение квадрата.</w:t>
      </w:r>
      <w:r>
        <w:rPr>
          <w:rFonts w:ascii="Liberation Serif" w:hAnsi="Liberation Serif" w:eastAsia="Liberation Serif"/>
          <w:sz w:val="22"/>
        </w:rPr>
        <w:t>[THM] При фиксированной convention</w:t>
      </w:r>
    </w:p>
    <w:p>
      <w:pPr>
        <w:spacing w:before="60" w:after="100"/>
        <w:jc w:val="center"/>
      </w:pPr>
      <w:r>
        <w:rPr>
          <w:rFonts w:ascii="Cambria Math" w:hAnsi="Cambria Math" w:eastAsia="Cambria Math"/>
          <w:sz w:val="22"/>
        </w:rPr>
        <w:t>D_tot² = Ω_int + Ω_E + (-1)^p M_mix,                                    (10.17)</w:t>
      </w:r>
    </w:p>
    <w:p>
      <w:pPr>
        <w:spacing w:before="0" w:after="100" w:line="259" w:lineRule="auto"/>
      </w:pPr>
      <w:r>
        <w:rPr>
          <w:rFonts w:ascii="Liberation Serif" w:hAnsi="Liberation Serif" w:eastAsia="Liberation Serif"/>
          <w:b w:val="0"/>
          <w:sz w:val="22"/>
        </w:rPr>
        <w:t>где Ω_int=d_N², Ω_E=δ_E² и M_mix=d_Nδ_E-δ_Ed_N. Следовательно, D_tot²=0 требует одновременного исчезновения двух curvature components и mixed commutator на каждом биизмерении.</w:t>
      </w: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trPr>
        <w:tc>
          <w:tcPr>
            <w:tcW w:type="dxa" w:w="144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Компонента</w:t>
            </w:r>
          </w:p>
        </w:tc>
        <w:tc>
          <w:tcPr>
            <w:tcW w:type="dxa" w:w="1296"/>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Тип</w:t>
            </w:r>
          </w:p>
        </w:tc>
        <w:tc>
          <w:tcPr>
            <w:tcW w:type="dxa" w:w="5328"/>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Смысл</w:t>
            </w:r>
          </w:p>
        </w:tc>
        <w:tc>
          <w:tcPr>
            <w:tcW w:type="dxa" w:w="1872"/>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Нулевой статус</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Ω_int</w:t>
            </w:r>
          </w:p>
        </w:tc>
        <w:tc>
          <w:tcPr>
            <w:tcW w:type="dxa" w:w="129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(2,0)</w:t>
            </w:r>
          </w:p>
        </w:tc>
        <w:tc>
          <w:tcPr>
            <w:tcW w:type="dxa" w:w="5328"/>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внутренняя differential curvature</w:t>
            </w:r>
          </w:p>
        </w:tc>
        <w:tc>
          <w:tcPr>
            <w:tcW w:type="dxa" w:w="187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d_N²=0</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Ω_E</w:t>
            </w:r>
          </w:p>
        </w:tc>
        <w:tc>
          <w:tcPr>
            <w:tcW w:type="dxa" w:w="129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(0,2)</w:t>
            </w:r>
          </w:p>
        </w:tc>
        <w:tc>
          <w:tcPr>
            <w:tcW w:type="dxa" w:w="5328"/>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дефект внешнего E-комплекса</w:t>
            </w:r>
          </w:p>
        </w:tc>
        <w:tc>
          <w:tcPr>
            <w:tcW w:type="dxa" w:w="187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δ_E²=0</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M_mix</w:t>
            </w:r>
          </w:p>
        </w:tc>
        <w:tc>
          <w:tcPr>
            <w:tcW w:type="dxa" w:w="129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(1,1)</w:t>
            </w:r>
          </w:p>
        </w:tc>
        <w:tc>
          <w:tcPr>
            <w:tcW w:type="dxa" w:w="5328"/>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несовместимость внутреннего и внешнего переходов</w:t>
            </w:r>
          </w:p>
        </w:tc>
        <w:tc>
          <w:tcPr>
            <w:tcW w:type="dxa" w:w="187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d_Nδ_E=δ_Ed_N</w:t>
            </w:r>
          </w:p>
        </w:tc>
      </w:tr>
    </w:tbl>
    <w:p>
      <w:pPr>
        <w:spacing w:after="20"/>
      </w:pPr>
    </w:p>
    <w:p>
      <w:pPr>
        <w:spacing w:after="80" w:line="259" w:lineRule="auto"/>
      </w:pPr>
      <w:r>
        <w:rPr>
          <w:rFonts w:ascii="Liberation Serif" w:hAnsi="Liberation Serif" w:eastAsia="Liberation Serif"/>
          <w:b/>
          <w:sz w:val="22"/>
        </w:rPr>
        <w:t>Королларий 10.27. Cohomology firewall.</w:t>
      </w:r>
      <w:r>
        <w:rPr>
          <w:rFonts w:ascii="Liberation Serif" w:hAnsi="Liberation Serif" w:eastAsia="Liberation Serif"/>
          <w:sz w:val="22"/>
        </w:rPr>
        <w:t>[THM/PROTOCOL] Если хотя бы одна компонента в (10.17) ненулевая или не вычислена, H^*(Tot B,D_tot) не объявляется. В RBD хранится defect triple, а не фиктивный cohomology label.</w:t>
      </w:r>
    </w:p>
    <w:p>
      <w:pPr>
        <w:pStyle w:val="Heading2"/>
        <w:pageBreakBefore w:val="0"/>
        <w:spacing w:before="140" w:after="100"/>
        <w:keepNext/>
      </w:pPr>
      <w:r>
        <w:t>75.2. Условный мост Π_E</w:t>
      </w:r>
    </w:p>
    <w:p>
      <w:pPr>
        <w:spacing w:after="80" w:line="259" w:lineRule="auto"/>
      </w:pPr>
      <w:r>
        <w:rPr>
          <w:rFonts w:ascii="Liberation Serif" w:hAnsi="Liberation Serif" w:eastAsia="Liberation Serif"/>
          <w:b/>
          <w:sz w:val="22"/>
        </w:rPr>
        <w:t>Определение 10.28. Differential bridge certificate.</w:t>
      </w:r>
      <w:r>
        <w:rPr>
          <w:rFonts w:ascii="Liberation Serif" w:hAnsi="Liberation Serif" w:eastAsia="Liberation Serif"/>
          <w:sz w:val="22"/>
        </w:rPr>
        <w:t>[DEF-A] Для Π_E:O_B→H³(E^•) требуется пакет</w:t>
      </w:r>
    </w:p>
    <w:p>
      <w:pPr>
        <w:spacing w:before="60" w:after="100"/>
        <w:jc w:val="center"/>
      </w:pPr>
      <w:r>
        <w:rPr>
          <w:rFonts w:ascii="Cambria Math" w:hAnsi="Cambria Math" w:eastAsia="Cambria Math"/>
          <w:sz w:val="22"/>
        </w:rPr>
        <w:t>Cert_E=(δ_E²=0, well-defined Π_E, representative independence, naturality, mixed compatibility).     (10.18)</w:t>
      </w:r>
    </w:p>
    <w:p>
      <w:pPr>
        <w:spacing w:after="80" w:line="259" w:lineRule="auto"/>
      </w:pPr>
      <w:r>
        <w:rPr>
          <w:rFonts w:ascii="Liberation Serif" w:hAnsi="Liberation Serif" w:eastAsia="Liberation Serif"/>
          <w:b/>
          <w:sz w:val="22"/>
        </w:rPr>
        <w:t>Граница 10.29.</w:t>
      </w:r>
      <w:r>
        <w:rPr>
          <w:rFonts w:ascii="Liberation Serif" w:hAnsi="Liberation Serif" w:eastAsia="Liberation Serif"/>
          <w:sz w:val="22"/>
        </w:rPr>
        <w:t>[OPEN] Исчезновение Ω_int не доказывает существование Π_E. Исчезновение Ω_E не доказывает, что внутреннее препятствие представляется внешним классом. Mixed compatibility является отдельным обязательством T2-PO-078.</w:t>
      </w:r>
    </w:p>
    <w:p>
      <w:pPr>
        <w:pStyle w:val="Heading1"/>
        <w:pageBreakBefore w:val="0"/>
        <w:spacing w:before="200" w:after="100"/>
        <w:keepNext/>
      </w:pPr>
      <w:r>
        <w:t>76. Hodge-слой: кодифференциал и лапласиан без подмены обозначений</w:t>
      </w:r>
    </w:p>
    <w:p>
      <w:pPr>
        <w:pStyle w:val="Heading2"/>
        <w:pageBreakBefore w:val="0"/>
        <w:spacing w:before="140" w:after="100"/>
        <w:keepNext/>
      </w:pPr>
      <w:r>
        <w:t>76.1. Условия существования</w:t>
      </w:r>
    </w:p>
    <w:p>
      <w:pPr>
        <w:spacing w:after="80" w:line="259" w:lineRule="auto"/>
      </w:pPr>
      <w:r>
        <w:rPr>
          <w:rFonts w:ascii="Liberation Serif" w:hAnsi="Liberation Serif" w:eastAsia="Liberation Serif"/>
          <w:b/>
          <w:sz w:val="22"/>
        </w:rPr>
        <w:t>Определение 10.30. Hodge sector.</w:t>
      </w:r>
      <w:r>
        <w:rPr>
          <w:rFonts w:ascii="Liberation Serif" w:hAnsi="Liberation Serif" w:eastAsia="Liberation Serif"/>
          <w:sz w:val="22"/>
        </w:rPr>
        <w:t>[CL/COND] Пусть U является ориентированным n-мерным гладким сектором с невырожденной метрикой g и допустимой мерой. Тогда</w:t>
      </w:r>
    </w:p>
    <w:p>
      <w:pPr>
        <w:spacing w:before="60" w:after="100"/>
        <w:jc w:val="center"/>
      </w:pPr>
      <w:r>
        <w:rPr>
          <w:rFonts w:ascii="Cambria Math" w:hAnsi="Cambria Math" w:eastAsia="Cambria Math"/>
          <w:sz w:val="22"/>
        </w:rPr>
        <w:t>⋆_Hdg : Ω^p(U) → Ω^{n-p}(U).                                             (10.19)</w:t>
      </w:r>
    </w:p>
    <w:p>
      <w:pPr>
        <w:spacing w:before="0" w:after="100" w:line="259" w:lineRule="auto"/>
      </w:pPr>
      <w:r>
        <w:rPr>
          <w:rFonts w:ascii="Liberation Serif" w:hAnsi="Liberation Serif" w:eastAsia="Liberation Serif"/>
          <w:b w:val="0"/>
          <w:sz w:val="22"/>
        </w:rPr>
        <w:t>Для псевдоримановой сигнатуры знак квадрата ⋆ зависит от p,n и индекса метрики. Любая формула должна фиксировать convention.</w:t>
      </w:r>
    </w:p>
    <w:p>
      <w:pPr>
        <w:spacing w:after="80" w:line="259" w:lineRule="auto"/>
      </w:pPr>
      <w:r>
        <w:rPr>
          <w:rFonts w:ascii="Liberation Serif" w:hAnsi="Liberation Serif" w:eastAsia="Liberation Serif"/>
          <w:b/>
          <w:sz w:val="22"/>
        </w:rPr>
        <w:t>Определение 10.31. Codifferential.</w:t>
      </w:r>
      <w:r>
        <w:rPr>
          <w:rFonts w:ascii="Liberation Serif" w:hAnsi="Liberation Serif" w:eastAsia="Liberation Serif"/>
          <w:sz w:val="22"/>
        </w:rPr>
        <w:t>[CL/COND] В выбранной римановой convention на p-формах</w:t>
      </w:r>
    </w:p>
    <w:p>
      <w:pPr>
        <w:spacing w:before="60" w:after="100"/>
        <w:jc w:val="center"/>
      </w:pPr>
      <w:r>
        <w:rPr>
          <w:rFonts w:ascii="Cambria Math" w:hAnsi="Cambria Math" w:eastAsia="Cambria Math"/>
          <w:sz w:val="22"/>
        </w:rPr>
        <w:t>δ_Hdg = (-1)^{n(p+1)+1} ⋆_Hdg d_N ⋆_Hdg.                               (10.20)</w:t>
      </w:r>
    </w:p>
    <w:p>
      <w:pPr>
        <w:spacing w:after="80" w:line="259" w:lineRule="auto"/>
      </w:pPr>
      <w:r>
        <w:rPr>
          <w:rFonts w:ascii="Liberation Serif" w:hAnsi="Liberation Serif" w:eastAsia="Liberation Serif"/>
          <w:b/>
          <w:sz w:val="22"/>
        </w:rPr>
        <w:t>Определение 10.32. Hodge Laplacian.</w:t>
      </w:r>
      <w:r>
        <w:rPr>
          <w:rFonts w:ascii="Liberation Serif" w:hAnsi="Liberation Serif" w:eastAsia="Liberation Serif"/>
          <w:sz w:val="22"/>
        </w:rPr>
        <w:t>[CL/COND]</w:t>
      </w:r>
    </w:p>
    <w:p>
      <w:pPr>
        <w:spacing w:before="60" w:after="100"/>
        <w:jc w:val="center"/>
      </w:pPr>
      <w:r>
        <w:rPr>
          <w:rFonts w:ascii="Cambria Math" w:hAnsi="Cambria Math" w:eastAsia="Cambria Math"/>
          <w:sz w:val="22"/>
        </w:rPr>
        <w:t>Δ_Hdg = d_N δ_Hdg + δ_Hdg d_N.                                          (10.21)</w:t>
      </w:r>
    </w:p>
    <w:p>
      <w:pPr>
        <w:spacing w:after="80" w:line="259" w:lineRule="auto"/>
      </w:pPr>
      <w:r>
        <w:rPr>
          <w:rFonts w:ascii="Liberation Serif" w:hAnsi="Liberation Serif" w:eastAsia="Liberation Serif"/>
          <w:b/>
          <w:sz w:val="22"/>
        </w:rPr>
        <w:t>Теорема 10.33.</w:t>
      </w:r>
      <w:r>
        <w:rPr>
          <w:rFonts w:ascii="Liberation Serif" w:hAnsi="Liberation Serif" w:eastAsia="Liberation Serif"/>
          <w:sz w:val="22"/>
        </w:rPr>
        <w:t>[THM] Если d_N²=0 и ⋆_Hdg является корректным изоморфизмом указанного сектора, то δ_Hdg²=0. Если d_N²≠0, nilpotency δ_Hdg не следует.</w:t>
      </w:r>
    </w:p>
    <w:p>
      <w:pPr>
        <w:spacing w:after="80" w:line="259" w:lineRule="auto"/>
      </w:pPr>
      <w:r>
        <w:rPr>
          <w:rFonts w:ascii="Liberation Serif" w:hAnsi="Liberation Serif" w:eastAsia="Liberation Serif"/>
          <w:b/>
          <w:sz w:val="22"/>
        </w:rPr>
        <w:t>Граница 10.34. Hodge decomposition.</w:t>
      </w:r>
      <w:r>
        <w:rPr>
          <w:rFonts w:ascii="Liberation Serif" w:hAnsi="Liberation Serif" w:eastAsia="Liberation Serif"/>
          <w:sz w:val="22"/>
        </w:rPr>
        <w:t>[COND] Разложение на exact, coexact и harmonic части требует эллиптичности, подходящих граничных условий, полноты функционального пространства и обычно компактности либо Fredholm-гипотез. В стратифицированной NAPG оно не объявляется без отдельного аналитического пакета F.</w:t>
      </w:r>
    </w:p>
    <w:p>
      <w:pPr>
        <w:pStyle w:val="Heading2"/>
        <w:pageBreakBefore w:val="0"/>
        <w:spacing w:before="140" w:after="100"/>
        <w:keepNext/>
      </w:pPr>
      <w:r>
        <w:t>76.2. Hodge compatibility defects</w:t>
      </w:r>
    </w:p>
    <w:p>
      <w:pPr>
        <w:spacing w:after="80" w:line="259" w:lineRule="auto"/>
      </w:pPr>
      <w:r>
        <w:rPr>
          <w:rFonts w:ascii="Liberation Serif" w:hAnsi="Liberation Serif" w:eastAsia="Liberation Serif"/>
          <w:b/>
          <w:sz w:val="22"/>
        </w:rPr>
        <w:t>Определение 10.35. Hodge transport defect.</w:t>
      </w:r>
      <w:r>
        <w:rPr>
          <w:rFonts w:ascii="Liberation Serif" w:hAnsi="Liberation Serif" w:eastAsia="Liberation Serif"/>
          <w:sz w:val="22"/>
        </w:rPr>
        <w:t>[DEF-A] Для перехода g_ij между картами</w:t>
      </w:r>
    </w:p>
    <w:p>
      <w:pPr>
        <w:spacing w:before="60" w:after="100"/>
        <w:jc w:val="center"/>
      </w:pPr>
      <w:r>
        <w:rPr>
          <w:rFonts w:ascii="Cambria Math" w:hAnsi="Cambria Math" w:eastAsia="Cambria Math"/>
          <w:sz w:val="22"/>
        </w:rPr>
        <w:t>H_ij = g_ij ⋆_j - ⋆_i g_ij.                                              (10.22)</w:t>
      </w:r>
    </w:p>
    <w:p>
      <w:pPr>
        <w:spacing w:after="80" w:line="259" w:lineRule="auto"/>
      </w:pPr>
      <w:r>
        <w:rPr>
          <w:rFonts w:ascii="Liberation Serif" w:hAnsi="Liberation Serif" w:eastAsia="Liberation Serif"/>
          <w:b/>
          <w:sz w:val="22"/>
        </w:rPr>
        <w:t>Определение 10.36. Formal-adjoint defect.</w:t>
      </w:r>
      <w:r>
        <w:rPr>
          <w:rFonts w:ascii="Liberation Serif" w:hAnsi="Liberation Serif" w:eastAsia="Liberation Serif"/>
          <w:sz w:val="22"/>
        </w:rPr>
        <w:t>[DEF-A] Если внутреннее произведение задано, положим</w:t>
      </w:r>
    </w:p>
    <w:p>
      <w:pPr>
        <w:spacing w:before="60" w:after="100"/>
        <w:jc w:val="center"/>
      </w:pPr>
      <w:r>
        <w:rPr>
          <w:rFonts w:ascii="Cambria Math" w:hAnsi="Cambria Math" w:eastAsia="Cambria Math"/>
          <w:sz w:val="22"/>
        </w:rPr>
        <w:t>A_Hdg = δ_Hdg - d_N^*.                                                   (10.23)</w:t>
      </w:r>
    </w:p>
    <w:p>
      <w:pPr>
        <w:spacing w:before="0" w:after="100" w:line="259" w:lineRule="auto"/>
      </w:pPr>
      <w:r>
        <w:rPr>
          <w:rFonts w:ascii="Liberation Serif" w:hAnsi="Liberation Serif" w:eastAsia="Liberation Serif"/>
          <w:b w:val="0"/>
          <w:sz w:val="22"/>
        </w:rPr>
        <w:t>Только при H_ij=0, A_Hdg=0 и аналитических гипотезах Hodge-слой считается глобальным и совместимым.</w:t>
      </w:r>
    </w:p>
    <w:p>
      <w:pPr>
        <w:pStyle w:val="Heading1"/>
        <w:pageBreakBefore w:val="0"/>
        <w:spacing w:before="200" w:after="100"/>
        <w:keepNext/>
      </w:pPr>
      <w:r>
        <w:t>77. Differential Reper и λ-гармония</w:t>
      </w:r>
    </w:p>
    <w:p>
      <w:pPr>
        <w:spacing w:after="80" w:line="259" w:lineRule="auto"/>
      </w:pPr>
      <w:r>
        <w:rPr>
          <w:rFonts w:ascii="Liberation Serif" w:hAnsi="Liberation Serif" w:eastAsia="Liberation Serif"/>
          <w:b/>
          <w:sz w:val="22"/>
        </w:rPr>
        <w:t>Определение 10.37. Differential Reper.</w:t>
      </w:r>
      <w:r>
        <w:rPr>
          <w:rFonts w:ascii="Liberation Serif" w:hAnsi="Liberation Serif" w:eastAsia="Liberation Serif"/>
          <w:sz w:val="22"/>
        </w:rPr>
        <w:t>[DEF-A] Операторный объект получает четвёрку</w:t>
      </w:r>
    </w:p>
    <w:p>
      <w:pPr>
        <w:spacing w:before="60" w:after="100"/>
        <w:jc w:val="center"/>
      </w:pPr>
      <w:r>
        <w:rPr>
          <w:rFonts w:ascii="Cambria Math" w:hAnsi="Cambria Math" w:eastAsia="Cambria Math"/>
          <w:sz w:val="22"/>
        </w:rPr>
        <w:t>Rep_diff(d_N)=(R_d,I_d,U_d;D_d),                                       (10.24)</w:t>
      </w:r>
    </w:p>
    <w:p>
      <w:pPr>
        <w:spacing w:before="0" w:after="100" w:line="259" w:lineRule="auto"/>
      </w:pPr>
      <w:r>
        <w:rPr>
          <w:rFonts w:ascii="Liberation Serif" w:hAnsi="Liberation Serif" w:eastAsia="Liberation Serif"/>
          <w:b w:val="0"/>
          <w:sz w:val="22"/>
        </w:rPr>
        <w:t>где R_d содержит вычисленную матрицу/формулу оператора, I_d - invariant signature, U_d - допустимые расширения и модели, D_d - источники, Dom, convention и proof certificate.</w:t>
      </w:r>
    </w:p>
    <w:p>
      <w:pPr>
        <w:spacing w:after="80" w:line="259" w:lineRule="auto"/>
      </w:pPr>
      <w:r>
        <w:rPr>
          <w:rFonts w:ascii="Liberation Serif" w:hAnsi="Liberation Serif" w:eastAsia="Liberation Serif"/>
          <w:b/>
          <w:sz w:val="22"/>
        </w:rPr>
        <w:t>Определение 10.38. Differential defect vector.</w:t>
      </w:r>
      <w:r>
        <w:rPr>
          <w:rFonts w:ascii="Liberation Serif" w:hAnsi="Liberation Serif" w:eastAsia="Liberation Serif"/>
          <w:sz w:val="22"/>
        </w:rPr>
        <w:t>[DEF-A]</w:t>
      </w:r>
    </w:p>
    <w:p>
      <w:pPr>
        <w:spacing w:before="60" w:after="100"/>
        <w:jc w:val="center"/>
      </w:pPr>
      <w:r>
        <w:rPr>
          <w:rFonts w:ascii="Cambria Math" w:hAnsi="Cambria Math" w:eastAsia="Cambria Math"/>
          <w:sz w:val="22"/>
        </w:rPr>
        <w:t>Def_diff=(||L_d||,||Ω_d||,||K_glue||,||M_mix||,||H||,pole_λ,Block_Dom).     (10.25)</w:t>
      </w:r>
    </w:p>
    <w:p>
      <w:pPr>
        <w:spacing w:after="80" w:line="259" w:lineRule="auto"/>
      </w:pPr>
      <w:r>
        <w:rPr>
          <w:rFonts w:ascii="Liberation Serif" w:hAnsi="Liberation Serif" w:eastAsia="Liberation Serif"/>
          <w:b/>
          <w:sz w:val="22"/>
        </w:rPr>
        <w:t>Принцип 10.39. Harmonic insufficiency.</w:t>
      </w:r>
      <w:r>
        <w:rPr>
          <w:rFonts w:ascii="Liberation Serif" w:hAnsi="Liberation Serif" w:eastAsia="Liberation Serif"/>
          <w:sz w:val="22"/>
        </w:rPr>
        <w:t>[THM/PROTOCOL] Условие λ=-1 не влечёт L_d=0, d_N²=0, локальность, gluing или Hodge compatibility. Поэтому проектно-гармонический селектор применяется только после differential certificate.</w:t>
      </w:r>
    </w:p>
    <w:p>
      <w:pPr>
        <w:spacing w:after="80" w:line="259" w:lineRule="auto"/>
      </w:pPr>
      <w:r>
        <w:rPr>
          <w:rFonts w:ascii="Liberation Serif" w:hAnsi="Liberation Serif" w:eastAsia="Liberation Serif"/>
          <w:b/>
          <w:sz w:val="22"/>
        </w:rPr>
        <w:t>Определение 10.40. Relaxed differential candidate.</w:t>
      </w:r>
      <w:r>
        <w:rPr>
          <w:rFonts w:ascii="Liberation Serif" w:hAnsi="Liberation Serif" w:eastAsia="Liberation Serif"/>
          <w:sz w:val="22"/>
        </w:rPr>
        <w:t>[DEF-A] Для порогов τ,η</w:t>
      </w:r>
    </w:p>
    <w:p>
      <w:pPr>
        <w:spacing w:before="60" w:after="100"/>
        <w:jc w:val="center"/>
      </w:pPr>
      <w:r>
        <w:rPr>
          <w:rFonts w:ascii="Cambria Math" w:hAnsi="Cambria Math" w:eastAsia="Cambria Math"/>
          <w:sz w:val="22"/>
        </w:rPr>
        <w:t>C_diff(τ,η)={x: δ_truth(x)≤τ, ||Def_diff(x)||≤η, Valid(D)=1, Dom=1}.       (10.26)</w:t>
      </w:r>
    </w:p>
    <w:p>
      <w:pPr>
        <w:spacing w:before="0" w:after="100" w:line="259" w:lineRule="auto"/>
      </w:pPr>
      <w:r>
        <w:rPr>
          <w:rFonts w:ascii="Liberation Serif" w:hAnsi="Liberation Serif" w:eastAsia="Liberation Serif"/>
          <w:b w:val="0"/>
          <w:sz w:val="22"/>
        </w:rPr>
        <w:t>C_diff является множеством кандидатов на дальнейшую проверку. Оно не является множеством истин и не задаёт физическое событие.</w:t>
      </w:r>
    </w:p>
    <w:p>
      <w:pPr>
        <w:pStyle w:val="Heading1"/>
        <w:pageBreakBefore w:val="0"/>
        <w:spacing w:before="200" w:after="100"/>
        <w:keepNext/>
      </w:pPr>
      <w:r>
        <w:t>78. Дифференциальный переходный горизонт</w:t>
      </w:r>
    </w:p>
    <w:p>
      <w:pPr>
        <w:pStyle w:val="Heading2"/>
        <w:pageBreakBefore w:val="0"/>
        <w:spacing w:before="140" w:after="100"/>
        <w:keepNext/>
      </w:pPr>
      <w:r>
        <w:t>78.1. Аналитические семейства</w:t>
      </w:r>
    </w:p>
    <w:p>
      <w:pPr>
        <w:spacing w:after="80" w:line="259" w:lineRule="auto"/>
      </w:pPr>
      <w:r>
        <w:rPr>
          <w:rFonts w:ascii="Liberation Serif" w:hAnsi="Liberation Serif" w:eastAsia="Liberation Serif"/>
          <w:b/>
          <w:sz w:val="22"/>
        </w:rPr>
        <w:t>Определение 10.41. Finite differential signature.</w:t>
      </w:r>
      <w:r>
        <w:rPr>
          <w:rFonts w:ascii="Liberation Serif" w:hAnsi="Liberation Serif" w:eastAsia="Liberation Serif"/>
          <w:sz w:val="22"/>
        </w:rPr>
        <w:t>[DEF-A] Для конечномерного усечения степеней 0≤p≤m и параметра t положим</w:t>
      </w:r>
    </w:p>
    <w:p>
      <w:pPr>
        <w:spacing w:before="60" w:after="100"/>
        <w:jc w:val="center"/>
      </w:pPr>
      <w:r>
        <w:rPr>
          <w:rFonts w:ascii="Cambria Math" w:hAnsi="Cambria Math" w:eastAsia="Cambria Math"/>
          <w:sz w:val="22"/>
        </w:rPr>
        <w:t>Σ_diff(t)=(rank d_t^p, rank(d_t^{p+1}d_t^p), rank L_{d_t}, rank K_t, rank M_t, rank H_t, dim H_t^p when defined).     (10.27)</w:t>
      </w:r>
    </w:p>
    <w:p>
      <w:pPr>
        <w:spacing w:after="80" w:line="259" w:lineRule="auto"/>
      </w:pPr>
      <w:r>
        <w:rPr>
          <w:rFonts w:ascii="Liberation Serif" w:hAnsi="Liberation Serif" w:eastAsia="Liberation Serif"/>
          <w:b/>
          <w:sz w:val="22"/>
        </w:rPr>
        <w:t>Определение 10.42. Differential horizon.</w:t>
      </w:r>
      <w:r>
        <w:rPr>
          <w:rFonts w:ascii="Liberation Serif" w:hAnsi="Liberation Serif" w:eastAsia="Liberation Serif"/>
          <w:sz w:val="22"/>
        </w:rPr>
        <w:t>[DEF-A] Δ_diff является объединением: нулевых множеств выбранных максимальных minors; точек изменения Dom; полюсов λ; точек, где certificate precision недостаточна; и конфликтов gluing/Hodge/E-bridge.</w:t>
      </w:r>
    </w:p>
    <w:p>
      <w:pPr>
        <w:spacing w:before="60" w:after="100"/>
        <w:jc w:val="center"/>
      </w:pPr>
      <w:r>
        <w:rPr>
          <w:rFonts w:ascii="Cambria Math" w:hAnsi="Cambria Math" w:eastAsia="Cambria Math"/>
          <w:sz w:val="22"/>
        </w:rPr>
        <w:t>Δ_safe^{++} = Δ_safe^+ ∪ Δ_diff.                                        (10.28)</w:t>
      </w:r>
    </w:p>
    <w:p>
      <w:pPr>
        <w:spacing w:after="80" w:line="259" w:lineRule="auto"/>
      </w:pPr>
      <w:r>
        <w:rPr>
          <w:rFonts w:ascii="Liberation Serif" w:hAnsi="Liberation Serif" w:eastAsia="Liberation Serif"/>
          <w:b/>
          <w:sz w:val="22"/>
        </w:rPr>
        <w:t>Теорема 10.43. Rank constancy.</w:t>
      </w:r>
      <w:r>
        <w:rPr>
          <w:rFonts w:ascii="Liberation Serif" w:hAnsi="Liberation Serif" w:eastAsia="Liberation Serif"/>
          <w:sz w:val="22"/>
        </w:rPr>
        <w:t>[THM] Для аналитического конечномерного семейства на каждой связной компоненте I\Δ_diff ранги всех сертифицированных матриц постоянны. Если d_t²=0 и ранги d_t^{p-1},d_t^p постоянны, то</w:t>
      </w:r>
    </w:p>
    <w:p>
      <w:pPr>
        <w:spacing w:before="60" w:after="100"/>
        <w:jc w:val="center"/>
      </w:pPr>
      <w:r>
        <w:rPr>
          <w:rFonts w:ascii="Cambria Math" w:hAnsi="Cambria Math" w:eastAsia="Cambria Math"/>
          <w:sz w:val="22"/>
        </w:rPr>
        <w:t>dim H_t^p = dim Ω^p - rank d_t^p - rank d_t^{p-1}                       (10.29)</w:t>
      </w:r>
    </w:p>
    <w:p>
      <w:pPr>
        <w:spacing w:before="0" w:after="100" w:line="259" w:lineRule="auto"/>
      </w:pPr>
      <w:r>
        <w:rPr>
          <w:rFonts w:ascii="Liberation Serif" w:hAnsi="Liberation Serif" w:eastAsia="Liberation Serif"/>
          <w:b w:val="0"/>
          <w:sz w:val="22"/>
        </w:rPr>
        <w:t>также постоянно.</w:t>
      </w:r>
    </w:p>
    <w:p>
      <w:pPr>
        <w:spacing w:after="80" w:line="259" w:lineRule="auto"/>
      </w:pPr>
      <w:r>
        <w:rPr>
          <w:rFonts w:ascii="Liberation Serif" w:hAnsi="Liberation Serif" w:eastAsia="Liberation Serif"/>
          <w:b/>
          <w:sz w:val="22"/>
        </w:rPr>
        <w:t>Теорема 10.44. Differential negative prediction.</w:t>
      </w:r>
      <w:r>
        <w:rPr>
          <w:rFonts w:ascii="Liberation Serif" w:hAnsi="Liberation Serif" w:eastAsia="Liberation Serif"/>
          <w:sz w:val="22"/>
        </w:rPr>
        <w:t>[COND] Если полный certificate выполнен и параметрический путь не пересекает Δ_safe^{++}, то изменение сертифицированного differential-complex type, появление/исчезновение cohomology dimensions и смена zero/nonzero differential defects внутри модели невозможны.</w:t>
      </w:r>
    </w:p>
    <w:p>
      <w:pPr>
        <w:spacing w:after="80" w:line="259" w:lineRule="auto"/>
      </w:pPr>
      <w:r>
        <w:rPr>
          <w:rFonts w:ascii="Liberation Serif" w:hAnsi="Liberation Serif" w:eastAsia="Liberation Serif"/>
          <w:b/>
          <w:sz w:val="22"/>
        </w:rPr>
        <w:t>Следствие 10.45.</w:t>
      </w:r>
      <w:r>
        <w:rPr>
          <w:rFonts w:ascii="Liberation Serif" w:hAnsi="Liberation Serif" w:eastAsia="Liberation Serif"/>
          <w:sz w:val="22"/>
        </w:rPr>
        <w:t>[COND] Пересечение Δ_diff создаёт только candidate-transition. Оно не доказывает интегрируемую деформацию, глобальное событие или физическую реализацию.</w:t>
      </w:r>
    </w:p>
    <w:p>
      <w:pPr>
        <w:pStyle w:val="Heading1"/>
        <w:pageBreakBefore w:val="0"/>
        <w:spacing w:before="200" w:after="100"/>
        <w:keepNext/>
      </w:pPr>
      <w:r>
        <w:t>79. Разделяющие модели</w:t>
      </w:r>
    </w:p>
    <w:tbl>
      <w:tblPr>
        <w:tblW w:type="auto" w:w="0"/>
        <w:jc w:val="center"/>
        <w:tblLayout w:type="fixed"/>
        <w:tblLook w:firstColumn="1" w:firstRow="1" w:lastColumn="0" w:lastRow="0" w:noHBand="0" w:noVBand="1" w:val="04A0"/>
      </w:tblPr>
      <w:tblGrid>
        <w:gridCol w:w="1950"/>
        <w:gridCol w:w="1950"/>
        <w:gridCol w:w="1950"/>
        <w:gridCol w:w="1950"/>
        <w:gridCol w:w="1950"/>
      </w:tblGrid>
      <w:tr>
        <w:trPr>
          <w:tblHeader w:val="true"/>
        </w:trPr>
        <w:tc>
          <w:tcPr>
            <w:tcW w:type="dxa" w:w="2088"/>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Модель</w:t>
            </w:r>
          </w:p>
        </w:tc>
        <w:tc>
          <w:tcPr>
            <w:tcW w:type="dxa" w:w="108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L_d</w:t>
            </w:r>
          </w:p>
        </w:tc>
        <w:tc>
          <w:tcPr>
            <w:tcW w:type="dxa" w:w="1728"/>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d²</w:t>
            </w:r>
          </w:p>
        </w:tc>
        <w:tc>
          <w:tcPr>
            <w:tcW w:type="dxa" w:w="2088"/>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Глобальность</w:t>
            </w:r>
          </w:p>
        </w:tc>
        <w:tc>
          <w:tcPr>
            <w:tcW w:type="dxa" w:w="288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Вывод</w:t>
            </w:r>
          </w:p>
        </w:tc>
      </w:tr>
      <w:tr>
        <w:tc>
          <w:tcPr>
            <w:tcW w:type="dxa" w:w="2088"/>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de Rham на гладком секторе</w:t>
            </w:r>
          </w:p>
        </w:tc>
        <w:tc>
          <w:tcPr>
            <w:tcW w:type="dxa" w:w="108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0</w:t>
            </w:r>
          </w:p>
        </w:tc>
        <w:tc>
          <w:tcPr>
            <w:tcW w:type="dxa" w:w="1728"/>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0</w:t>
            </w:r>
          </w:p>
        </w:tc>
        <w:tc>
          <w:tcPr>
            <w:tcW w:type="dxa" w:w="2088"/>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при обычном atlas</w:t>
            </w:r>
          </w:p>
        </w:tc>
        <w:tc>
          <w:tcPr>
            <w:tcW w:type="dxa" w:w="288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complex</w:t>
            </w:r>
          </w:p>
        </w:tc>
      </w:tr>
      <w:tr>
        <w:tc>
          <w:tcPr>
            <w:tcW w:type="dxa" w:w="2088"/>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свободная graded algebra</w:t>
            </w:r>
          </w:p>
        </w:tc>
        <w:tc>
          <w:tcPr>
            <w:tcW w:type="dxa" w:w="108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0</w:t>
            </w:r>
          </w:p>
        </w:tc>
        <w:tc>
          <w:tcPr>
            <w:tcW w:type="dxa" w:w="1728"/>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≠0</w:t>
            </w:r>
          </w:p>
        </w:tc>
        <w:tc>
          <w:tcPr>
            <w:tcW w:type="dxa" w:w="2088"/>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алгебраическая</w:t>
            </w:r>
          </w:p>
        </w:tc>
        <w:tc>
          <w:tcPr>
            <w:tcW w:type="dxa" w:w="288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Leibniz не даёт nilpotency</w:t>
            </w:r>
          </w:p>
        </w:tc>
      </w:tr>
      <w:tr>
        <w:tc>
          <w:tcPr>
            <w:tcW w:type="dxa" w:w="2088"/>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covariant d_∇</w:t>
            </w:r>
          </w:p>
        </w:tc>
        <w:tc>
          <w:tcPr>
            <w:tcW w:type="dxa" w:w="108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0 по скалярам</w:t>
            </w:r>
          </w:p>
        </w:tc>
        <w:tc>
          <w:tcPr>
            <w:tcW w:type="dxa" w:w="1728"/>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R_∇∧</w:t>
            </w:r>
          </w:p>
        </w:tc>
        <w:tc>
          <w:tcPr>
            <w:tcW w:type="dxa" w:w="2088"/>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глобально при ∇</w:t>
            </w:r>
          </w:p>
        </w:tc>
        <w:tc>
          <w:tcPr>
            <w:tcW w:type="dxa" w:w="288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complex только в flat/invariant sector</w:t>
            </w:r>
          </w:p>
        </w:tc>
      </w:tr>
      <w:tr>
        <w:tc>
          <w:tcPr>
            <w:tcW w:type="dxa" w:w="2088"/>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локальные d_i с K_ij≠0</w:t>
            </w:r>
          </w:p>
        </w:tc>
        <w:tc>
          <w:tcPr>
            <w:tcW w:type="dxa" w:w="108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может быть 0</w:t>
            </w:r>
          </w:p>
        </w:tc>
        <w:tc>
          <w:tcPr>
            <w:tcW w:type="dxa" w:w="1728"/>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может быть 0</w:t>
            </w:r>
          </w:p>
        </w:tc>
        <w:tc>
          <w:tcPr>
            <w:tcW w:type="dxa" w:w="2088"/>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нет</w:t>
            </w:r>
          </w:p>
        </w:tc>
        <w:tc>
          <w:tcPr>
            <w:tcW w:type="dxa" w:w="288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local truth не глобализуется</w:t>
            </w:r>
          </w:p>
        </w:tc>
      </w:tr>
      <w:tr>
        <w:tc>
          <w:tcPr>
            <w:tcW w:type="dxa" w:w="2088"/>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total d_N+δ_E</w:t>
            </w:r>
          </w:p>
        </w:tc>
        <w:tc>
          <w:tcPr>
            <w:tcW w:type="dxa" w:w="108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зависит</w:t>
            </w:r>
          </w:p>
        </w:tc>
        <w:tc>
          <w:tcPr>
            <w:tcW w:type="dxa" w:w="1728"/>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Ω_int+Ω_E+M_mix</w:t>
            </w:r>
          </w:p>
        </w:tc>
        <w:tc>
          <w:tcPr>
            <w:tcW w:type="dxa" w:w="2088"/>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при bridge certificate</w:t>
            </w:r>
          </w:p>
        </w:tc>
        <w:tc>
          <w:tcPr>
            <w:tcW w:type="dxa" w:w="288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три независимых blockers</w:t>
            </w:r>
          </w:p>
        </w:tc>
      </w:tr>
    </w:tbl>
    <w:p>
      <w:pPr>
        <w:spacing w:after="20"/>
      </w:pPr>
    </w:p>
    <w:p>
      <w:pPr>
        <w:spacing w:after="80" w:line="259" w:lineRule="auto"/>
      </w:pPr>
      <w:r>
        <w:rPr>
          <w:rFonts w:ascii="Liberation Serif" w:hAnsi="Liberation Serif" w:eastAsia="Liberation Serif"/>
          <w:b/>
          <w:sz w:val="22"/>
        </w:rPr>
        <w:t>Контртеорема 10.46. Triple independence.</w:t>
      </w:r>
      <w:r>
        <w:rPr>
          <w:rFonts w:ascii="Liberation Serif" w:hAnsi="Liberation Serif" w:eastAsia="Liberation Serif"/>
          <w:sz w:val="22"/>
        </w:rPr>
        <w:t>[THM] На классе моделей 10.16-10.24 свойства graded Leibniz, nilpotency и globalizability логически независимы попарно. Следовательно, ни одно из них не может использоваться как суррогат двух остальных.</w:t>
      </w:r>
    </w:p>
    <w:p>
      <w:pPr>
        <w:pStyle w:val="Heading1"/>
        <w:pageBreakBefore w:val="0"/>
        <w:spacing w:before="200" w:after="100"/>
        <w:keepNext/>
      </w:pPr>
      <w:r>
        <w:t>80. Главная условная теорема v0.8</w:t>
      </w:r>
    </w:p>
    <w:p>
      <w:pPr>
        <w:spacing w:after="80" w:line="259" w:lineRule="auto"/>
      </w:pPr>
      <w:r>
        <w:rPr>
          <w:rFonts w:ascii="Liberation Serif" w:hAnsi="Liberation Serif" w:eastAsia="Liberation Serif"/>
          <w:b/>
          <w:sz w:val="22"/>
        </w:rPr>
        <w:t>Теорема 10.47. Differential-calculus-safe predictive theorem.</w:t>
      </w:r>
      <w:r>
        <w:rPr>
          <w:rFonts w:ascii="Liberation Serif" w:hAnsi="Liberation Serif" w:eastAsia="Liberation Serif"/>
          <w:sz w:val="22"/>
        </w:rPr>
        <w:t>[COND] Рассмотрим семейство (Ω_t^•,⊙_t,d_t,δ_{E,t},⋆_t,ρ_t,D_t) на интервале I. Предположим:</w:t>
      </w:r>
    </w:p>
    <w:p>
      <w:pPr>
        <w:pStyle w:val="ListBullet"/>
        <w:spacing w:after="40" w:line="252" w:lineRule="auto"/>
      </w:pPr>
      <w:r>
        <w:rPr>
          <w:rFonts w:ascii="Liberation Serif" w:hAnsi="Liberation Serif" w:eastAsia="Liberation Serif"/>
          <w:sz w:val="21"/>
        </w:rPr>
        <w:t>H1. Степени, носители, Dom/Cod и ограничения фиксированы и версионированы.</w:t>
      </w:r>
    </w:p>
    <w:p>
      <w:pPr>
        <w:pStyle w:val="ListBullet"/>
        <w:spacing w:after="40" w:line="252" w:lineRule="auto"/>
      </w:pPr>
      <w:r>
        <w:rPr>
          <w:rFonts w:ascii="Liberation Serif" w:hAnsi="Liberation Serif" w:eastAsia="Liberation Serif"/>
          <w:sz w:val="21"/>
        </w:rPr>
        <w:t>H2. ⊙_t degree-compatible, а Leibniz defect вычислен.</w:t>
      </w:r>
    </w:p>
    <w:p>
      <w:pPr>
        <w:pStyle w:val="ListBullet"/>
        <w:spacing w:after="40" w:line="252" w:lineRule="auto"/>
      </w:pPr>
      <w:r>
        <w:rPr>
          <w:rFonts w:ascii="Liberation Serif" w:hAnsi="Liberation Serif" w:eastAsia="Liberation Serif"/>
          <w:sz w:val="21"/>
        </w:rPr>
        <w:t>H3. d_t², δ_{E,t}² и mixed defect вычислены точной или сертифицированной интервальной арифметикой.</w:t>
      </w:r>
    </w:p>
    <w:p>
      <w:pPr>
        <w:pStyle w:val="ListBullet"/>
        <w:spacing w:after="40" w:line="252" w:lineRule="auto"/>
      </w:pPr>
      <w:r>
        <w:rPr>
          <w:rFonts w:ascii="Liberation Serif" w:hAnsi="Liberation Serif" w:eastAsia="Liberation Serif"/>
          <w:sz w:val="21"/>
        </w:rPr>
        <w:t>H4. Локальные операторы совместимы с restrictions и gluing maps.</w:t>
      </w:r>
    </w:p>
    <w:p>
      <w:pPr>
        <w:pStyle w:val="ListBullet"/>
        <w:spacing w:after="40" w:line="252" w:lineRule="auto"/>
      </w:pPr>
      <w:r>
        <w:rPr>
          <w:rFonts w:ascii="Liberation Serif" w:hAnsi="Liberation Serif" w:eastAsia="Liberation Serif"/>
          <w:sz w:val="21"/>
        </w:rPr>
        <w:t>H5. Hodge star существует только на заявленном метрическом секторе; его defects вычислены.</w:t>
      </w:r>
    </w:p>
    <w:p>
      <w:pPr>
        <w:pStyle w:val="ListBullet"/>
        <w:spacing w:after="40" w:line="252" w:lineRule="auto"/>
      </w:pPr>
      <w:r>
        <w:rPr>
          <w:rFonts w:ascii="Liberation Serif" w:hAnsi="Liberation Serif" w:eastAsia="Liberation Serif"/>
          <w:sz w:val="21"/>
        </w:rPr>
        <w:t>H6. Внешний Π_E используется только при закрытом Cert_E.</w:t>
      </w:r>
    </w:p>
    <w:p>
      <w:pPr>
        <w:pStyle w:val="ListBullet"/>
        <w:spacing w:after="40" w:line="252" w:lineRule="auto"/>
      </w:pPr>
      <w:r>
        <w:rPr>
          <w:rFonts w:ascii="Liberation Serif" w:hAnsi="Liberation Serif" w:eastAsia="Liberation Serif"/>
          <w:sz w:val="21"/>
        </w:rPr>
        <w:t>H7. Реперная λ-координата определена вне полюсов и не заменяет differential certificate.</w:t>
      </w:r>
    </w:p>
    <w:p>
      <w:pPr>
        <w:pStyle w:val="ListBullet"/>
        <w:spacing w:after="40" w:line="252" w:lineRule="auto"/>
      </w:pPr>
      <w:r>
        <w:rPr>
          <w:rFonts w:ascii="Liberation Serif" w:hAnsi="Liberation Serif" w:eastAsia="Liberation Serif"/>
          <w:sz w:val="21"/>
        </w:rPr>
        <w:t>H8. Finite truncation и rank minors достаточны для заявленного инварианта.</w:t>
      </w:r>
    </w:p>
    <w:p>
      <w:pPr>
        <w:pStyle w:val="ListBullet"/>
        <w:spacing w:after="40" w:line="252" w:lineRule="auto"/>
      </w:pPr>
      <w:r>
        <w:rPr>
          <w:rFonts w:ascii="Liberation Serif" w:hAnsi="Liberation Serif" w:eastAsia="Liberation Serif"/>
          <w:sz w:val="21"/>
        </w:rPr>
        <w:t>H9. Globalization, tangent и holonomy certificates v0.5-v0.7 действительны.</w:t>
      </w:r>
    </w:p>
    <w:p>
      <w:pPr>
        <w:pStyle w:val="ListBullet"/>
        <w:spacing w:after="40" w:line="252" w:lineRule="auto"/>
      </w:pPr>
      <w:r>
        <w:rPr>
          <w:rFonts w:ascii="Liberation Serif" w:hAnsi="Liberation Serif" w:eastAsia="Liberation Serif"/>
          <w:sz w:val="21"/>
        </w:rPr>
        <w:t>H10. Путь параметров не пересекает Δ_safe^{++}.</w:t>
      </w:r>
    </w:p>
    <w:p>
      <w:pPr>
        <w:spacing w:before="0" w:after="100" w:line="259" w:lineRule="auto"/>
      </w:pPr>
      <w:r>
        <w:rPr>
          <w:rFonts w:ascii="Liberation Serif" w:hAnsi="Liberation Serif" w:eastAsia="Liberation Serif"/>
          <w:b w:val="0"/>
          <w:sz w:val="22"/>
        </w:rPr>
        <w:t>Тогда finite differential signature Σ_diff локально постоянна; при d_t²=0 постоянны размеры сертифицированных cohomology groups; переход, требующий изменения этих инвариантов, исключён внутри данной компоненты.</w:t>
      </w:r>
    </w:p>
    <w:p>
      <w:pPr>
        <w:spacing w:after="80" w:line="259" w:lineRule="auto"/>
      </w:pPr>
      <w:r>
        <w:rPr>
          <w:rFonts w:ascii="Liberation Serif" w:hAnsi="Liberation Serif" w:eastAsia="Liberation Serif"/>
          <w:b/>
          <w:sz w:val="22"/>
        </w:rPr>
        <w:t>Королларий 10.48. Three-valued verdict.</w:t>
      </w:r>
      <w:r>
        <w:rPr>
          <w:rFonts w:ascii="Liberation Serif" w:hAnsi="Liberation Serif" w:eastAsia="Liberation Serif"/>
          <w:sz w:val="22"/>
        </w:rPr>
        <w:t>[THM/PROTOCOL] Полный непересекающий горизонт даёт NO-DIFFERENTIAL-TRANSITION-IN-MODEL; проверенное пересечение даёт CANDIDATE-TRANSITION; любой незакрытый blocker даёт ABSTAIN.</w:t>
      </w:r>
    </w:p>
    <w:p>
      <w:pPr>
        <w:spacing w:before="100" w:after="40"/>
        <w:jc w:val="center"/>
      </w:pPr>
      <w:r>
        <w:drawing>
          <wp:inline xmlns:a="http://schemas.openxmlformats.org/drawingml/2006/main" xmlns:pic="http://schemas.openxmlformats.org/drawingml/2006/picture">
            <wp:extent cx="6172200" cy="3549015"/>
            <wp:docPr id="26" name="Picture 26"/>
            <wp:cNvGraphicFramePr>
              <a:graphicFrameLocks noChangeAspect="1"/>
            </wp:cNvGraphicFramePr>
            <a:graphic>
              <a:graphicData uri="http://schemas.openxmlformats.org/drawingml/2006/picture">
                <pic:pic>
                  <pic:nvPicPr>
                    <pic:cNvPr id="0" name="fig22_diff_gate.png"/>
                    <pic:cNvPicPr/>
                  </pic:nvPicPr>
                  <pic:blipFill>
                    <a:blip r:embed="rId52"/>
                    <a:stretch>
                      <a:fillRect/>
                    </a:stretch>
                  </pic:blipFill>
                  <pic:spPr>
                    <a:xfrm>
                      <a:off x="0" y="0"/>
                      <a:ext cx="6172200" cy="3549015"/>
                    </a:xfrm>
                    <a:prstGeom prst="rect"/>
                  </pic:spPr>
                </pic:pic>
              </a:graphicData>
            </a:graphic>
          </wp:inline>
        </w:drawing>
      </w:r>
    </w:p>
    <w:p>
      <w:pPr>
        <w:pStyle w:val="Caption"/>
        <w:keepNext/>
        <w:spacing w:after="120"/>
        <w:jc w:val="center"/>
      </w:pPr>
      <w:r>
        <w:t>Рисунок 22. Blocker-safe шлюз дифференциального прогноза. Собственная схема Тома II.</w:t>
      </w:r>
    </w:p>
    <w:p>
      <w:pPr>
        <w:pStyle w:val="Heading1"/>
        <w:pageBreakBefore w:val="0"/>
        <w:spacing w:before="200" w:after="100"/>
        <w:keepNext/>
      </w:pPr>
      <w:r>
        <w:t>81. Вычислительный сертификат DIFF-NAPG v0.8</w:t>
      </w:r>
    </w:p>
    <w:tbl>
      <w:tblPr>
        <w:tblW w:type="auto" w:w="0"/>
        <w:jc w:val="center"/>
        <w:tblLayout w:type="fixed"/>
        <w:tblLook w:firstColumn="1" w:firstRow="1" w:lastColumn="0" w:lastRow="0" w:noHBand="0" w:noVBand="1" w:val="04A0"/>
      </w:tblPr>
      <w:tblGrid>
        <w:gridCol w:w="3251"/>
        <w:gridCol w:w="3251"/>
        <w:gridCol w:w="3251"/>
      </w:tblGrid>
      <w:tr>
        <w:trPr>
          <w:tblHeader w:val="true"/>
        </w:trPr>
        <w:tc>
          <w:tcPr>
            <w:tcW w:type="dxa" w:w="1152"/>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ID</w:t>
            </w:r>
          </w:p>
        </w:tc>
        <w:tc>
          <w:tcPr>
            <w:tcW w:type="dxa" w:w="5256"/>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Операция</w:t>
            </w:r>
          </w:p>
        </w:tc>
        <w:tc>
          <w:tcPr>
            <w:tcW w:type="dxa" w:w="3312"/>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Выход</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DIF-01</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Проверка степеней, Dom/Cod и partial products</w:t>
            </w:r>
          </w:p>
        </w:tc>
        <w:tc>
          <w:tcPr>
            <w:tcW w:type="dxa" w:w="331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typed manifest</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DIF-02</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Вычисление Leibniz defect L_d</w:t>
            </w:r>
          </w:p>
        </w:tc>
        <w:tc>
          <w:tcPr>
            <w:tcW w:type="dxa" w:w="331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derivation certificate</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DIF-03</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Вычисление d² по каждой степени</w:t>
            </w:r>
          </w:p>
        </w:tc>
        <w:tc>
          <w:tcPr>
            <w:tcW w:type="dxa" w:w="331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Ω_int matrices</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DIF-04</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Вычисление δ_E²</w:t>
            </w:r>
          </w:p>
        </w:tc>
        <w:tc>
          <w:tcPr>
            <w:tcW w:type="dxa" w:w="331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Ω_E matrices</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DIF-05</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Вычисление mixed commutator</w:t>
            </w:r>
          </w:p>
        </w:tc>
        <w:tc>
          <w:tcPr>
            <w:tcW w:type="dxa" w:w="331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M_mix</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DIF-06</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Restriction/locality tests</w:t>
            </w:r>
          </w:p>
        </w:tc>
        <w:tc>
          <w:tcPr>
            <w:tcW w:type="dxa" w:w="331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locality certificate</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DIF-07</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Gluing defect K_ij</w:t>
            </w:r>
          </w:p>
        </w:tc>
        <w:tc>
          <w:tcPr>
            <w:tcW w:type="dxa" w:w="331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descent certificate</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DIF-08</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Associator differential identity</w:t>
            </w:r>
          </w:p>
        </w:tc>
        <w:tc>
          <w:tcPr>
            <w:tcW w:type="dxa" w:w="331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Ass-d bridge</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DIF-09</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Hodge star, δ_Hdg, Δ_Hdg</w:t>
            </w:r>
          </w:p>
        </w:tc>
        <w:tc>
          <w:tcPr>
            <w:tcW w:type="dxa" w:w="331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Hodge package</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DIF-10</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Hodge/global defects</w:t>
            </w:r>
          </w:p>
        </w:tc>
        <w:tc>
          <w:tcPr>
            <w:tcW w:type="dxa" w:w="331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H_ij, A_Hdg</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DIF-11</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Rank minors and Δ_diff</w:t>
            </w:r>
          </w:p>
        </w:tc>
        <w:tc>
          <w:tcPr>
            <w:tcW w:type="dxa" w:w="331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transition horizon</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DIF-12</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Cohomology dimensions only if d²=0</w:t>
            </w:r>
          </w:p>
        </w:tc>
        <w:tc>
          <w:tcPr>
            <w:tcW w:type="dxa" w:w="331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H^p certificate</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DIF-13</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λ/D/Dom integration</w:t>
            </w:r>
          </w:p>
        </w:tc>
        <w:tc>
          <w:tcPr>
            <w:tcW w:type="dxa" w:w="331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Reper certificate</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DIF-14</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Final blocker-safe verdict</w:t>
            </w:r>
          </w:p>
        </w:tc>
        <w:tc>
          <w:tcPr>
            <w:tcW w:type="dxa" w:w="331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NO/CANDIDATE/ABSTAIN</w:t>
            </w:r>
          </w:p>
        </w:tc>
      </w:tr>
    </w:tbl>
    <w:p>
      <w:pPr>
        <w:spacing w:after="20"/>
      </w:pPr>
    </w:p>
    <w:p>
      <w:pPr>
        <w:pStyle w:val="Heading2"/>
        <w:pageBreakBefore w:val="0"/>
        <w:spacing w:before="140" w:after="100"/>
        <w:keepNext/>
      </w:pPr>
      <w:r>
        <w:t>81.1. Автоматические тесты</w:t>
      </w:r>
    </w:p>
    <w:p>
      <w:pPr>
        <w:pStyle w:val="ListBullet"/>
        <w:spacing w:after="40" w:line="252" w:lineRule="auto"/>
      </w:pPr>
      <w:r>
        <w:rPr>
          <w:rFonts w:ascii="Liberation Serif" w:hAnsi="Liberation Serif" w:eastAsia="Liberation Serif"/>
          <w:sz w:val="21"/>
        </w:rPr>
        <w:t>TEST-TYPE-01: все d^p имеют ожидаемые степени и compatible domains;</w:t>
      </w:r>
    </w:p>
    <w:p>
      <w:pPr>
        <w:pStyle w:val="ListBullet"/>
        <w:spacing w:after="40" w:line="252" w:lineRule="auto"/>
      </w:pPr>
      <w:r>
        <w:rPr>
          <w:rFonts w:ascii="Liberation Serif" w:hAnsi="Liberation Serif" w:eastAsia="Liberation Serif"/>
          <w:sz w:val="21"/>
        </w:rPr>
        <w:t>TEST-LEIB-02: L_d вычисляется на базисных парах и символически на generators;</w:t>
      </w:r>
    </w:p>
    <w:p>
      <w:pPr>
        <w:pStyle w:val="ListBullet"/>
        <w:spacing w:after="40" w:line="252" w:lineRule="auto"/>
      </w:pPr>
      <w:r>
        <w:rPr>
          <w:rFonts w:ascii="Liberation Serif" w:hAnsi="Liberation Serif" w:eastAsia="Liberation Serif"/>
          <w:sz w:val="21"/>
        </w:rPr>
        <w:t>TEST-SQUARE-03: d^{p+1}d^p сравнивается с нулём exact/interval method;</w:t>
      </w:r>
    </w:p>
    <w:p>
      <w:pPr>
        <w:pStyle w:val="ListBullet"/>
        <w:spacing w:after="40" w:line="252" w:lineRule="auto"/>
      </w:pPr>
      <w:r>
        <w:rPr>
          <w:rFonts w:ascii="Liberation Serif" w:hAnsi="Liberation Serif" w:eastAsia="Liberation Serif"/>
          <w:sz w:val="21"/>
        </w:rPr>
        <w:t>TEST-DER2-04: d² удовлетворяет even Leibniz identity;</w:t>
      </w:r>
    </w:p>
    <w:p>
      <w:pPr>
        <w:pStyle w:val="ListBullet"/>
        <w:spacing w:after="40" w:line="252" w:lineRule="auto"/>
      </w:pPr>
      <w:r>
        <w:rPr>
          <w:rFonts w:ascii="Liberation Serif" w:hAnsi="Liberation Serif" w:eastAsia="Liberation Serif"/>
          <w:sz w:val="21"/>
        </w:rPr>
        <w:t>TEST-ASS-05: формула (10.7) проверяется на basis triples;</w:t>
      </w:r>
    </w:p>
    <w:p>
      <w:pPr>
        <w:pStyle w:val="ListBullet"/>
        <w:spacing w:after="40" w:line="252" w:lineRule="auto"/>
      </w:pPr>
      <w:r>
        <w:rPr>
          <w:rFonts w:ascii="Liberation Serif" w:hAnsi="Liberation Serif" w:eastAsia="Liberation Serif"/>
          <w:sz w:val="21"/>
        </w:rPr>
        <w:t>TEST-LOCAL-06: restriction square коммутирует;</w:t>
      </w:r>
    </w:p>
    <w:p>
      <w:pPr>
        <w:pStyle w:val="ListBullet"/>
        <w:spacing w:after="40" w:line="252" w:lineRule="auto"/>
      </w:pPr>
      <w:r>
        <w:rPr>
          <w:rFonts w:ascii="Liberation Serif" w:hAnsi="Liberation Serif" w:eastAsia="Liberation Serif"/>
          <w:sz w:val="21"/>
        </w:rPr>
        <w:t>TEST-GLUE-07: K_ij=0 на всех перекрытиях;</w:t>
      </w:r>
    </w:p>
    <w:p>
      <w:pPr>
        <w:pStyle w:val="ListBullet"/>
        <w:spacing w:after="40" w:line="252" w:lineRule="auto"/>
      </w:pPr>
      <w:r>
        <w:rPr>
          <w:rFonts w:ascii="Liberation Serif" w:hAnsi="Liberation Serif" w:eastAsia="Liberation Serif"/>
          <w:sz w:val="21"/>
        </w:rPr>
        <w:t>TEST-TOTAL-08: формула (10.17) совпадает с прямым D_tot²;</w:t>
      </w:r>
    </w:p>
    <w:p>
      <w:pPr>
        <w:pStyle w:val="ListBullet"/>
        <w:spacing w:after="40" w:line="252" w:lineRule="auto"/>
      </w:pPr>
      <w:r>
        <w:rPr>
          <w:rFonts w:ascii="Liberation Serif" w:hAnsi="Liberation Serif" w:eastAsia="Liberation Serif"/>
          <w:sz w:val="21"/>
        </w:rPr>
        <w:t>TEST-HODGE-09: star degree/sign convention зафиксирована;</w:t>
      </w:r>
    </w:p>
    <w:p>
      <w:pPr>
        <w:pStyle w:val="ListBullet"/>
        <w:spacing w:after="40" w:line="252" w:lineRule="auto"/>
      </w:pPr>
      <w:r>
        <w:rPr>
          <w:rFonts w:ascii="Liberation Serif" w:hAnsi="Liberation Serif" w:eastAsia="Liberation Serif"/>
          <w:sz w:val="21"/>
        </w:rPr>
        <w:t>TEST-CODIFF-10: δ_Hdg² проверяется, а не предполагается;</w:t>
      </w:r>
    </w:p>
    <w:p>
      <w:pPr>
        <w:pStyle w:val="ListBullet"/>
        <w:spacing w:after="40" w:line="252" w:lineRule="auto"/>
      </w:pPr>
      <w:r>
        <w:rPr>
          <w:rFonts w:ascii="Liberation Serif" w:hAnsi="Liberation Serif" w:eastAsia="Liberation Serif"/>
          <w:sz w:val="21"/>
        </w:rPr>
        <w:t>TEST-RANK-11: minors Δ_diff сертифицированы;</w:t>
      </w:r>
    </w:p>
    <w:p>
      <w:pPr>
        <w:pStyle w:val="ListBullet"/>
        <w:spacing w:after="40" w:line="252" w:lineRule="auto"/>
      </w:pPr>
      <w:r>
        <w:rPr>
          <w:rFonts w:ascii="Liberation Serif" w:hAnsi="Liberation Serif" w:eastAsia="Liberation Serif"/>
          <w:sz w:val="21"/>
        </w:rPr>
        <w:t>TEST-COH-12: H^p вычисляется только после d²=0;</w:t>
      </w:r>
    </w:p>
    <w:p>
      <w:pPr>
        <w:pStyle w:val="ListBullet"/>
        <w:spacing w:after="40" w:line="252" w:lineRule="auto"/>
      </w:pPr>
      <w:r>
        <w:rPr>
          <w:rFonts w:ascii="Liberation Serif" w:hAnsi="Liberation Serif" w:eastAsia="Liberation Serif"/>
          <w:sz w:val="21"/>
        </w:rPr>
        <w:t>TEST-GATE-13: любой blocker возвращает ABSTAIN;</w:t>
      </w:r>
    </w:p>
    <w:p>
      <w:pPr>
        <w:pStyle w:val="ListBullet"/>
        <w:spacing w:after="40" w:line="252" w:lineRule="auto"/>
      </w:pPr>
      <w:r>
        <w:rPr>
          <w:rFonts w:ascii="Liberation Serif" w:hAnsi="Liberation Serif" w:eastAsia="Liberation Serif"/>
          <w:sz w:val="21"/>
        </w:rPr>
        <w:t>TEST-HASH-14: данные, conventions и proof objects хешированы.</w:t>
      </w:r>
    </w:p>
    <w:p>
      <w:pPr>
        <w:pStyle w:val="Heading2"/>
        <w:pageBreakBefore w:val="0"/>
        <w:spacing w:before="140" w:after="100"/>
        <w:keepNext/>
      </w:pPr>
      <w:r>
        <w:t>81.2. Псевдокод</w:t>
      </w:r>
    </w:p>
    <w:p>
      <w:pPr>
        <w:spacing w:before="80" w:after="140"/>
        <w:ind w:left="360" w:right="288"/>
      </w:pPr>
      <w:r>
        <w:rPr>
          <w:rFonts w:ascii="Liberation Mono" w:hAnsi="Liberation Mono" w:eastAsia="Liberation Mono"/>
          <w:sz w:val="18"/>
        </w:rPr>
        <w:t>INPUT family F_t=(Omega, product, d_N, delta_E, Hodge, reper, D)</w:t>
        <w:br/>
        <w:t>CHECK degrees, domains, restrictions, conventions</w:t>
        <w:br/>
        <w:t>COMPUTE L_d, d_N^2, delta_E^2, mixed defect</w:t>
        <w:br/>
        <w:t>CHECK local-to-global gluing and Hodge compatibility</w:t>
        <w:br/>
        <w:t>IF any required object is undefined: RETURN ABSTAIN</w:t>
        <w:br/>
        <w:t>IF d_N^2=0: COMPUTE cohomology certificate</w:t>
        <w:br/>
        <w:t>ELSE: STORE precomplex defect; DO NOT create H^p</w:t>
        <w:br/>
        <w:t>BUILD Delta_diff from rank minors, domains, poles, bridge conflicts</w:t>
        <w:br/>
        <w:t>IF full certificate and path avoids Delta_safe++:</w:t>
        <w:br/>
        <w:t xml:space="preserve">    RETURN NO_DIFFERENTIAL_TRANSITION_IN_MODEL</w:t>
        <w:br/>
        <w:t>IF verified horizon crossing:</w:t>
        <w:br/>
        <w:t xml:space="preserve">    RETURN CANDIDATE_TRANSITION</w:t>
        <w:br/>
        <w:t>RETURN ABSTAIN</w:t>
      </w:r>
    </w:p>
    <w:p>
      <w:pPr>
        <w:pStyle w:val="Heading1"/>
        <w:pageBreakBefore w:val="0"/>
        <w:spacing w:before="200" w:after="100"/>
        <w:keepNext/>
      </w:pPr>
      <w:r>
        <w:t>82. Доказательные обязательства, источники и контрольная точка v0.8</w:t>
      </w:r>
    </w:p>
    <w:p>
      <w:pPr>
        <w:pStyle w:val="Heading2"/>
        <w:pageBreakBefore w:val="0"/>
        <w:spacing w:before="140" w:after="100"/>
        <w:keepNext/>
      </w:pPr>
      <w:r>
        <w:t>82.1. Новые доказательные обязательства</w:t>
      </w: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trPr>
        <w:tc>
          <w:tcPr>
            <w:tcW w:type="dxa" w:w="144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PO</w:t>
            </w:r>
          </w:p>
        </w:tc>
        <w:tc>
          <w:tcPr>
            <w:tcW w:type="dxa" w:w="5256"/>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Содержание</w:t>
            </w:r>
          </w:p>
        </w:tc>
        <w:tc>
          <w:tcPr>
            <w:tcW w:type="dxa" w:w="144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Статус</w:t>
            </w:r>
          </w:p>
        </w:tc>
        <w:tc>
          <w:tcPr>
            <w:tcW w:type="dxa" w:w="180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Вердикт v0.8</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T2-PO-070</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Типизированный пучок Ω_N^• и partial product</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DEF-A</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определено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T2-PO-071</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Leibniz defect и graded derivation package</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закрыто</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T2-PO-072</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Замкнутость derivations и d² как even derivation</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закрыто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T2-PO-073</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Associator differential identity</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закрыто</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T2-PO-074</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No-go: Leibniz не влечёт d²=0</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закрыто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T2-PO-075</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Sheaf-locality и support property</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закрыто в sheaf sector</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T2-PO-076</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Gluing theorem для локальных d_i</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закрыто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T2-PO-077</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Čech obstruction class из K_ij</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COND</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OPEN coefficient sheaf</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T2-PO-078</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Mixed internal/E compatibility</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OPEN</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не закрыто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T2-PO-079</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Cert_E и Π_E well-definedness</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OPEN</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не закрыто</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T2-PO-080</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Hodge codifferential и sign convention</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COND</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локально закрыто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T2-PO-081</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Hodge decomposition на стратах</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OPEN</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аналитические blockers</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T2-PO-082</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Differential Reper certificate</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DEF-A/COMP</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специфицировано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T2-PO-083</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Rank constancy и Δ_diff</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закрыто finite analytic sector</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T2-PO-084</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Differential-safe predictive theorem</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COND</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сформулировано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T2-PO-085</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Banach/Hilbert extension</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OPEN</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не построено</w:t>
            </w:r>
          </w:p>
        </w:tc>
      </w:tr>
      <w:tr>
        <w:trPr>
          <w:cantSplit/>
        </w:trPr>
        <w:tc>
          <w:tcPr>
            <w:tcW w:type="dxa" w:w="1440"/>
            <w:tcMar>
              <w:top w:w="85" w:type="dxa"/>
              <w:start w:w="90" w:type="dxa"/>
              <w:bottom w:w="85" w:type="dxa"/>
              <w:end w:w="90" w:type="dxa"/>
            </w:tcMar>
            <w:vAlign w:val="center"/>
            <w:shd w:fill="F4F7FA"/>
          </w:tcPr>
          <w:p>
            <w:pPr>
              <w:spacing w:after="0" w:line="228" w:lineRule="auto"/>
              <w:jc w:val="center"/>
            </w:pPr>
            <w:r>
              <w:rPr>
                <w:rFonts w:ascii="Liberation Serif" w:hAnsi="Liberation Serif" w:eastAsia="Liberation Serif"/>
                <w:sz w:val="16"/>
              </w:rPr>
              <w:t>T2-PO-086</w:t>
            </w:r>
          </w:p>
        </w:tc>
        <w:tc>
          <w:tcPr>
            <w:tcW w:type="dxa" w:w="5256"/>
            <w:tcMar>
              <w:top w:w="85" w:type="dxa"/>
              <w:start w:w="90" w:type="dxa"/>
              <w:bottom w:w="85" w:type="dxa"/>
              <w:end w:w="90" w:type="dxa"/>
            </w:tcMar>
            <w:vAlign w:val="center"/>
            <w:shd w:fill="F4F7FA"/>
          </w:tcPr>
          <w:p>
            <w:pPr>
              <w:spacing w:after="0" w:line="228" w:lineRule="auto"/>
            </w:pPr>
            <w:r>
              <w:rPr>
                <w:rFonts w:ascii="Liberation Serif" w:hAnsi="Liberation Serif" w:eastAsia="Liberation Serif"/>
                <w:sz w:val="16"/>
              </w:rPr>
              <w:t>Независимый запуск DIFF-NAPG</w:t>
            </w:r>
          </w:p>
        </w:tc>
        <w:tc>
          <w:tcPr>
            <w:tcW w:type="dxa" w:w="1440"/>
            <w:tcMar>
              <w:top w:w="85" w:type="dxa"/>
              <w:start w:w="90" w:type="dxa"/>
              <w:bottom w:w="85" w:type="dxa"/>
              <w:end w:w="90" w:type="dxa"/>
            </w:tcMar>
            <w:vAlign w:val="center"/>
            <w:shd w:fill="F4F7FA"/>
          </w:tcPr>
          <w:p>
            <w:pPr>
              <w:spacing w:after="0" w:line="228" w:lineRule="auto"/>
              <w:jc w:val="left"/>
            </w:pPr>
            <w:r>
              <w:rPr>
                <w:rFonts w:ascii="Liberation Serif" w:hAnsi="Liberation Serif" w:eastAsia="Liberation Serif"/>
                <w:sz w:val="16"/>
              </w:rPr>
              <w:t>OPEN</w:t>
            </w:r>
          </w:p>
        </w:tc>
        <w:tc>
          <w:tcPr>
            <w:tcW w:type="dxa" w:w="1800"/>
            <w:tcMar>
              <w:top w:w="85" w:type="dxa"/>
              <w:start w:w="90" w:type="dxa"/>
              <w:bottom w:w="85" w:type="dxa"/>
              <w:end w:w="90" w:type="dxa"/>
            </w:tcMar>
            <w:vAlign w:val="center"/>
            <w:shd w:fill="F4F7FA"/>
          </w:tcPr>
          <w:p>
            <w:pPr>
              <w:spacing w:after="0" w:line="228" w:lineRule="auto"/>
              <w:jc w:val="center"/>
            </w:pPr>
            <w:r>
              <w:rPr>
                <w:rFonts w:ascii="Liberation Serif" w:hAnsi="Liberation Serif" w:eastAsia="Liberation Serif"/>
                <w:sz w:val="16"/>
              </w:rPr>
              <w:t>не исполнен</w:t>
            </w:r>
          </w:p>
        </w:tc>
      </w:tr>
    </w:tbl>
    <w:p>
      <w:pPr>
        <w:spacing w:after="20"/>
      </w:pPr>
    </w:p>
    <w:p>
      <w:pPr>
        <w:pStyle w:val="Heading2"/>
        <w:pageBreakBefore w:val="0"/>
        <w:spacing w:before="140" w:after="100"/>
        <w:keepNext/>
      </w:pPr>
      <w:r>
        <w:t>82.2. Библиографическая синхронизация</w:t>
      </w:r>
    </w:p>
    <w:p>
      <w:pPr>
        <w:spacing w:before="0" w:after="40" w:line="240" w:lineRule="auto"/>
      </w:pPr>
      <w:r>
        <w:rPr>
          <w:rFonts w:ascii="Liberation Serif" w:hAnsi="Liberation Serif" w:eastAsia="Liberation Serif"/>
          <w:b w:val="0"/>
          <w:sz w:val="22"/>
        </w:rPr>
        <w:t>[V0.8-1] The Stacks Project. The de Rham complex, Tags 0FKF, 07HX. Определения универсальных дифференциалов и комплекса.</w:t>
      </w:r>
    </w:p>
    <w:p>
      <w:pPr>
        <w:spacing w:before="0" w:after="40" w:line="240" w:lineRule="auto"/>
      </w:pPr>
      <w:r>
        <w:rPr>
          <w:rFonts w:ascii="Liberation Serif" w:hAnsi="Liberation Serif" w:eastAsia="Liberation Serif"/>
          <w:b w:val="0"/>
          <w:sz w:val="22"/>
        </w:rPr>
        <w:t>[V0.8-2] Cuntz, J.; Quillen, D. Algebra Extensions and Nonsingularity. Journal of the AMS 8 (1995), 251-289. DOI 10.1090/S0894-0347-1995-1303029-0.</w:t>
      </w:r>
    </w:p>
    <w:p>
      <w:pPr>
        <w:spacing w:before="0" w:after="40" w:line="240" w:lineRule="auto"/>
      </w:pPr>
      <w:r>
        <w:rPr>
          <w:rFonts w:ascii="Liberation Serif" w:hAnsi="Liberation Serif" w:eastAsia="Liberation Serif"/>
          <w:b w:val="0"/>
          <w:sz w:val="22"/>
        </w:rPr>
        <w:t>[V0.8-3] Dubois-Violette, M.; Kerner, R.; Madore, J. Non-commutative differential geometry of matrix algebras. Journal of Mathematical Physics 31 (1990), 316-322.</w:t>
      </w:r>
    </w:p>
    <w:p>
      <w:pPr>
        <w:spacing w:before="0" w:after="40" w:line="240" w:lineRule="auto"/>
      </w:pPr>
      <w:r>
        <w:rPr>
          <w:rFonts w:ascii="Liberation Serif" w:hAnsi="Liberation Serif" w:eastAsia="Liberation Serif"/>
          <w:b w:val="0"/>
          <w:sz w:val="22"/>
        </w:rPr>
        <w:t>[V0.8-4] Quillen, D. Superconnections and the Chern character. Topology 24 (1985), 89-95. DOI 10.1016/0040-9383(85)90047-3.</w:t>
      </w:r>
    </w:p>
    <w:p>
      <w:pPr>
        <w:spacing w:before="0" w:after="40" w:line="240" w:lineRule="auto"/>
      </w:pPr>
      <w:r>
        <w:rPr>
          <w:rFonts w:ascii="Liberation Serif" w:hAnsi="Liberation Serif" w:eastAsia="Liberation Serif"/>
          <w:b w:val="0"/>
          <w:sz w:val="22"/>
        </w:rPr>
        <w:t>[V0.8-5] Dubois-Violette, M. Generalized differential spaces with d^N=0 and the q-differential calculus. Czech. Math. J. 46 (1996), 765-787. DOI 10.1007/BF01690337.</w:t>
      </w:r>
    </w:p>
    <w:p>
      <w:pPr>
        <w:spacing w:before="0" w:after="40" w:line="240" w:lineRule="auto"/>
      </w:pPr>
      <w:r>
        <w:rPr>
          <w:rFonts w:ascii="Liberation Serif" w:hAnsi="Liberation Serif" w:eastAsia="Liberation Serif"/>
          <w:b w:val="0"/>
          <w:sz w:val="22"/>
        </w:rPr>
        <w:t>[V0.8-6] Nijenhuis, A.; Richardson, R. W. Cohomology and deformations in graded Lie algebras. Bulletin AMS 72 (1966), 1-29.</w:t>
      </w:r>
    </w:p>
    <w:p>
      <w:pPr>
        <w:spacing w:before="0" w:after="40" w:line="240" w:lineRule="auto"/>
      </w:pPr>
      <w:r>
        <w:rPr>
          <w:rFonts w:ascii="Liberation Serif" w:hAnsi="Liberation Serif" w:eastAsia="Liberation Serif"/>
          <w:b w:val="0"/>
          <w:sz w:val="22"/>
        </w:rPr>
        <w:t>[V0.8-7] Hodge, W. V. D. The Theory and Applications of Harmonic Integrals. Cambridge University Press.</w:t>
      </w:r>
    </w:p>
    <w:p>
      <w:pPr>
        <w:spacing w:before="0" w:after="40" w:line="240" w:lineRule="auto"/>
      </w:pPr>
      <w:r>
        <w:rPr>
          <w:rFonts w:ascii="Liberation Serif" w:hAnsi="Liberation Serif" w:eastAsia="Liberation Serif"/>
          <w:b w:val="0"/>
          <w:sz w:val="22"/>
        </w:rPr>
        <w:t>[V0.8-8] Kurpishev, I. B. Том I v197 RU; Том II T2-RP-v0.1-v0.7; PILOT-01. Канонические внутренние источники проекта.</w:t>
      </w:r>
    </w:p>
    <w:p>
      <w:pPr>
        <w:pStyle w:val="Heading2"/>
        <w:pageBreakBefore w:val="0"/>
        <w:spacing w:before="140" w:after="100"/>
        <w:keepNext/>
      </w:pPr>
      <w:r>
        <w:t>82.3. Контрольная точка T2-RP-v0.8</w:t>
      </w:r>
    </w:p>
    <w:tbl>
      <w:tblPr>
        <w:tblW w:type="auto" w:w="0"/>
        <w:jc w:val="center"/>
        <w:tblLayout w:type="fixed"/>
        <w:tblLook w:firstColumn="1" w:firstRow="1" w:lastColumn="0" w:lastRow="0" w:noHBand="0" w:noVBand="1" w:val="04A0"/>
      </w:tblPr>
      <w:tblGrid>
        <w:gridCol w:w="4876"/>
        <w:gridCol w:w="4876"/>
      </w:tblGrid>
      <w:t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ДОКАЗАНО</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Типизированы внутренний d_N, внешний δ_E, Hodge-слой, Leibniz defect, differential curvature, gluing defect и mixed defect; доказаны associator identity, d²-derivation theorem и no-go для автоматической nilpotency.</w:t>
            </w:r>
          </w:p>
        </w:tc>
      </w:tr>
      <w:t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УСЛОВНО</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Total complex, Π_E, Hodge decomposition и differential-safe predictive theorem действуют только при перечисленных мостовых и аналитических гипотезах.</w:t>
            </w:r>
          </w:p>
        </w:tc>
      </w:tr>
      <w:t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ОТКРЫТО</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Coefficient sheaf для Čech obstruction, канонический внутренне-внешний bridge, Banach/Hilbert completion и независимый доменный запуск.</w:t>
            </w:r>
          </w:p>
        </w:tc>
      </w:tr>
      <w:tr>
        <w:tc>
          <w:tcPr>
            <w:tcW w:type="dxa" w:w="3528"/>
            <w:tcMar>
              <w:top w:w="100" w:type="dxa"/>
              <w:start w:w="110" w:type="dxa"/>
              <w:bottom w:w="100" w:type="dxa"/>
              <w:end w:w="110" w:type="dxa"/>
            </w:tcMar>
            <w:vAlign w:val="center"/>
            <w:shd w:fill="A87512"/>
          </w:tcPr>
          <w:p>
            <w:pPr>
              <w:jc w:val="center"/>
            </w:pPr>
            <w:r>
              <w:rPr>
                <w:rFonts w:ascii="Liberation Sans" w:hAnsi="Liberation Sans" w:eastAsia="Liberation Sans"/>
                <w:b/>
                <w:color w:val="FFFFFF"/>
                <w:sz w:val="20"/>
              </w:rPr>
              <w:t>ГРАНИЦА</w:t>
            </w:r>
          </w:p>
        </w:tc>
        <w:tc>
          <w:tcPr>
            <w:tcW w:type="dxa" w:w="6408"/>
            <w:tcMar>
              <w:top w:w="100" w:type="dxa"/>
              <w:start w:w="110" w:type="dxa"/>
              <w:bottom w:w="100" w:type="dxa"/>
              <w:end w:w="110" w:type="dxa"/>
            </w:tcMar>
            <w:vAlign w:val="center"/>
            <w:shd w:fill="F7EED9"/>
          </w:tcPr>
          <w:p>
            <w:pPr>
              <w:spacing w:after="0" w:line="252" w:lineRule="auto"/>
            </w:pPr>
            <w:r>
              <w:rPr>
                <w:rFonts w:ascii="Liberation Serif" w:hAnsi="Liberation Serif" w:eastAsia="Liberation Serif"/>
                <w:sz w:val="20"/>
              </w:rPr>
              <w:t>H^p не определяется для precomplex без d²=0; λ=-1 не устраняет differential defects; физический статус ПН.2 и F-1-F-14 не изменён.</w:t>
            </w:r>
          </w:p>
        </w:tc>
      </w:tr>
    </w:tbl>
    <w:p>
      <w:pPr>
        <w:spacing w:after="20"/>
      </w:pPr>
    </w:p>
    <w:p>
      <w:pPr>
        <w:spacing w:before="60" w:after="100"/>
        <w:jc w:val="center"/>
      </w:pPr>
      <w:r>
        <w:rPr>
          <w:rFonts w:ascii="Cambria Math" w:hAnsi="Cambria Math" w:eastAsia="Cambria Math"/>
          <w:sz w:val="22"/>
        </w:rPr>
        <w:t>truth_layer_promotion = 0,     checkpoint = T2-RP-v0.8,     next = T2-RP-v0.9.</w:t>
      </w:r>
    </w:p>
    <w:p>
      <w:pPr>
        <w:pStyle w:val="Lead"/>
        <w:spacing w:before="0" w:after="160" w:line="269" w:lineRule="auto"/>
      </w:pPr>
      <w:r>
        <w:rPr>
          <w:rFonts w:ascii="Liberation Serif" w:hAnsi="Liberation Serif" w:eastAsia="Liberation Serif"/>
          <w:b w:val="0"/>
          <w:sz w:val="26"/>
        </w:rPr>
        <w:t>Следующая сборка tom2_v0_9 развивает главу 11: внутренний минимальный комплекс C_min^•, δ_min, Θ_min, его функториальность, когомологические носители и строгий интерфейс к obstruction theory.</w:t>
      </w:r>
    </w:p>
    <w:p>
      <w:pPr>
        <w:pStyle w:val="Small"/>
        <w:spacing w:before="0" w:after="0" w:line="259" w:lineRule="auto"/>
        <w:jc w:val="center"/>
      </w:pPr>
      <w:r>
        <w:rPr>
          <w:rFonts w:ascii="Liberation Serif" w:hAnsi="Liberation Serif" w:eastAsia="Liberation Serif"/>
          <w:b w:val="0"/>
          <w:sz w:val="26"/>
        </w:rPr>
        <w:t>checkpoint=T2-RP-v0.8; source=T2-RP-v0.7; truth_layer_promotion=0; next=T2-RP-v0.9.</w:t>
      </w:r>
    </w:p>
    <w:p>
      <w:r>
        <w:br w:type="page"/>
      </w:r>
    </w:p>
    <w:p>
      <w:pPr>
        <w:pStyle w:val="Heading1"/>
        <w:keepNext/>
      </w:pPr>
      <w:r>
        <w:t>83. Глава 12. Внутренняя конструкция C_min^•, δ_min и Θ_min</w:t>
      </w:r>
    </w:p>
    <w:p>
      <w:pPr>
        <w:pStyle w:val="Lead"/>
      </w:pPr>
      <w:r>
        <w:t>Каноническое углубление запрошенного пакета T2-RP-v0.9</w:t>
      </w:r>
    </w:p>
    <w:tbl>
      <w:tblPr>
        <w:tblW w:type="auto" w:w="0"/>
        <w:jc w:val="center"/>
        <w:tblLayout w:type="fixed"/>
        <w:tblLook w:firstColumn="1" w:firstRow="1" w:lastColumn="0" w:lastRow="0" w:noHBand="0" w:noVBand="1" w:val="04A0"/>
      </w:tblPr>
      <w:tblGrid>
        <w:gridCol w:w="4876"/>
        <w:gridCol w:w="4876"/>
      </w:tblGrid>
      <w:tr>
        <w:tc>
          <w:tcPr>
            <w:tcW w:type="dxa" w:w="2835"/>
            <w:shd w:fill="1F4E79"/>
            <w:tcMar>
              <w:top w:w="110" w:type="dxa"/>
              <w:start w:w="130" w:type="dxa"/>
              <w:bottom w:w="110" w:type="dxa"/>
              <w:end w:w="130" w:type="dxa"/>
            </w:tcMar>
            <w:vAlign w:val="center"/>
          </w:tcPr>
          <w:p>
            <w:pPr>
              <w:jc w:val="center"/>
            </w:pPr>
            <w:r>
              <w:rPr>
                <w:rFonts w:ascii="Liberation Sans" w:hAnsi="Liberation Sans"/>
                <w:b/>
                <w:color w:val="FFFFFF"/>
                <w:sz w:val="20"/>
              </w:rPr>
              <w:t>ОНТОЛОГИЯ</w:t>
            </w:r>
          </w:p>
        </w:tc>
        <w:tc>
          <w:tcPr>
            <w:tcW w:type="dxa" w:w="6520"/>
            <w:shd w:fill="DCE6F1"/>
            <w:tcMar>
              <w:top w:w="110" w:type="dxa"/>
              <w:start w:w="130" w:type="dxa"/>
              <w:bottom w:w="110" w:type="dxa"/>
              <w:end w:w="130" w:type="dxa"/>
            </w:tcMar>
            <w:vAlign w:val="center"/>
          </w:tcPr>
          <w:p>
            <w:pPr>
              <w:jc w:val="left"/>
            </w:pPr>
            <w:r>
              <w:rPr>
                <w:rFonts w:ascii="Liberation Serif" w:hAnsi="Liberation Serif"/>
                <w:sz w:val="20"/>
              </w:rPr>
              <w:t>Минимальный комплекс существует как внутренняя форма различения между формальным выражением и его вычисленным квадратичным результатом. Его объектом является не физическое поле и не внешняя топология, а строго типизированная возможность снять вычисленный дефект разрешённым формальным прообразом.</w:t>
            </w:r>
          </w:p>
        </w:tc>
      </w:tr>
      <w:tr>
        <w:tc>
          <w:tcPr>
            <w:tcW w:type="dxa" w:w="2835"/>
            <w:shd w:fill="1F4E79"/>
            <w:tcMar>
              <w:top w:w="110" w:type="dxa"/>
              <w:start w:w="130" w:type="dxa"/>
              <w:bottom w:w="110" w:type="dxa"/>
              <w:end w:w="130" w:type="dxa"/>
            </w:tcMar>
            <w:vAlign w:val="center"/>
          </w:tcPr>
          <w:p>
            <w:pPr>
              <w:jc w:val="center"/>
            </w:pPr>
            <w:r>
              <w:rPr>
                <w:rFonts w:ascii="Liberation Sans" w:hAnsi="Liberation Sans"/>
                <w:b/>
                <w:color w:val="FFFFFF"/>
                <w:sz w:val="20"/>
              </w:rPr>
              <w:t>ГНОСЕОЛОГИЯ</w:t>
            </w:r>
          </w:p>
        </w:tc>
        <w:tc>
          <w:tcPr>
            <w:tcW w:type="dxa" w:w="6520"/>
            <w:shd w:fill="DCE6F1"/>
            <w:tcMar>
              <w:top w:w="110" w:type="dxa"/>
              <w:start w:w="130" w:type="dxa"/>
              <w:bottom w:w="110" w:type="dxa"/>
              <w:end w:w="130" w:type="dxa"/>
            </w:tcMar>
            <w:vAlign w:val="center"/>
          </w:tcPr>
          <w:p>
            <w:pPr>
              <w:jc w:val="left"/>
            </w:pPr>
            <w:r>
              <w:rPr>
                <w:rFonts w:ascii="Liberation Serif" w:hAnsi="Liberation Serif"/>
                <w:sz w:val="20"/>
              </w:rPr>
              <w:t>Познание препятствия требует не одного числа и не красивого сходства формул, а факторизации: что уже объясняется образом Ψ²_N, а что остаётся классом в факторпространстве. Только класс [q], независимый от представителя, допускается как внутренний сертификат препятствия.</w:t>
            </w:r>
          </w:p>
        </w:tc>
      </w:tr>
      <w:tr>
        <w:tc>
          <w:tcPr>
            <w:tcW w:type="dxa" w:w="2835"/>
            <w:shd w:fill="1F4E79"/>
            <w:tcMar>
              <w:top w:w="110" w:type="dxa"/>
              <w:start w:w="130" w:type="dxa"/>
              <w:bottom w:w="110" w:type="dxa"/>
              <w:end w:w="130" w:type="dxa"/>
            </w:tcMar>
            <w:vAlign w:val="center"/>
          </w:tcPr>
          <w:p>
            <w:pPr>
              <w:jc w:val="center"/>
            </w:pPr>
            <w:r>
              <w:rPr>
                <w:rFonts w:ascii="Liberation Sans" w:hAnsi="Liberation Sans"/>
                <w:b/>
                <w:color w:val="FFFFFF"/>
                <w:sz w:val="20"/>
              </w:rPr>
              <w:t>ФЕНОМЕНОЛОГИЯ</w:t>
            </w:r>
          </w:p>
        </w:tc>
        <w:tc>
          <w:tcPr>
            <w:tcW w:type="dxa" w:w="6520"/>
            <w:shd w:fill="DCE6F1"/>
            <w:tcMar>
              <w:top w:w="110" w:type="dxa"/>
              <w:start w:w="130" w:type="dxa"/>
              <w:bottom w:w="110" w:type="dxa"/>
              <w:end w:w="130" w:type="dxa"/>
            </w:tcMar>
            <w:vAlign w:val="center"/>
          </w:tcPr>
          <w:p>
            <w:pPr>
              <w:jc w:val="left"/>
            </w:pPr>
            <w:r>
              <w:rPr>
                <w:rFonts w:ascii="Liberation Serif" w:hAnsi="Liberation Serif"/>
                <w:sz w:val="20"/>
              </w:rPr>
              <w:t>В вычислении конструкция проявляется как остаток после решения линейной задачи Ψf=q. Ненулевой ортогональный остаток означает отсутствие подъёма в данной модели; нулевой остаток открывает семейство подъёмов, но ещё не создаёт глобальную деформацию или событие.</w:t>
            </w:r>
          </w:p>
        </w:tc>
      </w:tr>
      <w:tr>
        <w:tc>
          <w:tcPr>
            <w:tcW w:type="dxa" w:w="2835"/>
            <w:shd w:fill="A87512"/>
            <w:tcMar>
              <w:top w:w="110" w:type="dxa"/>
              <w:start w:w="130" w:type="dxa"/>
              <w:bottom w:w="110" w:type="dxa"/>
              <w:end w:w="130" w:type="dxa"/>
            </w:tcMar>
            <w:vAlign w:val="center"/>
          </w:tcPr>
          <w:p>
            <w:pPr>
              <w:jc w:val="center"/>
            </w:pPr>
            <w:r>
              <w:rPr>
                <w:rFonts w:ascii="Liberation Sans" w:hAnsi="Liberation Sans"/>
                <w:b/>
                <w:color w:val="FFFFFF"/>
                <w:sz w:val="20"/>
              </w:rPr>
              <w:t>ГРАНИЦА</w:t>
            </w:r>
          </w:p>
        </w:tc>
        <w:tc>
          <w:tcPr>
            <w:tcW w:type="dxa" w:w="6520"/>
            <w:shd w:fill="FFF2CC"/>
            <w:tcMar>
              <w:top w:w="110" w:type="dxa"/>
              <w:start w:w="130" w:type="dxa"/>
              <w:bottom w:w="110" w:type="dxa"/>
              <w:end w:w="130" w:type="dxa"/>
            </w:tcMar>
            <w:vAlign w:val="center"/>
          </w:tcPr>
          <w:p>
            <w:pPr>
              <w:jc w:val="left"/>
            </w:pPr>
            <w:r>
              <w:rPr>
                <w:rFonts w:ascii="Liberation Serif" w:hAnsi="Liberation Serif"/>
                <w:sz w:val="20"/>
              </w:rPr>
              <w:t>H³(C_min) является канонической упаковкой O_B и не отождествляется с H³(E), de Rham-, Hochschild-, Chevalley-Eilenberg- или физической когомологией. Нулевой внутренний класс закрывает только заявленный квадратичный этап. truth_layer_promotion=0.</w:t>
            </w:r>
          </w:p>
        </w:tc>
      </w:tr>
    </w:tbl>
    <w:p>
      <w:pPr>
        <w:pStyle w:val="Heading2"/>
        <w:keepNext/>
      </w:pPr>
      <w:r>
        <w:t>83.1. Цель, статус и каноническая нумерация</w:t>
      </w:r>
    </w:p>
    <w:p>
      <w:pPr/>
      <w:r>
        <w:t>По обязательному master-skeleton оператор Ходжа образует главу 11, а внутренняя конструкция C_min^• - главу 12. В текущем диалоге выражение «глава 11 углубления» возникло как номер следующего математического пакета после v0.8. В тексте монографии сохраняется каноническая нумерация главы 12, поскольку нумерация 24 глав заморожена регламентом.</w:t>
      </w:r>
    </w:p>
    <w:tbl>
      <w:tblPr>
        <w:tblStyle w:val="TableGrid"/>
        <w:tblW w:type="auto" w:w="0"/>
        <w:jc w:val="center"/>
        <w:tblLayout w:type="fixed"/>
        <w:tblLook w:firstColumn="1" w:firstRow="1" w:lastColumn="0" w:lastRow="0" w:noHBand="0" w:noVBand="1" w:val="04A0"/>
      </w:tblPr>
      <w:tblGrid>
        <w:gridCol w:w="4876"/>
        <w:gridCol w:w="4876"/>
      </w:tblGrid>
      <w:tr>
        <w:tc>
          <w:tcPr>
            <w:tcW w:type="dxa" w:w="2835"/>
            <w:shd w:fill="DCE6F1"/>
            <w:tcMar>
              <w:top w:w="110" w:type="dxa"/>
              <w:start w:w="130" w:type="dxa"/>
              <w:bottom w:w="110" w:type="dxa"/>
              <w:end w:w="130" w:type="dxa"/>
            </w:tcMar>
            <w:vAlign w:val="center"/>
          </w:tcPr>
          <w:p>
            <w:r>
              <w:rPr>
                <w:rFonts w:ascii="Liberation Sans" w:hAnsi="Liberation Sans"/>
                <w:b/>
                <w:sz w:val="18"/>
              </w:rPr>
              <w:t>Импорт P0</w:t>
            </w:r>
          </w:p>
        </w:tc>
        <w:tc>
          <w:tcPr>
            <w:tcW w:type="dxa" w:w="6520"/>
            <w:shd w:fill="FFFFFF"/>
            <w:tcMar>
              <w:top w:w="110" w:type="dxa"/>
              <w:start w:w="130" w:type="dxa"/>
              <w:bottom w:w="110" w:type="dxa"/>
              <w:end w:w="130" w:type="dxa"/>
            </w:tcMar>
            <w:vAlign w:val="center"/>
          </w:tcPr>
          <w:p>
            <w:r>
              <w:rPr>
                <w:rFonts w:ascii="Liberation Serif" w:hAnsi="Liberation Serif"/>
                <w:sz w:val="18"/>
              </w:rPr>
              <w:t>Том I v197 RU, §§52.9-52.18 и статус 26.36: F077-F080, естественность, A11-A14 и таблица DT-01-DT-12.</w:t>
            </w:r>
          </w:p>
        </w:tc>
      </w:tr>
      <w:tr>
        <w:tc>
          <w:tcPr>
            <w:tcW w:type="dxa" w:w="2835"/>
            <w:shd w:fill="EEF3F8"/>
            <w:tcMar>
              <w:top w:w="110" w:type="dxa"/>
              <w:start w:w="130" w:type="dxa"/>
              <w:bottom w:w="110" w:type="dxa"/>
              <w:end w:w="130" w:type="dxa"/>
            </w:tcMar>
            <w:vAlign w:val="center"/>
          </w:tcPr>
          <w:p>
            <w:r>
              <w:rPr>
                <w:rFonts w:ascii="Liberation Sans" w:hAnsi="Liberation Sans"/>
                <w:b/>
                <w:sz w:val="18"/>
              </w:rPr>
              <w:t>Новый результат v0.9</w:t>
            </w:r>
          </w:p>
        </w:tc>
        <w:tc>
          <w:tcPr>
            <w:tcW w:type="dxa" w:w="6520"/>
            <w:shd w:fill="F8FAFC"/>
            <w:tcMar>
              <w:top w:w="110" w:type="dxa"/>
              <w:start w:w="130" w:type="dxa"/>
              <w:bottom w:w="110" w:type="dxa"/>
              <w:end w:w="130" w:type="dxa"/>
            </w:tcMar>
            <w:vAlign w:val="center"/>
          </w:tcPr>
          <w:p>
            <w:r>
              <w:rPr>
                <w:rFonts w:ascii="Liberation Serif" w:hAnsi="Liberation Serif"/>
                <w:sz w:val="18"/>
              </w:rPr>
              <w:t>Точная последовательность; lift-torsor; universal chain-map property; field base-change; аналитический obstruction section; устойчивый отрицательный прогноз.</w:t>
            </w:r>
          </w:p>
        </w:tc>
      </w:tr>
      <w:tr>
        <w:tc>
          <w:tcPr>
            <w:tcW w:type="dxa" w:w="2835"/>
            <w:shd w:fill="DCE6F1"/>
            <w:tcMar>
              <w:top w:w="110" w:type="dxa"/>
              <w:start w:w="130" w:type="dxa"/>
              <w:bottom w:w="110" w:type="dxa"/>
              <w:end w:w="130" w:type="dxa"/>
            </w:tcMar>
            <w:vAlign w:val="center"/>
          </w:tcPr>
          <w:p>
            <w:r>
              <w:rPr>
                <w:rFonts w:ascii="Liberation Sans" w:hAnsi="Liberation Sans"/>
                <w:b/>
                <w:sz w:val="18"/>
              </w:rPr>
              <w:t>Условный слой</w:t>
            </w:r>
          </w:p>
        </w:tc>
        <w:tc>
          <w:tcPr>
            <w:tcW w:type="dxa" w:w="6520"/>
            <w:shd w:fill="FFFFFF"/>
            <w:tcMar>
              <w:top w:w="110" w:type="dxa"/>
              <w:start w:w="130" w:type="dxa"/>
              <w:bottom w:w="110" w:type="dxa"/>
              <w:end w:w="130" w:type="dxa"/>
            </w:tcMar>
            <w:vAlign w:val="center"/>
          </w:tcPr>
          <w:p>
            <w:r>
              <w:rPr>
                <w:rFonts w:ascii="Liberation Serif" w:hAnsi="Liberation Serif"/>
                <w:sz w:val="18"/>
              </w:rPr>
              <w:t>Переход к внешнему E-комплексу, высшим препятствиям, глобальной деформации, аналитике и физике.</w:t>
            </w:r>
          </w:p>
        </w:tc>
      </w:tr>
      <w:tr>
        <w:tc>
          <w:tcPr>
            <w:tcW w:type="dxa" w:w="2835"/>
            <w:shd w:fill="EEF3F8"/>
            <w:tcMar>
              <w:top w:w="110" w:type="dxa"/>
              <w:start w:w="130" w:type="dxa"/>
              <w:bottom w:w="110" w:type="dxa"/>
              <w:end w:w="130" w:type="dxa"/>
            </w:tcMar>
            <w:vAlign w:val="center"/>
          </w:tcPr>
          <w:p>
            <w:r>
              <w:rPr>
                <w:rFonts w:ascii="Liberation Sans" w:hAnsi="Liberation Sans"/>
                <w:b/>
                <w:sz w:val="18"/>
              </w:rPr>
              <w:t>Открытая граница</w:t>
            </w:r>
          </w:p>
        </w:tc>
        <w:tc>
          <w:tcPr>
            <w:tcW w:type="dxa" w:w="6520"/>
            <w:shd w:fill="F8FAFC"/>
            <w:tcMar>
              <w:top w:w="110" w:type="dxa"/>
              <w:start w:w="130" w:type="dxa"/>
              <w:bottom w:w="110" w:type="dxa"/>
              <w:end w:w="130" w:type="dxa"/>
            </w:tcMar>
            <w:vAlign w:val="center"/>
          </w:tcPr>
          <w:p>
            <w:r>
              <w:rPr>
                <w:rFonts w:ascii="Liberation Serif" w:hAnsi="Liberation Serif"/>
                <w:sz w:val="18"/>
              </w:rPr>
              <w:t>Miniversal/derived realization, Banach/Hilbert-завершение, независимый доменный запуск и связь с F-1-F-14.</w:t>
            </w:r>
          </w:p>
        </w:tc>
      </w:tr>
    </w:tbl>
    <w:p>
      <w:pPr>
        <w:pStyle w:val="Heading1"/>
        <w:keepNext/>
      </w:pPr>
      <w:r>
        <w:t>84. Definition Core: квадратичный кадр и минимальный комплекс</w:t>
      </w:r>
    </w:p>
    <w:p>
      <w:pPr>
        <w:pStyle w:val="Heading2"/>
        <w:keepNext/>
      </w:pPr>
      <w:r>
        <w:t>84.1. Квадратичный кадр NAPG_q</w:t>
      </w:r>
    </w:p>
    <w:p>
      <w:pPr/>
      <w:r>
        <w:t>Определение 12.1 (квадратичный кадр NAPG). [DEF-A] Объект N состоит из поля K, градуированного носителя A^•, допустимой операции ⊙, структурных данных G, класса реперных генераторов R, формального пространства F²_N, вычисленного пространства X²_N и линейной карты вычисления Ψ²_N:F²_N→X²_N. Все пространства, степени, Dom и Cod включаются в паспорт объекта.</w:t>
      </w:r>
    </w:p>
    <w:p>
      <w:pPr>
        <w:keepLines/>
        <w:spacing w:before="80" w:after="80"/>
        <w:jc w:val="center"/>
      </w:pPr>
      <w:r>
        <w:rPr>
          <w:rFonts w:ascii="Liberation Serif" w:hAnsi="Liberation Serif"/>
          <w:i/>
          <w:sz w:val="23"/>
        </w:rPr>
        <w:t>N=(K,A^•,⊙,G,R; F²_N, X²_N, Ψ²_N).</w:t>
      </w:r>
      <w:r>
        <w:rPr>
          <w:sz w:val="21"/>
        </w:rPr>
        <w:t xml:space="preserve">     (12.1)</w:t>
      </w:r>
    </w:p>
    <w:p>
      <w:pPr/>
      <w:r>
        <w:t>Морфизм φ:N→N′ содержит компоненты φ_F:F²_N→F²_N′ и φ_X:X²_N→X²_N′, удовлетворяющие коммутативности квадрата вычисления.</w:t>
      </w:r>
    </w:p>
    <w:p>
      <w:pPr>
        <w:keepLines/>
        <w:spacing w:before="80" w:after="80"/>
        <w:jc w:val="center"/>
      </w:pPr>
      <w:r>
        <w:rPr>
          <w:rFonts w:ascii="Liberation Serif" w:hAnsi="Liberation Serif"/>
          <w:i/>
          <w:sz w:val="23"/>
        </w:rPr>
        <w:t>φ_X ∘ Ψ²_N = Ψ²_N′ ∘ φ_F.</w:t>
      </w:r>
      <w:r>
        <w:rPr>
          <w:sz w:val="21"/>
        </w:rPr>
        <w:t xml:space="preserve">     (12.2)</w:t>
      </w:r>
    </w:p>
    <w:p>
      <w:pPr>
        <w:pStyle w:val="Heading2"/>
        <w:keepNext/>
      </w:pPr>
      <w:r>
        <w:t>84.2. Минимальный коцепной комплекс</w:t>
      </w:r>
    </w:p>
    <w:p>
      <w:pPr/>
      <w:r>
        <w:t>Определение 12.2 (внутренний минимальный комплекс). [THM/IMPORT] Для каждого N∈NAPG_q положим</w:t>
      </w:r>
    </w:p>
    <w:p>
      <w:pPr>
        <w:keepLines/>
        <w:spacing w:before="80" w:after="80"/>
        <w:jc w:val="center"/>
      </w:pPr>
      <w:r>
        <w:rPr>
          <w:rFonts w:ascii="Liberation Serif" w:hAnsi="Liberation Serif"/>
          <w:i/>
          <w:sz w:val="23"/>
        </w:rPr>
        <w:t>C_min^n(N)=F²_N при n=2;  C_min^n(N)=X²_N при n=3;  C_min^n(N)=0 при n≠2,3.</w:t>
      </w:r>
      <w:r>
        <w:rPr>
          <w:sz w:val="21"/>
        </w:rPr>
        <w:t xml:space="preserve">     (12.3)</w:t>
      </w:r>
    </w:p>
    <w:p>
      <w:pPr>
        <w:keepLines/>
        <w:spacing w:before="80" w:after="80"/>
        <w:jc w:val="center"/>
      </w:pPr>
      <w:r>
        <w:rPr>
          <w:rFonts w:ascii="Liberation Serif" w:hAnsi="Liberation Serif"/>
          <w:i/>
          <w:sz w:val="23"/>
        </w:rPr>
        <w:t>δ_min²(N)=Ψ²_N;  δ_min^n(N)=0 при n≠2.</w:t>
      </w:r>
      <w:r>
        <w:rPr>
          <w:sz w:val="21"/>
        </w:rPr>
        <w:t xml:space="preserve">     (12.4)</w:t>
      </w:r>
    </w:p>
    <w:p>
      <w:pPr/>
      <w:r>
        <w:t>Лемма 12.1 (нильпотентность). [THM] Семейство (C_min^•(N),δ_min(N)) является коцепным комплексом. Доказательство. Единственная потенциальная композиция после Ψ²_N попадает в C_min^4=0, поэтому δ_min³δ_min²=0. Все прочие последовательные композиции содержат нулевую стрелку. □</w:t>
      </w:r>
    </w:p>
    <w:p>
      <w:pPr>
        <w:pStyle w:val="Heading2"/>
        <w:keepNext/>
      </w:pPr>
      <w:r>
        <w:t>84.3. Две разные карты: Θ_min и obstruction class</w:t>
      </w:r>
    </w:p>
    <w:p>
      <w:pPr/>
      <w:r>
        <w:t>Определение 12.3 (каноническая карта в третью степень). [THM/IMPORT]</w:t>
      </w:r>
    </w:p>
    <w:p>
      <w:pPr>
        <w:keepLines/>
        <w:spacing w:before="80" w:after="80"/>
        <w:jc w:val="center"/>
      </w:pPr>
      <w:r>
        <w:rPr>
          <w:rFonts w:ascii="Liberation Serif" w:hAnsi="Liberation Serif"/>
          <w:i/>
          <w:sz w:val="23"/>
        </w:rPr>
        <w:t>Θ_min,N:X²_N→C_min³(N),   Θ_min,N=id_{X²_N}.</w:t>
      </w:r>
      <w:r>
        <w:rPr>
          <w:sz w:val="21"/>
        </w:rPr>
        <w:t xml:space="preserve">     (12.5)</w:t>
      </w:r>
    </w:p>
    <w:p>
      <w:pPr/>
      <w:r>
        <w:t>Определение 12.4 (класс препятствия). [DEF-A] Пусть π_N:X²_N→X²_N/Im Ψ²_N - фактор-проекция. Для q∈X²_N внутренний класс препятствия определяется как</w:t>
      </w:r>
    </w:p>
    <w:p>
      <w:pPr>
        <w:keepLines/>
        <w:spacing w:before="80" w:after="80"/>
        <w:jc w:val="center"/>
      </w:pPr>
      <w:r>
        <w:rPr>
          <w:rFonts w:ascii="Liberation Serif" w:hAnsi="Liberation Serif"/>
          <w:i/>
          <w:sz w:val="23"/>
        </w:rPr>
        <w:t>o_min,N(q)=π_N(Θ_min,N(q))=[q] ∈ H³(C_min^•(N)).</w:t>
      </w:r>
      <w:r>
        <w:rPr>
          <w:sz w:val="21"/>
        </w:rPr>
        <w:t xml:space="preserve">     (12.6)</w:t>
      </w:r>
    </w:p>
    <w:p>
      <w:pPr/>
      <w:r>
        <w:t>Это различение принципиально: Θ_min является тождественной картой в коцепную группу, тогда как o_min является фактор-классом. Называть сам q «когомологическим классом» до применения π_N нельзя.</w:t>
      </w:r>
    </w:p>
    <w:p>
      <w:pPr>
        <w:keepNext/>
        <w:jc w:val="center"/>
      </w:pPr>
      <w:r>
        <w:drawing>
          <wp:inline xmlns:a="http://schemas.openxmlformats.org/drawingml/2006/main" xmlns:pic="http://schemas.openxmlformats.org/drawingml/2006/picture">
            <wp:extent cx="5760000" cy="2275709"/>
            <wp:docPr id="27" name="Picture 27"/>
            <wp:cNvGraphicFramePr>
              <a:graphicFrameLocks noChangeAspect="1"/>
            </wp:cNvGraphicFramePr>
            <a:graphic>
              <a:graphicData uri="http://schemas.openxmlformats.org/drawingml/2006/picture">
                <pic:pic>
                  <pic:nvPicPr>
                    <pic:cNvPr id="0" name="fig23_min_complex.png"/>
                    <pic:cNvPicPr/>
                  </pic:nvPicPr>
                  <pic:blipFill>
                    <a:blip r:embed="rId54"/>
                    <a:stretch>
                      <a:fillRect/>
                    </a:stretch>
                  </pic:blipFill>
                  <pic:spPr>
                    <a:xfrm>
                      <a:off x="0" y="0"/>
                      <a:ext cx="5760000" cy="2275709"/>
                    </a:xfrm>
                    <a:prstGeom prst="rect"/>
                  </pic:spPr>
                </pic:pic>
              </a:graphicData>
            </a:graphic>
          </wp:inline>
        </w:drawing>
      </w:r>
    </w:p>
    <w:p>
      <w:pPr>
        <w:pStyle w:val="Caption"/>
        <w:keepNext/>
        <w:jc w:val="center"/>
      </w:pPr>
      <w:r>
        <w:t>Рисунок 23. Минимальный комплекс и естественная точная последовательность. Собственная схема Тома II.</w:t>
      </w:r>
    </w:p>
    <w:p>
      <w:pPr>
        <w:pStyle w:val="Heading1"/>
        <w:keepNext/>
      </w:pPr>
      <w:r>
        <w:t>85. Когомологии, точная последовательность и эйлеров инвариант</w:t>
      </w:r>
    </w:p>
    <w:p>
      <w:pPr/>
      <w:r>
        <w:t>Теорема 12.2 (внутренние H² и H³). [THM] Для каждого квадратичного кадра N</w:t>
      </w:r>
    </w:p>
    <w:p>
      <w:pPr>
        <w:keepLines/>
        <w:spacing w:before="80" w:after="80"/>
        <w:jc w:val="center"/>
      </w:pPr>
      <w:r>
        <w:rPr>
          <w:rFonts w:ascii="Liberation Serif" w:hAnsi="Liberation Serif"/>
          <w:i/>
          <w:sz w:val="23"/>
        </w:rPr>
        <w:t>H²(C_min(N))=Ker Ψ²_N,     H³(C_min(N))=Coker Ψ²_N=O_B(N).</w:t>
      </w:r>
      <w:r>
        <w:rPr>
          <w:sz w:val="21"/>
        </w:rPr>
        <w:t xml:space="preserve">     (12.7)</w:t>
      </w:r>
    </w:p>
    <w:p>
      <w:pPr/>
      <w:r>
        <w:t>Доказательство. В степени 2 входящая граница равна нулю, поэтому H²=Ker δ²_min/Im δ¹_min=Ker Ψ²_N. В степени 3 δ³_min=0, поэтому H³=X²_N/Im Ψ²_N. Последнее факторпространство по определению равно O_B(N). □</w:t>
      </w:r>
    </w:p>
    <w:p>
      <w:pPr/>
      <w:r>
        <w:t>Теорема 12.3 (естественная точная последовательность). [THM] Имеется естественная точная последовательность</w:t>
      </w:r>
    </w:p>
    <w:p>
      <w:pPr>
        <w:keepLines/>
        <w:spacing w:before="80" w:after="80"/>
        <w:jc w:val="center"/>
      </w:pPr>
      <w:r>
        <w:rPr>
          <w:rFonts w:ascii="Liberation Serif" w:hAnsi="Liberation Serif"/>
          <w:i/>
          <w:sz w:val="23"/>
        </w:rPr>
        <w:t>0→H²(C_min)→F²_N —Ψ²_N→ X²_N —π_N→ H³(C_min)→0.</w:t>
      </w:r>
      <w:r>
        <w:rPr>
          <w:sz w:val="21"/>
        </w:rPr>
        <w:t xml:space="preserve">     (12.8)</w:t>
      </w:r>
    </w:p>
    <w:p>
      <w:pPr/>
      <w:r>
        <w:t>Точность в F²_N означает Ker Ψ²_N=H²; точность в X²_N означает Ker π_N=Im Ψ²_N; сюръективность π_N следует из определения факторпространства. Естественность вытекает из (12.2).</w:t>
      </w:r>
    </w:p>
    <w:p>
      <w:pPr/>
      <w:r>
        <w:t>Следствие 12.3.1 (конечномерный ранг). [THM] Если dim F²_N=f, dim X²_N=x и rank Ψ²_N=r, то</w:t>
      </w:r>
    </w:p>
    <w:p>
      <w:pPr>
        <w:keepLines/>
        <w:spacing w:before="80" w:after="80"/>
        <w:jc w:val="center"/>
      </w:pPr>
      <w:r>
        <w:rPr>
          <w:rFonts w:ascii="Liberation Serif" w:hAnsi="Liberation Serif"/>
          <w:i/>
          <w:sz w:val="23"/>
        </w:rPr>
        <w:t>dim H²=f-r,     dim H³=x-r,     dim H²-dim H³=f-x.</w:t>
      </w:r>
      <w:r>
        <w:rPr>
          <w:sz w:val="21"/>
        </w:rPr>
        <w:t xml:space="preserve">     (12.9)</w:t>
      </w:r>
    </w:p>
    <w:p>
      <w:pPr/>
      <w:r>
        <w:t>Последнее равенство является эйлеровым инвариантом двухчленного комплекса. Оно не зависит от ранга и полезно как автоматический контроль вычислительного сертификата.</w:t>
      </w:r>
    </w:p>
    <w:p>
      <w:pPr>
        <w:pStyle w:val="Heading1"/>
        <w:keepNext/>
      </w:pPr>
      <w:r>
        <w:t>86. Функториальность и естественная каноничность</w:t>
      </w:r>
    </w:p>
    <w:p>
      <w:pPr/>
      <w:r>
        <w:t>Теорема 12.4 (функтор минимального комплекса). [THM] Назначение N↦C_min^•(N), φ↦(φ_F,φ_X) задаёт функтор</w:t>
      </w:r>
    </w:p>
    <w:p>
      <w:pPr>
        <w:keepLines/>
        <w:spacing w:before="80" w:after="80"/>
        <w:jc w:val="center"/>
      </w:pPr>
      <w:r>
        <w:rPr>
          <w:rFonts w:ascii="Liberation Serif" w:hAnsi="Liberation Serif"/>
          <w:i/>
          <w:sz w:val="23"/>
        </w:rPr>
        <w:t>C_min^•:NAPG_q→CoCh_K.</w:t>
      </w:r>
      <w:r>
        <w:rPr>
          <w:sz w:val="21"/>
        </w:rPr>
        <w:t xml:space="preserve">     (12.10)</w:t>
      </w:r>
    </w:p>
    <w:p>
      <w:pPr/>
      <w:r>
        <w:t>Доказательство. Условие (12.2) является ровно условием коцепного отображения в единственной нетривиальной степени. Тождества и композиции наследуются от линейных отображений. □</w:t>
      </w:r>
    </w:p>
    <w:p>
      <w:pPr/>
      <w:r>
        <w:t>Теорема 12.5 (естественный изоморфизм). [THM] Функтор O_B=Coker Ψ² естественно изоморфен функтору H³∘C_min. Компонента изоморфизма</w:t>
      </w:r>
    </w:p>
    <w:p>
      <w:pPr>
        <w:keepLines/>
        <w:spacing w:before="80" w:after="80"/>
        <w:jc w:val="center"/>
      </w:pPr>
      <w:r>
        <w:rPr>
          <w:rFonts w:ascii="Liberation Serif" w:hAnsi="Liberation Serif"/>
          <w:i/>
          <w:sz w:val="23"/>
        </w:rPr>
        <w:t>κ_N:O_B(N)→H³(C_min(N)),     κ_N([x])=[x],</w:t>
      </w:r>
      <w:r>
        <w:rPr>
          <w:sz w:val="21"/>
        </w:rPr>
        <w:t xml:space="preserve">     (12.11)</w:t>
      </w:r>
    </w:p>
    <w:p>
      <w:pPr/>
      <w:r>
        <w:t>корректна, биективна и независима от представителя. Для морфизма φ коммутирует квадрат κ_N′∘O_B(φ)=H³(C_min(φ))∘κ_N.</w:t>
      </w:r>
    </w:p>
    <w:p>
      <w:pPr/>
      <w:r>
        <w:t>Следствие 12.5.1. [THM] Нулевость внутреннего класса препятствия сохраняется всеми изоморфизмами NAPG_q. Численная норма выбранного представителя не обязана сохраняться, если морфизм не изометричен.</w:t>
      </w:r>
    </w:p>
    <w:p>
      <w:pPr>
        <w:pStyle w:val="Heading1"/>
        <w:keepNext/>
      </w:pPr>
      <w:r>
        <w:t>87. Критерий подъёма и H²-торсор решений</w:t>
      </w:r>
    </w:p>
    <w:p>
      <w:pPr/>
      <w:r>
        <w:t>Определение 12.5 (подъём). [DEF-A] Для q∈X²_N подъёмом называется f∈F²_N, удовлетворяющий Ψ²_N(f)=q. Множество всех подъёмов обозначается Lift_N(q).</w:t>
      </w:r>
    </w:p>
    <w:p>
      <w:pPr/>
      <w:r>
        <w:t>Теорема 12.6 (полный внутренний критерий подъёма). [THM] Для q∈X²_N эквивалентны:</w:t>
      </w:r>
    </w:p>
    <w:p>
      <w:pPr>
        <w:pStyle w:val="ListNumber"/>
      </w:pPr>
      <w:r>
        <w:t>o_min,N(q)=0 в H³(C_min(N));</w:t>
      </w:r>
    </w:p>
    <w:p>
      <w:pPr>
        <w:pStyle w:val="ListNumber"/>
      </w:pPr>
      <w:r>
        <w:t>q∈Im Ψ²_N;</w:t>
      </w:r>
    </w:p>
    <w:p>
      <w:pPr>
        <w:pStyle w:val="ListNumber"/>
      </w:pPr>
      <w:r>
        <w:t>существует f∈F²_N с Ψ²_N(f)=q;</w:t>
      </w:r>
    </w:p>
    <w:p>
      <w:pPr>
        <w:pStyle w:val="ListNumber"/>
      </w:pPr>
      <w:r>
        <w:t>Lift_N(q) непусто.</w:t>
      </w:r>
    </w:p>
    <w:p>
      <w:pPr/>
      <w:r>
        <w:t>Доказательство. Равенство [q]=0 в факторпространстве эквивалентно принадлежности q образу Ψ²_N, а это по определению эквивалентно существованию прообраза. □</w:t>
      </w:r>
    </w:p>
    <w:p>
      <w:pPr/>
      <w:r>
        <w:t>Теорема 12.7 (торсор подъёмов). [THM] Если Lift_N(q) непусто и f₀ - один подъём, то</w:t>
      </w:r>
    </w:p>
    <w:p>
      <w:pPr>
        <w:keepLines/>
        <w:spacing w:before="80" w:after="80"/>
        <w:jc w:val="center"/>
      </w:pPr>
      <w:r>
        <w:rPr>
          <w:rFonts w:ascii="Liberation Serif" w:hAnsi="Liberation Serif"/>
          <w:i/>
          <w:sz w:val="23"/>
        </w:rPr>
        <w:t>Lift_N(q)=f₀+Ker Ψ²_N=f₀+H²(C_min(N)).</w:t>
      </w:r>
      <w:r>
        <w:rPr>
          <w:sz w:val="21"/>
        </w:rPr>
        <w:t xml:space="preserve">     (12.12)</w:t>
      </w:r>
    </w:p>
    <w:p>
      <w:pPr/>
      <w:r>
        <w:t>Следовательно, H² измеряет не препятствие, а неоднозначность разрешения уже снятого препятствия. Нулевой H³ отвечает существованию подъёма для всякого q; нулевой H² отвечает его единственности.</w:t>
      </w:r>
    </w:p>
    <w:p>
      <w:pPr>
        <w:keepNext/>
        <w:jc w:val="center"/>
      </w:pPr>
      <w:r>
        <w:drawing>
          <wp:inline xmlns:a="http://schemas.openxmlformats.org/drawingml/2006/main" xmlns:pic="http://schemas.openxmlformats.org/drawingml/2006/picture">
            <wp:extent cx="5760000" cy="2275709"/>
            <wp:docPr id="28" name="Picture 28"/>
            <wp:cNvGraphicFramePr>
              <a:graphicFrameLocks noChangeAspect="1"/>
            </wp:cNvGraphicFramePr>
            <a:graphic>
              <a:graphicData uri="http://schemas.openxmlformats.org/drawingml/2006/picture">
                <pic:pic>
                  <pic:nvPicPr>
                    <pic:cNvPr id="0" name="fig24_lift_torsor.png"/>
                    <pic:cNvPicPr/>
                  </pic:nvPicPr>
                  <pic:blipFill>
                    <a:blip r:embed="rId55"/>
                    <a:stretch>
                      <a:fillRect/>
                    </a:stretch>
                  </pic:blipFill>
                  <pic:spPr>
                    <a:xfrm>
                      <a:off x="0" y="0"/>
                      <a:ext cx="5760000" cy="2275709"/>
                    </a:xfrm>
                    <a:prstGeom prst="rect"/>
                  </pic:spPr>
                </pic:pic>
              </a:graphicData>
            </a:graphic>
          </wp:inline>
        </w:drawing>
      </w:r>
    </w:p>
    <w:p>
      <w:pPr>
        <w:pStyle w:val="Caption"/>
        <w:keepNext/>
        <w:jc w:val="center"/>
      </w:pPr>
      <w:r>
        <w:t>Рисунок 24. Критерий подъёма и H²-торсор решений. Собственная схема Тома II.</w:t>
      </w:r>
    </w:p>
    <w:p>
      <w:pPr>
        <w:pStyle w:val="Heading1"/>
        <w:keepNext/>
      </w:pPr>
      <w:r>
        <w:t>88. Универсальное свойство двухчленного ядра</w:t>
      </w:r>
    </w:p>
    <w:p>
      <w:pPr/>
      <w:r>
        <w:t>Теорема 12.8 (универсальное продолжение в заданный комплекс). [THM] Пусть E^• - коцепной комплекс, а заданы линейные карты J²:F²_N→E² и J³:X²_N→E³, удовлетворяющие</w:t>
      </w:r>
    </w:p>
    <w:p>
      <w:pPr>
        <w:keepLines/>
        <w:spacing w:before="80" w:after="80"/>
        <w:jc w:val="center"/>
      </w:pPr>
      <w:r>
        <w:rPr>
          <w:rFonts w:ascii="Liberation Serif" w:hAnsi="Liberation Serif"/>
          <w:i/>
          <w:sz w:val="23"/>
        </w:rPr>
        <w:t>δ_E²∘J² = J³∘Ψ²_N.</w:t>
      </w:r>
      <w:r>
        <w:rPr>
          <w:sz w:val="21"/>
        </w:rPr>
        <w:t xml:space="preserve">     (12.13)</w:t>
      </w:r>
    </w:p>
    <w:p>
      <w:pPr/>
      <w:r>
        <w:t>Тогда существует единственное коцепное отображение J:C_min^•(N)→E^•, компоненты которого в степенях 2 и 3 равны J² и J³, а в остальных степенях нулевые.</w:t>
      </w:r>
    </w:p>
    <w:p>
      <w:pPr/>
      <w:r>
        <w:t>Доказательство. Компоненты комплекса C_min вне степеней 2 и 3 нулевые, поэтому единственная проверка цепности совпадает с (12.13). Единственность следует из заранее заданных компонент. □</w:t>
      </w:r>
    </w:p>
    <w:p>
      <w:pPr/>
      <w:r>
        <w:t>Ограничение. Теорема не утверждает существование J²,J³ и не делает внешний комплекс каноническим. Именно существование, естественность и детектирующая полнота такого J образуют обязательства главы 13.</w:t>
      </w:r>
    </w:p>
    <w:p>
      <w:pPr>
        <w:pStyle w:val="Heading1"/>
        <w:keepNext/>
      </w:pPr>
      <w:r>
        <w:t>89. Base-change, прямые суммы и предел каноничности</w:t>
      </w:r>
    </w:p>
    <w:p>
      <w:pPr/>
      <w:r>
        <w:t>Теорема 12.9 (расширение поля). [THM] Пусть L/K - расширение полей. Тогда</w:t>
      </w:r>
    </w:p>
    <w:p>
      <w:pPr>
        <w:keepLines/>
        <w:spacing w:before="80" w:after="80"/>
        <w:jc w:val="center"/>
      </w:pPr>
      <w:r>
        <w:rPr>
          <w:rFonts w:ascii="Liberation Serif" w:hAnsi="Liberation Serif"/>
          <w:i/>
          <w:sz w:val="23"/>
        </w:rPr>
        <w:t>H^i(C_min(N)⊗_K L) ≅ H^i(C_min(N))⊗_K L,   i=2,3.</w:t>
      </w:r>
      <w:r>
        <w:rPr>
          <w:sz w:val="21"/>
        </w:rPr>
        <w:t xml:space="preserve">     (12.14)</w:t>
      </w:r>
    </w:p>
    <w:p>
      <w:pPr/>
      <w:r>
        <w:t>Доказательство. Тензорное умножение на поле L является точным, поэтому сохраняет ядра и факторпространства конечной длины. Так как L/K faithfully flat, [q]⊗1=0 тогда и только тогда, когда [q]=0. □</w:t>
      </w:r>
    </w:p>
    <w:p>
      <w:pPr/>
      <w:r>
        <w:t>Теорема 12.10 (блочно-диагональная аддитивность). [THM] Для прямой суммы кадров с Ψ²_{N⊕M}=Ψ²_N⊕Ψ²_M</w:t>
      </w:r>
    </w:p>
    <w:p>
      <w:pPr>
        <w:keepLines/>
        <w:spacing w:before="80" w:after="80"/>
        <w:jc w:val="center"/>
      </w:pPr>
      <w:r>
        <w:rPr>
          <w:rFonts w:ascii="Liberation Serif" w:hAnsi="Liberation Serif"/>
          <w:i/>
          <w:sz w:val="23"/>
        </w:rPr>
        <w:t>H^i(C_min(N⊕M)) ≅ H^i(C_min(N))⊕H^i(C_min(M)),   i=2,3.</w:t>
      </w:r>
      <w:r>
        <w:rPr>
          <w:sz w:val="21"/>
        </w:rPr>
        <w:t xml:space="preserve">     (12.15)</w:t>
      </w:r>
    </w:p>
    <w:p>
      <w:pPr/>
      <w:r>
        <w:t>Контрграница. Для склеек с перекрёстными членами Ψ_{NM} блочная формула неверна: новые связи могут как уничтожать старые классы, так и создавать смешанные препятствия.</w:t>
      </w:r>
    </w:p>
    <w:p>
      <w:pPr>
        <w:pStyle w:val="Heading1"/>
        <w:keepNext/>
      </w:pPr>
      <w:r>
        <w:t>90. Канонический класс и неканонический численный остаток</w:t>
      </w:r>
    </w:p>
    <w:p>
      <w:pPr/>
      <w:r>
        <w:t>Смысл трудного перехода. Фактор-класс [q] не требует метрики и является каноническим. Однако компьютеру нужен измеримый остаток. Для этого выбираются скалярные произведения на F²_N и X²_N. Выбор создаёт ортогональную проекцию, псевдообратную матрицу и численную норму, но не меняет нулевость класса. Поэтому сертификат обязан хранить как канонический verdict, так и неканонические convention-поля.</w:t>
      </w:r>
    </w:p>
    <w:p>
      <w:pPr/>
      <w:r>
        <w:t>Определение 12.6 (ортогональный obstruction residual). [DEF-A/COMP] В конечномерном вещественном или комплексном секторе пусть Ψ† - псевдообратная Мура-Пенроуза. Положим</w:t>
      </w:r>
    </w:p>
    <w:p>
      <w:pPr>
        <w:keepLines/>
        <w:spacing w:before="80" w:after="80"/>
        <w:jc w:val="center"/>
      </w:pPr>
      <w:r>
        <w:rPr>
          <w:rFonts w:ascii="Liberation Serif" w:hAnsi="Liberation Serif"/>
          <w:i/>
          <w:sz w:val="23"/>
        </w:rPr>
        <w:t>r_min(q)=(I-Ψ²_N(Ψ²_N)†)q.</w:t>
      </w:r>
      <w:r>
        <w:rPr>
          <w:sz w:val="21"/>
        </w:rPr>
        <w:t xml:space="preserve">     (12.16)</w:t>
      </w:r>
    </w:p>
    <w:p>
      <w:pPr/>
      <w:r>
        <w:t>Теорема 12.11 (остаточный критерий). [THM] r_min(q)=0 тогда и только тогда, когда [q]=0 в H³(C_min). Если класс нулевой, f*=Ψ†q является подъёмом минимальной нормы.</w:t>
      </w:r>
    </w:p>
    <w:p>
      <w:pPr>
        <w:keepLines/>
        <w:spacing w:before="80" w:after="80"/>
        <w:jc w:val="center"/>
      </w:pPr>
      <w:r>
        <w:rPr>
          <w:rFonts w:ascii="Liberation Serif" w:hAnsi="Liberation Serif"/>
          <w:i/>
          <w:sz w:val="23"/>
        </w:rPr>
        <w:t>||f*|| ≤ ||q||/σ⁺(Ψ²_N),</w:t>
      </w:r>
      <w:r>
        <w:rPr>
          <w:sz w:val="21"/>
        </w:rPr>
        <w:t xml:space="preserve">     (12.17)</w:t>
      </w:r>
    </w:p>
    <w:p>
      <w:pPr/>
      <w:r>
        <w:t>где σ⁺ - наименьшее положительное сингулярное значение. При σ⁺→0 подъём может становиться неустойчивым, хотя obstruction class остаётся нулевым.</w:t>
      </w:r>
    </w:p>
    <w:p>
      <w:pPr/>
      <w:r>
        <w:t>Определение 12.7 (нормированный индекс внутренней обструкции). [DEF-A/DIAGNOSTIC]</w:t>
      </w:r>
    </w:p>
    <w:p>
      <w:pPr>
        <w:keepLines/>
        <w:spacing w:before="80" w:after="80"/>
        <w:jc w:val="center"/>
      </w:pPr>
      <w:r>
        <w:rPr>
          <w:rFonts w:ascii="Liberation Serif" w:hAnsi="Liberation Serif"/>
          <w:i/>
          <w:sz w:val="23"/>
        </w:rPr>
        <w:t>OCI_min(q)=||r_min(q)||/(||q||+ε),     ε&gt;0.</w:t>
      </w:r>
      <w:r>
        <w:rPr>
          <w:sz w:val="21"/>
        </w:rPr>
        <w:t xml:space="preserve">     (12.18)</w:t>
      </w:r>
    </w:p>
    <w:p>
      <w:pPr/>
      <w:r>
        <w:t>OCI_min зависит от выбранных норм и не является заменой класса [q]. Его назначение - ранжировать численно сертифицированные кандидаты внутри одной convention.</w:t>
      </w:r>
    </w:p>
    <w:p>
      <w:pPr>
        <w:pStyle w:val="Heading1"/>
        <w:keepNext/>
      </w:pPr>
      <w:r>
        <w:t>91. Аналитические семейства и obstruction section</w:t>
      </w:r>
    </w:p>
    <w:p>
      <w:pPr/>
      <w:r>
        <w:t>Пусть t∈I, а F_t, X_t образуют конечномерные аналитические векторные расслоения над интервалом I. Пусть Ψ_t:F_t→X_t и q_t∈X_t аналитичны. После локальной тривиализации это аналитические матрицы и вектор-функции.</w:t>
      </w:r>
    </w:p>
    <w:p>
      <w:pPr/>
      <w:r>
        <w:t>Теорема 12.12 (когомологические расслоения постоянного ранга). [THM] Если rank Ψ_t постоянен на связном открытом J⊂I, то Ker Ψ_t и Im Ψ_t являются аналитическими подрасслоениями, а</w:t>
      </w:r>
    </w:p>
    <w:p>
      <w:pPr>
        <w:keepLines/>
        <w:spacing w:before="80" w:after="80"/>
        <w:jc w:val="center"/>
      </w:pPr>
      <w:r>
        <w:rPr>
          <w:rFonts w:ascii="Liberation Serif" w:hAnsi="Liberation Serif"/>
          <w:i/>
          <w:sz w:val="23"/>
        </w:rPr>
        <w:t>H²_t=Ker Ψ_t,     H³_t=X_t/Im Ψ_t</w:t>
      </w:r>
      <w:r>
        <w:rPr>
          <w:sz w:val="21"/>
        </w:rPr>
        <w:t xml:space="preserve">     (12.19)</w:t>
      </w:r>
    </w:p>
    <w:p>
      <w:pPr/>
      <w:r>
        <w:t>образуют аналитические векторные расслоения постоянных рангов. Классы o_t=[q_t] задают аналитическое сечение obstruction bundle H³→J.</w:t>
      </w:r>
    </w:p>
    <w:p>
      <w:pPr/>
      <w:r>
        <w:t>Следствие 12.12.1. [THM] Для одномерного параметра, если obstruction section не тождественно нулево, его нулевые точки не имеют внутренней точки накопления. Накопление нулей внутри J означает тождественное исчезновение section на связной компоненте.</w:t>
      </w:r>
    </w:p>
    <w:p>
      <w:pPr/>
      <w:r>
        <w:t>Определение 12.8 (внутренний переходный горизонт). [DEF-A]</w:t>
      </w:r>
    </w:p>
    <w:p>
      <w:pPr>
        <w:keepLines/>
        <w:spacing w:before="80" w:after="80"/>
        <w:jc w:val="center"/>
      </w:pPr>
      <w:r>
        <w:rPr>
          <w:rFonts w:ascii="Liberation Serif" w:hAnsi="Liberation Serif"/>
          <w:i/>
          <w:sz w:val="23"/>
        </w:rPr>
        <w:t>Δ_min = Δ_rank ∪ Δ_cond ∪ Δ_Dom ∪ Δ_D ∪ Pole(λ),</w:t>
      </w:r>
      <w:r>
        <w:rPr>
          <w:sz w:val="21"/>
        </w:rPr>
        <w:t xml:space="preserve">     (12.20)</w:t>
      </w:r>
    </w:p>
    <w:p>
      <w:pPr/>
      <w:r>
        <w:t>где Δ_rank - точки изменения rank Ψ_t, а Δ_cond - точки, где σ⁺(Ψ_t) падает ниже заранее зарегистрированного порога устойчивости. Нулевой locus Z_min={t:o_t=0} хранится отдельно: это множество кандидатов подъёма, а не автоматически «горизонт события».</w:t>
      </w:r>
    </w:p>
    <w:p>
      <w:pPr>
        <w:pStyle w:val="Heading1"/>
        <w:keepNext/>
      </w:pPr>
      <w:r>
        <w:t>92. Устойчивый отрицательный прогноз</w:t>
      </w:r>
    </w:p>
    <w:p>
      <w:pPr/>
      <w:r>
        <w:t>Лемма 12.13 (оценка движения остатка). [THM] Пусть P_t=Ψ_tΨ_t† - ортогональная проекция на Im Ψ_t в секторе постоянного ранга. Тогда для r_t=(I-P_t)q_t</w:t>
      </w:r>
    </w:p>
    <w:p>
      <w:pPr>
        <w:keepLines/>
        <w:spacing w:before="80" w:after="80"/>
        <w:jc w:val="center"/>
      </w:pPr>
      <w:r>
        <w:rPr>
          <w:rFonts w:ascii="Liberation Serif" w:hAnsi="Liberation Serif"/>
          <w:i/>
          <w:sz w:val="23"/>
        </w:rPr>
        <w:t>||r_t-r_s|| ≤ ||q_t-q_s|| + ||P_t-P_s||·||q_s||.</w:t>
      </w:r>
      <w:r>
        <w:rPr>
          <w:sz w:val="21"/>
        </w:rPr>
        <w:t xml:space="preserve">     (12.21)</w:t>
      </w:r>
    </w:p>
    <w:p>
      <w:pPr/>
      <w:r>
        <w:t>Доказательство. r_t-r_s=(I-P_t)(q_t-q_s)+(P_s-P_t)q_s. Норма ортогональной проекции не превосходит 1. □</w:t>
      </w:r>
    </w:p>
    <w:p>
      <w:pPr/>
      <w:r>
        <w:t>Теорема 12.14 (сертифицированная зона отсутствия подъёма). [THM/COMP] Если в точке t₀ известно ||r_{t₀}||=ρ&gt;0 и на окрестности U выполнено</w:t>
      </w:r>
    </w:p>
    <w:p>
      <w:pPr>
        <w:keepLines/>
        <w:spacing w:before="80" w:after="80"/>
        <w:jc w:val="center"/>
      </w:pPr>
      <w:r>
        <w:rPr>
          <w:rFonts w:ascii="Liberation Serif" w:hAnsi="Liberation Serif"/>
          <w:i/>
          <w:sz w:val="23"/>
        </w:rPr>
        <w:t>||q_t-q_{t₀}|| + ||P_t-P_{t₀}||·||q_{t₀}|| &lt; ρ,</w:t>
      </w:r>
      <w:r>
        <w:rPr>
          <w:sz w:val="21"/>
        </w:rPr>
        <w:t xml:space="preserve">     (12.22)</w:t>
      </w:r>
    </w:p>
    <w:p>
      <w:pPr/>
      <w:r>
        <w:t>то r_t≠0 для всех t∈U, а значит, подъём Ψ_t f=q_t внутри модели невозможен.</w:t>
      </w:r>
    </w:p>
    <w:p>
      <w:pPr/>
      <w:r>
        <w:t>Это первый строгий локальный отрицательный прогноз внутреннего obstruction-слоя: он исключает не событие вообще, а конкретный класс структурного перехода, который требует существования данного подъёма.</w:t>
      </w:r>
    </w:p>
    <w:p>
      <w:pPr>
        <w:pStyle w:val="Heading1"/>
        <w:keepNext/>
      </w:pPr>
      <w:r>
        <w:t>93. Главная условная теорема предсказательного метода v0.9</w:t>
      </w:r>
    </w:p>
    <w:p>
      <w:pPr/>
      <w:r>
        <w:t>Теорема 12.15 (minimal-obstruction-safe predictive theorem). [COND] Рассмотрим семейство</w:t>
      </w:r>
    </w:p>
    <w:p>
      <w:pPr>
        <w:keepLines/>
        <w:spacing w:before="80" w:after="80"/>
        <w:jc w:val="center"/>
      </w:pPr>
      <w:r>
        <w:rPr>
          <w:rFonts w:ascii="Liberation Serif" w:hAnsi="Liberation Serif"/>
          <w:i/>
          <w:sz w:val="23"/>
        </w:rPr>
        <w:t>F_t=(N_t,Ψ_t,q_t,ρ_t,D_t,Dom_t),     t∈I,</w:t>
      </w:r>
      <w:r>
        <w:rPr>
          <w:sz w:val="21"/>
        </w:rPr>
        <w:t xml:space="preserve">     (12.23)</w:t>
      </w:r>
    </w:p>
    <w:p>
      <w:pPr/>
      <w:r>
        <w:t>и предположим:</w:t>
      </w:r>
    </w:p>
    <w:p>
      <w:pPr>
        <w:pStyle w:val="ListBullet"/>
      </w:pPr>
      <w:r>
        <w:t>H1. Размерности F²_t и X²_t фиксированы на анализируемом секторе, а все тривиализации и базисы версионированы.</w:t>
      </w:r>
    </w:p>
    <w:p>
      <w:pPr>
        <w:pStyle w:val="ListBullet"/>
      </w:pPr>
      <w:r>
        <w:t>H2. Ψ_t и q_t аналитичны либо заданы сертифицированной интервальной арифметикой.</w:t>
      </w:r>
    </w:p>
    <w:p>
      <w:pPr>
        <w:pStyle w:val="ListBullet"/>
      </w:pPr>
      <w:r>
        <w:t>H3. Rank Ψ_t постоянен вне зарегистрированного Δ_rank; σ⁺(Ψ_t) отделено от нуля вне Δ_cond.</w:t>
      </w:r>
    </w:p>
    <w:p>
      <w:pPr>
        <w:pStyle w:val="ListBullet"/>
      </w:pPr>
      <w:r>
        <w:t>H4. Квадратичный класс q_t действительно относится к X²_t и не подменяет трёхлинейный ассоциатор без отдельной карты β_Ass.</w:t>
      </w:r>
    </w:p>
    <w:p>
      <w:pPr>
        <w:pStyle w:val="ListBullet"/>
      </w:pPr>
      <w:r>
        <w:t>H5. D_t валиден, Dom_t непуст и сохраняется на всём заявленном интервале.</w:t>
      </w:r>
    </w:p>
    <w:p>
      <w:pPr>
        <w:pStyle w:val="ListBullet"/>
      </w:pPr>
      <w:r>
        <w:t>H6. Реперная координата ρ_t=(R_t,I_t,U_t;D_t) определена вне полюсов; λ используется только как независимый диагностический слой.</w:t>
      </w:r>
    </w:p>
    <w:p>
      <w:pPr>
        <w:pStyle w:val="ListBullet"/>
      </w:pPr>
      <w:r>
        <w:t>H7. Атласный, tangent-, globalization-, holonomy- и differential-certificate предыдущих выпусков не содержат блокеров, необходимых для заявленного вывода.</w:t>
      </w:r>
    </w:p>
    <w:p>
      <w:pPr>
        <w:pStyle w:val="ListBullet"/>
      </w:pPr>
      <w:r>
        <w:t>H8. Вывод ограничен внутренним квадратичным подъёмом; внешний Π_E, высшие препятствия и физическая интерпретация не используются без своих сертификатов.</w:t>
      </w:r>
    </w:p>
    <w:p>
      <w:pPr/>
      <w:r>
        <w:t>Тогда на каждой связной компоненте I\Δ_min: (i) H²_t и H³_t образуют расслоения постоянных рангов; (ii) o_t=[q_t] является корректным аналитическим сечением; (iii) o_t=0 эквивалентно существованию внутреннего подъёма; (iv) множество подъёмов является H²_t-торсором; (v) на каждом сертифицированном компакте, где ||r_t||≥ε_ob&gt;0, переход, требующий такого подъёма, невозможен внутри модели; (vi) точки o_t=0 создают только CANDIDATE-LIFT-TO-ORDER-2.</w:t>
      </w:r>
    </w:p>
    <w:p>
      <w:pPr/>
      <w:r>
        <w:t>Доказательство. Пункты (i)-(iv) следуют из теорем 12.6-12.12. Пункт (v) следует из непрерывности остатка и нижней границы либо непосредственно из теоремы 12.14. Пункт (vi) следует из того, что C_min контролирует только внутренний квадратичный фактор и не содержит данных о высших, глобальных или внешних препятствиях. □</w:t>
      </w:r>
    </w:p>
    <w:p>
      <w:pPr>
        <w:keepNext/>
        <w:jc w:val="center"/>
      </w:pPr>
      <w:r>
        <w:drawing>
          <wp:inline xmlns:a="http://schemas.openxmlformats.org/drawingml/2006/main" xmlns:pic="http://schemas.openxmlformats.org/drawingml/2006/picture">
            <wp:extent cx="5760000" cy="2824155"/>
            <wp:docPr id="29" name="Picture 29"/>
            <wp:cNvGraphicFramePr>
              <a:graphicFrameLocks noChangeAspect="1"/>
            </wp:cNvGraphicFramePr>
            <a:graphic>
              <a:graphicData uri="http://schemas.openxmlformats.org/drawingml/2006/picture">
                <pic:pic>
                  <pic:nvPicPr>
                    <pic:cNvPr id="0" name="fig25_predictive_gate.png"/>
                    <pic:cNvPicPr/>
                  </pic:nvPicPr>
                  <pic:blipFill>
                    <a:blip r:embed="rId56"/>
                    <a:stretch>
                      <a:fillRect/>
                    </a:stretch>
                  </pic:blipFill>
                  <pic:spPr>
                    <a:xfrm>
                      <a:off x="0" y="0"/>
                      <a:ext cx="5760000" cy="2824155"/>
                    </a:xfrm>
                    <a:prstGeom prst="rect"/>
                  </pic:spPr>
                </pic:pic>
              </a:graphicData>
            </a:graphic>
          </wp:inline>
        </w:drawing>
      </w:r>
    </w:p>
    <w:p>
      <w:pPr>
        <w:pStyle w:val="Caption"/>
        <w:keepNext/>
        <w:jc w:val="center"/>
      </w:pPr>
      <w:r>
        <w:t>Рисунок 25. Blocker-safe шлюз внутреннего obstruction-прогноза. Собственная схема Тома II.</w:t>
      </w:r>
    </w:p>
    <w:p>
      <w:pPr>
        <w:pStyle w:val="Heading1"/>
        <w:keepNext/>
      </w:pPr>
      <w:r>
        <w:t>94. Проективно-гармонический Reper-шлюз</w:t>
      </w:r>
    </w:p>
    <w:p>
      <w:pPr/>
      <w:r>
        <w:t>Определение 12.9 (совместный сертификат). [DEF-A] Для структурного кандидата x_t задаётся</w:t>
      </w:r>
    </w:p>
    <w:p>
      <w:pPr>
        <w:keepLines/>
        <w:spacing w:before="80" w:after="80"/>
        <w:jc w:val="center"/>
      </w:pPr>
      <w:r>
        <w:rPr>
          <w:rFonts w:ascii="Liberation Serif" w:hAnsi="Liberation Serif"/>
          <w:i/>
          <w:sz w:val="23"/>
        </w:rPr>
        <w:t>Cert_min(t)=(type_ok, [q_t], ||r_t||, σ⁺_t, Valid(D_t), Dom_t, δ_truth(t), Block_t).</w:t>
      </w:r>
      <w:r>
        <w:rPr>
          <w:sz w:val="21"/>
        </w:rPr>
        <w:t xml:space="preserve">     (12.24)</w:t>
      </w:r>
    </w:p>
    <w:p>
      <w:pPr/>
      <w:r>
        <w:t>Строгий селектор допускает кандидат внутреннего подъёма только при одновременном выполнении</w:t>
      </w:r>
    </w:p>
    <w:p>
      <w:pPr>
        <w:keepLines/>
        <w:spacing w:before="80" w:after="80"/>
        <w:jc w:val="center"/>
      </w:pPr>
      <w:r>
        <w:rPr>
          <w:rFonts w:ascii="Liberation Serif" w:hAnsi="Liberation Serif"/>
          <w:i/>
          <w:sz w:val="23"/>
        </w:rPr>
        <w:t>[q_t]=0,  ||r_t||≤ε_num,  σ⁺_t≥s₀,  Valid(D_t)=1,  Dom_t=1,  Block_t=∅.</w:t>
      </w:r>
      <w:r>
        <w:rPr>
          <w:sz w:val="21"/>
        </w:rPr>
        <w:t xml:space="preserve">     (12.25)</w:t>
      </w:r>
    </w:p>
    <w:p>
      <w:pPr/>
      <w:r>
        <w:t>Условие λ=-1 или δ_truth≤τ может добавляться как проективно-гармонический фильтр, но не заменяет ни одного условия (12.25). Поэтому</w:t>
      </w:r>
    </w:p>
    <w:p>
      <w:pPr>
        <w:keepLines/>
        <w:spacing w:before="80" w:after="80"/>
        <w:jc w:val="center"/>
      </w:pPr>
      <w:r>
        <w:rPr>
          <w:rFonts w:ascii="Liberation Serif" w:hAnsi="Liberation Serif"/>
          <w:i/>
          <w:sz w:val="23"/>
        </w:rPr>
        <w:t>λ=-1  ⇏  [q]=0,      [q]=0  ⇏  λ=-1.</w:t>
      </w:r>
      <w:r>
        <w:rPr>
          <w:sz w:val="21"/>
        </w:rPr>
        <w:t xml:space="preserve">     (12.26)</w:t>
      </w:r>
    </w:p>
    <w:p>
      <w:pPr/>
      <w:r>
        <w:t>Две координаты логически независимы: λ описывает конфигурационную гармонию репера, а [q] - разрешимость внутренней линейной задачи вычисления.</w:t>
      </w:r>
    </w:p>
    <w:p>
      <w:pPr>
        <w:pStyle w:val="Heading1"/>
        <w:keepNext/>
      </w:pPr>
      <w:r>
        <w:t>95. Контрпримеры и граничные случаи</w:t>
      </w:r>
    </w:p>
    <w:tbl>
      <w:tblPr>
        <w:tblStyle w:val="TableGrid"/>
        <w:tblW w:type="auto" w:w="0"/>
        <w:jc w:val="center"/>
        <w:tblLayout w:type="fixed"/>
        <w:tblLook w:firstColumn="1" w:firstRow="1" w:lastColumn="0" w:lastRow="0" w:noHBand="0" w:noVBand="1" w:val="04A0"/>
      </w:tblPr>
      <w:tblGrid>
        <w:gridCol w:w="2438"/>
        <w:gridCol w:w="2438"/>
        <w:gridCol w:w="2438"/>
        <w:gridCol w:w="2438"/>
      </w:tblGrid>
      <w:tr>
        <w:trPr>
          <w:tblHeader w:val="true"/>
        </w:trPr>
        <w:tc>
          <w:tcPr>
            <w:tcW w:type="dxa" w:w="680"/>
            <w:shd w:fill="1F4E79"/>
            <w:tcMar>
              <w:top w:w="90" w:type="dxa"/>
              <w:start w:w="90" w:type="dxa"/>
              <w:bottom w:w="90" w:type="dxa"/>
              <w:end w:w="90" w:type="dxa"/>
            </w:tcMar>
            <w:vAlign w:val="center"/>
          </w:tcPr>
          <w:p>
            <w:pPr>
              <w:jc w:val="center"/>
            </w:pPr>
            <w:r>
              <w:rPr>
                <w:rFonts w:ascii="Liberation Sans" w:hAnsi="Liberation Sans"/>
                <w:b/>
                <w:color w:val="FFFFFF"/>
                <w:sz w:val="16"/>
              </w:rPr>
              <w:t>ID</w:t>
            </w:r>
          </w:p>
        </w:tc>
        <w:tc>
          <w:tcPr>
            <w:tcW w:type="dxa" w:w="2381"/>
            <w:shd w:fill="1F4E79"/>
            <w:tcMar>
              <w:top w:w="90" w:type="dxa"/>
              <w:start w:w="90" w:type="dxa"/>
              <w:bottom w:w="90" w:type="dxa"/>
              <w:end w:w="90" w:type="dxa"/>
            </w:tcMar>
            <w:vAlign w:val="center"/>
          </w:tcPr>
          <w:p>
            <w:pPr>
              <w:jc w:val="center"/>
            </w:pPr>
            <w:r>
              <w:rPr>
                <w:rFonts w:ascii="Liberation Sans" w:hAnsi="Liberation Sans"/>
                <w:b/>
                <w:color w:val="FFFFFF"/>
                <w:sz w:val="16"/>
              </w:rPr>
              <w:t>Модель</w:t>
            </w:r>
          </w:p>
        </w:tc>
        <w:tc>
          <w:tcPr>
            <w:tcW w:type="dxa" w:w="2324"/>
            <w:shd w:fill="1F4E79"/>
            <w:tcMar>
              <w:top w:w="90" w:type="dxa"/>
              <w:start w:w="90" w:type="dxa"/>
              <w:bottom w:w="90" w:type="dxa"/>
              <w:end w:w="90" w:type="dxa"/>
            </w:tcMar>
            <w:vAlign w:val="center"/>
          </w:tcPr>
          <w:p>
            <w:pPr>
              <w:jc w:val="center"/>
            </w:pPr>
            <w:r>
              <w:rPr>
                <w:rFonts w:ascii="Liberation Sans" w:hAnsi="Liberation Sans"/>
                <w:b/>
                <w:color w:val="FFFFFF"/>
                <w:sz w:val="16"/>
              </w:rPr>
              <w:t>Когомология</w:t>
            </w:r>
          </w:p>
        </w:tc>
        <w:tc>
          <w:tcPr>
            <w:tcW w:type="dxa" w:w="3969"/>
            <w:shd w:fill="1F4E79"/>
            <w:tcMar>
              <w:top w:w="90" w:type="dxa"/>
              <w:start w:w="90" w:type="dxa"/>
              <w:bottom w:w="90" w:type="dxa"/>
              <w:end w:w="90" w:type="dxa"/>
            </w:tcMar>
            <w:vAlign w:val="center"/>
          </w:tcPr>
          <w:p>
            <w:pPr>
              <w:jc w:val="center"/>
            </w:pPr>
            <w:r>
              <w:rPr>
                <w:rFonts w:ascii="Liberation Sans" w:hAnsi="Liberation Sans"/>
                <w:b/>
                <w:color w:val="FFFFFF"/>
                <w:sz w:val="16"/>
              </w:rPr>
              <w:t>Вывод</w:t>
            </w:r>
          </w:p>
        </w:tc>
      </w:tr>
      <w:tr>
        <w:tc>
          <w:tcPr>
            <w:tcW w:type="dxa" w:w="680"/>
            <w:shd w:fill="FFFFFF"/>
            <w:tcMar>
              <w:top w:w="80" w:type="dxa"/>
              <w:start w:w="90" w:type="dxa"/>
              <w:bottom w:w="80" w:type="dxa"/>
              <w:end w:w="90" w:type="dxa"/>
            </w:tcMar>
            <w:vAlign w:val="center"/>
          </w:tcPr>
          <w:p>
            <w:pPr>
              <w:jc w:val="center"/>
            </w:pPr>
            <w:r>
              <w:rPr>
                <w:rFonts w:ascii="Liberation Serif" w:hAnsi="Liberation Serif"/>
                <w:sz w:val="16"/>
              </w:rPr>
              <w:t>M1</w:t>
            </w:r>
          </w:p>
        </w:tc>
        <w:tc>
          <w:tcPr>
            <w:tcW w:type="dxa" w:w="2381"/>
            <w:shd w:fill="FFFFFF"/>
            <w:tcMar>
              <w:top w:w="80" w:type="dxa"/>
              <w:start w:w="90" w:type="dxa"/>
              <w:bottom w:w="80" w:type="dxa"/>
              <w:end w:w="90" w:type="dxa"/>
            </w:tcMar>
            <w:vAlign w:val="center"/>
          </w:tcPr>
          <w:p>
            <w:pPr>
              <w:jc w:val="left"/>
            </w:pPr>
            <w:r>
              <w:rPr>
                <w:rFonts w:ascii="Liberation Serif" w:hAnsi="Liberation Serif"/>
                <w:sz w:val="16"/>
              </w:rPr>
              <w:t>Ψ=diag(1,0): K²→K²</w:t>
            </w:r>
          </w:p>
        </w:tc>
        <w:tc>
          <w:tcPr>
            <w:tcW w:type="dxa" w:w="2324"/>
            <w:shd w:fill="FFFFFF"/>
            <w:tcMar>
              <w:top w:w="80" w:type="dxa"/>
              <w:start w:w="90" w:type="dxa"/>
              <w:bottom w:w="80" w:type="dxa"/>
              <w:end w:w="90" w:type="dxa"/>
            </w:tcMar>
            <w:vAlign w:val="center"/>
          </w:tcPr>
          <w:p>
            <w:pPr>
              <w:jc w:val="center"/>
            </w:pPr>
            <w:r>
              <w:rPr>
                <w:rFonts w:ascii="Liberation Serif" w:hAnsi="Liberation Serif"/>
                <w:sz w:val="16"/>
              </w:rPr>
              <w:t>H²≅K, H³≅K</w:t>
            </w:r>
          </w:p>
        </w:tc>
        <w:tc>
          <w:tcPr>
            <w:tcW w:type="dxa" w:w="3969"/>
            <w:shd w:fill="FFFFFF"/>
            <w:tcMar>
              <w:top w:w="80" w:type="dxa"/>
              <w:start w:w="90" w:type="dxa"/>
              <w:bottom w:w="80" w:type="dxa"/>
              <w:end w:w="90" w:type="dxa"/>
            </w:tcMar>
            <w:vAlign w:val="center"/>
          </w:tcPr>
          <w:p>
            <w:pPr>
              <w:jc w:val="left"/>
            </w:pPr>
            <w:r>
              <w:rPr>
                <w:rFonts w:ascii="Liberation Serif" w:hAnsi="Liberation Serif"/>
                <w:sz w:val="16"/>
              </w:rPr>
              <w:t>q=(a,b) поднимается ⇔ b=0; Lift(q)={(a,s)}.</w:t>
            </w:r>
          </w:p>
        </w:tc>
      </w:tr>
      <w:tr>
        <w:tc>
          <w:tcPr>
            <w:tcW w:type="dxa" w:w="680"/>
            <w:shd w:fill="EEF3F8"/>
            <w:tcMar>
              <w:top w:w="80" w:type="dxa"/>
              <w:start w:w="90" w:type="dxa"/>
              <w:bottom w:w="80" w:type="dxa"/>
              <w:end w:w="90" w:type="dxa"/>
            </w:tcMar>
            <w:vAlign w:val="center"/>
          </w:tcPr>
          <w:p>
            <w:pPr>
              <w:jc w:val="center"/>
            </w:pPr>
            <w:r>
              <w:rPr>
                <w:rFonts w:ascii="Liberation Serif" w:hAnsi="Liberation Serif"/>
                <w:sz w:val="16"/>
              </w:rPr>
              <w:t>M2</w:t>
            </w:r>
          </w:p>
        </w:tc>
        <w:tc>
          <w:tcPr>
            <w:tcW w:type="dxa" w:w="2381"/>
            <w:shd w:fill="EEF3F8"/>
            <w:tcMar>
              <w:top w:w="80" w:type="dxa"/>
              <w:start w:w="90" w:type="dxa"/>
              <w:bottom w:w="80" w:type="dxa"/>
              <w:end w:w="90" w:type="dxa"/>
            </w:tcMar>
            <w:vAlign w:val="center"/>
          </w:tcPr>
          <w:p>
            <w:pPr>
              <w:jc w:val="left"/>
            </w:pPr>
            <w:r>
              <w:rPr>
                <w:rFonts w:ascii="Liberation Serif" w:hAnsi="Liberation Serif"/>
                <w:sz w:val="16"/>
              </w:rPr>
              <w:t>Ψ:[u,v]↦u+v</w:t>
            </w:r>
          </w:p>
        </w:tc>
        <w:tc>
          <w:tcPr>
            <w:tcW w:type="dxa" w:w="2324"/>
            <w:shd w:fill="EEF3F8"/>
            <w:tcMar>
              <w:top w:w="80" w:type="dxa"/>
              <w:start w:w="90" w:type="dxa"/>
              <w:bottom w:w="80" w:type="dxa"/>
              <w:end w:w="90" w:type="dxa"/>
            </w:tcMar>
            <w:vAlign w:val="center"/>
          </w:tcPr>
          <w:p>
            <w:pPr>
              <w:jc w:val="center"/>
            </w:pPr>
            <w:r>
              <w:rPr>
                <w:rFonts w:ascii="Liberation Serif" w:hAnsi="Liberation Serif"/>
                <w:sz w:val="16"/>
              </w:rPr>
              <w:t>H²≅K, H³=0</w:t>
            </w:r>
          </w:p>
        </w:tc>
        <w:tc>
          <w:tcPr>
            <w:tcW w:type="dxa" w:w="3969"/>
            <w:shd w:fill="EEF3F8"/>
            <w:tcMar>
              <w:top w:w="80" w:type="dxa"/>
              <w:start w:w="90" w:type="dxa"/>
              <w:bottom w:w="80" w:type="dxa"/>
              <w:end w:w="90" w:type="dxa"/>
            </w:tcMar>
            <w:vAlign w:val="center"/>
          </w:tcPr>
          <w:p>
            <w:pPr>
              <w:jc w:val="left"/>
            </w:pPr>
            <w:r>
              <w:rPr>
                <w:rFonts w:ascii="Liberation Serif" w:hAnsi="Liberation Serif"/>
                <w:sz w:val="16"/>
              </w:rPr>
              <w:t>Все q поднимаются, но подъём неединственен.</w:t>
            </w:r>
          </w:p>
        </w:tc>
      </w:tr>
      <w:tr>
        <w:tc>
          <w:tcPr>
            <w:tcW w:type="dxa" w:w="680"/>
            <w:shd w:fill="FFFFFF"/>
            <w:tcMar>
              <w:top w:w="80" w:type="dxa"/>
              <w:start w:w="90" w:type="dxa"/>
              <w:bottom w:w="80" w:type="dxa"/>
              <w:end w:w="90" w:type="dxa"/>
            </w:tcMar>
            <w:vAlign w:val="center"/>
          </w:tcPr>
          <w:p>
            <w:pPr>
              <w:jc w:val="center"/>
            </w:pPr>
            <w:r>
              <w:rPr>
                <w:rFonts w:ascii="Liberation Serif" w:hAnsi="Liberation Serif"/>
                <w:sz w:val="16"/>
              </w:rPr>
              <w:t>M3</w:t>
            </w:r>
          </w:p>
        </w:tc>
        <w:tc>
          <w:tcPr>
            <w:tcW w:type="dxa" w:w="2381"/>
            <w:shd w:fill="FFFFFF"/>
            <w:tcMar>
              <w:top w:w="80" w:type="dxa"/>
              <w:start w:w="90" w:type="dxa"/>
              <w:bottom w:w="80" w:type="dxa"/>
              <w:end w:w="90" w:type="dxa"/>
            </w:tcMar>
            <w:vAlign w:val="center"/>
          </w:tcPr>
          <w:p>
            <w:pPr>
              <w:jc w:val="left"/>
            </w:pPr>
            <w:r>
              <w:rPr>
                <w:rFonts w:ascii="Liberation Serif" w:hAnsi="Liberation Serif"/>
                <w:sz w:val="16"/>
              </w:rPr>
              <w:t>Ψ=0:K→K</w:t>
            </w:r>
          </w:p>
        </w:tc>
        <w:tc>
          <w:tcPr>
            <w:tcW w:type="dxa" w:w="2324"/>
            <w:shd w:fill="FFFFFF"/>
            <w:tcMar>
              <w:top w:w="80" w:type="dxa"/>
              <w:start w:w="90" w:type="dxa"/>
              <w:bottom w:w="80" w:type="dxa"/>
              <w:end w:w="90" w:type="dxa"/>
            </w:tcMar>
            <w:vAlign w:val="center"/>
          </w:tcPr>
          <w:p>
            <w:pPr>
              <w:jc w:val="center"/>
            </w:pPr>
            <w:r>
              <w:rPr>
                <w:rFonts w:ascii="Liberation Serif" w:hAnsi="Liberation Serif"/>
                <w:sz w:val="16"/>
              </w:rPr>
              <w:t>H²≅K, H³≅K</w:t>
            </w:r>
          </w:p>
        </w:tc>
        <w:tc>
          <w:tcPr>
            <w:tcW w:type="dxa" w:w="3969"/>
            <w:shd w:fill="FFFFFF"/>
            <w:tcMar>
              <w:top w:w="80" w:type="dxa"/>
              <w:start w:w="90" w:type="dxa"/>
              <w:bottom w:w="80" w:type="dxa"/>
              <w:end w:w="90" w:type="dxa"/>
            </w:tcMar>
            <w:vAlign w:val="center"/>
          </w:tcPr>
          <w:p>
            <w:pPr>
              <w:jc w:val="left"/>
            </w:pPr>
            <w:r>
              <w:rPr>
                <w:rFonts w:ascii="Liberation Serif" w:hAnsi="Liberation Serif"/>
                <w:sz w:val="16"/>
              </w:rPr>
              <w:t>q=1 не поднимается; q=0 имеет все f как подъёмы.</w:t>
            </w:r>
          </w:p>
        </w:tc>
      </w:tr>
      <w:tr>
        <w:tc>
          <w:tcPr>
            <w:tcW w:type="dxa" w:w="680"/>
            <w:shd w:fill="EEF3F8"/>
            <w:tcMar>
              <w:top w:w="80" w:type="dxa"/>
              <w:start w:w="90" w:type="dxa"/>
              <w:bottom w:w="80" w:type="dxa"/>
              <w:end w:w="90" w:type="dxa"/>
            </w:tcMar>
            <w:vAlign w:val="center"/>
          </w:tcPr>
          <w:p>
            <w:pPr>
              <w:jc w:val="center"/>
            </w:pPr>
            <w:r>
              <w:rPr>
                <w:rFonts w:ascii="Liberation Serif" w:hAnsi="Liberation Serif"/>
                <w:sz w:val="16"/>
              </w:rPr>
              <w:t>M4</w:t>
            </w:r>
          </w:p>
        </w:tc>
        <w:tc>
          <w:tcPr>
            <w:tcW w:type="dxa" w:w="2381"/>
            <w:shd w:fill="EEF3F8"/>
            <w:tcMar>
              <w:top w:w="80" w:type="dxa"/>
              <w:start w:w="90" w:type="dxa"/>
              <w:bottom w:w="80" w:type="dxa"/>
              <w:end w:w="90" w:type="dxa"/>
            </w:tcMar>
            <w:vAlign w:val="center"/>
          </w:tcPr>
          <w:p>
            <w:pPr>
              <w:jc w:val="left"/>
            </w:pPr>
            <w:r>
              <w:rPr>
                <w:rFonts w:ascii="Liberation Serif" w:hAnsi="Liberation Serif"/>
                <w:sz w:val="16"/>
              </w:rPr>
              <w:t>Ψ_t=[t], q_t=1</w:t>
            </w:r>
          </w:p>
        </w:tc>
        <w:tc>
          <w:tcPr>
            <w:tcW w:type="dxa" w:w="2324"/>
            <w:shd w:fill="EEF3F8"/>
            <w:tcMar>
              <w:top w:w="80" w:type="dxa"/>
              <w:start w:w="90" w:type="dxa"/>
              <w:bottom w:w="80" w:type="dxa"/>
              <w:end w:w="90" w:type="dxa"/>
            </w:tcMar>
            <w:vAlign w:val="center"/>
          </w:tcPr>
          <w:p>
            <w:pPr>
              <w:jc w:val="center"/>
            </w:pPr>
            <w:r>
              <w:rPr>
                <w:rFonts w:ascii="Liberation Serif" w:hAnsi="Liberation Serif"/>
                <w:sz w:val="16"/>
              </w:rPr>
              <w:t>t≠0: H³=0; t=0: H³≅K</w:t>
            </w:r>
          </w:p>
        </w:tc>
        <w:tc>
          <w:tcPr>
            <w:tcW w:type="dxa" w:w="3969"/>
            <w:shd w:fill="EEF3F8"/>
            <w:tcMar>
              <w:top w:w="80" w:type="dxa"/>
              <w:start w:w="90" w:type="dxa"/>
              <w:bottom w:w="80" w:type="dxa"/>
              <w:end w:w="90" w:type="dxa"/>
            </w:tcMar>
            <w:vAlign w:val="center"/>
          </w:tcPr>
          <w:p>
            <w:pPr>
              <w:jc w:val="left"/>
            </w:pPr>
            <w:r>
              <w:rPr>
                <w:rFonts w:ascii="Liberation Serif" w:hAnsi="Liberation Serif"/>
                <w:sz w:val="16"/>
              </w:rPr>
              <w:t>Подъём f=1/t взрывается при t→0; rank/condition horizon обязателен.</w:t>
            </w:r>
          </w:p>
        </w:tc>
      </w:tr>
      <w:tr>
        <w:tc>
          <w:tcPr>
            <w:tcW w:type="dxa" w:w="680"/>
            <w:shd w:fill="FFFFFF"/>
            <w:tcMar>
              <w:top w:w="80" w:type="dxa"/>
              <w:start w:w="90" w:type="dxa"/>
              <w:bottom w:w="80" w:type="dxa"/>
              <w:end w:w="90" w:type="dxa"/>
            </w:tcMar>
            <w:vAlign w:val="center"/>
          </w:tcPr>
          <w:p>
            <w:pPr>
              <w:jc w:val="center"/>
            </w:pPr>
            <w:r>
              <w:rPr>
                <w:rFonts w:ascii="Liberation Serif" w:hAnsi="Liberation Serif"/>
                <w:sz w:val="16"/>
              </w:rPr>
              <w:t>M5</w:t>
            </w:r>
          </w:p>
        </w:tc>
        <w:tc>
          <w:tcPr>
            <w:tcW w:type="dxa" w:w="2381"/>
            <w:shd w:fill="FFFFFF"/>
            <w:tcMar>
              <w:top w:w="80" w:type="dxa"/>
              <w:start w:w="90" w:type="dxa"/>
              <w:bottom w:w="80" w:type="dxa"/>
              <w:end w:w="90" w:type="dxa"/>
            </w:tcMar>
            <w:vAlign w:val="center"/>
          </w:tcPr>
          <w:p>
            <w:pPr>
              <w:jc w:val="left"/>
            </w:pPr>
            <w:r>
              <w:rPr>
                <w:rFonts w:ascii="Liberation Serif" w:hAnsi="Liberation Serif"/>
                <w:sz w:val="16"/>
              </w:rPr>
              <w:t>H³≠0, q∈Im Ψ</w:t>
            </w:r>
          </w:p>
        </w:tc>
        <w:tc>
          <w:tcPr>
            <w:tcW w:type="dxa" w:w="2324"/>
            <w:shd w:fill="FFFFFF"/>
            <w:tcMar>
              <w:top w:w="80" w:type="dxa"/>
              <w:start w:w="90" w:type="dxa"/>
              <w:bottom w:w="80" w:type="dxa"/>
              <w:end w:w="90" w:type="dxa"/>
            </w:tcMar>
            <w:vAlign w:val="center"/>
          </w:tcPr>
          <w:p>
            <w:pPr>
              <w:jc w:val="center"/>
            </w:pPr>
            <w:r>
              <w:rPr>
                <w:rFonts w:ascii="Liberation Serif" w:hAnsi="Liberation Serif"/>
                <w:sz w:val="16"/>
              </w:rPr>
              <w:t>Конкретный [q]=0</w:t>
            </w:r>
          </w:p>
        </w:tc>
        <w:tc>
          <w:tcPr>
            <w:tcW w:type="dxa" w:w="3969"/>
            <w:shd w:fill="FFFFFF"/>
            <w:tcMar>
              <w:top w:w="80" w:type="dxa"/>
              <w:start w:w="90" w:type="dxa"/>
              <w:bottom w:w="80" w:type="dxa"/>
              <w:end w:w="90" w:type="dxa"/>
            </w:tcMar>
            <w:vAlign w:val="center"/>
          </w:tcPr>
          <w:p>
            <w:pPr>
              <w:jc w:val="left"/>
            </w:pPr>
            <w:r>
              <w:rPr>
                <w:rFonts w:ascii="Liberation Serif" w:hAnsi="Liberation Serif"/>
                <w:sz w:val="16"/>
              </w:rPr>
              <w:t>Ненулевое пространство препятствий не означает, что каждый кандидат препятствован.</w:t>
            </w:r>
          </w:p>
        </w:tc>
      </w:tr>
      <w:tr>
        <w:tc>
          <w:tcPr>
            <w:tcW w:type="dxa" w:w="680"/>
            <w:shd w:fill="EEF3F8"/>
            <w:tcMar>
              <w:top w:w="80" w:type="dxa"/>
              <w:start w:w="90" w:type="dxa"/>
              <w:bottom w:w="80" w:type="dxa"/>
              <w:end w:w="90" w:type="dxa"/>
            </w:tcMar>
            <w:vAlign w:val="center"/>
          </w:tcPr>
          <w:p>
            <w:pPr>
              <w:jc w:val="center"/>
            </w:pPr>
            <w:r>
              <w:rPr>
                <w:rFonts w:ascii="Liberation Serif" w:hAnsi="Liberation Serif"/>
                <w:sz w:val="16"/>
              </w:rPr>
              <w:t>M6</w:t>
            </w:r>
          </w:p>
        </w:tc>
        <w:tc>
          <w:tcPr>
            <w:tcW w:type="dxa" w:w="2381"/>
            <w:shd w:fill="EEF3F8"/>
            <w:tcMar>
              <w:top w:w="80" w:type="dxa"/>
              <w:start w:w="90" w:type="dxa"/>
              <w:bottom w:w="80" w:type="dxa"/>
              <w:end w:w="90" w:type="dxa"/>
            </w:tcMar>
            <w:vAlign w:val="center"/>
          </w:tcPr>
          <w:p>
            <w:pPr>
              <w:jc w:val="left"/>
            </w:pPr>
            <w:r>
              <w:rPr>
                <w:rFonts w:ascii="Liberation Serif" w:hAnsi="Liberation Serif"/>
                <w:sz w:val="16"/>
              </w:rPr>
              <w:t>Первичный q₂=0, следующий q₃≠0</w:t>
            </w:r>
          </w:p>
        </w:tc>
        <w:tc>
          <w:tcPr>
            <w:tcW w:type="dxa" w:w="2324"/>
            <w:shd w:fill="EEF3F8"/>
            <w:tcMar>
              <w:top w:w="80" w:type="dxa"/>
              <w:start w:w="90" w:type="dxa"/>
              <w:bottom w:w="80" w:type="dxa"/>
              <w:end w:w="90" w:type="dxa"/>
            </w:tcMar>
            <w:vAlign w:val="center"/>
          </w:tcPr>
          <w:p>
            <w:pPr>
              <w:jc w:val="center"/>
            </w:pPr>
            <w:r>
              <w:rPr>
                <w:rFonts w:ascii="Liberation Serif" w:hAnsi="Liberation Serif"/>
                <w:sz w:val="16"/>
              </w:rPr>
              <w:t>C_min не видит q₃</w:t>
            </w:r>
          </w:p>
        </w:tc>
        <w:tc>
          <w:tcPr>
            <w:tcW w:type="dxa" w:w="3969"/>
            <w:shd w:fill="EEF3F8"/>
            <w:tcMar>
              <w:top w:w="80" w:type="dxa"/>
              <w:start w:w="90" w:type="dxa"/>
              <w:bottom w:w="80" w:type="dxa"/>
              <w:end w:w="90" w:type="dxa"/>
            </w:tcMar>
            <w:vAlign w:val="center"/>
          </w:tcPr>
          <w:p>
            <w:pPr>
              <w:jc w:val="left"/>
            </w:pPr>
            <w:r>
              <w:rPr>
                <w:rFonts w:ascii="Liberation Serif" w:hAnsi="Liberation Serif"/>
                <w:sz w:val="16"/>
              </w:rPr>
              <w:t>Нулевой внутренний класс не гарантирует полный формальный lift.</w:t>
            </w:r>
          </w:p>
        </w:tc>
      </w:tr>
    </w:tbl>
    <w:p>
      <w:pPr/>
      <w:r>
        <w:t>Контртеорема 12.16 (четыре запрета). [THM] В общем случае неверны импликации:</w:t>
      </w:r>
    </w:p>
    <w:p>
      <w:pPr>
        <w:pStyle w:val="ListBullet"/>
      </w:pPr>
      <w:r>
        <w:t>H³(C_min)≠0 ⇒ конкретный q препятствован;</w:t>
      </w:r>
    </w:p>
    <w:p>
      <w:pPr>
        <w:pStyle w:val="ListBullet"/>
      </w:pPr>
      <w:r>
        <w:t>[q]=0 ⇒ существует единственная деформация;</w:t>
      </w:r>
    </w:p>
    <w:p>
      <w:pPr>
        <w:pStyle w:val="ListBullet"/>
      </w:pPr>
      <w:r>
        <w:t>[q]=0 ⇒ исчезают высшие или глобальные препятствия;</w:t>
      </w:r>
    </w:p>
    <w:p>
      <w:pPr>
        <w:pStyle w:val="ListBullet"/>
      </w:pPr>
      <w:r>
        <w:t>H³(C_min)≠0 ⇒ существует физическая кривизна, голономия или наблюдаемый эффект.</w:t>
      </w:r>
    </w:p>
    <w:p>
      <w:pPr/>
      <w:r>
        <w:t>Доказательство дают модели M2, M5, M6 и чисто формальная модель M3 без геометрической или физической структуры. □</w:t>
      </w:r>
    </w:p>
    <w:p>
      <w:pPr>
        <w:pStyle w:val="Heading1"/>
        <w:keepNext/>
      </w:pPr>
      <w:r>
        <w:t>96. Вычислительный сертификат MIN-OB v0.9</w:t>
      </w:r>
    </w:p>
    <w:p>
      <w:pPr>
        <w:pStyle w:val="Heading2"/>
        <w:keepNext/>
      </w:pPr>
      <w:r>
        <w:t>96.1. Обязательные стадии</w:t>
      </w:r>
    </w:p>
    <w:tbl>
      <w:tblPr>
        <w:tblStyle w:val="TableGrid"/>
        <w:tblW w:type="auto" w:w="0"/>
        <w:jc w:val="center"/>
        <w:tblLayout w:type="fixed"/>
        <w:tblLook w:firstColumn="1" w:firstRow="1" w:lastColumn="0" w:lastRow="0" w:noHBand="0" w:noVBand="1" w:val="04A0"/>
      </w:tblPr>
      <w:tblGrid>
        <w:gridCol w:w="4876"/>
        <w:gridCol w:w="4876"/>
      </w:tblGrid>
      <w:tr>
        <w:trPr>
          <w:tblHeader w:val="true"/>
        </w:trPr>
        <w:tc>
          <w:tcPr>
            <w:tcW w:type="dxa" w:w="1247"/>
            <w:shd w:fill="1F4E79"/>
            <w:tcMar>
              <w:top w:w="90" w:type="dxa"/>
              <w:start w:w="90" w:type="dxa"/>
              <w:bottom w:w="90" w:type="dxa"/>
              <w:end w:w="90" w:type="dxa"/>
            </w:tcMar>
            <w:vAlign w:val="center"/>
          </w:tcPr>
          <w:p>
            <w:pPr>
              <w:jc w:val="center"/>
            </w:pPr>
            <w:r>
              <w:rPr>
                <w:rFonts w:ascii="Liberation Sans" w:hAnsi="Liberation Sans"/>
                <w:b/>
                <w:color w:val="FFFFFF"/>
                <w:sz w:val="17"/>
              </w:rPr>
              <w:t>Шаг</w:t>
            </w:r>
          </w:p>
        </w:tc>
        <w:tc>
          <w:tcPr>
            <w:tcW w:type="dxa" w:w="8107"/>
            <w:shd w:fill="1F4E79"/>
            <w:tcMar>
              <w:top w:w="90" w:type="dxa"/>
              <w:start w:w="90" w:type="dxa"/>
              <w:bottom w:w="90" w:type="dxa"/>
              <w:end w:w="90" w:type="dxa"/>
            </w:tcMar>
            <w:vAlign w:val="center"/>
          </w:tcPr>
          <w:p>
            <w:pPr>
              <w:jc w:val="center"/>
            </w:pPr>
            <w:r>
              <w:rPr>
                <w:rFonts w:ascii="Liberation Sans" w:hAnsi="Liberation Sans"/>
                <w:b/>
                <w:color w:val="FFFFFF"/>
                <w:sz w:val="17"/>
              </w:rPr>
              <w:t>Проверка</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7"/>
              </w:rPr>
              <w:t>MIN-01</w:t>
            </w:r>
          </w:p>
        </w:tc>
        <w:tc>
          <w:tcPr>
            <w:tcW w:type="dxa" w:w="8107"/>
            <w:shd w:fill="FFFFFF"/>
            <w:tcMar>
              <w:top w:w="80" w:type="dxa"/>
              <w:start w:w="90" w:type="dxa"/>
              <w:bottom w:w="80" w:type="dxa"/>
              <w:end w:w="90" w:type="dxa"/>
            </w:tcMar>
            <w:vAlign w:val="center"/>
          </w:tcPr>
          <w:p>
            <w:pPr>
              <w:jc w:val="left"/>
            </w:pPr>
            <w:r>
              <w:rPr>
                <w:rFonts w:ascii="Liberation Serif" w:hAnsi="Liberation Serif"/>
                <w:sz w:val="17"/>
              </w:rPr>
              <w:t>Проверить типы, степени, Dom/Cod F²_N, X²_N и Ψ²_N.</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7"/>
              </w:rPr>
              <w:t>MIN-02</w:t>
            </w:r>
          </w:p>
        </w:tc>
        <w:tc>
          <w:tcPr>
            <w:tcW w:type="dxa" w:w="8107"/>
            <w:shd w:fill="EEF3F8"/>
            <w:tcMar>
              <w:top w:w="80" w:type="dxa"/>
              <w:start w:w="90" w:type="dxa"/>
              <w:bottom w:w="80" w:type="dxa"/>
              <w:end w:w="90" w:type="dxa"/>
            </w:tcMar>
            <w:vAlign w:val="center"/>
          </w:tcPr>
          <w:p>
            <w:pPr>
              <w:jc w:val="left"/>
            </w:pPr>
            <w:r>
              <w:rPr>
                <w:rFonts w:ascii="Liberation Serif" w:hAnsi="Liberation Serif"/>
                <w:sz w:val="17"/>
              </w:rPr>
              <w:t>Построить точную матрицу Ψ в зарегистрированном базисе.</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7"/>
              </w:rPr>
              <w:t>MIN-03</w:t>
            </w:r>
          </w:p>
        </w:tc>
        <w:tc>
          <w:tcPr>
            <w:tcW w:type="dxa" w:w="8107"/>
            <w:shd w:fill="FFFFFF"/>
            <w:tcMar>
              <w:top w:w="80" w:type="dxa"/>
              <w:start w:w="90" w:type="dxa"/>
              <w:bottom w:w="80" w:type="dxa"/>
              <w:end w:w="90" w:type="dxa"/>
            </w:tcMar>
            <w:vAlign w:val="center"/>
          </w:tcPr>
          <w:p>
            <w:pPr>
              <w:jc w:val="left"/>
            </w:pPr>
            <w:r>
              <w:rPr>
                <w:rFonts w:ascii="Liberation Serif" w:hAnsi="Liberation Serif"/>
                <w:sz w:val="17"/>
              </w:rPr>
              <w:t>Вычислить rank, ker, image и coker exact/rational arithmetic.</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7"/>
              </w:rPr>
              <w:t>MIN-04</w:t>
            </w:r>
          </w:p>
        </w:tc>
        <w:tc>
          <w:tcPr>
            <w:tcW w:type="dxa" w:w="8107"/>
            <w:shd w:fill="EEF3F8"/>
            <w:tcMar>
              <w:top w:w="80" w:type="dxa"/>
              <w:start w:w="90" w:type="dxa"/>
              <w:bottom w:w="80" w:type="dxa"/>
              <w:end w:w="90" w:type="dxa"/>
            </w:tcMar>
            <w:vAlign w:val="center"/>
          </w:tcPr>
          <w:p>
            <w:pPr>
              <w:jc w:val="left"/>
            </w:pPr>
            <w:r>
              <w:rPr>
                <w:rFonts w:ascii="Liberation Serif" w:hAnsi="Liberation Serif"/>
                <w:sz w:val="17"/>
              </w:rPr>
              <w:t>Проверить δ_min²=Ψ и δ_min³δ_min²=0.</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7"/>
              </w:rPr>
              <w:t>MIN-05</w:t>
            </w:r>
          </w:p>
        </w:tc>
        <w:tc>
          <w:tcPr>
            <w:tcW w:type="dxa" w:w="8107"/>
            <w:shd w:fill="FFFFFF"/>
            <w:tcMar>
              <w:top w:w="80" w:type="dxa"/>
              <w:start w:w="90" w:type="dxa"/>
              <w:bottom w:w="80" w:type="dxa"/>
              <w:end w:w="90" w:type="dxa"/>
            </w:tcMar>
            <w:vAlign w:val="center"/>
          </w:tcPr>
          <w:p>
            <w:pPr>
              <w:jc w:val="left"/>
            </w:pPr>
            <w:r>
              <w:rPr>
                <w:rFonts w:ascii="Liberation Serif" w:hAnsi="Liberation Serif"/>
                <w:sz w:val="17"/>
              </w:rPr>
              <w:t>Построить q и класс [q]; не смешивать representative и quotient class.</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7"/>
              </w:rPr>
              <w:t>MIN-06</w:t>
            </w:r>
          </w:p>
        </w:tc>
        <w:tc>
          <w:tcPr>
            <w:tcW w:type="dxa" w:w="8107"/>
            <w:shd w:fill="EEF3F8"/>
            <w:tcMar>
              <w:top w:w="80" w:type="dxa"/>
              <w:start w:w="90" w:type="dxa"/>
              <w:bottom w:w="80" w:type="dxa"/>
              <w:end w:w="90" w:type="dxa"/>
            </w:tcMar>
            <w:vAlign w:val="center"/>
          </w:tcPr>
          <w:p>
            <w:pPr>
              <w:jc w:val="left"/>
            </w:pPr>
            <w:r>
              <w:rPr>
                <w:rFonts w:ascii="Liberation Serif" w:hAnsi="Liberation Serif"/>
                <w:sz w:val="17"/>
              </w:rPr>
              <w:t>Решить Ψf=q и вернуть lift torsor f₀+ker Ψ либо NO-LIFT.</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7"/>
              </w:rPr>
              <w:t>MIN-07</w:t>
            </w:r>
          </w:p>
        </w:tc>
        <w:tc>
          <w:tcPr>
            <w:tcW w:type="dxa" w:w="8107"/>
            <w:shd w:fill="FFFFFF"/>
            <w:tcMar>
              <w:top w:w="80" w:type="dxa"/>
              <w:start w:w="90" w:type="dxa"/>
              <w:bottom w:w="80" w:type="dxa"/>
              <w:end w:w="90" w:type="dxa"/>
            </w:tcMar>
            <w:vAlign w:val="center"/>
          </w:tcPr>
          <w:p>
            <w:pPr>
              <w:jc w:val="left"/>
            </w:pPr>
            <w:r>
              <w:rPr>
                <w:rFonts w:ascii="Liberation Serif" w:hAnsi="Liberation Serif"/>
                <w:sz w:val="17"/>
              </w:rPr>
              <w:t>В численном секторе вычислить Ψ†, residual r и σ⁺.</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7"/>
              </w:rPr>
              <w:t>MIN-08</w:t>
            </w:r>
          </w:p>
        </w:tc>
        <w:tc>
          <w:tcPr>
            <w:tcW w:type="dxa" w:w="8107"/>
            <w:shd w:fill="EEF3F8"/>
            <w:tcMar>
              <w:top w:w="80" w:type="dxa"/>
              <w:start w:w="90" w:type="dxa"/>
              <w:bottom w:w="80" w:type="dxa"/>
              <w:end w:w="90" w:type="dxa"/>
            </w:tcMar>
            <w:vAlign w:val="center"/>
          </w:tcPr>
          <w:p>
            <w:pPr>
              <w:jc w:val="left"/>
            </w:pPr>
            <w:r>
              <w:rPr>
                <w:rFonts w:ascii="Liberation Serif" w:hAnsi="Liberation Serif"/>
                <w:sz w:val="17"/>
              </w:rPr>
              <w:t>Сертифицировать rank/condition horizon интервальными minors или SVD-bound.</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7"/>
              </w:rPr>
              <w:t>MIN-09</w:t>
            </w:r>
          </w:p>
        </w:tc>
        <w:tc>
          <w:tcPr>
            <w:tcW w:type="dxa" w:w="8107"/>
            <w:shd w:fill="FFFFFF"/>
            <w:tcMar>
              <w:top w:w="80" w:type="dxa"/>
              <w:start w:w="90" w:type="dxa"/>
              <w:bottom w:w="80" w:type="dxa"/>
              <w:end w:w="90" w:type="dxa"/>
            </w:tcMar>
            <w:vAlign w:val="center"/>
          </w:tcPr>
          <w:p>
            <w:pPr>
              <w:jc w:val="left"/>
            </w:pPr>
            <w:r>
              <w:rPr>
                <w:rFonts w:ascii="Liberation Serif" w:hAnsi="Liberation Serif"/>
                <w:sz w:val="17"/>
              </w:rPr>
              <w:t>Проверить naturality на морфизмах и сменах базиса.</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7"/>
              </w:rPr>
              <w:t>MIN-10</w:t>
            </w:r>
          </w:p>
        </w:tc>
        <w:tc>
          <w:tcPr>
            <w:tcW w:type="dxa" w:w="8107"/>
            <w:shd w:fill="EEF3F8"/>
            <w:tcMar>
              <w:top w:w="80" w:type="dxa"/>
              <w:start w:w="90" w:type="dxa"/>
              <w:bottom w:w="80" w:type="dxa"/>
              <w:end w:w="90" w:type="dxa"/>
            </w:tcMar>
            <w:vAlign w:val="center"/>
          </w:tcPr>
          <w:p>
            <w:pPr>
              <w:jc w:val="left"/>
            </w:pPr>
            <w:r>
              <w:rPr>
                <w:rFonts w:ascii="Liberation Serif" w:hAnsi="Liberation Serif"/>
                <w:sz w:val="17"/>
              </w:rPr>
              <w:t>Проверить field base-change на тестовом расширении.</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7"/>
              </w:rPr>
              <w:t>MIN-11</w:t>
            </w:r>
          </w:p>
        </w:tc>
        <w:tc>
          <w:tcPr>
            <w:tcW w:type="dxa" w:w="8107"/>
            <w:shd w:fill="FFFFFF"/>
            <w:tcMar>
              <w:top w:w="80" w:type="dxa"/>
              <w:start w:w="90" w:type="dxa"/>
              <w:bottom w:w="80" w:type="dxa"/>
              <w:end w:w="90" w:type="dxa"/>
            </w:tcMar>
            <w:vAlign w:val="center"/>
          </w:tcPr>
          <w:p>
            <w:pPr>
              <w:jc w:val="left"/>
            </w:pPr>
            <w:r>
              <w:rPr>
                <w:rFonts w:ascii="Liberation Serif" w:hAnsi="Liberation Serif"/>
                <w:sz w:val="17"/>
              </w:rPr>
              <w:t>Сопоставить [q] с λ, D/Dom без логической подмены.</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7"/>
              </w:rPr>
              <w:t>MIN-12</w:t>
            </w:r>
          </w:p>
        </w:tc>
        <w:tc>
          <w:tcPr>
            <w:tcW w:type="dxa" w:w="8107"/>
            <w:shd w:fill="EEF3F8"/>
            <w:tcMar>
              <w:top w:w="80" w:type="dxa"/>
              <w:start w:w="90" w:type="dxa"/>
              <w:bottom w:w="80" w:type="dxa"/>
              <w:end w:w="90" w:type="dxa"/>
            </w:tcMar>
            <w:vAlign w:val="center"/>
          </w:tcPr>
          <w:p>
            <w:pPr>
              <w:jc w:val="left"/>
            </w:pPr>
            <w:r>
              <w:rPr>
                <w:rFonts w:ascii="Liberation Serif" w:hAnsi="Liberation Serif"/>
                <w:sz w:val="17"/>
              </w:rPr>
              <w:t>Проверить предыдущие globalization/tangent/holonomy/differential blockers.</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7"/>
              </w:rPr>
              <w:t>MIN-13</w:t>
            </w:r>
          </w:p>
        </w:tc>
        <w:tc>
          <w:tcPr>
            <w:tcW w:type="dxa" w:w="8107"/>
            <w:shd w:fill="FFFFFF"/>
            <w:tcMar>
              <w:top w:w="80" w:type="dxa"/>
              <w:start w:w="90" w:type="dxa"/>
              <w:bottom w:w="80" w:type="dxa"/>
              <w:end w:w="90" w:type="dxa"/>
            </w:tcMar>
            <w:vAlign w:val="center"/>
          </w:tcPr>
          <w:p>
            <w:pPr>
              <w:jc w:val="left"/>
            </w:pPr>
            <w:r>
              <w:rPr>
                <w:rFonts w:ascii="Liberation Serif" w:hAnsi="Liberation Serif"/>
                <w:sz w:val="17"/>
              </w:rPr>
              <w:t>Сформировать verdict NO-LIFT / CANDIDATE-LIFT / ABSTAIN.</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7"/>
              </w:rPr>
              <w:t>MIN-14</w:t>
            </w:r>
          </w:p>
        </w:tc>
        <w:tc>
          <w:tcPr>
            <w:tcW w:type="dxa" w:w="8107"/>
            <w:shd w:fill="EEF3F8"/>
            <w:tcMar>
              <w:top w:w="80" w:type="dxa"/>
              <w:start w:w="90" w:type="dxa"/>
              <w:bottom w:w="80" w:type="dxa"/>
              <w:end w:w="90" w:type="dxa"/>
            </w:tcMar>
            <w:vAlign w:val="center"/>
          </w:tcPr>
          <w:p>
            <w:pPr>
              <w:jc w:val="left"/>
            </w:pPr>
            <w:r>
              <w:rPr>
                <w:rFonts w:ascii="Liberation Serif" w:hAnsi="Liberation Serif"/>
                <w:sz w:val="17"/>
              </w:rPr>
              <w:t>Сохранить basis ledger, conventions, proof objects и SHA-256.</w:t>
            </w:r>
          </w:p>
        </w:tc>
      </w:tr>
    </w:tbl>
    <w:p>
      <w:pPr>
        <w:pStyle w:val="Heading2"/>
        <w:keepNext/>
      </w:pPr>
      <w:r>
        <w:t>96.2. Псевдокод</w:t>
      </w:r>
    </w:p>
    <w:p>
      <w:pPr>
        <w:pStyle w:val="Quote"/>
      </w:pPr>
      <w:r>
        <w:t>INPUT frame N=(F2,X2,Psi), candidate q, reper rho, evidence D</w:t>
        <w:br/>
        <w:t>CHECK types, domains, basis ledger</w:t>
        <w:br/>
        <w:t>COMPUTE exact rank, kernel, image, coker</w:t>
        <w:br/>
        <w:t>COMPUTE obstruction class [q]</w:t>
        <w:br/>
        <w:t>IF q not in image(Psi): RETURN NO-LIFT-IN-MODEL</w:t>
        <w:br/>
        <w:t>COMPUTE lift torsor f0 + kernel(Psi)</w:t>
        <w:br/>
        <w:t>COMPUTE pseudoinverse residual and sigma_plus when numeric</w:t>
        <w:br/>
        <w:t>IF rank/condition/D/Dom/bridge uncertified: RETURN ABSTAIN</w:t>
        <w:br/>
        <w:t>CHECK lambda only as independent reper filter</w:t>
        <w:br/>
        <w:t>RETURN CANDIDATE-LIFT-TO-ORDER-2</w:t>
      </w:r>
    </w:p>
    <w:p>
      <w:pPr>
        <w:pStyle w:val="Heading1"/>
        <w:keepNext/>
      </w:pPr>
      <w:r>
        <w:t>97. Доказательные обязательства T2-RP-v0.9</w:t>
      </w:r>
    </w:p>
    <w:tbl>
      <w:tblPr>
        <w:tblStyle w:val="TableGrid"/>
        <w:tblW w:type="auto" w:w="0"/>
        <w:jc w:val="center"/>
        <w:tblLayout w:type="fixed"/>
        <w:tblLook w:firstColumn="1" w:firstRow="1" w:lastColumn="0" w:lastRow="0" w:noHBand="0" w:noVBand="1" w:val="04A0"/>
      </w:tblPr>
      <w:tblGrid>
        <w:gridCol w:w="1950"/>
        <w:gridCol w:w="1950"/>
        <w:gridCol w:w="1950"/>
        <w:gridCol w:w="1950"/>
        <w:gridCol w:w="1950"/>
      </w:tblGrid>
      <w:tr>
        <w:trPr>
          <w:tblHeader w:val="true"/>
        </w:trPr>
        <w:tc>
          <w:tcPr>
            <w:tcW w:type="dxa" w:w="1247"/>
            <w:shd w:fill="1F4E79"/>
            <w:tcMar>
              <w:top w:w="90" w:type="dxa"/>
              <w:start w:w="90" w:type="dxa"/>
              <w:bottom w:w="90" w:type="dxa"/>
              <w:end w:w="90" w:type="dxa"/>
            </w:tcMar>
            <w:vAlign w:val="center"/>
          </w:tcPr>
          <w:p>
            <w:pPr>
              <w:jc w:val="center"/>
            </w:pPr>
            <w:r>
              <w:rPr>
                <w:rFonts w:ascii="Liberation Sans" w:hAnsi="Liberation Sans"/>
                <w:b/>
                <w:color w:val="FFFFFF"/>
                <w:sz w:val="15"/>
              </w:rPr>
              <w:t>ID</w:t>
            </w:r>
          </w:p>
        </w:tc>
        <w:tc>
          <w:tcPr>
            <w:tcW w:type="dxa" w:w="2551"/>
            <w:shd w:fill="1F4E79"/>
            <w:tcMar>
              <w:top w:w="90" w:type="dxa"/>
              <w:start w:w="90" w:type="dxa"/>
              <w:bottom w:w="90" w:type="dxa"/>
              <w:end w:w="90" w:type="dxa"/>
            </w:tcMar>
            <w:vAlign w:val="center"/>
          </w:tcPr>
          <w:p>
            <w:pPr>
              <w:jc w:val="center"/>
            </w:pPr>
            <w:r>
              <w:rPr>
                <w:rFonts w:ascii="Liberation Sans" w:hAnsi="Liberation Sans"/>
                <w:b/>
                <w:color w:val="FFFFFF"/>
                <w:sz w:val="15"/>
              </w:rPr>
              <w:t>Обязательство</w:t>
            </w:r>
          </w:p>
        </w:tc>
        <w:tc>
          <w:tcPr>
            <w:tcW w:type="dxa" w:w="1247"/>
            <w:shd w:fill="1F4E79"/>
            <w:tcMar>
              <w:top w:w="90" w:type="dxa"/>
              <w:start w:w="90" w:type="dxa"/>
              <w:bottom w:w="90" w:type="dxa"/>
              <w:end w:w="90" w:type="dxa"/>
            </w:tcMar>
            <w:vAlign w:val="center"/>
          </w:tcPr>
          <w:p>
            <w:pPr>
              <w:jc w:val="center"/>
            </w:pPr>
            <w:r>
              <w:rPr>
                <w:rFonts w:ascii="Liberation Sans" w:hAnsi="Liberation Sans"/>
                <w:b/>
                <w:color w:val="FFFFFF"/>
                <w:sz w:val="15"/>
              </w:rPr>
              <w:t>Статус</w:t>
            </w:r>
          </w:p>
        </w:tc>
        <w:tc>
          <w:tcPr>
            <w:tcW w:type="dxa" w:w="1871"/>
            <w:shd w:fill="1F4E79"/>
            <w:tcMar>
              <w:top w:w="90" w:type="dxa"/>
              <w:start w:w="90" w:type="dxa"/>
              <w:bottom w:w="90" w:type="dxa"/>
              <w:end w:w="90" w:type="dxa"/>
            </w:tcMar>
            <w:vAlign w:val="center"/>
          </w:tcPr>
          <w:p>
            <w:pPr>
              <w:jc w:val="center"/>
            </w:pPr>
            <w:r>
              <w:rPr>
                <w:rFonts w:ascii="Liberation Sans" w:hAnsi="Liberation Sans"/>
                <w:b/>
                <w:color w:val="FFFFFF"/>
                <w:sz w:val="15"/>
              </w:rPr>
              <w:t>Proof-object</w:t>
            </w:r>
          </w:p>
        </w:tc>
        <w:tc>
          <w:tcPr>
            <w:tcW w:type="dxa" w:w="2438"/>
            <w:shd w:fill="1F4E79"/>
            <w:tcMar>
              <w:top w:w="90" w:type="dxa"/>
              <w:start w:w="90" w:type="dxa"/>
              <w:bottom w:w="90" w:type="dxa"/>
              <w:end w:w="90" w:type="dxa"/>
            </w:tcMar>
            <w:vAlign w:val="center"/>
          </w:tcPr>
          <w:p>
            <w:pPr>
              <w:jc w:val="center"/>
            </w:pPr>
            <w:r>
              <w:rPr>
                <w:rFonts w:ascii="Liberation Sans" w:hAnsi="Liberation Sans"/>
                <w:b/>
                <w:color w:val="FFFFFF"/>
                <w:sz w:val="15"/>
              </w:rPr>
              <w:t>Blocker/граница</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T2-PO-087</w:t>
            </w:r>
          </w:p>
        </w:tc>
        <w:tc>
          <w:tcPr>
            <w:tcW w:type="dxa" w:w="2551"/>
            <w:shd w:fill="FFFFFF"/>
            <w:tcMar>
              <w:top w:w="80" w:type="dxa"/>
              <w:start w:w="90" w:type="dxa"/>
              <w:bottom w:w="80" w:type="dxa"/>
              <w:end w:w="90" w:type="dxa"/>
            </w:tcMar>
            <w:vAlign w:val="center"/>
          </w:tcPr>
          <w:p>
            <w:pPr>
              <w:jc w:val="left"/>
            </w:pPr>
            <w:r>
              <w:rPr>
                <w:rFonts w:ascii="Liberation Serif" w:hAnsi="Liberation Serif"/>
                <w:sz w:val="15"/>
              </w:rPr>
              <w:t>Типизированный C_min и nilpotency</w:t>
            </w:r>
          </w:p>
        </w:tc>
        <w:tc>
          <w:tcPr>
            <w:tcW w:type="dxa" w:w="1247"/>
            <w:shd w:fill="FFFFFF"/>
            <w:tcMar>
              <w:top w:w="80" w:type="dxa"/>
              <w:start w:w="90" w:type="dxa"/>
              <w:bottom w:w="80" w:type="dxa"/>
              <w:end w:w="90" w:type="dxa"/>
            </w:tcMar>
            <w:vAlign w:val="center"/>
          </w:tcPr>
          <w:p>
            <w:pPr>
              <w:jc w:val="center"/>
            </w:pPr>
            <w:r>
              <w:rPr>
                <w:rFonts w:ascii="Liberation Serif" w:hAnsi="Liberation Serif"/>
                <w:sz w:val="15"/>
              </w:rPr>
              <w:t>THM</w:t>
            </w:r>
          </w:p>
        </w:tc>
        <w:tc>
          <w:tcPr>
            <w:tcW w:type="dxa" w:w="1871"/>
            <w:shd w:fill="FFFFFF"/>
            <w:tcMar>
              <w:top w:w="80" w:type="dxa"/>
              <w:start w:w="90" w:type="dxa"/>
              <w:bottom w:w="80" w:type="dxa"/>
              <w:end w:w="90" w:type="dxa"/>
            </w:tcMar>
            <w:vAlign w:val="center"/>
          </w:tcPr>
          <w:p>
            <w:pPr>
              <w:jc w:val="left"/>
            </w:pPr>
            <w:r>
              <w:rPr>
                <w:rFonts w:ascii="Liberation Serif" w:hAnsi="Liberation Serif"/>
                <w:sz w:val="15"/>
              </w:rPr>
              <w:t>§84; F077-F078</w:t>
            </w:r>
          </w:p>
        </w:tc>
        <w:tc>
          <w:tcPr>
            <w:tcW w:type="dxa" w:w="2438"/>
            <w:shd w:fill="FFFFFF"/>
            <w:tcMar>
              <w:top w:w="80" w:type="dxa"/>
              <w:start w:w="90" w:type="dxa"/>
              <w:bottom w:w="80" w:type="dxa"/>
              <w:end w:w="90" w:type="dxa"/>
            </w:tcMar>
            <w:vAlign w:val="center"/>
          </w:tcPr>
          <w:p>
            <w:pPr>
              <w:jc w:val="left"/>
            </w:pPr>
            <w:r>
              <w:rPr>
                <w:rFonts w:ascii="Liberation Serif" w:hAnsi="Liberation Serif"/>
                <w:sz w:val="15"/>
              </w:rPr>
              <w:t>-</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T2-PO-088</w:t>
            </w:r>
          </w:p>
        </w:tc>
        <w:tc>
          <w:tcPr>
            <w:tcW w:type="dxa" w:w="2551"/>
            <w:shd w:fill="EEF3F8"/>
            <w:tcMar>
              <w:top w:w="80" w:type="dxa"/>
              <w:start w:w="90" w:type="dxa"/>
              <w:bottom w:w="80" w:type="dxa"/>
              <w:end w:w="90" w:type="dxa"/>
            </w:tcMar>
            <w:vAlign w:val="center"/>
          </w:tcPr>
          <w:p>
            <w:pPr>
              <w:jc w:val="left"/>
            </w:pPr>
            <w:r>
              <w:rPr>
                <w:rFonts w:ascii="Liberation Serif" w:hAnsi="Liberation Serif"/>
                <w:sz w:val="15"/>
              </w:rPr>
              <w:t>H²=ker Ψ и H³=coker Ψ</w:t>
            </w:r>
          </w:p>
        </w:tc>
        <w:tc>
          <w:tcPr>
            <w:tcW w:type="dxa" w:w="1247"/>
            <w:shd w:fill="EEF3F8"/>
            <w:tcMar>
              <w:top w:w="80" w:type="dxa"/>
              <w:start w:w="90" w:type="dxa"/>
              <w:bottom w:w="80" w:type="dxa"/>
              <w:end w:w="90" w:type="dxa"/>
            </w:tcMar>
            <w:vAlign w:val="center"/>
          </w:tcPr>
          <w:p>
            <w:pPr>
              <w:jc w:val="center"/>
            </w:pPr>
            <w:r>
              <w:rPr>
                <w:rFonts w:ascii="Liberation Serif" w:hAnsi="Liberation Serif"/>
                <w:sz w:val="15"/>
              </w:rPr>
              <w:t>THM</w:t>
            </w:r>
          </w:p>
        </w:tc>
        <w:tc>
          <w:tcPr>
            <w:tcW w:type="dxa" w:w="1871"/>
            <w:shd w:fill="EEF3F8"/>
            <w:tcMar>
              <w:top w:w="80" w:type="dxa"/>
              <w:start w:w="90" w:type="dxa"/>
              <w:bottom w:w="80" w:type="dxa"/>
              <w:end w:w="90" w:type="dxa"/>
            </w:tcMar>
            <w:vAlign w:val="center"/>
          </w:tcPr>
          <w:p>
            <w:pPr>
              <w:jc w:val="left"/>
            </w:pPr>
            <w:r>
              <w:rPr>
                <w:rFonts w:ascii="Liberation Serif" w:hAnsi="Liberation Serif"/>
                <w:sz w:val="15"/>
              </w:rPr>
              <w:t>Теорема 12.2</w:t>
            </w:r>
          </w:p>
        </w:tc>
        <w:tc>
          <w:tcPr>
            <w:tcW w:type="dxa" w:w="2438"/>
            <w:shd w:fill="EEF3F8"/>
            <w:tcMar>
              <w:top w:w="80" w:type="dxa"/>
              <w:start w:w="90" w:type="dxa"/>
              <w:bottom w:w="80" w:type="dxa"/>
              <w:end w:w="90" w:type="dxa"/>
            </w:tcMar>
            <w:vAlign w:val="center"/>
          </w:tcPr>
          <w:p>
            <w:pPr>
              <w:jc w:val="left"/>
            </w:pPr>
            <w:r>
              <w:rPr>
                <w:rFonts w:ascii="Liberation Serif" w:hAnsi="Liberation Serif"/>
                <w:sz w:val="15"/>
              </w:rPr>
              <w:t>-</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T2-PO-089</w:t>
            </w:r>
          </w:p>
        </w:tc>
        <w:tc>
          <w:tcPr>
            <w:tcW w:type="dxa" w:w="2551"/>
            <w:shd w:fill="FFFFFF"/>
            <w:tcMar>
              <w:top w:w="80" w:type="dxa"/>
              <w:start w:w="90" w:type="dxa"/>
              <w:bottom w:w="80" w:type="dxa"/>
              <w:end w:w="90" w:type="dxa"/>
            </w:tcMar>
            <w:vAlign w:val="center"/>
          </w:tcPr>
          <w:p>
            <w:pPr>
              <w:jc w:val="left"/>
            </w:pPr>
            <w:r>
              <w:rPr>
                <w:rFonts w:ascii="Liberation Serif" w:hAnsi="Liberation Serif"/>
                <w:sz w:val="15"/>
              </w:rPr>
              <w:t>Естественная точная последовательность</w:t>
            </w:r>
          </w:p>
        </w:tc>
        <w:tc>
          <w:tcPr>
            <w:tcW w:type="dxa" w:w="1247"/>
            <w:shd w:fill="FFFFFF"/>
            <w:tcMar>
              <w:top w:w="80" w:type="dxa"/>
              <w:start w:w="90" w:type="dxa"/>
              <w:bottom w:w="80" w:type="dxa"/>
              <w:end w:w="90" w:type="dxa"/>
            </w:tcMar>
            <w:vAlign w:val="center"/>
          </w:tcPr>
          <w:p>
            <w:pPr>
              <w:jc w:val="center"/>
            </w:pPr>
            <w:r>
              <w:rPr>
                <w:rFonts w:ascii="Liberation Serif" w:hAnsi="Liberation Serif"/>
                <w:sz w:val="15"/>
              </w:rPr>
              <w:t>THM</w:t>
            </w:r>
          </w:p>
        </w:tc>
        <w:tc>
          <w:tcPr>
            <w:tcW w:type="dxa" w:w="1871"/>
            <w:shd w:fill="FFFFFF"/>
            <w:tcMar>
              <w:top w:w="80" w:type="dxa"/>
              <w:start w:w="90" w:type="dxa"/>
              <w:bottom w:w="80" w:type="dxa"/>
              <w:end w:w="90" w:type="dxa"/>
            </w:tcMar>
            <w:vAlign w:val="center"/>
          </w:tcPr>
          <w:p>
            <w:pPr>
              <w:jc w:val="left"/>
            </w:pPr>
            <w:r>
              <w:rPr>
                <w:rFonts w:ascii="Liberation Serif" w:hAnsi="Liberation Serif"/>
                <w:sz w:val="15"/>
              </w:rPr>
              <w:t>Теорема 12.3</w:t>
            </w:r>
          </w:p>
        </w:tc>
        <w:tc>
          <w:tcPr>
            <w:tcW w:type="dxa" w:w="2438"/>
            <w:shd w:fill="FFFFFF"/>
            <w:tcMar>
              <w:top w:w="80" w:type="dxa"/>
              <w:start w:w="90" w:type="dxa"/>
              <w:bottom w:w="80" w:type="dxa"/>
              <w:end w:w="90" w:type="dxa"/>
            </w:tcMar>
            <w:vAlign w:val="center"/>
          </w:tcPr>
          <w:p>
            <w:pPr>
              <w:jc w:val="left"/>
            </w:pPr>
            <w:r>
              <w:rPr>
                <w:rFonts w:ascii="Liberation Serif" w:hAnsi="Liberation Serif"/>
                <w:sz w:val="15"/>
              </w:rPr>
              <w:t>-</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T2-PO-090</w:t>
            </w:r>
          </w:p>
        </w:tc>
        <w:tc>
          <w:tcPr>
            <w:tcW w:type="dxa" w:w="2551"/>
            <w:shd w:fill="EEF3F8"/>
            <w:tcMar>
              <w:top w:w="80" w:type="dxa"/>
              <w:start w:w="90" w:type="dxa"/>
              <w:bottom w:w="80" w:type="dxa"/>
              <w:end w:w="90" w:type="dxa"/>
            </w:tcMar>
            <w:vAlign w:val="center"/>
          </w:tcPr>
          <w:p>
            <w:pPr>
              <w:jc w:val="left"/>
            </w:pPr>
            <w:r>
              <w:rPr>
                <w:rFonts w:ascii="Liberation Serif" w:hAnsi="Liberation Serif"/>
                <w:sz w:val="15"/>
              </w:rPr>
              <w:t>Функториальность C_min</w:t>
            </w:r>
          </w:p>
        </w:tc>
        <w:tc>
          <w:tcPr>
            <w:tcW w:type="dxa" w:w="1247"/>
            <w:shd w:fill="EEF3F8"/>
            <w:tcMar>
              <w:top w:w="80" w:type="dxa"/>
              <w:start w:w="90" w:type="dxa"/>
              <w:bottom w:w="80" w:type="dxa"/>
              <w:end w:w="90" w:type="dxa"/>
            </w:tcMar>
            <w:vAlign w:val="center"/>
          </w:tcPr>
          <w:p>
            <w:pPr>
              <w:jc w:val="center"/>
            </w:pPr>
            <w:r>
              <w:rPr>
                <w:rFonts w:ascii="Liberation Serif" w:hAnsi="Liberation Serif"/>
                <w:sz w:val="15"/>
              </w:rPr>
              <w:t>THM</w:t>
            </w:r>
          </w:p>
        </w:tc>
        <w:tc>
          <w:tcPr>
            <w:tcW w:type="dxa" w:w="1871"/>
            <w:shd w:fill="EEF3F8"/>
            <w:tcMar>
              <w:top w:w="80" w:type="dxa"/>
              <w:start w:w="90" w:type="dxa"/>
              <w:bottom w:w="80" w:type="dxa"/>
              <w:end w:w="90" w:type="dxa"/>
            </w:tcMar>
            <w:vAlign w:val="center"/>
          </w:tcPr>
          <w:p>
            <w:pPr>
              <w:jc w:val="left"/>
            </w:pPr>
            <w:r>
              <w:rPr>
                <w:rFonts w:ascii="Liberation Serif" w:hAnsi="Liberation Serif"/>
                <w:sz w:val="15"/>
              </w:rPr>
              <w:t>Теорема 12.4</w:t>
            </w:r>
          </w:p>
        </w:tc>
        <w:tc>
          <w:tcPr>
            <w:tcW w:type="dxa" w:w="2438"/>
            <w:shd w:fill="EEF3F8"/>
            <w:tcMar>
              <w:top w:w="80" w:type="dxa"/>
              <w:start w:w="90" w:type="dxa"/>
              <w:bottom w:w="80" w:type="dxa"/>
              <w:end w:w="90" w:type="dxa"/>
            </w:tcMar>
            <w:vAlign w:val="center"/>
          </w:tcPr>
          <w:p>
            <w:pPr>
              <w:jc w:val="left"/>
            </w:pPr>
            <w:r>
              <w:rPr>
                <w:rFonts w:ascii="Liberation Serif" w:hAnsi="Liberation Serif"/>
                <w:sz w:val="15"/>
              </w:rPr>
              <w:t>-</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T2-PO-091</w:t>
            </w:r>
          </w:p>
        </w:tc>
        <w:tc>
          <w:tcPr>
            <w:tcW w:type="dxa" w:w="2551"/>
            <w:shd w:fill="FFFFFF"/>
            <w:tcMar>
              <w:top w:w="80" w:type="dxa"/>
              <w:start w:w="90" w:type="dxa"/>
              <w:bottom w:w="80" w:type="dxa"/>
              <w:end w:w="90" w:type="dxa"/>
            </w:tcMar>
            <w:vAlign w:val="center"/>
          </w:tcPr>
          <w:p>
            <w:pPr>
              <w:jc w:val="left"/>
            </w:pPr>
            <w:r>
              <w:rPr>
                <w:rFonts w:ascii="Liberation Serif" w:hAnsi="Liberation Serif"/>
                <w:sz w:val="15"/>
              </w:rPr>
              <w:t>Естественность κ:O_B≅H³</w:t>
            </w:r>
          </w:p>
        </w:tc>
        <w:tc>
          <w:tcPr>
            <w:tcW w:type="dxa" w:w="1247"/>
            <w:shd w:fill="FFFFFF"/>
            <w:tcMar>
              <w:top w:w="80" w:type="dxa"/>
              <w:start w:w="90" w:type="dxa"/>
              <w:bottom w:w="80" w:type="dxa"/>
              <w:end w:w="90" w:type="dxa"/>
            </w:tcMar>
            <w:vAlign w:val="center"/>
          </w:tcPr>
          <w:p>
            <w:pPr>
              <w:jc w:val="center"/>
            </w:pPr>
            <w:r>
              <w:rPr>
                <w:rFonts w:ascii="Liberation Serif" w:hAnsi="Liberation Serif"/>
                <w:sz w:val="15"/>
              </w:rPr>
              <w:t>THM</w:t>
            </w:r>
          </w:p>
        </w:tc>
        <w:tc>
          <w:tcPr>
            <w:tcW w:type="dxa" w:w="1871"/>
            <w:shd w:fill="FFFFFF"/>
            <w:tcMar>
              <w:top w:w="80" w:type="dxa"/>
              <w:start w:w="90" w:type="dxa"/>
              <w:bottom w:w="80" w:type="dxa"/>
              <w:end w:w="90" w:type="dxa"/>
            </w:tcMar>
            <w:vAlign w:val="center"/>
          </w:tcPr>
          <w:p>
            <w:pPr>
              <w:jc w:val="left"/>
            </w:pPr>
            <w:r>
              <w:rPr>
                <w:rFonts w:ascii="Liberation Serif" w:hAnsi="Liberation Serif"/>
                <w:sz w:val="15"/>
              </w:rPr>
              <w:t>Теорема 12.5</w:t>
            </w:r>
          </w:p>
        </w:tc>
        <w:tc>
          <w:tcPr>
            <w:tcW w:type="dxa" w:w="2438"/>
            <w:shd w:fill="FFFFFF"/>
            <w:tcMar>
              <w:top w:w="80" w:type="dxa"/>
              <w:start w:w="90" w:type="dxa"/>
              <w:bottom w:w="80" w:type="dxa"/>
              <w:end w:w="90" w:type="dxa"/>
            </w:tcMar>
            <w:vAlign w:val="center"/>
          </w:tcPr>
          <w:p>
            <w:pPr>
              <w:jc w:val="left"/>
            </w:pPr>
            <w:r>
              <w:rPr>
                <w:rFonts w:ascii="Liberation Serif" w:hAnsi="Liberation Serif"/>
                <w:sz w:val="15"/>
              </w:rPr>
              <w:t>-</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T2-PO-092</w:t>
            </w:r>
          </w:p>
        </w:tc>
        <w:tc>
          <w:tcPr>
            <w:tcW w:type="dxa" w:w="2551"/>
            <w:shd w:fill="EEF3F8"/>
            <w:tcMar>
              <w:top w:w="80" w:type="dxa"/>
              <w:start w:w="90" w:type="dxa"/>
              <w:bottom w:w="80" w:type="dxa"/>
              <w:end w:w="90" w:type="dxa"/>
            </w:tcMar>
            <w:vAlign w:val="center"/>
          </w:tcPr>
          <w:p>
            <w:pPr>
              <w:jc w:val="left"/>
            </w:pPr>
            <w:r>
              <w:rPr>
                <w:rFonts w:ascii="Liberation Serif" w:hAnsi="Liberation Serif"/>
                <w:sz w:val="15"/>
              </w:rPr>
              <w:t>Критерий подъёма</w:t>
            </w:r>
          </w:p>
        </w:tc>
        <w:tc>
          <w:tcPr>
            <w:tcW w:type="dxa" w:w="1247"/>
            <w:shd w:fill="EEF3F8"/>
            <w:tcMar>
              <w:top w:w="80" w:type="dxa"/>
              <w:start w:w="90" w:type="dxa"/>
              <w:bottom w:w="80" w:type="dxa"/>
              <w:end w:w="90" w:type="dxa"/>
            </w:tcMar>
            <w:vAlign w:val="center"/>
          </w:tcPr>
          <w:p>
            <w:pPr>
              <w:jc w:val="center"/>
            </w:pPr>
            <w:r>
              <w:rPr>
                <w:rFonts w:ascii="Liberation Serif" w:hAnsi="Liberation Serif"/>
                <w:sz w:val="15"/>
              </w:rPr>
              <w:t>THM</w:t>
            </w:r>
          </w:p>
        </w:tc>
        <w:tc>
          <w:tcPr>
            <w:tcW w:type="dxa" w:w="1871"/>
            <w:shd w:fill="EEF3F8"/>
            <w:tcMar>
              <w:top w:w="80" w:type="dxa"/>
              <w:start w:w="90" w:type="dxa"/>
              <w:bottom w:w="80" w:type="dxa"/>
              <w:end w:w="90" w:type="dxa"/>
            </w:tcMar>
            <w:vAlign w:val="center"/>
          </w:tcPr>
          <w:p>
            <w:pPr>
              <w:jc w:val="left"/>
            </w:pPr>
            <w:r>
              <w:rPr>
                <w:rFonts w:ascii="Liberation Serif" w:hAnsi="Liberation Serif"/>
                <w:sz w:val="15"/>
              </w:rPr>
              <w:t>Теорема 12.6</w:t>
            </w:r>
          </w:p>
        </w:tc>
        <w:tc>
          <w:tcPr>
            <w:tcW w:type="dxa" w:w="2438"/>
            <w:shd w:fill="EEF3F8"/>
            <w:tcMar>
              <w:top w:w="80" w:type="dxa"/>
              <w:start w:w="90" w:type="dxa"/>
              <w:bottom w:w="80" w:type="dxa"/>
              <w:end w:w="90" w:type="dxa"/>
            </w:tcMar>
            <w:vAlign w:val="center"/>
          </w:tcPr>
          <w:p>
            <w:pPr>
              <w:jc w:val="left"/>
            </w:pPr>
            <w:r>
              <w:rPr>
                <w:rFonts w:ascii="Liberation Serif" w:hAnsi="Liberation Serif"/>
                <w:sz w:val="15"/>
              </w:rPr>
              <w:t>-</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T2-PO-093</w:t>
            </w:r>
          </w:p>
        </w:tc>
        <w:tc>
          <w:tcPr>
            <w:tcW w:type="dxa" w:w="2551"/>
            <w:shd w:fill="FFFFFF"/>
            <w:tcMar>
              <w:top w:w="80" w:type="dxa"/>
              <w:start w:w="90" w:type="dxa"/>
              <w:bottom w:w="80" w:type="dxa"/>
              <w:end w:w="90" w:type="dxa"/>
            </w:tcMar>
            <w:vAlign w:val="center"/>
          </w:tcPr>
          <w:p>
            <w:pPr>
              <w:jc w:val="left"/>
            </w:pPr>
            <w:r>
              <w:rPr>
                <w:rFonts w:ascii="Liberation Serif" w:hAnsi="Liberation Serif"/>
                <w:sz w:val="15"/>
              </w:rPr>
              <w:t>H²-торсор подъёмов</w:t>
            </w:r>
          </w:p>
        </w:tc>
        <w:tc>
          <w:tcPr>
            <w:tcW w:type="dxa" w:w="1247"/>
            <w:shd w:fill="FFFFFF"/>
            <w:tcMar>
              <w:top w:w="80" w:type="dxa"/>
              <w:start w:w="90" w:type="dxa"/>
              <w:bottom w:w="80" w:type="dxa"/>
              <w:end w:w="90" w:type="dxa"/>
            </w:tcMar>
            <w:vAlign w:val="center"/>
          </w:tcPr>
          <w:p>
            <w:pPr>
              <w:jc w:val="center"/>
            </w:pPr>
            <w:r>
              <w:rPr>
                <w:rFonts w:ascii="Liberation Serif" w:hAnsi="Liberation Serif"/>
                <w:sz w:val="15"/>
              </w:rPr>
              <w:t>THM</w:t>
            </w:r>
          </w:p>
        </w:tc>
        <w:tc>
          <w:tcPr>
            <w:tcW w:type="dxa" w:w="1871"/>
            <w:shd w:fill="FFFFFF"/>
            <w:tcMar>
              <w:top w:w="80" w:type="dxa"/>
              <w:start w:w="90" w:type="dxa"/>
              <w:bottom w:w="80" w:type="dxa"/>
              <w:end w:w="90" w:type="dxa"/>
            </w:tcMar>
            <w:vAlign w:val="center"/>
          </w:tcPr>
          <w:p>
            <w:pPr>
              <w:jc w:val="left"/>
            </w:pPr>
            <w:r>
              <w:rPr>
                <w:rFonts w:ascii="Liberation Serif" w:hAnsi="Liberation Serif"/>
                <w:sz w:val="15"/>
              </w:rPr>
              <w:t>Теорема 12.7</w:t>
            </w:r>
          </w:p>
        </w:tc>
        <w:tc>
          <w:tcPr>
            <w:tcW w:type="dxa" w:w="2438"/>
            <w:shd w:fill="FFFFFF"/>
            <w:tcMar>
              <w:top w:w="80" w:type="dxa"/>
              <w:start w:w="90" w:type="dxa"/>
              <w:bottom w:w="80" w:type="dxa"/>
              <w:end w:w="90" w:type="dxa"/>
            </w:tcMar>
            <w:vAlign w:val="center"/>
          </w:tcPr>
          <w:p>
            <w:pPr>
              <w:jc w:val="left"/>
            </w:pPr>
            <w:r>
              <w:rPr>
                <w:rFonts w:ascii="Liberation Serif" w:hAnsi="Liberation Serif"/>
                <w:sz w:val="15"/>
              </w:rPr>
              <w:t>-</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T2-PO-094</w:t>
            </w:r>
          </w:p>
        </w:tc>
        <w:tc>
          <w:tcPr>
            <w:tcW w:type="dxa" w:w="2551"/>
            <w:shd w:fill="EEF3F8"/>
            <w:tcMar>
              <w:top w:w="80" w:type="dxa"/>
              <w:start w:w="90" w:type="dxa"/>
              <w:bottom w:w="80" w:type="dxa"/>
              <w:end w:w="90" w:type="dxa"/>
            </w:tcMar>
            <w:vAlign w:val="center"/>
          </w:tcPr>
          <w:p>
            <w:pPr>
              <w:jc w:val="left"/>
            </w:pPr>
            <w:r>
              <w:rPr>
                <w:rFonts w:ascii="Liberation Serif" w:hAnsi="Liberation Serif"/>
                <w:sz w:val="15"/>
              </w:rPr>
              <w:t>Универсальное chain-map property</w:t>
            </w:r>
          </w:p>
        </w:tc>
        <w:tc>
          <w:tcPr>
            <w:tcW w:type="dxa" w:w="1247"/>
            <w:shd w:fill="EEF3F8"/>
            <w:tcMar>
              <w:top w:w="80" w:type="dxa"/>
              <w:start w:w="90" w:type="dxa"/>
              <w:bottom w:w="80" w:type="dxa"/>
              <w:end w:w="90" w:type="dxa"/>
            </w:tcMar>
            <w:vAlign w:val="center"/>
          </w:tcPr>
          <w:p>
            <w:pPr>
              <w:jc w:val="center"/>
            </w:pPr>
            <w:r>
              <w:rPr>
                <w:rFonts w:ascii="Liberation Serif" w:hAnsi="Liberation Serif"/>
                <w:sz w:val="15"/>
              </w:rPr>
              <w:t>THM</w:t>
            </w:r>
          </w:p>
        </w:tc>
        <w:tc>
          <w:tcPr>
            <w:tcW w:type="dxa" w:w="1871"/>
            <w:shd w:fill="EEF3F8"/>
            <w:tcMar>
              <w:top w:w="80" w:type="dxa"/>
              <w:start w:w="90" w:type="dxa"/>
              <w:bottom w:w="80" w:type="dxa"/>
              <w:end w:w="90" w:type="dxa"/>
            </w:tcMar>
            <w:vAlign w:val="center"/>
          </w:tcPr>
          <w:p>
            <w:pPr>
              <w:jc w:val="left"/>
            </w:pPr>
            <w:r>
              <w:rPr>
                <w:rFonts w:ascii="Liberation Serif" w:hAnsi="Liberation Serif"/>
                <w:sz w:val="15"/>
              </w:rPr>
              <w:t>Теорема 12.8</w:t>
            </w:r>
          </w:p>
        </w:tc>
        <w:tc>
          <w:tcPr>
            <w:tcW w:type="dxa" w:w="2438"/>
            <w:shd w:fill="EEF3F8"/>
            <w:tcMar>
              <w:top w:w="80" w:type="dxa"/>
              <w:start w:w="90" w:type="dxa"/>
              <w:bottom w:w="80" w:type="dxa"/>
              <w:end w:w="90" w:type="dxa"/>
            </w:tcMar>
            <w:vAlign w:val="center"/>
          </w:tcPr>
          <w:p>
            <w:pPr>
              <w:jc w:val="left"/>
            </w:pPr>
            <w:r>
              <w:rPr>
                <w:rFonts w:ascii="Liberation Serif" w:hAnsi="Liberation Serif"/>
                <w:sz w:val="15"/>
              </w:rPr>
              <w:t>существование внешних J²,J³ отдельно</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T2-PO-095</w:t>
            </w:r>
          </w:p>
        </w:tc>
        <w:tc>
          <w:tcPr>
            <w:tcW w:type="dxa" w:w="2551"/>
            <w:shd w:fill="FFFFFF"/>
            <w:tcMar>
              <w:top w:w="80" w:type="dxa"/>
              <w:start w:w="90" w:type="dxa"/>
              <w:bottom w:w="80" w:type="dxa"/>
              <w:end w:w="90" w:type="dxa"/>
            </w:tcMar>
            <w:vAlign w:val="center"/>
          </w:tcPr>
          <w:p>
            <w:pPr>
              <w:jc w:val="left"/>
            </w:pPr>
            <w:r>
              <w:rPr>
                <w:rFonts w:ascii="Liberation Serif" w:hAnsi="Liberation Serif"/>
                <w:sz w:val="15"/>
              </w:rPr>
              <w:t>Field base-change</w:t>
            </w:r>
          </w:p>
        </w:tc>
        <w:tc>
          <w:tcPr>
            <w:tcW w:type="dxa" w:w="1247"/>
            <w:shd w:fill="FFFFFF"/>
            <w:tcMar>
              <w:top w:w="80" w:type="dxa"/>
              <w:start w:w="90" w:type="dxa"/>
              <w:bottom w:w="80" w:type="dxa"/>
              <w:end w:w="90" w:type="dxa"/>
            </w:tcMar>
            <w:vAlign w:val="center"/>
          </w:tcPr>
          <w:p>
            <w:pPr>
              <w:jc w:val="center"/>
            </w:pPr>
            <w:r>
              <w:rPr>
                <w:rFonts w:ascii="Liberation Serif" w:hAnsi="Liberation Serif"/>
                <w:sz w:val="15"/>
              </w:rPr>
              <w:t>THM</w:t>
            </w:r>
          </w:p>
        </w:tc>
        <w:tc>
          <w:tcPr>
            <w:tcW w:type="dxa" w:w="1871"/>
            <w:shd w:fill="FFFFFF"/>
            <w:tcMar>
              <w:top w:w="80" w:type="dxa"/>
              <w:start w:w="90" w:type="dxa"/>
              <w:bottom w:w="80" w:type="dxa"/>
              <w:end w:w="90" w:type="dxa"/>
            </w:tcMar>
            <w:vAlign w:val="center"/>
          </w:tcPr>
          <w:p>
            <w:pPr>
              <w:jc w:val="left"/>
            </w:pPr>
            <w:r>
              <w:rPr>
                <w:rFonts w:ascii="Liberation Serif" w:hAnsi="Liberation Serif"/>
                <w:sz w:val="15"/>
              </w:rPr>
              <w:t>Теорема 12.9</w:t>
            </w:r>
          </w:p>
        </w:tc>
        <w:tc>
          <w:tcPr>
            <w:tcW w:type="dxa" w:w="2438"/>
            <w:shd w:fill="FFFFFF"/>
            <w:tcMar>
              <w:top w:w="80" w:type="dxa"/>
              <w:start w:w="90" w:type="dxa"/>
              <w:bottom w:w="80" w:type="dxa"/>
              <w:end w:w="90" w:type="dxa"/>
            </w:tcMar>
            <w:vAlign w:val="center"/>
          </w:tcPr>
          <w:p>
            <w:pPr>
              <w:jc w:val="left"/>
            </w:pPr>
            <w:r>
              <w:rPr>
                <w:rFonts w:ascii="Liberation Serif" w:hAnsi="Liberation Serif"/>
                <w:sz w:val="15"/>
              </w:rPr>
              <w:t>кольцевой non-flat base-change не охвачен</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T2-PO-096</w:t>
            </w:r>
          </w:p>
        </w:tc>
        <w:tc>
          <w:tcPr>
            <w:tcW w:type="dxa" w:w="2551"/>
            <w:shd w:fill="EEF3F8"/>
            <w:tcMar>
              <w:top w:w="80" w:type="dxa"/>
              <w:start w:w="90" w:type="dxa"/>
              <w:bottom w:w="80" w:type="dxa"/>
              <w:end w:w="90" w:type="dxa"/>
            </w:tcMar>
            <w:vAlign w:val="center"/>
          </w:tcPr>
          <w:p>
            <w:pPr>
              <w:jc w:val="left"/>
            </w:pPr>
            <w:r>
              <w:rPr>
                <w:rFonts w:ascii="Liberation Serif" w:hAnsi="Liberation Serif"/>
                <w:sz w:val="15"/>
              </w:rPr>
              <w:t>Block-sum additivity</w:t>
            </w:r>
          </w:p>
        </w:tc>
        <w:tc>
          <w:tcPr>
            <w:tcW w:type="dxa" w:w="1247"/>
            <w:shd w:fill="EEF3F8"/>
            <w:tcMar>
              <w:top w:w="80" w:type="dxa"/>
              <w:start w:w="90" w:type="dxa"/>
              <w:bottom w:w="80" w:type="dxa"/>
              <w:end w:w="90" w:type="dxa"/>
            </w:tcMar>
            <w:vAlign w:val="center"/>
          </w:tcPr>
          <w:p>
            <w:pPr>
              <w:jc w:val="center"/>
            </w:pPr>
            <w:r>
              <w:rPr>
                <w:rFonts w:ascii="Liberation Serif" w:hAnsi="Liberation Serif"/>
                <w:sz w:val="15"/>
              </w:rPr>
              <w:t>THM</w:t>
            </w:r>
          </w:p>
        </w:tc>
        <w:tc>
          <w:tcPr>
            <w:tcW w:type="dxa" w:w="1871"/>
            <w:shd w:fill="EEF3F8"/>
            <w:tcMar>
              <w:top w:w="80" w:type="dxa"/>
              <w:start w:w="90" w:type="dxa"/>
              <w:bottom w:w="80" w:type="dxa"/>
              <w:end w:w="90" w:type="dxa"/>
            </w:tcMar>
            <w:vAlign w:val="center"/>
          </w:tcPr>
          <w:p>
            <w:pPr>
              <w:jc w:val="left"/>
            </w:pPr>
            <w:r>
              <w:rPr>
                <w:rFonts w:ascii="Liberation Serif" w:hAnsi="Liberation Serif"/>
                <w:sz w:val="15"/>
              </w:rPr>
              <w:t>Теорема 12.10</w:t>
            </w:r>
          </w:p>
        </w:tc>
        <w:tc>
          <w:tcPr>
            <w:tcW w:type="dxa" w:w="2438"/>
            <w:shd w:fill="EEF3F8"/>
            <w:tcMar>
              <w:top w:w="80" w:type="dxa"/>
              <w:start w:w="90" w:type="dxa"/>
              <w:bottom w:w="80" w:type="dxa"/>
              <w:end w:w="90" w:type="dxa"/>
            </w:tcMar>
            <w:vAlign w:val="center"/>
          </w:tcPr>
          <w:p>
            <w:pPr>
              <w:jc w:val="left"/>
            </w:pPr>
            <w:r>
              <w:rPr>
                <w:rFonts w:ascii="Liberation Serif" w:hAnsi="Liberation Serif"/>
                <w:sz w:val="15"/>
              </w:rPr>
              <w:t>смешанные блоки открыты</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T2-PO-097</w:t>
            </w:r>
          </w:p>
        </w:tc>
        <w:tc>
          <w:tcPr>
            <w:tcW w:type="dxa" w:w="2551"/>
            <w:shd w:fill="FFFFFF"/>
            <w:tcMar>
              <w:top w:w="80" w:type="dxa"/>
              <w:start w:w="90" w:type="dxa"/>
              <w:bottom w:w="80" w:type="dxa"/>
              <w:end w:w="90" w:type="dxa"/>
            </w:tcMar>
            <w:vAlign w:val="center"/>
          </w:tcPr>
          <w:p>
            <w:pPr>
              <w:jc w:val="left"/>
            </w:pPr>
            <w:r>
              <w:rPr>
                <w:rFonts w:ascii="Liberation Serif" w:hAnsi="Liberation Serif"/>
                <w:sz w:val="15"/>
              </w:rPr>
              <w:t>Residual и minimal-norm lift</w:t>
            </w:r>
          </w:p>
        </w:tc>
        <w:tc>
          <w:tcPr>
            <w:tcW w:type="dxa" w:w="1247"/>
            <w:shd w:fill="FFFFFF"/>
            <w:tcMar>
              <w:top w:w="80" w:type="dxa"/>
              <w:start w:w="90" w:type="dxa"/>
              <w:bottom w:w="80" w:type="dxa"/>
              <w:end w:w="90" w:type="dxa"/>
            </w:tcMar>
            <w:vAlign w:val="center"/>
          </w:tcPr>
          <w:p>
            <w:pPr>
              <w:jc w:val="center"/>
            </w:pPr>
            <w:r>
              <w:rPr>
                <w:rFonts w:ascii="Liberation Serif" w:hAnsi="Liberation Serif"/>
                <w:sz w:val="15"/>
              </w:rPr>
              <w:t>THM/COMP</w:t>
            </w:r>
          </w:p>
        </w:tc>
        <w:tc>
          <w:tcPr>
            <w:tcW w:type="dxa" w:w="1871"/>
            <w:shd w:fill="FFFFFF"/>
            <w:tcMar>
              <w:top w:w="80" w:type="dxa"/>
              <w:start w:w="90" w:type="dxa"/>
              <w:bottom w:w="80" w:type="dxa"/>
              <w:end w:w="90" w:type="dxa"/>
            </w:tcMar>
            <w:vAlign w:val="center"/>
          </w:tcPr>
          <w:p>
            <w:pPr>
              <w:jc w:val="left"/>
            </w:pPr>
            <w:r>
              <w:rPr>
                <w:rFonts w:ascii="Liberation Serif" w:hAnsi="Liberation Serif"/>
                <w:sz w:val="15"/>
              </w:rPr>
              <w:t>Теорема 12.11</w:t>
            </w:r>
          </w:p>
        </w:tc>
        <w:tc>
          <w:tcPr>
            <w:tcW w:type="dxa" w:w="2438"/>
            <w:shd w:fill="FFFFFF"/>
            <w:tcMar>
              <w:top w:w="80" w:type="dxa"/>
              <w:start w:w="90" w:type="dxa"/>
              <w:bottom w:w="80" w:type="dxa"/>
              <w:end w:w="90" w:type="dxa"/>
            </w:tcMar>
            <w:vAlign w:val="center"/>
          </w:tcPr>
          <w:p>
            <w:pPr>
              <w:jc w:val="left"/>
            </w:pPr>
            <w:r>
              <w:rPr>
                <w:rFonts w:ascii="Liberation Serif" w:hAnsi="Liberation Serif"/>
                <w:sz w:val="15"/>
              </w:rPr>
              <w:t>нужны нормы/convention</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T2-PO-098</w:t>
            </w:r>
          </w:p>
        </w:tc>
        <w:tc>
          <w:tcPr>
            <w:tcW w:type="dxa" w:w="2551"/>
            <w:shd w:fill="EEF3F8"/>
            <w:tcMar>
              <w:top w:w="80" w:type="dxa"/>
              <w:start w:w="90" w:type="dxa"/>
              <w:bottom w:w="80" w:type="dxa"/>
              <w:end w:w="90" w:type="dxa"/>
            </w:tcMar>
            <w:vAlign w:val="center"/>
          </w:tcPr>
          <w:p>
            <w:pPr>
              <w:jc w:val="left"/>
            </w:pPr>
            <w:r>
              <w:rPr>
                <w:rFonts w:ascii="Liberation Serif" w:hAnsi="Liberation Serif"/>
                <w:sz w:val="15"/>
              </w:rPr>
              <w:t>Obstruction bundle постоянного ранга</w:t>
            </w:r>
          </w:p>
        </w:tc>
        <w:tc>
          <w:tcPr>
            <w:tcW w:type="dxa" w:w="1247"/>
            <w:shd w:fill="EEF3F8"/>
            <w:tcMar>
              <w:top w:w="80" w:type="dxa"/>
              <w:start w:w="90" w:type="dxa"/>
              <w:bottom w:w="80" w:type="dxa"/>
              <w:end w:w="90" w:type="dxa"/>
            </w:tcMar>
            <w:vAlign w:val="center"/>
          </w:tcPr>
          <w:p>
            <w:pPr>
              <w:jc w:val="center"/>
            </w:pPr>
            <w:r>
              <w:rPr>
                <w:rFonts w:ascii="Liberation Serif" w:hAnsi="Liberation Serif"/>
                <w:sz w:val="15"/>
              </w:rPr>
              <w:t>THM</w:t>
            </w:r>
          </w:p>
        </w:tc>
        <w:tc>
          <w:tcPr>
            <w:tcW w:type="dxa" w:w="1871"/>
            <w:shd w:fill="EEF3F8"/>
            <w:tcMar>
              <w:top w:w="80" w:type="dxa"/>
              <w:start w:w="90" w:type="dxa"/>
              <w:bottom w:w="80" w:type="dxa"/>
              <w:end w:w="90" w:type="dxa"/>
            </w:tcMar>
            <w:vAlign w:val="center"/>
          </w:tcPr>
          <w:p>
            <w:pPr>
              <w:jc w:val="left"/>
            </w:pPr>
            <w:r>
              <w:rPr>
                <w:rFonts w:ascii="Liberation Serif" w:hAnsi="Liberation Serif"/>
                <w:sz w:val="15"/>
              </w:rPr>
              <w:t>Теорема 12.12</w:t>
            </w:r>
          </w:p>
        </w:tc>
        <w:tc>
          <w:tcPr>
            <w:tcW w:type="dxa" w:w="2438"/>
            <w:shd w:fill="EEF3F8"/>
            <w:tcMar>
              <w:top w:w="80" w:type="dxa"/>
              <w:start w:w="90" w:type="dxa"/>
              <w:bottom w:w="80" w:type="dxa"/>
              <w:end w:w="90" w:type="dxa"/>
            </w:tcMar>
            <w:vAlign w:val="center"/>
          </w:tcPr>
          <w:p>
            <w:pPr>
              <w:jc w:val="left"/>
            </w:pPr>
            <w:r>
              <w:rPr>
                <w:rFonts w:ascii="Liberation Serif" w:hAnsi="Liberation Serif"/>
                <w:sz w:val="15"/>
              </w:rPr>
              <w:t>бесконечномерный случай открыт</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T2-PO-099</w:t>
            </w:r>
          </w:p>
        </w:tc>
        <w:tc>
          <w:tcPr>
            <w:tcW w:type="dxa" w:w="2551"/>
            <w:shd w:fill="FFFFFF"/>
            <w:tcMar>
              <w:top w:w="80" w:type="dxa"/>
              <w:start w:w="90" w:type="dxa"/>
              <w:bottom w:w="80" w:type="dxa"/>
              <w:end w:w="90" w:type="dxa"/>
            </w:tcMar>
            <w:vAlign w:val="center"/>
          </w:tcPr>
          <w:p>
            <w:pPr>
              <w:jc w:val="left"/>
            </w:pPr>
            <w:r>
              <w:rPr>
                <w:rFonts w:ascii="Liberation Serif" w:hAnsi="Liberation Serif"/>
                <w:sz w:val="15"/>
              </w:rPr>
              <w:t>Устойчивая зона NO-LIFT</w:t>
            </w:r>
          </w:p>
        </w:tc>
        <w:tc>
          <w:tcPr>
            <w:tcW w:type="dxa" w:w="1247"/>
            <w:shd w:fill="FFFFFF"/>
            <w:tcMar>
              <w:top w:w="80" w:type="dxa"/>
              <w:start w:w="90" w:type="dxa"/>
              <w:bottom w:w="80" w:type="dxa"/>
              <w:end w:w="90" w:type="dxa"/>
            </w:tcMar>
            <w:vAlign w:val="center"/>
          </w:tcPr>
          <w:p>
            <w:pPr>
              <w:jc w:val="center"/>
            </w:pPr>
            <w:r>
              <w:rPr>
                <w:rFonts w:ascii="Liberation Serif" w:hAnsi="Liberation Serif"/>
                <w:sz w:val="15"/>
              </w:rPr>
              <w:t>THM/COMP</w:t>
            </w:r>
          </w:p>
        </w:tc>
        <w:tc>
          <w:tcPr>
            <w:tcW w:type="dxa" w:w="1871"/>
            <w:shd w:fill="FFFFFF"/>
            <w:tcMar>
              <w:top w:w="80" w:type="dxa"/>
              <w:start w:w="90" w:type="dxa"/>
              <w:bottom w:w="80" w:type="dxa"/>
              <w:end w:w="90" w:type="dxa"/>
            </w:tcMar>
            <w:vAlign w:val="center"/>
          </w:tcPr>
          <w:p>
            <w:pPr>
              <w:jc w:val="left"/>
            </w:pPr>
            <w:r>
              <w:rPr>
                <w:rFonts w:ascii="Liberation Serif" w:hAnsi="Liberation Serif"/>
                <w:sz w:val="15"/>
              </w:rPr>
              <w:t>Теорема 12.14</w:t>
            </w:r>
          </w:p>
        </w:tc>
        <w:tc>
          <w:tcPr>
            <w:tcW w:type="dxa" w:w="2438"/>
            <w:shd w:fill="FFFFFF"/>
            <w:tcMar>
              <w:top w:w="80" w:type="dxa"/>
              <w:start w:w="90" w:type="dxa"/>
              <w:bottom w:w="80" w:type="dxa"/>
              <w:end w:w="90" w:type="dxa"/>
            </w:tcMar>
            <w:vAlign w:val="center"/>
          </w:tcPr>
          <w:p>
            <w:pPr>
              <w:jc w:val="left"/>
            </w:pPr>
            <w:r>
              <w:rPr>
                <w:rFonts w:ascii="Liberation Serif" w:hAnsi="Liberation Serif"/>
                <w:sz w:val="15"/>
              </w:rPr>
              <w:t>требует сертифицированных bounds</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T2-PO-100</w:t>
            </w:r>
          </w:p>
        </w:tc>
        <w:tc>
          <w:tcPr>
            <w:tcW w:type="dxa" w:w="2551"/>
            <w:shd w:fill="EEF3F8"/>
            <w:tcMar>
              <w:top w:w="80" w:type="dxa"/>
              <w:start w:w="90" w:type="dxa"/>
              <w:bottom w:w="80" w:type="dxa"/>
              <w:end w:w="90" w:type="dxa"/>
            </w:tcMar>
            <w:vAlign w:val="center"/>
          </w:tcPr>
          <w:p>
            <w:pPr>
              <w:jc w:val="left"/>
            </w:pPr>
            <w:r>
              <w:rPr>
                <w:rFonts w:ascii="Liberation Serif" w:hAnsi="Liberation Serif"/>
                <w:sz w:val="15"/>
              </w:rPr>
              <w:t>Главная predictive theorem v0.9</w:t>
            </w:r>
          </w:p>
        </w:tc>
        <w:tc>
          <w:tcPr>
            <w:tcW w:type="dxa" w:w="1247"/>
            <w:shd w:fill="EEF3F8"/>
            <w:tcMar>
              <w:top w:w="80" w:type="dxa"/>
              <w:start w:w="90" w:type="dxa"/>
              <w:bottom w:w="80" w:type="dxa"/>
              <w:end w:w="90" w:type="dxa"/>
            </w:tcMar>
            <w:vAlign w:val="center"/>
          </w:tcPr>
          <w:p>
            <w:pPr>
              <w:jc w:val="center"/>
            </w:pPr>
            <w:r>
              <w:rPr>
                <w:rFonts w:ascii="Liberation Serif" w:hAnsi="Liberation Serif"/>
                <w:sz w:val="15"/>
              </w:rPr>
              <w:t>COND</w:t>
            </w:r>
          </w:p>
        </w:tc>
        <w:tc>
          <w:tcPr>
            <w:tcW w:type="dxa" w:w="1871"/>
            <w:shd w:fill="EEF3F8"/>
            <w:tcMar>
              <w:top w:w="80" w:type="dxa"/>
              <w:start w:w="90" w:type="dxa"/>
              <w:bottom w:w="80" w:type="dxa"/>
              <w:end w:w="90" w:type="dxa"/>
            </w:tcMar>
            <w:vAlign w:val="center"/>
          </w:tcPr>
          <w:p>
            <w:pPr>
              <w:jc w:val="left"/>
            </w:pPr>
            <w:r>
              <w:rPr>
                <w:rFonts w:ascii="Liberation Serif" w:hAnsi="Liberation Serif"/>
                <w:sz w:val="15"/>
              </w:rPr>
              <w:t>Теорема 12.15</w:t>
            </w:r>
          </w:p>
        </w:tc>
        <w:tc>
          <w:tcPr>
            <w:tcW w:type="dxa" w:w="2438"/>
            <w:shd w:fill="EEF3F8"/>
            <w:tcMar>
              <w:top w:w="80" w:type="dxa"/>
              <w:start w:w="90" w:type="dxa"/>
              <w:bottom w:w="80" w:type="dxa"/>
              <w:end w:w="90" w:type="dxa"/>
            </w:tcMar>
            <w:vAlign w:val="center"/>
          </w:tcPr>
          <w:p>
            <w:pPr>
              <w:jc w:val="left"/>
            </w:pPr>
            <w:r>
              <w:rPr>
                <w:rFonts w:ascii="Liberation Serif" w:hAnsi="Liberation Serif"/>
                <w:sz w:val="15"/>
              </w:rPr>
              <w:t>H1-H8</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T2-PO-101</w:t>
            </w:r>
          </w:p>
        </w:tc>
        <w:tc>
          <w:tcPr>
            <w:tcW w:type="dxa" w:w="2551"/>
            <w:shd w:fill="FFFFFF"/>
            <w:tcMar>
              <w:top w:w="80" w:type="dxa"/>
              <w:start w:w="90" w:type="dxa"/>
              <w:bottom w:w="80" w:type="dxa"/>
              <w:end w:w="90" w:type="dxa"/>
            </w:tcMar>
            <w:vAlign w:val="center"/>
          </w:tcPr>
          <w:p>
            <w:pPr>
              <w:jc w:val="left"/>
            </w:pPr>
            <w:r>
              <w:rPr>
                <w:rFonts w:ascii="Liberation Serif" w:hAnsi="Liberation Serif"/>
                <w:sz w:val="15"/>
              </w:rPr>
              <w:t>Высшие препятствия после C_min</w:t>
            </w:r>
          </w:p>
        </w:tc>
        <w:tc>
          <w:tcPr>
            <w:tcW w:type="dxa" w:w="1247"/>
            <w:shd w:fill="FFFFFF"/>
            <w:tcMar>
              <w:top w:w="80" w:type="dxa"/>
              <w:start w:w="90" w:type="dxa"/>
              <w:bottom w:w="80" w:type="dxa"/>
              <w:end w:w="90" w:type="dxa"/>
            </w:tcMar>
            <w:vAlign w:val="center"/>
          </w:tcPr>
          <w:p>
            <w:pPr>
              <w:jc w:val="center"/>
            </w:pPr>
            <w:r>
              <w:rPr>
                <w:rFonts w:ascii="Liberation Serif" w:hAnsi="Liberation Serif"/>
                <w:sz w:val="15"/>
              </w:rPr>
              <w:t>OPEN</w:t>
            </w:r>
          </w:p>
        </w:tc>
        <w:tc>
          <w:tcPr>
            <w:tcW w:type="dxa" w:w="1871"/>
            <w:shd w:fill="FFFFFF"/>
            <w:tcMar>
              <w:top w:w="80" w:type="dxa"/>
              <w:start w:w="90" w:type="dxa"/>
              <w:bottom w:w="80" w:type="dxa"/>
              <w:end w:w="90" w:type="dxa"/>
            </w:tcMar>
            <w:vAlign w:val="center"/>
          </w:tcPr>
          <w:p>
            <w:pPr>
              <w:jc w:val="left"/>
            </w:pPr>
            <w:r>
              <w:rPr>
                <w:rFonts w:ascii="Liberation Serif" w:hAnsi="Liberation Serif"/>
                <w:sz w:val="15"/>
              </w:rPr>
              <w:t>Глава 16</w:t>
            </w:r>
          </w:p>
        </w:tc>
        <w:tc>
          <w:tcPr>
            <w:tcW w:type="dxa" w:w="2438"/>
            <w:shd w:fill="FFFFFF"/>
            <w:tcMar>
              <w:top w:w="80" w:type="dxa"/>
              <w:start w:w="90" w:type="dxa"/>
              <w:bottom w:w="80" w:type="dxa"/>
              <w:end w:w="90" w:type="dxa"/>
            </w:tcMar>
            <w:vAlign w:val="center"/>
          </w:tcPr>
          <w:p>
            <w:pPr>
              <w:jc w:val="left"/>
            </w:pPr>
            <w:r>
              <w:rPr>
                <w:rFonts w:ascii="Liberation Serif" w:hAnsi="Liberation Serif"/>
                <w:sz w:val="15"/>
              </w:rPr>
              <w:t>нужна obstruction tower / MC-package</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T2-PO-102</w:t>
            </w:r>
          </w:p>
        </w:tc>
        <w:tc>
          <w:tcPr>
            <w:tcW w:type="dxa" w:w="2551"/>
            <w:shd w:fill="EEF3F8"/>
            <w:tcMar>
              <w:top w:w="80" w:type="dxa"/>
              <w:start w:w="90" w:type="dxa"/>
              <w:bottom w:w="80" w:type="dxa"/>
              <w:end w:w="90" w:type="dxa"/>
            </w:tcMar>
            <w:vAlign w:val="center"/>
          </w:tcPr>
          <w:p>
            <w:pPr>
              <w:jc w:val="left"/>
            </w:pPr>
            <w:r>
              <w:rPr>
                <w:rFonts w:ascii="Liberation Serif" w:hAnsi="Liberation Serif"/>
                <w:sz w:val="15"/>
              </w:rPr>
              <w:t>Внешний E-мост Π_E</w:t>
            </w:r>
          </w:p>
        </w:tc>
        <w:tc>
          <w:tcPr>
            <w:tcW w:type="dxa" w:w="1247"/>
            <w:shd w:fill="EEF3F8"/>
            <w:tcMar>
              <w:top w:w="80" w:type="dxa"/>
              <w:start w:w="90" w:type="dxa"/>
              <w:bottom w:w="80" w:type="dxa"/>
              <w:end w:w="90" w:type="dxa"/>
            </w:tcMar>
            <w:vAlign w:val="center"/>
          </w:tcPr>
          <w:p>
            <w:pPr>
              <w:jc w:val="center"/>
            </w:pPr>
            <w:r>
              <w:rPr>
                <w:rFonts w:ascii="Liberation Serif" w:hAnsi="Liberation Serif"/>
                <w:sz w:val="15"/>
              </w:rPr>
              <w:t>OPEN</w:t>
            </w:r>
          </w:p>
        </w:tc>
        <w:tc>
          <w:tcPr>
            <w:tcW w:type="dxa" w:w="1871"/>
            <w:shd w:fill="EEF3F8"/>
            <w:tcMar>
              <w:top w:w="80" w:type="dxa"/>
              <w:start w:w="90" w:type="dxa"/>
              <w:bottom w:w="80" w:type="dxa"/>
              <w:end w:w="90" w:type="dxa"/>
            </w:tcMar>
            <w:vAlign w:val="center"/>
          </w:tcPr>
          <w:p>
            <w:pPr>
              <w:jc w:val="left"/>
            </w:pPr>
            <w:r>
              <w:rPr>
                <w:rFonts w:ascii="Liberation Serif" w:hAnsi="Liberation Serif"/>
                <w:sz w:val="15"/>
              </w:rPr>
              <w:t>Следующая сборка</w:t>
            </w:r>
          </w:p>
        </w:tc>
        <w:tc>
          <w:tcPr>
            <w:tcW w:type="dxa" w:w="2438"/>
            <w:shd w:fill="EEF3F8"/>
            <w:tcMar>
              <w:top w:w="80" w:type="dxa"/>
              <w:start w:w="90" w:type="dxa"/>
              <w:bottom w:w="80" w:type="dxa"/>
              <w:end w:w="90" w:type="dxa"/>
            </w:tcMar>
            <w:vAlign w:val="center"/>
          </w:tcPr>
          <w:p>
            <w:pPr>
              <w:jc w:val="left"/>
            </w:pPr>
            <w:r>
              <w:rPr>
                <w:rFonts w:ascii="Liberation Serif" w:hAnsi="Liberation Serif"/>
                <w:sz w:val="15"/>
              </w:rPr>
              <w:t>B1-B8</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T2-PO-103</w:t>
            </w:r>
          </w:p>
        </w:tc>
        <w:tc>
          <w:tcPr>
            <w:tcW w:type="dxa" w:w="2551"/>
            <w:shd w:fill="FFFFFF"/>
            <w:tcMar>
              <w:top w:w="80" w:type="dxa"/>
              <w:start w:w="90" w:type="dxa"/>
              <w:bottom w:w="80" w:type="dxa"/>
              <w:end w:w="90" w:type="dxa"/>
            </w:tcMar>
            <w:vAlign w:val="center"/>
          </w:tcPr>
          <w:p>
            <w:pPr>
              <w:jc w:val="left"/>
            </w:pPr>
            <w:r>
              <w:rPr>
                <w:rFonts w:ascii="Liberation Serif" w:hAnsi="Liberation Serif"/>
                <w:sz w:val="15"/>
              </w:rPr>
              <w:t>Banach/Hilbert Fredholm-версия</w:t>
            </w:r>
          </w:p>
        </w:tc>
        <w:tc>
          <w:tcPr>
            <w:tcW w:type="dxa" w:w="1247"/>
            <w:shd w:fill="FFFFFF"/>
            <w:tcMar>
              <w:top w:w="80" w:type="dxa"/>
              <w:start w:w="90" w:type="dxa"/>
              <w:bottom w:w="80" w:type="dxa"/>
              <w:end w:w="90" w:type="dxa"/>
            </w:tcMar>
            <w:vAlign w:val="center"/>
          </w:tcPr>
          <w:p>
            <w:pPr>
              <w:jc w:val="center"/>
            </w:pPr>
            <w:r>
              <w:rPr>
                <w:rFonts w:ascii="Liberation Serif" w:hAnsi="Liberation Serif"/>
                <w:sz w:val="15"/>
              </w:rPr>
              <w:t>OPEN</w:t>
            </w:r>
          </w:p>
        </w:tc>
        <w:tc>
          <w:tcPr>
            <w:tcW w:type="dxa" w:w="1871"/>
            <w:shd w:fill="FFFFFF"/>
            <w:tcMar>
              <w:top w:w="80" w:type="dxa"/>
              <w:start w:w="90" w:type="dxa"/>
              <w:bottom w:w="80" w:type="dxa"/>
              <w:end w:w="90" w:type="dxa"/>
            </w:tcMar>
            <w:vAlign w:val="center"/>
          </w:tcPr>
          <w:p>
            <w:pPr>
              <w:jc w:val="left"/>
            </w:pPr>
            <w:r>
              <w:rPr>
                <w:rFonts w:ascii="Liberation Serif" w:hAnsi="Liberation Serif"/>
                <w:sz w:val="15"/>
              </w:rPr>
              <w:t>-</w:t>
            </w:r>
          </w:p>
        </w:tc>
        <w:tc>
          <w:tcPr>
            <w:tcW w:type="dxa" w:w="2438"/>
            <w:shd w:fill="FFFFFF"/>
            <w:tcMar>
              <w:top w:w="80" w:type="dxa"/>
              <w:start w:w="90" w:type="dxa"/>
              <w:bottom w:w="80" w:type="dxa"/>
              <w:end w:w="90" w:type="dxa"/>
            </w:tcMar>
            <w:vAlign w:val="center"/>
          </w:tcPr>
          <w:p>
            <w:pPr>
              <w:jc w:val="left"/>
            </w:pPr>
            <w:r>
              <w:rPr>
                <w:rFonts w:ascii="Liberation Serif" w:hAnsi="Liberation Serif"/>
                <w:sz w:val="15"/>
              </w:rPr>
              <w:t>замкнутый образ, complemented kernels</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T2-PO-104</w:t>
            </w:r>
          </w:p>
        </w:tc>
        <w:tc>
          <w:tcPr>
            <w:tcW w:type="dxa" w:w="2551"/>
            <w:shd w:fill="EEF3F8"/>
            <w:tcMar>
              <w:top w:w="80" w:type="dxa"/>
              <w:start w:w="90" w:type="dxa"/>
              <w:bottom w:w="80" w:type="dxa"/>
              <w:end w:w="90" w:type="dxa"/>
            </w:tcMar>
            <w:vAlign w:val="center"/>
          </w:tcPr>
          <w:p>
            <w:pPr>
              <w:jc w:val="left"/>
            </w:pPr>
            <w:r>
              <w:rPr>
                <w:rFonts w:ascii="Liberation Serif" w:hAnsi="Liberation Serif"/>
                <w:sz w:val="15"/>
              </w:rPr>
              <w:t>Независимый доменный запуск</w:t>
            </w:r>
          </w:p>
        </w:tc>
        <w:tc>
          <w:tcPr>
            <w:tcW w:type="dxa" w:w="1247"/>
            <w:shd w:fill="EEF3F8"/>
            <w:tcMar>
              <w:top w:w="80" w:type="dxa"/>
              <w:start w:w="90" w:type="dxa"/>
              <w:bottom w:w="80" w:type="dxa"/>
              <w:end w:w="90" w:type="dxa"/>
            </w:tcMar>
            <w:vAlign w:val="center"/>
          </w:tcPr>
          <w:p>
            <w:pPr>
              <w:jc w:val="center"/>
            </w:pPr>
            <w:r>
              <w:rPr>
                <w:rFonts w:ascii="Liberation Serif" w:hAnsi="Liberation Serif"/>
                <w:sz w:val="15"/>
              </w:rPr>
              <w:t>OPEN</w:t>
            </w:r>
          </w:p>
        </w:tc>
        <w:tc>
          <w:tcPr>
            <w:tcW w:type="dxa" w:w="1871"/>
            <w:shd w:fill="EEF3F8"/>
            <w:tcMar>
              <w:top w:w="80" w:type="dxa"/>
              <w:start w:w="90" w:type="dxa"/>
              <w:bottom w:w="80" w:type="dxa"/>
              <w:end w:w="90" w:type="dxa"/>
            </w:tcMar>
            <w:vAlign w:val="center"/>
          </w:tcPr>
          <w:p>
            <w:pPr>
              <w:jc w:val="left"/>
            </w:pPr>
            <w:r>
              <w:rPr>
                <w:rFonts w:ascii="Liberation Serif" w:hAnsi="Liberation Serif"/>
                <w:sz w:val="15"/>
              </w:rPr>
              <w:t>-</w:t>
            </w:r>
          </w:p>
        </w:tc>
        <w:tc>
          <w:tcPr>
            <w:tcW w:type="dxa" w:w="2438"/>
            <w:shd w:fill="EEF3F8"/>
            <w:tcMar>
              <w:top w:w="80" w:type="dxa"/>
              <w:start w:w="90" w:type="dxa"/>
              <w:bottom w:w="80" w:type="dxa"/>
              <w:end w:w="90" w:type="dxa"/>
            </w:tcMar>
            <w:vAlign w:val="center"/>
          </w:tcPr>
          <w:p>
            <w:pPr>
              <w:jc w:val="left"/>
            </w:pPr>
            <w:r>
              <w:rPr>
                <w:rFonts w:ascii="Liberation Serif" w:hAnsi="Liberation Serif"/>
                <w:sz w:val="15"/>
              </w:rPr>
              <w:t>данные и preregistration</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T2-PO-105</w:t>
            </w:r>
          </w:p>
        </w:tc>
        <w:tc>
          <w:tcPr>
            <w:tcW w:type="dxa" w:w="2551"/>
            <w:shd w:fill="FFFFFF"/>
            <w:tcMar>
              <w:top w:w="80" w:type="dxa"/>
              <w:start w:w="90" w:type="dxa"/>
              <w:bottom w:w="80" w:type="dxa"/>
              <w:end w:w="90" w:type="dxa"/>
            </w:tcMar>
            <w:vAlign w:val="center"/>
          </w:tcPr>
          <w:p>
            <w:pPr>
              <w:jc w:val="left"/>
            </w:pPr>
            <w:r>
              <w:rPr>
                <w:rFonts w:ascii="Liberation Serif" w:hAnsi="Liberation Serif"/>
                <w:sz w:val="15"/>
              </w:rPr>
              <w:t>Физическая интерпретация</w:t>
            </w:r>
          </w:p>
        </w:tc>
        <w:tc>
          <w:tcPr>
            <w:tcW w:type="dxa" w:w="1247"/>
            <w:shd w:fill="FFFFFF"/>
            <w:tcMar>
              <w:top w:w="80" w:type="dxa"/>
              <w:start w:w="90" w:type="dxa"/>
              <w:bottom w:w="80" w:type="dxa"/>
              <w:end w:w="90" w:type="dxa"/>
            </w:tcMar>
            <w:vAlign w:val="center"/>
          </w:tcPr>
          <w:p>
            <w:pPr>
              <w:jc w:val="center"/>
            </w:pPr>
            <w:r>
              <w:rPr>
                <w:rFonts w:ascii="Liberation Serif" w:hAnsi="Liberation Serif"/>
                <w:sz w:val="15"/>
              </w:rPr>
              <w:t>PHY-HYP/OPEN</w:t>
            </w:r>
          </w:p>
        </w:tc>
        <w:tc>
          <w:tcPr>
            <w:tcW w:type="dxa" w:w="1871"/>
            <w:shd w:fill="FFFFFF"/>
            <w:tcMar>
              <w:top w:w="80" w:type="dxa"/>
              <w:start w:w="90" w:type="dxa"/>
              <w:bottom w:w="80" w:type="dxa"/>
              <w:end w:w="90" w:type="dxa"/>
            </w:tcMar>
            <w:vAlign w:val="center"/>
          </w:tcPr>
          <w:p>
            <w:pPr>
              <w:jc w:val="left"/>
            </w:pPr>
            <w:r>
              <w:rPr>
                <w:rFonts w:ascii="Liberation Serif" w:hAnsi="Liberation Serif"/>
                <w:sz w:val="15"/>
              </w:rPr>
              <w:t>Том III</w:t>
            </w:r>
          </w:p>
        </w:tc>
        <w:tc>
          <w:tcPr>
            <w:tcW w:type="dxa" w:w="2438"/>
            <w:shd w:fill="FFFFFF"/>
            <w:tcMar>
              <w:top w:w="80" w:type="dxa"/>
              <w:start w:w="90" w:type="dxa"/>
              <w:bottom w:w="80" w:type="dxa"/>
              <w:end w:w="90" w:type="dxa"/>
            </w:tcMar>
            <w:vAlign w:val="center"/>
          </w:tcPr>
          <w:p>
            <w:pPr>
              <w:jc w:val="left"/>
            </w:pPr>
            <w:r>
              <w:rPr>
                <w:rFonts w:ascii="Liberation Serif" w:hAnsi="Liberation Serif"/>
                <w:sz w:val="15"/>
              </w:rPr>
              <w:t>независимая проверка</w:t>
            </w:r>
          </w:p>
        </w:tc>
      </w:tr>
    </w:tbl>
    <w:p>
      <w:pPr>
        <w:pStyle w:val="Heading1"/>
        <w:keepNext/>
      </w:pPr>
      <w:r>
        <w:t>98. Prior art и граница авторской новизны</w:t>
      </w:r>
    </w:p>
    <w:p>
      <w:pPr/>
      <w:r>
        <w:t>Классический prior art включает коцепные комплексы, ядра и коядра, deformation-obstruction теорию, tangent functors и условия представимости. Авторская линия Тома II состоит не в заявлении новизны этих общих объектов, а в их типизированной сборке вокруг квадратичного кадра NAPG_q, Reper(R,I,U;D), λ-диагностики, blocker-safe verdict и вычислительного KLT-RBD-контура.</w:t>
      </w:r>
    </w:p>
    <w:p>
      <w:pPr/>
      <w:r>
        <w:t>[V0.9-1] Gerstenhaber, M. On the Deformation of Rings and Algebras. Annals of Mathematics 79 (1964), 59-103. JSTOR 1970484.</w:t>
      </w:r>
    </w:p>
    <w:p>
      <w:pPr/>
      <w:r>
        <w:t>[V0.9-2] Nijenhuis, A.; Richardson, R. W. Deformations of Lie Algebra Structures. Journal of Mathematics and Mechanics 17 (1968), 89-105.</w:t>
      </w:r>
    </w:p>
    <w:p>
      <w:pPr/>
      <w:r>
        <w:t>[V0.9-3] Schlessinger, M. Functors of Artin Rings. Transactions of the AMS 130 (1968), 208-222. DOI 10.1090/S0002-9947-1968-0217093-3.</w:t>
      </w:r>
    </w:p>
    <w:p>
      <w:pPr/>
      <w:r>
        <w:t>[V0.9-4] The Stacks Project. Part 6: Deformation Theory; Chapters 90-93, including Schlessinger conditions, lifts and cotangent complexes. Tag 0ELW.</w:t>
      </w:r>
    </w:p>
    <w:p>
      <w:pPr/>
      <w:r>
        <w:t>[V0.9-5] Kurpishev, I. B. Том I v197 RU, §§52.9-52.18 и статус 26.36; Том II T2-RP-v0.1-v0.8; PILOT-01.</w:t>
      </w:r>
    </w:p>
    <w:p>
      <w:pPr/>
      <w:r>
        <w:t>Граница новизны. Формулы H²=ker Ψ и H³=coker Ψ являются классической линейной алгеброй. Авторским результатом проекта является выбор конкретного квадратичного кадра NAPG_q, его функториальная связь с O_B, включение в предсказательный Reper-шлюз и доказательная дисциплина, запрещающая перенос внутреннего класса во внешний или физический слой без моста.</w:t>
      </w:r>
    </w:p>
    <w:p>
      <w:pPr>
        <w:pStyle w:val="Heading1"/>
        <w:keepNext/>
      </w:pPr>
      <w:r>
        <w:t>99. Итог главы и контрольная точка T2-RP-v0.9</w:t>
      </w:r>
    </w:p>
    <w:tbl>
      <w:tblPr>
        <w:tblStyle w:val="TableGrid"/>
        <w:tblW w:type="auto" w:w="0"/>
        <w:jc w:val="center"/>
        <w:tblLayout w:type="fixed"/>
        <w:tblLook w:firstColumn="1" w:firstRow="1" w:lastColumn="0" w:lastRow="0" w:noHBand="0" w:noVBand="1" w:val="04A0"/>
      </w:tblPr>
      <w:tblGrid>
        <w:gridCol w:w="4876"/>
        <w:gridCol w:w="4876"/>
      </w:tblGrid>
      <w:tr>
        <w:tc>
          <w:tcPr>
            <w:tcW w:type="dxa" w:w="2835"/>
            <w:shd w:fill="DCE6F1"/>
            <w:tcMar>
              <w:top w:w="110" w:type="dxa"/>
              <w:start w:w="130" w:type="dxa"/>
              <w:bottom w:w="110" w:type="dxa"/>
              <w:end w:w="130" w:type="dxa"/>
            </w:tcMar>
            <w:vAlign w:val="center"/>
          </w:tcPr>
          <w:p>
            <w:r>
              <w:rPr>
                <w:rFonts w:ascii="Liberation Sans" w:hAnsi="Liberation Sans"/>
                <w:b/>
                <w:sz w:val="18"/>
              </w:rPr>
              <w:t>Доказано</w:t>
            </w:r>
          </w:p>
        </w:tc>
        <w:tc>
          <w:tcPr>
            <w:tcW w:type="dxa" w:w="6520"/>
            <w:shd w:fill="FFFFFF"/>
            <w:tcMar>
              <w:top w:w="110" w:type="dxa"/>
              <w:start w:w="130" w:type="dxa"/>
              <w:bottom w:w="110" w:type="dxa"/>
              <w:end w:w="130" w:type="dxa"/>
            </w:tcMar>
            <w:vAlign w:val="center"/>
          </w:tcPr>
          <w:p>
            <w:r>
              <w:rPr>
                <w:rFonts w:ascii="Liberation Serif" w:hAnsi="Liberation Serif"/>
                <w:sz w:val="18"/>
              </w:rPr>
              <w:t>C_min является функториальным двухчленным комплексом; H²=ker Ψ; H³=coker Ψ=O_B; точная последовательность; критерий и торсор подъёмов; base-change над полями; аналитический obstruction bundle постоянного ранга.</w:t>
            </w:r>
          </w:p>
        </w:tc>
      </w:tr>
      <w:tr>
        <w:tc>
          <w:tcPr>
            <w:tcW w:type="dxa" w:w="2835"/>
            <w:shd w:fill="EEF3F8"/>
            <w:tcMar>
              <w:top w:w="110" w:type="dxa"/>
              <w:start w:w="130" w:type="dxa"/>
              <w:bottom w:w="110" w:type="dxa"/>
              <w:end w:w="130" w:type="dxa"/>
            </w:tcMar>
            <w:vAlign w:val="center"/>
          </w:tcPr>
          <w:p>
            <w:r>
              <w:rPr>
                <w:rFonts w:ascii="Liberation Sans" w:hAnsi="Liberation Sans"/>
                <w:b/>
                <w:sz w:val="18"/>
              </w:rPr>
              <w:t>Условно</w:t>
            </w:r>
          </w:p>
        </w:tc>
        <w:tc>
          <w:tcPr>
            <w:tcW w:type="dxa" w:w="6520"/>
            <w:shd w:fill="F8FAFC"/>
            <w:tcMar>
              <w:top w:w="110" w:type="dxa"/>
              <w:start w:w="130" w:type="dxa"/>
              <w:bottom w:w="110" w:type="dxa"/>
              <w:end w:w="130" w:type="dxa"/>
            </w:tcMar>
            <w:vAlign w:val="center"/>
          </w:tcPr>
          <w:p>
            <w:r>
              <w:rPr>
                <w:rFonts w:ascii="Liberation Serif" w:hAnsi="Liberation Serif"/>
                <w:sz w:val="18"/>
              </w:rPr>
              <w:t>Предсказательный вывод действует только при H1-H8, сертифицированной устойчивости, D/Dom и отсутствии предыдущих блокеров.</w:t>
            </w:r>
          </w:p>
        </w:tc>
      </w:tr>
      <w:tr>
        <w:tc>
          <w:tcPr>
            <w:tcW w:type="dxa" w:w="2835"/>
            <w:shd w:fill="DCE6F1"/>
            <w:tcMar>
              <w:top w:w="110" w:type="dxa"/>
              <w:start w:w="130" w:type="dxa"/>
              <w:bottom w:w="110" w:type="dxa"/>
              <w:end w:w="130" w:type="dxa"/>
            </w:tcMar>
            <w:vAlign w:val="center"/>
          </w:tcPr>
          <w:p>
            <w:r>
              <w:rPr>
                <w:rFonts w:ascii="Liberation Sans" w:hAnsi="Liberation Sans"/>
                <w:b/>
                <w:sz w:val="18"/>
              </w:rPr>
              <w:t>Опровергнуто</w:t>
            </w:r>
          </w:p>
        </w:tc>
        <w:tc>
          <w:tcPr>
            <w:tcW w:type="dxa" w:w="6520"/>
            <w:shd w:fill="FFFFFF"/>
            <w:tcMar>
              <w:top w:w="110" w:type="dxa"/>
              <w:start w:w="130" w:type="dxa"/>
              <w:bottom w:w="110" w:type="dxa"/>
              <w:end w:w="130" w:type="dxa"/>
            </w:tcMar>
            <w:vAlign w:val="center"/>
          </w:tcPr>
          <w:p>
            <w:r>
              <w:rPr>
                <w:rFonts w:ascii="Liberation Serif" w:hAnsi="Liberation Serif"/>
                <w:sz w:val="18"/>
              </w:rPr>
              <w:t>Автоматические импликации H³≠0⇒каждый q препятствован; [q]=0⇒единственная/полная деформация; внутреннее H³⇒физический эффект.</w:t>
            </w:r>
          </w:p>
        </w:tc>
      </w:tr>
      <w:tr>
        <w:tc>
          <w:tcPr>
            <w:tcW w:type="dxa" w:w="2835"/>
            <w:shd w:fill="EEF3F8"/>
            <w:tcMar>
              <w:top w:w="110" w:type="dxa"/>
              <w:start w:w="130" w:type="dxa"/>
              <w:bottom w:w="110" w:type="dxa"/>
              <w:end w:w="130" w:type="dxa"/>
            </w:tcMar>
            <w:vAlign w:val="center"/>
          </w:tcPr>
          <w:p>
            <w:r>
              <w:rPr>
                <w:rFonts w:ascii="Liberation Sans" w:hAnsi="Liberation Sans"/>
                <w:b/>
                <w:sz w:val="18"/>
              </w:rPr>
              <w:t>Открыто</w:t>
            </w:r>
          </w:p>
        </w:tc>
        <w:tc>
          <w:tcPr>
            <w:tcW w:type="dxa" w:w="6520"/>
            <w:shd w:fill="F8FAFC"/>
            <w:tcMar>
              <w:top w:w="110" w:type="dxa"/>
              <w:start w:w="130" w:type="dxa"/>
              <w:bottom w:w="110" w:type="dxa"/>
              <w:end w:w="130" w:type="dxa"/>
            </w:tcMar>
            <w:vAlign w:val="center"/>
          </w:tcPr>
          <w:p>
            <w:r>
              <w:rPr>
                <w:rFonts w:ascii="Liberation Serif" w:hAnsi="Liberation Serif"/>
                <w:sz w:val="18"/>
              </w:rPr>
              <w:t>Внешний Π_E, higher obstruction tower, miniversal/derived model, Banach/Hilbert-слой, независимый доменный тест.</w:t>
            </w:r>
          </w:p>
        </w:tc>
      </w:tr>
      <w:tr>
        <w:tc>
          <w:tcPr>
            <w:tcW w:type="dxa" w:w="2835"/>
            <w:shd w:fill="DCE6F1"/>
            <w:tcMar>
              <w:top w:w="110" w:type="dxa"/>
              <w:start w:w="130" w:type="dxa"/>
              <w:bottom w:w="110" w:type="dxa"/>
              <w:end w:w="130" w:type="dxa"/>
            </w:tcMar>
            <w:vAlign w:val="center"/>
          </w:tcPr>
          <w:p>
            <w:r>
              <w:rPr>
                <w:rFonts w:ascii="Liberation Sans" w:hAnsi="Liberation Sans"/>
                <w:b/>
                <w:sz w:val="18"/>
              </w:rPr>
              <w:t>Следующая точка</w:t>
            </w:r>
          </w:p>
        </w:tc>
        <w:tc>
          <w:tcPr>
            <w:tcW w:type="dxa" w:w="6520"/>
            <w:shd w:fill="FFFFFF"/>
            <w:tcMar>
              <w:top w:w="110" w:type="dxa"/>
              <w:start w:w="130" w:type="dxa"/>
              <w:bottom w:w="110" w:type="dxa"/>
              <w:end w:w="130" w:type="dxa"/>
            </w:tcMar>
            <w:vAlign w:val="center"/>
          </w:tcPr>
          <w:p>
            <w:r>
              <w:rPr>
                <w:rFonts w:ascii="Liberation Serif" w:hAnsi="Liberation Serif"/>
                <w:sz w:val="18"/>
              </w:rPr>
              <w:t>T2-RP-v0.10: глава 13 - внешний E-слой, цепной мост J, well-definedness Π_E, односторонняя детекция и контрпримеры к обратному выводу.</w:t>
            </w:r>
          </w:p>
        </w:tc>
      </w:tr>
    </w:tbl>
    <w:p>
      <w:pPr>
        <w:keepLines/>
        <w:spacing w:before="80" w:after="80"/>
        <w:jc w:val="center"/>
      </w:pPr>
      <w:r>
        <w:rPr>
          <w:rFonts w:ascii="Liberation Serif" w:hAnsi="Liberation Serif"/>
          <w:i/>
          <w:sz w:val="23"/>
        </w:rPr>
        <w:t>truth_layer_promotion=0;     checkpoint=T2-RP-v0.9;     next=T2-RP-v0.10.</w:t>
      </w:r>
      <w:r>
        <w:rPr>
          <w:sz w:val="21"/>
        </w:rPr>
        <w:t xml:space="preserve">     (12.27)</w:t>
      </w:r>
    </w:p>
    <w:p>
      <w:pPr>
        <w:pStyle w:val="Lead"/>
      </w:pPr>
      <w:r>
        <w:t>Следующая сборка tom2_v0_10 развивает внешний E-слой и условный мост Π_E без отождествления внутреннего H³(C_min) с внешней когомологией.</w:t>
      </w:r>
    </w:p>
    <w:p>
      <w:pPr>
        <w:pStyle w:val="Small"/>
      </w:pPr>
      <w:r>
        <w:t>checkpoint=T2-RP-v0.9; source=T2-RP-v0.8; truth_layer_promotion=0; next=T2-RP-v0.10.</w:t>
      </w:r>
    </w:p>
    <w:p>
      <w:r>
        <w:br w:type="page"/>
      </w:r>
    </w:p>
    <w:p>
      <w:pPr>
        <w:pStyle w:val="Heading1"/>
        <w:keepNext/>
      </w:pPr>
      <w:r>
        <w:t>100. Глава 13. Внешний E-комплекс и условный мост Π_E</w:t>
      </w:r>
    </w:p>
    <w:p>
      <w:pPr>
        <w:pStyle w:val="Lead"/>
      </w:pPr>
      <w:r>
        <w:t>Контрольная точка T2-RP-v0.10: внешняя детекция без отождествления когомологий</w:t>
      </w:r>
    </w:p>
    <w:tbl>
      <w:tblPr>
        <w:tblW w:type="auto" w:w="0"/>
        <w:jc w:val="center"/>
        <w:tblLayout w:type="fixed"/>
        <w:tblLook w:firstColumn="1" w:firstRow="1" w:lastColumn="0" w:lastRow="0" w:noHBand="0" w:noVBand="1" w:val="04A0"/>
      </w:tblPr>
      <w:tblGrid>
        <w:gridCol w:w="4876"/>
        <w:gridCol w:w="4876"/>
      </w:tblGrid>
      <w:tr>
        <w:tc>
          <w:tcPr>
            <w:tcW w:type="dxa" w:w="2835"/>
            <w:shd w:fill="1F4E79"/>
            <w:tcMar>
              <w:top w:w="110" w:type="dxa"/>
              <w:start w:w="130" w:type="dxa"/>
              <w:bottom w:w="110" w:type="dxa"/>
              <w:end w:w="130" w:type="dxa"/>
            </w:tcMar>
            <w:vAlign w:val="center"/>
          </w:tcPr>
          <w:p>
            <w:pPr>
              <w:jc w:val="center"/>
            </w:pPr>
            <w:r>
              <w:rPr>
                <w:rFonts w:ascii="Liberation Sans" w:hAnsi="Liberation Sans"/>
                <w:b/>
                <w:color w:val="FFFFFF"/>
                <w:sz w:val="20"/>
              </w:rPr>
              <w:t>ОНТОЛОГИЯ</w:t>
            </w:r>
          </w:p>
        </w:tc>
        <w:tc>
          <w:tcPr>
            <w:tcW w:type="dxa" w:w="6520"/>
            <w:shd w:fill="DCE6F1"/>
            <w:tcMar>
              <w:top w:w="110" w:type="dxa"/>
              <w:start w:w="130" w:type="dxa"/>
              <w:bottom w:w="110" w:type="dxa"/>
              <w:end w:w="130" w:type="dxa"/>
            </w:tcMar>
            <w:vAlign w:val="center"/>
          </w:tcPr>
          <w:p>
            <w:pPr>
              <w:jc w:val="left"/>
            </w:pPr>
            <w:r>
              <w:rPr>
                <w:rFonts w:ascii="Liberation Serif" w:hAnsi="Liberation Serif"/>
                <w:sz w:val="20"/>
              </w:rPr>
              <w:t>Внутреннее препятствие получает внешний смысл не потому, что обе конструкции используют символ H³, а потому, что между ними построено отображение комплексов. Внешняя онтология начинается с моста J и исчезает вместе с ним.</w:t>
            </w:r>
          </w:p>
        </w:tc>
      </w:tr>
      <w:tr>
        <w:tc>
          <w:tcPr>
            <w:tcW w:type="dxa" w:w="2835"/>
            <w:shd w:fill="1F4E79"/>
            <w:tcMar>
              <w:top w:w="110" w:type="dxa"/>
              <w:start w:w="130" w:type="dxa"/>
              <w:bottom w:w="110" w:type="dxa"/>
              <w:end w:w="130" w:type="dxa"/>
            </w:tcMar>
            <w:vAlign w:val="center"/>
          </w:tcPr>
          <w:p>
            <w:pPr>
              <w:jc w:val="center"/>
            </w:pPr>
            <w:r>
              <w:rPr>
                <w:rFonts w:ascii="Liberation Sans" w:hAnsi="Liberation Sans"/>
                <w:b/>
                <w:color w:val="FFFFFF"/>
                <w:sz w:val="20"/>
              </w:rPr>
              <w:t>ГНОСЕОЛОГИЯ</w:t>
            </w:r>
          </w:p>
        </w:tc>
        <w:tc>
          <w:tcPr>
            <w:tcW w:type="dxa" w:w="6520"/>
            <w:shd w:fill="DCE6F1"/>
            <w:tcMar>
              <w:top w:w="110" w:type="dxa"/>
              <w:start w:w="130" w:type="dxa"/>
              <w:bottom w:w="110" w:type="dxa"/>
              <w:end w:w="130" w:type="dxa"/>
            </w:tcMar>
            <w:vAlign w:val="center"/>
          </w:tcPr>
          <w:p>
            <w:pPr>
              <w:jc w:val="left"/>
            </w:pPr>
            <w:r>
              <w:rPr>
                <w:rFonts w:ascii="Liberation Serif" w:hAnsi="Liberation Serif"/>
                <w:sz w:val="20"/>
              </w:rPr>
              <w:t>Условия B1-B8 образуют эпистемический контракт. Они различают существование комплекса, корректность цепной карты, естественность, полноту детекции, отдельный ассоциаторный канал и право на прикладную интерпретацию.</w:t>
            </w:r>
          </w:p>
        </w:tc>
      </w:tr>
      <w:tr>
        <w:tc>
          <w:tcPr>
            <w:tcW w:type="dxa" w:w="2835"/>
            <w:shd w:fill="1F4E79"/>
            <w:tcMar>
              <w:top w:w="110" w:type="dxa"/>
              <w:start w:w="130" w:type="dxa"/>
              <w:bottom w:w="110" w:type="dxa"/>
              <w:end w:w="130" w:type="dxa"/>
            </w:tcMar>
            <w:vAlign w:val="center"/>
          </w:tcPr>
          <w:p>
            <w:pPr>
              <w:jc w:val="center"/>
            </w:pPr>
            <w:r>
              <w:rPr>
                <w:rFonts w:ascii="Liberation Sans" w:hAnsi="Liberation Sans"/>
                <w:b/>
                <w:color w:val="FFFFFF"/>
                <w:sz w:val="20"/>
              </w:rPr>
              <w:t>ФЕНОМЕНОЛОГИЯ</w:t>
            </w:r>
          </w:p>
        </w:tc>
        <w:tc>
          <w:tcPr>
            <w:tcW w:type="dxa" w:w="6520"/>
            <w:shd w:fill="DCE6F1"/>
            <w:tcMar>
              <w:top w:w="110" w:type="dxa"/>
              <w:start w:w="130" w:type="dxa"/>
              <w:bottom w:w="110" w:type="dxa"/>
              <w:end w:w="130" w:type="dxa"/>
            </w:tcMar>
            <w:vAlign w:val="center"/>
          </w:tcPr>
          <w:p>
            <w:pPr>
              <w:jc w:val="left"/>
            </w:pPr>
            <w:r>
              <w:rPr>
                <w:rFonts w:ascii="Liberation Serif" w:hAnsi="Liberation Serif"/>
                <w:sz w:val="20"/>
              </w:rPr>
              <w:t>Феноменологически внешний комплекс расширяет поле наблюдения: один и тот же внутренний остаток может быть видим, потерян или дополнен внешними классами. Mapping cone делает эту потерю измеримой.</w:t>
            </w:r>
          </w:p>
        </w:tc>
      </w:tr>
      <w:tr>
        <w:tc>
          <w:tcPr>
            <w:tcW w:type="dxa" w:w="2835"/>
            <w:shd w:fill="A87512"/>
            <w:tcMar>
              <w:top w:w="110" w:type="dxa"/>
              <w:start w:w="130" w:type="dxa"/>
              <w:bottom w:w="110" w:type="dxa"/>
              <w:end w:w="130" w:type="dxa"/>
            </w:tcMar>
            <w:vAlign w:val="center"/>
          </w:tcPr>
          <w:p>
            <w:pPr>
              <w:jc w:val="center"/>
            </w:pPr>
            <w:r>
              <w:rPr>
                <w:rFonts w:ascii="Liberation Sans" w:hAnsi="Liberation Sans"/>
                <w:b/>
                <w:color w:val="FFFFFF"/>
                <w:sz w:val="20"/>
              </w:rPr>
              <w:t>ГРАНИЦА</w:t>
            </w:r>
          </w:p>
        </w:tc>
        <w:tc>
          <w:tcPr>
            <w:tcW w:type="dxa" w:w="6520"/>
            <w:shd w:fill="FFF2CC"/>
            <w:tcMar>
              <w:top w:w="110" w:type="dxa"/>
              <w:start w:w="130" w:type="dxa"/>
              <w:bottom w:w="110" w:type="dxa"/>
              <w:end w:w="130" w:type="dxa"/>
            </w:tcMar>
            <w:vAlign w:val="center"/>
          </w:tcPr>
          <w:p>
            <w:pPr>
              <w:jc w:val="left"/>
            </w:pPr>
            <w:r>
              <w:rPr>
                <w:rFonts w:ascii="Liberation Serif" w:hAnsi="Liberation Serif"/>
                <w:sz w:val="20"/>
              </w:rPr>
              <w:t>Ненулевой внешний класс доказывает ненулевой внутренний класс только для элементов образа Π_E. Нулевой внешний класс ничего не говорит обратно без инъективности. Ни один из этих выводов сам по себе не является физическим событием. truth_layer_promotion=0.</w:t>
            </w:r>
          </w:p>
        </w:tc>
      </w:tr>
    </w:tbl>
    <w:p>
      <w:pPr>
        <w:pStyle w:val="Heading2"/>
        <w:keepNext/>
      </w:pPr>
      <w:r>
        <w:t>100.1. Входы, цель и граница</w:t>
      </w:r>
    </w:p>
    <w:tbl>
      <w:tblPr>
        <w:tblStyle w:val="TableGrid"/>
        <w:tblW w:type="auto" w:w="0"/>
        <w:jc w:val="center"/>
        <w:tblLayout w:type="fixed"/>
        <w:tblLook w:firstColumn="1" w:firstRow="1" w:lastColumn="0" w:lastRow="0" w:noHBand="0" w:noVBand="1" w:val="04A0"/>
      </w:tblPr>
      <w:tblGrid>
        <w:gridCol w:w="4876"/>
        <w:gridCol w:w="4876"/>
      </w:tblGrid>
      <w:tr>
        <w:tc>
          <w:tcPr>
            <w:tcW w:type="dxa" w:w="2835"/>
            <w:shd w:fill="DCE6F1"/>
            <w:tcMar>
              <w:top w:w="110" w:type="dxa"/>
              <w:start w:w="130" w:type="dxa"/>
              <w:bottom w:w="110" w:type="dxa"/>
              <w:end w:w="130" w:type="dxa"/>
            </w:tcMar>
            <w:vAlign w:val="center"/>
          </w:tcPr>
          <w:p>
            <w:r>
              <w:rPr>
                <w:rFonts w:ascii="Liberation Sans" w:hAnsi="Liberation Sans"/>
                <w:b/>
                <w:sz w:val="18"/>
              </w:rPr>
              <w:t>Канонический вход</w:t>
            </w:r>
          </w:p>
        </w:tc>
        <w:tc>
          <w:tcPr>
            <w:tcW w:type="dxa" w:w="6520"/>
            <w:shd w:fill="FFFFFF"/>
            <w:tcMar>
              <w:top w:w="110" w:type="dxa"/>
              <w:start w:w="130" w:type="dxa"/>
              <w:bottom w:w="110" w:type="dxa"/>
              <w:end w:w="130" w:type="dxa"/>
            </w:tcMar>
            <w:vAlign w:val="center"/>
          </w:tcPr>
          <w:p>
            <w:r>
              <w:rPr>
                <w:rFonts w:ascii="Liberation Serif" w:hAnsi="Liberation Serif"/>
                <w:sz w:val="18"/>
              </w:rPr>
              <w:t>C_min^•(N): F²_N -&gt; X²_N, H²=ker Ψ²_N, H³=coker Ψ²_N=O_B(N), естественный κ_N.</w:t>
            </w:r>
          </w:p>
        </w:tc>
      </w:tr>
      <w:tr>
        <w:tc>
          <w:tcPr>
            <w:tcW w:type="dxa" w:w="2835"/>
            <w:shd w:fill="EEF3F8"/>
            <w:tcMar>
              <w:top w:w="110" w:type="dxa"/>
              <w:start w:w="130" w:type="dxa"/>
              <w:bottom w:w="110" w:type="dxa"/>
              <w:end w:w="130" w:type="dxa"/>
            </w:tcMar>
            <w:vAlign w:val="center"/>
          </w:tcPr>
          <w:p>
            <w:r>
              <w:rPr>
                <w:rFonts w:ascii="Liberation Sans" w:hAnsi="Liberation Sans"/>
                <w:b/>
                <w:sz w:val="18"/>
              </w:rPr>
              <w:t>Цель v0.10</w:t>
            </w:r>
          </w:p>
        </w:tc>
        <w:tc>
          <w:tcPr>
            <w:tcW w:type="dxa" w:w="6520"/>
            <w:shd w:fill="F8FAFC"/>
            <w:tcMar>
              <w:top w:w="110" w:type="dxa"/>
              <w:start w:w="130" w:type="dxa"/>
              <w:bottom w:w="110" w:type="dxa"/>
              <w:end w:w="130" w:type="dxa"/>
            </w:tcMar>
            <w:vAlign w:val="center"/>
          </w:tcPr>
          <w:p>
            <w:r>
              <w:rPr>
                <w:rFonts w:ascii="Liberation Serif" w:hAnsi="Liberation Serif"/>
                <w:sz w:val="18"/>
              </w:rPr>
              <w:t>Построить внешний комплекс E^•(N), цепной мост J_N и корректное Π_E,N:O_B(N)-&gt;H³(E^•(N)).</w:t>
            </w:r>
          </w:p>
        </w:tc>
      </w:tr>
      <w:tr>
        <w:tc>
          <w:tcPr>
            <w:tcW w:type="dxa" w:w="2835"/>
            <w:shd w:fill="DCE6F1"/>
            <w:tcMar>
              <w:top w:w="110" w:type="dxa"/>
              <w:start w:w="130" w:type="dxa"/>
              <w:bottom w:w="110" w:type="dxa"/>
              <w:end w:w="130" w:type="dxa"/>
            </w:tcMar>
            <w:vAlign w:val="center"/>
          </w:tcPr>
          <w:p>
            <w:r>
              <w:rPr>
                <w:rFonts w:ascii="Liberation Sans" w:hAnsi="Liberation Sans"/>
                <w:b/>
                <w:sz w:val="18"/>
              </w:rPr>
              <w:t>Новый строгий слой</w:t>
            </w:r>
          </w:p>
        </w:tc>
        <w:tc>
          <w:tcPr>
            <w:tcW w:type="dxa" w:w="6520"/>
            <w:shd w:fill="FFFFFF"/>
            <w:tcMar>
              <w:top w:w="110" w:type="dxa"/>
              <w:start w:w="130" w:type="dxa"/>
              <w:bottom w:w="110" w:type="dxa"/>
              <w:end w:w="130" w:type="dxa"/>
            </w:tcMar>
            <w:vAlign w:val="center"/>
          </w:tcPr>
          <w:p>
            <w:r>
              <w:rPr>
                <w:rFonts w:ascii="Liberation Serif" w:hAnsi="Liberation Serif"/>
                <w:sz w:val="18"/>
              </w:rPr>
              <w:t>Well-definedness, naturality, mapping cone, blind/excess defects, stable injective detection и параметрический горизонт.</w:t>
            </w:r>
          </w:p>
        </w:tc>
      </w:tr>
      <w:tr>
        <w:tc>
          <w:tcPr>
            <w:tcW w:type="dxa" w:w="2835"/>
            <w:shd w:fill="EEF3F8"/>
            <w:tcMar>
              <w:top w:w="110" w:type="dxa"/>
              <w:start w:w="130" w:type="dxa"/>
              <w:bottom w:w="110" w:type="dxa"/>
              <w:end w:w="130" w:type="dxa"/>
            </w:tcMar>
            <w:vAlign w:val="center"/>
          </w:tcPr>
          <w:p>
            <w:r>
              <w:rPr>
                <w:rFonts w:ascii="Liberation Sans" w:hAnsi="Liberation Sans"/>
                <w:b/>
                <w:sz w:val="18"/>
              </w:rPr>
              <w:t>Запрет</w:t>
            </w:r>
          </w:p>
        </w:tc>
        <w:tc>
          <w:tcPr>
            <w:tcW w:type="dxa" w:w="6520"/>
            <w:shd w:fill="F8FAFC"/>
            <w:tcMar>
              <w:top w:w="110" w:type="dxa"/>
              <w:start w:w="130" w:type="dxa"/>
              <w:bottom w:w="110" w:type="dxa"/>
              <w:end w:w="130" w:type="dxa"/>
            </w:tcMar>
            <w:vAlign w:val="center"/>
          </w:tcPr>
          <w:p>
            <w:r>
              <w:rPr>
                <w:rFonts w:ascii="Liberation Serif" w:hAnsi="Liberation Serif"/>
                <w:sz w:val="18"/>
              </w:rPr>
              <w:t>Не отождествлять O_B с H³(E), не выводить ассоциатор, голономию или физическое наблюдаемое без отдельных карт.</w:t>
            </w:r>
          </w:p>
        </w:tc>
      </w:tr>
      <w:tr>
        <w:tc>
          <w:tcPr>
            <w:tcW w:type="dxa" w:w="2835"/>
            <w:shd w:fill="DCE6F1"/>
            <w:tcMar>
              <w:top w:w="110" w:type="dxa"/>
              <w:start w:w="130" w:type="dxa"/>
              <w:bottom w:w="110" w:type="dxa"/>
              <w:end w:w="130" w:type="dxa"/>
            </w:tcMar>
            <w:vAlign w:val="center"/>
          </w:tcPr>
          <w:p>
            <w:r>
              <w:rPr>
                <w:rFonts w:ascii="Liberation Sans" w:hAnsi="Liberation Sans"/>
                <w:b/>
                <w:sz w:val="18"/>
              </w:rPr>
              <w:t>Следующий потребитель</w:t>
            </w:r>
          </w:p>
        </w:tc>
        <w:tc>
          <w:tcPr>
            <w:tcW w:type="dxa" w:w="6520"/>
            <w:shd w:fill="FFFFFF"/>
            <w:tcMar>
              <w:top w:w="110" w:type="dxa"/>
              <w:start w:w="130" w:type="dxa"/>
              <w:bottom w:w="110" w:type="dxa"/>
              <w:end w:w="130" w:type="dxa"/>
            </w:tcMar>
            <w:vAlign w:val="center"/>
          </w:tcPr>
          <w:p>
            <w:r>
              <w:rPr>
                <w:rFonts w:ascii="Liberation Serif" w:hAnsi="Liberation Serif"/>
                <w:sz w:val="18"/>
              </w:rPr>
              <w:t>Глава 14: пространства препятствий, проектирование и projectivized obstruction carriers.</w:t>
            </w:r>
          </w:p>
        </w:tc>
      </w:tr>
    </w:tbl>
    <w:p>
      <w:pPr>
        <w:pStyle w:val="Heading1"/>
        <w:keepNext/>
      </w:pPr>
      <w:r>
        <w:t>101. Definition Core внешней реализации</w:t>
      </w:r>
    </w:p>
    <w:p>
      <w:pPr>
        <w:pStyle w:val="Heading2"/>
        <w:keepNext/>
      </w:pPr>
      <w:r>
        <w:t>101.1. Внешний комплекс</w:t>
      </w:r>
    </w:p>
    <w:p>
      <w:pPr/>
      <w:r>
        <w:t>Определение 13.1 (внешняя реализация). [DEF-A] Для объекта N∈NAPG_q внешней реализацией называется набор</w:t>
      </w:r>
    </w:p>
    <w:p>
      <w:pPr>
        <w:keepLines/>
        <w:spacing w:before="80" w:after="80"/>
        <w:jc w:val="center"/>
      </w:pPr>
      <w:r>
        <w:rPr>
          <w:rFonts w:ascii="Liberation Serif" w:hAnsi="Liberation Serif"/>
          <w:i/>
          <w:sz w:val="23"/>
        </w:rPr>
        <w:t>E(N)=(E^•(N), d_E, Dom_E, G_E),</w:t>
      </w:r>
      <w:r>
        <w:rPr>
          <w:sz w:val="21"/>
        </w:rPr>
        <w:t xml:space="preserve">     (13.1)</w:t>
      </w:r>
    </w:p>
    <w:p>
      <w:pPr/>
      <w:r>
        <w:t>где E^n(N) являются K-модулями или векторными пространствами, d_E^n:E^n-&gt;E^{n+1}, а Dom_E и G_E фиксируют допустимость, регулярность, градуировку, нормы и дополнительные структуры.</w:t>
      </w:r>
    </w:p>
    <w:p>
      <w:pPr>
        <w:keepLines/>
        <w:spacing w:before="80" w:after="80"/>
        <w:jc w:val="center"/>
      </w:pPr>
      <w:r>
        <w:rPr>
          <w:rFonts w:ascii="Liberation Serif" w:hAnsi="Liberation Serif"/>
          <w:i/>
          <w:sz w:val="23"/>
        </w:rPr>
        <w:t>d_E^{n+1} ∘ d_E^n = 0  для всех n.</w:t>
      </w:r>
      <w:r>
        <w:rPr>
          <w:sz w:val="21"/>
        </w:rPr>
        <w:t xml:space="preserve">     (13.2)</w:t>
      </w:r>
    </w:p>
    <w:p>
      <w:pPr/>
      <w:r>
        <w:t>Без (13.2) внешний объект является precomplex и H³(E^•) не определяется. Само наличие трёх последовательных стрелок, вопреки человеческой традиции, не создаёт когомологию.</w:t>
      </w:r>
    </w:p>
    <w:p>
      <w:pPr>
        <w:pStyle w:val="Heading2"/>
        <w:keepNext/>
      </w:pPr>
      <w:r>
        <w:t>101.2. Цепной мост</w:t>
      </w:r>
    </w:p>
    <w:p>
      <w:pPr/>
      <w:r>
        <w:t>Определение 13.2 (chain bridge J). [DEF-A] Цепным мостом от C_min^•(N) к E^•(N) называется морфизм коцепных комплексов J_N, чьи единственные существенные компоненты имеют типы</w:t>
      </w:r>
    </w:p>
    <w:p>
      <w:pPr>
        <w:keepLines/>
        <w:spacing w:before="80" w:after="80"/>
        <w:jc w:val="center"/>
      </w:pPr>
      <w:r>
        <w:rPr>
          <w:rFonts w:ascii="Liberation Serif" w:hAnsi="Liberation Serif"/>
          <w:i/>
          <w:sz w:val="23"/>
        </w:rPr>
        <w:t>J²_N:F²_N-&gt;E²(N),     J³_N:X²_N-&gt;E³(N),</w:t>
      </w:r>
      <w:r>
        <w:rPr>
          <w:sz w:val="21"/>
        </w:rPr>
        <w:t xml:space="preserve">     (13.3)</w:t>
      </w:r>
    </w:p>
    <w:p>
      <w:pPr>
        <w:keepLines/>
        <w:spacing w:before="80" w:after="80"/>
        <w:jc w:val="center"/>
      </w:pPr>
      <w:r>
        <w:rPr>
          <w:rFonts w:ascii="Liberation Serif" w:hAnsi="Liberation Serif"/>
          <w:i/>
          <w:sz w:val="23"/>
        </w:rPr>
        <w:t>d_E² J²_N = J³_N Ψ²_N,     d_E³ J³_N = 0.</w:t>
      </w:r>
      <w:r>
        <w:rPr>
          <w:sz w:val="21"/>
        </w:rPr>
        <w:t xml:space="preserve">     (13.4)</w:t>
      </w:r>
    </w:p>
    <w:p>
      <w:pPr/>
      <w:r>
        <w:t>Первое равенство означает перенос внутренних границ во внешние границы. Второе означает, что каждый внешний образ вычисленного квадратичного объекта является 3-коциклом.</w:t>
      </w:r>
    </w:p>
    <w:p>
      <w:pPr>
        <w:pStyle w:val="Heading2"/>
        <w:keepNext/>
      </w:pPr>
      <w:r>
        <w:t>101.3. Полный контракт B1-B8</w:t>
      </w:r>
    </w:p>
    <w:tbl>
      <w:tblPr>
        <w:tblStyle w:val="TableGrid"/>
        <w:tblW w:type="auto" w:w="0"/>
        <w:jc w:val="center"/>
        <w:tblLayout w:type="fixed"/>
        <w:tblLook w:firstColumn="1" w:firstRow="1" w:lastColumn="0" w:lastRow="0" w:noHBand="0" w:noVBand="1" w:val="04A0"/>
      </w:tblPr>
      <w:tblGrid>
        <w:gridCol w:w="3251"/>
        <w:gridCol w:w="3251"/>
        <w:gridCol w:w="3251"/>
      </w:tblGrid>
      <w:tr>
        <w:trPr>
          <w:tblHeader w:val="true"/>
        </w:trPr>
        <w:tc>
          <w:tcPr>
            <w:tcW w:type="dxa" w:w="850"/>
            <w:shd w:fill="1F4E79"/>
            <w:tcMar>
              <w:top w:w="90" w:type="dxa"/>
              <w:start w:w="90" w:type="dxa"/>
              <w:bottom w:w="90" w:type="dxa"/>
              <w:end w:w="90" w:type="dxa"/>
            </w:tcMar>
            <w:vAlign w:val="center"/>
          </w:tcPr>
          <w:p>
            <w:pPr>
              <w:jc w:val="center"/>
            </w:pPr>
            <w:r>
              <w:rPr>
                <w:rFonts w:ascii="Liberation Sans" w:hAnsi="Liberation Sans"/>
                <w:b/>
                <w:color w:val="FFFFFF"/>
                <w:sz w:val="16"/>
              </w:rPr>
              <w:t>Условие</w:t>
            </w:r>
          </w:p>
        </w:tc>
        <w:tc>
          <w:tcPr>
            <w:tcW w:type="dxa" w:w="6690"/>
            <w:shd w:fill="1F4E79"/>
            <w:tcMar>
              <w:top w:w="90" w:type="dxa"/>
              <w:start w:w="90" w:type="dxa"/>
              <w:bottom w:w="90" w:type="dxa"/>
              <w:end w:w="90" w:type="dxa"/>
            </w:tcMar>
            <w:vAlign w:val="center"/>
          </w:tcPr>
          <w:p>
            <w:pPr>
              <w:jc w:val="center"/>
            </w:pPr>
            <w:r>
              <w:rPr>
                <w:rFonts w:ascii="Liberation Sans" w:hAnsi="Liberation Sans"/>
                <w:b/>
                <w:color w:val="FFFFFF"/>
                <w:sz w:val="16"/>
              </w:rPr>
              <w:t>Содержание</w:t>
            </w:r>
          </w:p>
        </w:tc>
        <w:tc>
          <w:tcPr>
            <w:tcW w:type="dxa" w:w="1814"/>
            <w:shd w:fill="1F4E79"/>
            <w:tcMar>
              <w:top w:w="90" w:type="dxa"/>
              <w:start w:w="90" w:type="dxa"/>
              <w:bottom w:w="90" w:type="dxa"/>
              <w:end w:w="90" w:type="dxa"/>
            </w:tcMar>
            <w:vAlign w:val="center"/>
          </w:tcPr>
          <w:p>
            <w:pPr>
              <w:jc w:val="center"/>
            </w:pPr>
            <w:r>
              <w:rPr>
                <w:rFonts w:ascii="Liberation Sans" w:hAnsi="Liberation Sans"/>
                <w:b/>
                <w:color w:val="FFFFFF"/>
                <w:sz w:val="16"/>
              </w:rPr>
              <w:t>Статус</w:t>
            </w:r>
          </w:p>
        </w:tc>
      </w:tr>
      <w:tr>
        <w:tc>
          <w:tcPr>
            <w:tcW w:type="dxa" w:w="850"/>
            <w:shd w:fill="FFFFFF"/>
            <w:tcMar>
              <w:top w:w="80" w:type="dxa"/>
              <w:start w:w="90" w:type="dxa"/>
              <w:bottom w:w="80" w:type="dxa"/>
              <w:end w:w="90" w:type="dxa"/>
            </w:tcMar>
            <w:vAlign w:val="center"/>
          </w:tcPr>
          <w:p>
            <w:pPr>
              <w:jc w:val="center"/>
            </w:pPr>
            <w:r>
              <w:rPr>
                <w:rFonts w:ascii="Liberation Serif" w:hAnsi="Liberation Serif"/>
                <w:sz w:val="16"/>
              </w:rPr>
              <w:t>B1</w:t>
            </w:r>
          </w:p>
        </w:tc>
        <w:tc>
          <w:tcPr>
            <w:tcW w:type="dxa" w:w="6690"/>
            <w:shd w:fill="FFFFFF"/>
            <w:tcMar>
              <w:top w:w="80" w:type="dxa"/>
              <w:start w:w="90" w:type="dxa"/>
              <w:bottom w:w="80" w:type="dxa"/>
              <w:end w:w="90" w:type="dxa"/>
            </w:tcMar>
            <w:vAlign w:val="center"/>
          </w:tcPr>
          <w:p>
            <w:pPr>
              <w:jc w:val="left"/>
            </w:pPr>
            <w:r>
              <w:rPr>
                <w:rFonts w:ascii="Liberation Serif" w:hAnsi="Liberation Serif"/>
                <w:sz w:val="16"/>
              </w:rPr>
              <w:t>E^•(N) является коцепным комплексом: d_E²=0 во всех степенях.</w:t>
            </w:r>
          </w:p>
        </w:tc>
        <w:tc>
          <w:tcPr>
            <w:tcW w:type="dxa" w:w="1814"/>
            <w:shd w:fill="FFFFFF"/>
            <w:tcMar>
              <w:top w:w="80" w:type="dxa"/>
              <w:start w:w="90" w:type="dxa"/>
              <w:bottom w:w="80" w:type="dxa"/>
              <w:end w:w="90" w:type="dxa"/>
            </w:tcMar>
            <w:vAlign w:val="center"/>
          </w:tcPr>
          <w:p>
            <w:pPr>
              <w:jc w:val="center"/>
            </w:pPr>
            <w:r>
              <w:rPr>
                <w:rFonts w:ascii="Liberation Serif" w:hAnsi="Liberation Serif"/>
                <w:sz w:val="16"/>
              </w:rPr>
              <w:t>THM/INPUT</w:t>
            </w:r>
          </w:p>
        </w:tc>
      </w:tr>
      <w:tr>
        <w:tc>
          <w:tcPr>
            <w:tcW w:type="dxa" w:w="850"/>
            <w:shd w:fill="EEF3F8"/>
            <w:tcMar>
              <w:top w:w="80" w:type="dxa"/>
              <w:start w:w="90" w:type="dxa"/>
              <w:bottom w:w="80" w:type="dxa"/>
              <w:end w:w="90" w:type="dxa"/>
            </w:tcMar>
            <w:vAlign w:val="center"/>
          </w:tcPr>
          <w:p>
            <w:pPr>
              <w:jc w:val="center"/>
            </w:pPr>
            <w:r>
              <w:rPr>
                <w:rFonts w:ascii="Liberation Serif" w:hAnsi="Liberation Serif"/>
                <w:sz w:val="16"/>
              </w:rPr>
              <w:t>B2</w:t>
            </w:r>
          </w:p>
        </w:tc>
        <w:tc>
          <w:tcPr>
            <w:tcW w:type="dxa" w:w="6690"/>
            <w:shd w:fill="EEF3F8"/>
            <w:tcMar>
              <w:top w:w="80" w:type="dxa"/>
              <w:start w:w="90" w:type="dxa"/>
              <w:bottom w:w="80" w:type="dxa"/>
              <w:end w:w="90" w:type="dxa"/>
            </w:tcMar>
            <w:vAlign w:val="center"/>
          </w:tcPr>
          <w:p>
            <w:pPr>
              <w:jc w:val="left"/>
            </w:pPr>
            <w:r>
              <w:rPr>
                <w:rFonts w:ascii="Liberation Serif" w:hAnsi="Liberation Serif"/>
                <w:sz w:val="16"/>
              </w:rPr>
              <w:t>J_N является цепной картой и имеет явно заданные Dom/Cod.</w:t>
            </w:r>
          </w:p>
        </w:tc>
        <w:tc>
          <w:tcPr>
            <w:tcW w:type="dxa" w:w="1814"/>
            <w:shd w:fill="EEF3F8"/>
            <w:tcMar>
              <w:top w:w="80" w:type="dxa"/>
              <w:start w:w="90" w:type="dxa"/>
              <w:bottom w:w="80" w:type="dxa"/>
              <w:end w:w="90" w:type="dxa"/>
            </w:tcMar>
            <w:vAlign w:val="center"/>
          </w:tcPr>
          <w:p>
            <w:pPr>
              <w:jc w:val="center"/>
            </w:pPr>
            <w:r>
              <w:rPr>
                <w:rFonts w:ascii="Liberation Serif" w:hAnsi="Liberation Serif"/>
                <w:sz w:val="16"/>
              </w:rPr>
              <w:t>THM/INPUT</w:t>
            </w:r>
          </w:p>
        </w:tc>
      </w:tr>
      <w:tr>
        <w:tc>
          <w:tcPr>
            <w:tcW w:type="dxa" w:w="850"/>
            <w:shd w:fill="FFFFFF"/>
            <w:tcMar>
              <w:top w:w="80" w:type="dxa"/>
              <w:start w:w="90" w:type="dxa"/>
              <w:bottom w:w="80" w:type="dxa"/>
              <w:end w:w="90" w:type="dxa"/>
            </w:tcMar>
            <w:vAlign w:val="center"/>
          </w:tcPr>
          <w:p>
            <w:pPr>
              <w:jc w:val="center"/>
            </w:pPr>
            <w:r>
              <w:rPr>
                <w:rFonts w:ascii="Liberation Serif" w:hAnsi="Liberation Serif"/>
                <w:sz w:val="16"/>
              </w:rPr>
              <w:t>B3</w:t>
            </w:r>
          </w:p>
        </w:tc>
        <w:tc>
          <w:tcPr>
            <w:tcW w:type="dxa" w:w="6690"/>
            <w:shd w:fill="FFFFFF"/>
            <w:tcMar>
              <w:top w:w="80" w:type="dxa"/>
              <w:start w:w="90" w:type="dxa"/>
              <w:bottom w:w="80" w:type="dxa"/>
              <w:end w:w="90" w:type="dxa"/>
            </w:tcMar>
            <w:vAlign w:val="center"/>
          </w:tcPr>
          <w:p>
            <w:pPr>
              <w:jc w:val="left"/>
            </w:pPr>
            <w:r>
              <w:rPr>
                <w:rFonts w:ascii="Liberation Serif" w:hAnsi="Liberation Serif"/>
                <w:sz w:val="16"/>
              </w:rPr>
              <w:t>Назначение N↦E^•(N) функториально относительно выбранного класса морфизмов NAPG.</w:t>
            </w:r>
          </w:p>
        </w:tc>
        <w:tc>
          <w:tcPr>
            <w:tcW w:type="dxa" w:w="1814"/>
            <w:shd w:fill="FFFFFF"/>
            <w:tcMar>
              <w:top w:w="80" w:type="dxa"/>
              <w:start w:w="90" w:type="dxa"/>
              <w:bottom w:w="80" w:type="dxa"/>
              <w:end w:w="90" w:type="dxa"/>
            </w:tcMar>
            <w:vAlign w:val="center"/>
          </w:tcPr>
          <w:p>
            <w:pPr>
              <w:jc w:val="center"/>
            </w:pPr>
            <w:r>
              <w:rPr>
                <w:rFonts w:ascii="Liberation Serif" w:hAnsi="Liberation Serif"/>
                <w:sz w:val="16"/>
              </w:rPr>
              <w:t>COND</w:t>
            </w:r>
          </w:p>
        </w:tc>
      </w:tr>
      <w:tr>
        <w:tc>
          <w:tcPr>
            <w:tcW w:type="dxa" w:w="850"/>
            <w:shd w:fill="EEF3F8"/>
            <w:tcMar>
              <w:top w:w="80" w:type="dxa"/>
              <w:start w:w="90" w:type="dxa"/>
              <w:bottom w:w="80" w:type="dxa"/>
              <w:end w:w="90" w:type="dxa"/>
            </w:tcMar>
            <w:vAlign w:val="center"/>
          </w:tcPr>
          <w:p>
            <w:pPr>
              <w:jc w:val="center"/>
            </w:pPr>
            <w:r>
              <w:rPr>
                <w:rFonts w:ascii="Liberation Serif" w:hAnsi="Liberation Serif"/>
                <w:sz w:val="16"/>
              </w:rPr>
              <w:t>B4</w:t>
            </w:r>
          </w:p>
        </w:tc>
        <w:tc>
          <w:tcPr>
            <w:tcW w:type="dxa" w:w="6690"/>
            <w:shd w:fill="EEF3F8"/>
            <w:tcMar>
              <w:top w:w="80" w:type="dxa"/>
              <w:start w:w="90" w:type="dxa"/>
              <w:bottom w:w="80" w:type="dxa"/>
              <w:end w:w="90" w:type="dxa"/>
            </w:tcMar>
            <w:vAlign w:val="center"/>
          </w:tcPr>
          <w:p>
            <w:pPr>
              <w:jc w:val="left"/>
            </w:pPr>
            <w:r>
              <w:rPr>
                <w:rFonts w:ascii="Liberation Serif" w:hAnsi="Liberation Serif"/>
                <w:sz w:val="16"/>
              </w:rPr>
              <w:t>J является естественным преобразованием C_min^•⇒E^•.</w:t>
            </w:r>
          </w:p>
        </w:tc>
        <w:tc>
          <w:tcPr>
            <w:tcW w:type="dxa" w:w="1814"/>
            <w:shd w:fill="EEF3F8"/>
            <w:tcMar>
              <w:top w:w="80" w:type="dxa"/>
              <w:start w:w="90" w:type="dxa"/>
              <w:bottom w:w="80" w:type="dxa"/>
              <w:end w:w="90" w:type="dxa"/>
            </w:tcMar>
            <w:vAlign w:val="center"/>
          </w:tcPr>
          <w:p>
            <w:pPr>
              <w:jc w:val="center"/>
            </w:pPr>
            <w:r>
              <w:rPr>
                <w:rFonts w:ascii="Liberation Serif" w:hAnsi="Liberation Serif"/>
                <w:sz w:val="16"/>
              </w:rPr>
              <w:t>COND</w:t>
            </w:r>
          </w:p>
        </w:tc>
      </w:tr>
      <w:tr>
        <w:tc>
          <w:tcPr>
            <w:tcW w:type="dxa" w:w="850"/>
            <w:shd w:fill="FFFFFF"/>
            <w:tcMar>
              <w:top w:w="80" w:type="dxa"/>
              <w:start w:w="90" w:type="dxa"/>
              <w:bottom w:w="80" w:type="dxa"/>
              <w:end w:w="90" w:type="dxa"/>
            </w:tcMar>
            <w:vAlign w:val="center"/>
          </w:tcPr>
          <w:p>
            <w:pPr>
              <w:jc w:val="center"/>
            </w:pPr>
            <w:r>
              <w:rPr>
                <w:rFonts w:ascii="Liberation Serif" w:hAnsi="Liberation Serif"/>
                <w:sz w:val="16"/>
              </w:rPr>
              <w:t>B5</w:t>
            </w:r>
          </w:p>
        </w:tc>
        <w:tc>
          <w:tcPr>
            <w:tcW w:type="dxa" w:w="6690"/>
            <w:shd w:fill="FFFFFF"/>
            <w:tcMar>
              <w:top w:w="80" w:type="dxa"/>
              <w:start w:w="90" w:type="dxa"/>
              <w:bottom w:w="80" w:type="dxa"/>
              <w:end w:w="90" w:type="dxa"/>
            </w:tcMar>
            <w:vAlign w:val="center"/>
          </w:tcPr>
          <w:p>
            <w:pPr>
              <w:jc w:val="left"/>
            </w:pPr>
            <w:r>
              <w:rPr>
                <w:rFonts w:ascii="Liberation Serif" w:hAnsi="Liberation Serif"/>
                <w:sz w:val="16"/>
              </w:rPr>
              <w:t>Факторизация через κ_N и H³(J_N) согласована с морфизмами и сменой допустимых представлений.</w:t>
            </w:r>
          </w:p>
        </w:tc>
        <w:tc>
          <w:tcPr>
            <w:tcW w:type="dxa" w:w="1814"/>
            <w:shd w:fill="FFFFFF"/>
            <w:tcMar>
              <w:top w:w="80" w:type="dxa"/>
              <w:start w:w="90" w:type="dxa"/>
              <w:bottom w:w="80" w:type="dxa"/>
              <w:end w:w="90" w:type="dxa"/>
            </w:tcMar>
            <w:vAlign w:val="center"/>
          </w:tcPr>
          <w:p>
            <w:pPr>
              <w:jc w:val="center"/>
            </w:pPr>
            <w:r>
              <w:rPr>
                <w:rFonts w:ascii="Liberation Serif" w:hAnsi="Liberation Serif"/>
                <w:sz w:val="16"/>
              </w:rPr>
              <w:t>THM при B1-B4</w:t>
            </w:r>
          </w:p>
        </w:tc>
      </w:tr>
      <w:tr>
        <w:tc>
          <w:tcPr>
            <w:tcW w:type="dxa" w:w="850"/>
            <w:shd w:fill="EEF3F8"/>
            <w:tcMar>
              <w:top w:w="80" w:type="dxa"/>
              <w:start w:w="90" w:type="dxa"/>
              <w:bottom w:w="80" w:type="dxa"/>
              <w:end w:w="90" w:type="dxa"/>
            </w:tcMar>
            <w:vAlign w:val="center"/>
          </w:tcPr>
          <w:p>
            <w:pPr>
              <w:jc w:val="center"/>
            </w:pPr>
            <w:r>
              <w:rPr>
                <w:rFonts w:ascii="Liberation Serif" w:hAnsi="Liberation Serif"/>
                <w:sz w:val="16"/>
              </w:rPr>
              <w:t>B6</w:t>
            </w:r>
          </w:p>
        </w:tc>
        <w:tc>
          <w:tcPr>
            <w:tcW w:type="dxa" w:w="6690"/>
            <w:shd w:fill="EEF3F8"/>
            <w:tcMar>
              <w:top w:w="80" w:type="dxa"/>
              <w:start w:w="90" w:type="dxa"/>
              <w:bottom w:w="80" w:type="dxa"/>
              <w:end w:w="90" w:type="dxa"/>
            </w:tcMar>
            <w:vAlign w:val="center"/>
          </w:tcPr>
          <w:p>
            <w:pPr>
              <w:jc w:val="left"/>
            </w:pPr>
            <w:r>
              <w:rPr>
                <w:rFonts w:ascii="Liberation Serif" w:hAnsi="Liberation Serif"/>
                <w:sz w:val="16"/>
              </w:rPr>
              <w:t>Для обратной детекции требуется инъективность Π_E либо сертифицированный левый обратный оператор.</w:t>
            </w:r>
          </w:p>
        </w:tc>
        <w:tc>
          <w:tcPr>
            <w:tcW w:type="dxa" w:w="1814"/>
            <w:shd w:fill="EEF3F8"/>
            <w:tcMar>
              <w:top w:w="80" w:type="dxa"/>
              <w:start w:w="90" w:type="dxa"/>
              <w:bottom w:w="80" w:type="dxa"/>
              <w:end w:w="90" w:type="dxa"/>
            </w:tcMar>
            <w:vAlign w:val="center"/>
          </w:tcPr>
          <w:p>
            <w:pPr>
              <w:jc w:val="center"/>
            </w:pPr>
            <w:r>
              <w:rPr>
                <w:rFonts w:ascii="Liberation Serif" w:hAnsi="Liberation Serif"/>
                <w:sz w:val="16"/>
              </w:rPr>
              <w:t>EXTRA</w:t>
            </w:r>
          </w:p>
        </w:tc>
      </w:tr>
      <w:tr>
        <w:tc>
          <w:tcPr>
            <w:tcW w:type="dxa" w:w="850"/>
            <w:shd w:fill="FFFFFF"/>
            <w:tcMar>
              <w:top w:w="80" w:type="dxa"/>
              <w:start w:w="90" w:type="dxa"/>
              <w:bottom w:w="80" w:type="dxa"/>
              <w:end w:w="90" w:type="dxa"/>
            </w:tcMar>
            <w:vAlign w:val="center"/>
          </w:tcPr>
          <w:p>
            <w:pPr>
              <w:jc w:val="center"/>
            </w:pPr>
            <w:r>
              <w:rPr>
                <w:rFonts w:ascii="Liberation Serif" w:hAnsi="Liberation Serif"/>
                <w:sz w:val="16"/>
              </w:rPr>
              <w:t>B7</w:t>
            </w:r>
          </w:p>
        </w:tc>
        <w:tc>
          <w:tcPr>
            <w:tcW w:type="dxa" w:w="6690"/>
            <w:shd w:fill="FFFFFF"/>
            <w:tcMar>
              <w:top w:w="80" w:type="dxa"/>
              <w:start w:w="90" w:type="dxa"/>
              <w:bottom w:w="80" w:type="dxa"/>
              <w:end w:w="90" w:type="dxa"/>
            </w:tcMar>
            <w:vAlign w:val="center"/>
          </w:tcPr>
          <w:p>
            <w:pPr>
              <w:jc w:val="left"/>
            </w:pPr>
            <w:r>
              <w:rPr>
                <w:rFonts w:ascii="Liberation Serif" w:hAnsi="Liberation Serif"/>
                <w:sz w:val="16"/>
              </w:rPr>
              <w:t>Ассоциаторный канал β_Ass задаётся отдельно; Π_E не объявляется ассоциатором.</w:t>
            </w:r>
          </w:p>
        </w:tc>
        <w:tc>
          <w:tcPr>
            <w:tcW w:type="dxa" w:w="1814"/>
            <w:shd w:fill="FFFFFF"/>
            <w:tcMar>
              <w:top w:w="80" w:type="dxa"/>
              <w:start w:w="90" w:type="dxa"/>
              <w:bottom w:w="80" w:type="dxa"/>
              <w:end w:w="90" w:type="dxa"/>
            </w:tcMar>
            <w:vAlign w:val="center"/>
          </w:tcPr>
          <w:p>
            <w:pPr>
              <w:jc w:val="center"/>
            </w:pPr>
            <w:r>
              <w:rPr>
                <w:rFonts w:ascii="Liberation Serif" w:hAnsi="Liberation Serif"/>
                <w:sz w:val="16"/>
              </w:rPr>
              <w:t>OPEN/SEPARATE</w:t>
            </w:r>
          </w:p>
        </w:tc>
      </w:tr>
      <w:tr>
        <w:tc>
          <w:tcPr>
            <w:tcW w:type="dxa" w:w="850"/>
            <w:shd w:fill="EEF3F8"/>
            <w:tcMar>
              <w:top w:w="80" w:type="dxa"/>
              <w:start w:w="90" w:type="dxa"/>
              <w:bottom w:w="80" w:type="dxa"/>
              <w:end w:w="90" w:type="dxa"/>
            </w:tcMar>
            <w:vAlign w:val="center"/>
          </w:tcPr>
          <w:p>
            <w:pPr>
              <w:jc w:val="center"/>
            </w:pPr>
            <w:r>
              <w:rPr>
                <w:rFonts w:ascii="Liberation Serif" w:hAnsi="Liberation Serif"/>
                <w:sz w:val="16"/>
              </w:rPr>
              <w:t>B8</w:t>
            </w:r>
          </w:p>
        </w:tc>
        <w:tc>
          <w:tcPr>
            <w:tcW w:type="dxa" w:w="6690"/>
            <w:shd w:fill="EEF3F8"/>
            <w:tcMar>
              <w:top w:w="80" w:type="dxa"/>
              <w:start w:w="90" w:type="dxa"/>
              <w:bottom w:w="80" w:type="dxa"/>
              <w:end w:w="90" w:type="dxa"/>
            </w:tcMar>
            <w:vAlign w:val="center"/>
          </w:tcPr>
          <w:p>
            <w:pPr>
              <w:jc w:val="left"/>
            </w:pPr>
            <w:r>
              <w:rPr>
                <w:rFonts w:ascii="Liberation Serif" w:hAnsi="Liberation Serif"/>
                <w:sz w:val="16"/>
              </w:rPr>
              <w:t>Физическая, аналитическая или предметная интерпретация требует редукции, наблюдаемой, данных и независимой проверки.</w:t>
            </w:r>
          </w:p>
        </w:tc>
        <w:tc>
          <w:tcPr>
            <w:tcW w:type="dxa" w:w="1814"/>
            <w:shd w:fill="EEF3F8"/>
            <w:tcMar>
              <w:top w:w="80" w:type="dxa"/>
              <w:start w:w="90" w:type="dxa"/>
              <w:bottom w:w="80" w:type="dxa"/>
              <w:end w:w="90" w:type="dxa"/>
            </w:tcMar>
            <w:vAlign w:val="center"/>
          </w:tcPr>
          <w:p>
            <w:pPr>
              <w:jc w:val="center"/>
            </w:pPr>
            <w:r>
              <w:rPr>
                <w:rFonts w:ascii="Liberation Serif" w:hAnsi="Liberation Serif"/>
                <w:sz w:val="16"/>
              </w:rPr>
              <w:t>PHY-HYP/OPEN</w:t>
            </w:r>
          </w:p>
        </w:tc>
      </w:tr>
    </w:tbl>
    <w:p>
      <w:pPr>
        <w:keepNext/>
        <w:jc w:val="center"/>
      </w:pPr>
      <w:r>
        <w:drawing>
          <wp:inline xmlns:a="http://schemas.openxmlformats.org/drawingml/2006/main" xmlns:pic="http://schemas.openxmlformats.org/drawingml/2006/picture">
            <wp:extent cx="5760000" cy="2635554"/>
            <wp:docPr id="30" name="Picture 30"/>
            <wp:cNvGraphicFramePr>
              <a:graphicFrameLocks noChangeAspect="1"/>
            </wp:cNvGraphicFramePr>
            <a:graphic>
              <a:graphicData uri="http://schemas.openxmlformats.org/drawingml/2006/picture">
                <pic:pic>
                  <pic:nvPicPr>
                    <pic:cNvPr id="0" name="fig26_e_bridge.png"/>
                    <pic:cNvPicPr/>
                  </pic:nvPicPr>
                  <pic:blipFill>
                    <a:blip r:embed="rId57"/>
                    <a:stretch>
                      <a:fillRect/>
                    </a:stretch>
                  </pic:blipFill>
                  <pic:spPr>
                    <a:xfrm>
                      <a:off x="0" y="0"/>
                      <a:ext cx="5760000" cy="2635554"/>
                    </a:xfrm>
                    <a:prstGeom prst="rect"/>
                  </pic:spPr>
                </pic:pic>
              </a:graphicData>
            </a:graphic>
          </wp:inline>
        </w:drawing>
      </w:r>
    </w:p>
    <w:p>
      <w:pPr>
        <w:pStyle w:val="Caption"/>
        <w:keepNext/>
        <w:jc w:val="center"/>
      </w:pPr>
      <w:r>
        <w:t>Рисунок 26. Цепной мост J и индуцированное отображение Π_E. Собственная схема Тома II.</w:t>
      </w:r>
    </w:p>
    <w:p>
      <w:pPr>
        <w:pStyle w:val="Heading1"/>
        <w:keepNext/>
      </w:pPr>
      <w:r>
        <w:t>102. Существование и корректность индуцированной карты</w:t>
      </w:r>
    </w:p>
    <w:p>
      <w:pPr>
        <w:pStyle w:val="Heading2"/>
        <w:keepNext/>
      </w:pPr>
      <w:r>
        <w:t>102.1. Критерий спуска на фактор</w:t>
      </w:r>
    </w:p>
    <w:p>
      <w:pPr/>
      <w:r>
        <w:t>Теорема 13.1 (well-definedness criterion). [THM] Пусть d_E³J³=0. Формула</w:t>
      </w:r>
    </w:p>
    <w:p>
      <w:pPr>
        <w:keepLines/>
        <w:spacing w:before="80" w:after="80"/>
        <w:jc w:val="center"/>
      </w:pPr>
      <w:r>
        <w:rPr>
          <w:rFonts w:ascii="Liberation Serif" w:hAnsi="Liberation Serif"/>
          <w:i/>
          <w:sz w:val="23"/>
        </w:rPr>
        <w:t>[x] ↦ [J³_N x]</w:t>
      </w:r>
      <w:r>
        <w:rPr>
          <w:sz w:val="21"/>
        </w:rPr>
        <w:t xml:space="preserve">     (13.5)</w:t>
      </w:r>
    </w:p>
    <w:p>
      <w:pPr/>
      <w:r>
        <w:t>задаёт линейное отображение coker Ψ²_N-&gt;H³(E^•(N)) тогда и только тогда, когда</w:t>
      </w:r>
    </w:p>
    <w:p>
      <w:pPr>
        <w:keepLines/>
        <w:spacing w:before="80" w:after="80"/>
        <w:jc w:val="center"/>
      </w:pPr>
      <w:r>
        <w:rPr>
          <w:rFonts w:ascii="Liberation Serif" w:hAnsi="Liberation Serif"/>
          <w:i/>
          <w:sz w:val="23"/>
        </w:rPr>
        <w:t>J³_N(Im Ψ²_N) ⊆ Im d_E².</w:t>
      </w:r>
      <w:r>
        <w:rPr>
          <w:sz w:val="21"/>
        </w:rPr>
        <w:t xml:space="preserve">     (13.6)</w:t>
      </w:r>
    </w:p>
    <w:p>
      <w:pPr/>
      <w:r>
        <w:t>Доказательство. Два представителя x и x+Ψ²f задают один внутренний класс. Их внешние классы совпадают тогда и только тогда, когда J³Ψ²f является внешней границей для всякого f. Это и есть (13.6). Условие d_E³J³=0 обеспечивает замкнутость образов. □</w:t>
      </w:r>
    </w:p>
    <w:p>
      <w:pPr/>
      <w:r>
        <w:t>Следствие 13.1.1. [THM] Цепное равенство d_E²J²=J³Ψ² автоматически влечёт (13.6).</w:t>
      </w:r>
    </w:p>
    <w:p>
      <w:pPr/>
      <w:r>
        <w:t>Обратное построение J² из (13.6) возможно над векторными пространствами после выбора линейного сечения d_E² на его образе. Над произвольными модулями требуется проектность или расщепление; без него существование J² остаётся отдельным обязательством.</w:t>
      </w:r>
    </w:p>
    <w:p>
      <w:pPr>
        <w:pStyle w:val="Heading2"/>
        <w:keepNext/>
      </w:pPr>
      <w:r>
        <w:t>102.2. Определение Π_E</w:t>
      </w:r>
    </w:p>
    <w:p>
      <w:pPr/>
      <w:r>
        <w:t>Определение 13.3 (внешняя карта препятствий). [COND/THM при B1-B5]</w:t>
      </w:r>
    </w:p>
    <w:p>
      <w:pPr>
        <w:keepLines/>
        <w:spacing w:before="80" w:after="80"/>
        <w:jc w:val="center"/>
      </w:pPr>
      <w:r>
        <w:rPr>
          <w:rFonts w:ascii="Liberation Serif" w:hAnsi="Liberation Serif"/>
          <w:i/>
          <w:sz w:val="23"/>
        </w:rPr>
        <w:t>Π_E,N := H³(J_N) ∘ κ_N : O_B(N) -&gt; H³(E^•(N)),</w:t>
      </w:r>
      <w:r>
        <w:rPr>
          <w:sz w:val="21"/>
        </w:rPr>
        <w:t xml:space="preserve">     (13.7)</w:t>
      </w:r>
    </w:p>
    <w:p>
      <w:pPr>
        <w:keepLines/>
        <w:spacing w:before="80" w:after="80"/>
        <w:jc w:val="center"/>
      </w:pPr>
      <w:r>
        <w:rPr>
          <w:rFonts w:ascii="Liberation Serif" w:hAnsi="Liberation Serif"/>
          <w:i/>
          <w:sz w:val="23"/>
        </w:rPr>
        <w:t>Π_E,N([x]) = [J³_N x].</w:t>
      </w:r>
      <w:r>
        <w:rPr>
          <w:sz w:val="21"/>
        </w:rPr>
        <w:t xml:space="preserve">     (13.8)</w:t>
      </w:r>
    </w:p>
    <w:p>
      <w:pPr/>
      <w:r>
        <w:t>Теорема 13.2 (естественность Π_E). [THM при B3-B5] Для морфизма f:N-&gt;N′ коммутирует квадрат</w:t>
      </w:r>
    </w:p>
    <w:p>
      <w:pPr>
        <w:keepLines/>
        <w:spacing w:before="80" w:after="80"/>
        <w:jc w:val="center"/>
      </w:pPr>
      <w:r>
        <w:rPr>
          <w:rFonts w:ascii="Liberation Serif" w:hAnsi="Liberation Serif"/>
          <w:i/>
          <w:sz w:val="23"/>
        </w:rPr>
        <w:t>H³(E(f)) Π_E,N = Π_E,N′ O_B(f).</w:t>
      </w:r>
      <w:r>
        <w:rPr>
          <w:sz w:val="21"/>
        </w:rPr>
        <w:t xml:space="preserve">     (13.9)</w:t>
      </w:r>
    </w:p>
    <w:p>
      <w:pPr/>
      <w:r>
        <w:t>Это равенство является точным критерием независимости внешней детекции от допустимого изоморфного представления.</w:t>
      </w:r>
    </w:p>
    <w:p>
      <w:pPr>
        <w:pStyle w:val="Heading1"/>
        <w:keepNext/>
      </w:pPr>
      <w:r>
        <w:t>103. Односторонняя, обратная и полная детекция</w:t>
      </w:r>
    </w:p>
    <w:p>
      <w:pPr/>
      <w:r>
        <w:t>Теорема 13.3 (односторонняя детекция). [THM] Для любого корректного Π_E</w:t>
      </w:r>
    </w:p>
    <w:p>
      <w:pPr>
        <w:keepLines/>
        <w:spacing w:before="80" w:after="80"/>
        <w:jc w:val="center"/>
      </w:pPr>
      <w:r>
        <w:rPr>
          <w:rFonts w:ascii="Liberation Serif" w:hAnsi="Liberation Serif"/>
          <w:i/>
          <w:sz w:val="23"/>
        </w:rPr>
        <w:t>Π_E(o) ≠ 0  =&gt;  o ≠ 0.</w:t>
      </w:r>
      <w:r>
        <w:rPr>
          <w:sz w:val="21"/>
        </w:rPr>
        <w:t xml:space="preserve">     (13.10)</w:t>
      </w:r>
    </w:p>
    <w:p>
      <w:pPr/>
      <w:r>
        <w:t>Доказательство. Линейное отображение переводит нулевой класс в нулевой. Поэтому ненулевой образ не может происходить от нулевого класса. □</w:t>
      </w:r>
    </w:p>
    <w:p>
      <w:pPr/>
      <w:r>
        <w:t>Следствие. Ненулевой внешний класс свидетельствует о ненулевом внутреннем препятствии только тогда, когда установлено, что рассматриваемый внешний класс действительно равен Π_E(o), а не является произвольным элементом H³(E).</w:t>
      </w:r>
    </w:p>
    <w:p>
      <w:pPr/>
      <w:r>
        <w:t>Теорема 13.4 (критерий обратной детекции). [THM] Следующие условия эквивалентны:</w:t>
      </w:r>
    </w:p>
    <w:p>
      <w:pPr>
        <w:pStyle w:val="ListBullet"/>
      </w:pPr>
      <w:r>
        <w:t>Π_E инъективно;</w:t>
      </w:r>
    </w:p>
    <w:p>
      <w:pPr>
        <w:pStyle w:val="ListBullet"/>
      </w:pPr>
      <w:r>
        <w:t>Π_E(o)=0 влечёт o=0;</w:t>
      </w:r>
    </w:p>
    <w:p>
      <w:pPr>
        <w:pStyle w:val="ListBullet"/>
      </w:pPr>
      <w:r>
        <w:t>o≠0 влечёт Π_E(o)≠0;</w:t>
      </w:r>
    </w:p>
    <w:p>
      <w:pPr>
        <w:pStyle w:val="ListBullet"/>
      </w:pPr>
      <w:r>
        <w:t>если J³x∈Im d_E², то x∈Im Ψ².</w:t>
      </w:r>
    </w:p>
    <w:p>
      <w:pPr/>
      <w:r>
        <w:t>В конечномерных векторных пространствах они также эквивалентны существованию линейного левого обратного S:H³(E)-&gt;O_B с SΠ_E=id, однако такой S обычно неканоничен.</w:t>
      </w:r>
    </w:p>
    <w:p>
      <w:pPr/>
      <w:r>
        <w:t>Определение 13.4 (качество моста). [DEF-A] Мост называется:</w:t>
      </w:r>
    </w:p>
    <w:tbl>
      <w:tblPr>
        <w:tblStyle w:val="TableGrid"/>
        <w:tblW w:type="auto" w:w="0"/>
        <w:jc w:val="center"/>
        <w:tblLayout w:type="fixed"/>
        <w:tblLook w:firstColumn="1" w:firstRow="1" w:lastColumn="0" w:lastRow="0" w:noHBand="0" w:noVBand="1" w:val="04A0"/>
      </w:tblPr>
      <w:tblGrid>
        <w:gridCol w:w="3251"/>
        <w:gridCol w:w="3251"/>
        <w:gridCol w:w="3251"/>
      </w:tblGrid>
      <w:tr>
        <w:trPr>
          <w:tblHeader w:val="true"/>
        </w:trPr>
        <w:tc>
          <w:tcPr>
            <w:tcW w:type="dxa" w:w="1701"/>
            <w:shd w:fill="1F4E79"/>
            <w:tcMar>
              <w:top w:w="90" w:type="dxa"/>
              <w:start w:w="90" w:type="dxa"/>
              <w:bottom w:w="90" w:type="dxa"/>
              <w:end w:w="90" w:type="dxa"/>
            </w:tcMar>
            <w:vAlign w:val="center"/>
          </w:tcPr>
          <w:p>
            <w:pPr>
              <w:jc w:val="center"/>
            </w:pPr>
            <w:r>
              <w:rPr>
                <w:rFonts w:ascii="Liberation Sans" w:hAnsi="Liberation Sans"/>
                <w:b/>
                <w:color w:val="FFFFFF"/>
                <w:sz w:val="17"/>
              </w:rPr>
              <w:t>Тип</w:t>
            </w:r>
          </w:p>
        </w:tc>
        <w:tc>
          <w:tcPr>
            <w:tcW w:type="dxa" w:w="2891"/>
            <w:shd w:fill="1F4E79"/>
            <w:tcMar>
              <w:top w:w="90" w:type="dxa"/>
              <w:start w:w="90" w:type="dxa"/>
              <w:bottom w:w="90" w:type="dxa"/>
              <w:end w:w="90" w:type="dxa"/>
            </w:tcMar>
            <w:vAlign w:val="center"/>
          </w:tcPr>
          <w:p>
            <w:pPr>
              <w:jc w:val="center"/>
            </w:pPr>
            <w:r>
              <w:rPr>
                <w:rFonts w:ascii="Liberation Sans" w:hAnsi="Liberation Sans"/>
                <w:b/>
                <w:color w:val="FFFFFF"/>
                <w:sz w:val="17"/>
              </w:rPr>
              <w:t>Условие</w:t>
            </w:r>
          </w:p>
        </w:tc>
        <w:tc>
          <w:tcPr>
            <w:tcW w:type="dxa" w:w="4762"/>
            <w:shd w:fill="1F4E79"/>
            <w:tcMar>
              <w:top w:w="90" w:type="dxa"/>
              <w:start w:w="90" w:type="dxa"/>
              <w:bottom w:w="90" w:type="dxa"/>
              <w:end w:w="90" w:type="dxa"/>
            </w:tcMar>
            <w:vAlign w:val="center"/>
          </w:tcPr>
          <w:p>
            <w:pPr>
              <w:jc w:val="center"/>
            </w:pPr>
            <w:r>
              <w:rPr>
                <w:rFonts w:ascii="Liberation Sans" w:hAnsi="Liberation Sans"/>
                <w:b/>
                <w:color w:val="FFFFFF"/>
                <w:sz w:val="17"/>
              </w:rPr>
              <w:t>Смысл</w:t>
            </w:r>
          </w:p>
        </w:tc>
      </w:tr>
      <w:tr>
        <w:tc>
          <w:tcPr>
            <w:tcW w:type="dxa" w:w="1701"/>
            <w:shd w:fill="FFFFFF"/>
            <w:tcMar>
              <w:top w:w="80" w:type="dxa"/>
              <w:start w:w="90" w:type="dxa"/>
              <w:bottom w:w="80" w:type="dxa"/>
              <w:end w:w="90" w:type="dxa"/>
            </w:tcMar>
            <w:vAlign w:val="center"/>
          </w:tcPr>
          <w:p>
            <w:pPr>
              <w:jc w:val="center"/>
            </w:pPr>
            <w:r>
              <w:rPr>
                <w:rFonts w:ascii="Liberation Serif" w:hAnsi="Liberation Serif"/>
                <w:sz w:val="17"/>
              </w:rPr>
              <w:t>faithful</w:t>
            </w:r>
          </w:p>
        </w:tc>
        <w:tc>
          <w:tcPr>
            <w:tcW w:type="dxa" w:w="2891"/>
            <w:shd w:fill="FFFFFF"/>
            <w:tcMar>
              <w:top w:w="80" w:type="dxa"/>
              <w:start w:w="90" w:type="dxa"/>
              <w:bottom w:w="80" w:type="dxa"/>
              <w:end w:w="90" w:type="dxa"/>
            </w:tcMar>
            <w:vAlign w:val="center"/>
          </w:tcPr>
          <w:p>
            <w:pPr>
              <w:jc w:val="left"/>
            </w:pPr>
            <w:r>
              <w:rPr>
                <w:rFonts w:ascii="Liberation Serif" w:hAnsi="Liberation Serif"/>
                <w:sz w:val="17"/>
              </w:rPr>
              <w:t>Π_E инъективно</w:t>
            </w:r>
          </w:p>
        </w:tc>
        <w:tc>
          <w:tcPr>
            <w:tcW w:type="dxa" w:w="4762"/>
            <w:shd w:fill="FFFFFF"/>
            <w:tcMar>
              <w:top w:w="80" w:type="dxa"/>
              <w:start w:w="90" w:type="dxa"/>
              <w:bottom w:w="80" w:type="dxa"/>
              <w:end w:w="90" w:type="dxa"/>
            </w:tcMar>
            <w:vAlign w:val="center"/>
          </w:tcPr>
          <w:p>
            <w:pPr>
              <w:jc w:val="center"/>
            </w:pPr>
            <w:r>
              <w:rPr>
                <w:rFonts w:ascii="Liberation Serif" w:hAnsi="Liberation Serif"/>
                <w:sz w:val="17"/>
              </w:rPr>
              <w:t>внешний ноль допускает обратный вывод</w:t>
            </w:r>
          </w:p>
        </w:tc>
      </w:tr>
      <w:tr>
        <w:tc>
          <w:tcPr>
            <w:tcW w:type="dxa" w:w="1701"/>
            <w:shd w:fill="EEF3F8"/>
            <w:tcMar>
              <w:top w:w="80" w:type="dxa"/>
              <w:start w:w="90" w:type="dxa"/>
              <w:bottom w:w="80" w:type="dxa"/>
              <w:end w:w="90" w:type="dxa"/>
            </w:tcMar>
            <w:vAlign w:val="center"/>
          </w:tcPr>
          <w:p>
            <w:pPr>
              <w:jc w:val="center"/>
            </w:pPr>
            <w:r>
              <w:rPr>
                <w:rFonts w:ascii="Liberation Serif" w:hAnsi="Liberation Serif"/>
                <w:sz w:val="17"/>
              </w:rPr>
              <w:t>complete</w:t>
            </w:r>
          </w:p>
        </w:tc>
        <w:tc>
          <w:tcPr>
            <w:tcW w:type="dxa" w:w="2891"/>
            <w:shd w:fill="EEF3F8"/>
            <w:tcMar>
              <w:top w:w="80" w:type="dxa"/>
              <w:start w:w="90" w:type="dxa"/>
              <w:bottom w:w="80" w:type="dxa"/>
              <w:end w:w="90" w:type="dxa"/>
            </w:tcMar>
            <w:vAlign w:val="center"/>
          </w:tcPr>
          <w:p>
            <w:pPr>
              <w:jc w:val="left"/>
            </w:pPr>
            <w:r>
              <w:rPr>
                <w:rFonts w:ascii="Liberation Serif" w:hAnsi="Liberation Serif"/>
                <w:sz w:val="17"/>
              </w:rPr>
              <w:t>Π_E сюръективно</w:t>
            </w:r>
          </w:p>
        </w:tc>
        <w:tc>
          <w:tcPr>
            <w:tcW w:type="dxa" w:w="4762"/>
            <w:shd w:fill="EEF3F8"/>
            <w:tcMar>
              <w:top w:w="80" w:type="dxa"/>
              <w:start w:w="90" w:type="dxa"/>
              <w:bottom w:w="80" w:type="dxa"/>
              <w:end w:w="90" w:type="dxa"/>
            </w:tcMar>
            <w:vAlign w:val="center"/>
          </w:tcPr>
          <w:p>
            <w:pPr>
              <w:jc w:val="center"/>
            </w:pPr>
            <w:r>
              <w:rPr>
                <w:rFonts w:ascii="Liberation Serif" w:hAnsi="Liberation Serif"/>
                <w:sz w:val="17"/>
              </w:rPr>
              <w:t>каждый внешний H³-класс объясняется внутренним</w:t>
            </w:r>
          </w:p>
        </w:tc>
      </w:tr>
      <w:tr>
        <w:tc>
          <w:tcPr>
            <w:tcW w:type="dxa" w:w="1701"/>
            <w:shd w:fill="FFFFFF"/>
            <w:tcMar>
              <w:top w:w="80" w:type="dxa"/>
              <w:start w:w="90" w:type="dxa"/>
              <w:bottom w:w="80" w:type="dxa"/>
              <w:end w:w="90" w:type="dxa"/>
            </w:tcMar>
            <w:vAlign w:val="center"/>
          </w:tcPr>
          <w:p>
            <w:pPr>
              <w:jc w:val="center"/>
            </w:pPr>
            <w:r>
              <w:rPr>
                <w:rFonts w:ascii="Liberation Serif" w:hAnsi="Liberation Serif"/>
                <w:sz w:val="17"/>
              </w:rPr>
              <w:t>exact</w:t>
            </w:r>
          </w:p>
        </w:tc>
        <w:tc>
          <w:tcPr>
            <w:tcW w:type="dxa" w:w="2891"/>
            <w:shd w:fill="FFFFFF"/>
            <w:tcMar>
              <w:top w:w="80" w:type="dxa"/>
              <w:start w:w="90" w:type="dxa"/>
              <w:bottom w:w="80" w:type="dxa"/>
              <w:end w:w="90" w:type="dxa"/>
            </w:tcMar>
            <w:vAlign w:val="center"/>
          </w:tcPr>
          <w:p>
            <w:pPr>
              <w:jc w:val="left"/>
            </w:pPr>
            <w:r>
              <w:rPr>
                <w:rFonts w:ascii="Liberation Serif" w:hAnsi="Liberation Serif"/>
                <w:sz w:val="17"/>
              </w:rPr>
              <w:t>Π_E изоморфно</w:t>
            </w:r>
          </w:p>
        </w:tc>
        <w:tc>
          <w:tcPr>
            <w:tcW w:type="dxa" w:w="4762"/>
            <w:shd w:fill="FFFFFF"/>
            <w:tcMar>
              <w:top w:w="80" w:type="dxa"/>
              <w:start w:w="90" w:type="dxa"/>
              <w:bottom w:w="80" w:type="dxa"/>
              <w:end w:w="90" w:type="dxa"/>
            </w:tcMar>
            <w:vAlign w:val="center"/>
          </w:tcPr>
          <w:p>
            <w:pPr>
              <w:jc w:val="center"/>
            </w:pPr>
            <w:r>
              <w:rPr>
                <w:rFonts w:ascii="Liberation Serif" w:hAnsi="Liberation Serif"/>
                <w:sz w:val="17"/>
              </w:rPr>
              <w:t>в степени 3 информация совпадает</w:t>
            </w:r>
          </w:p>
        </w:tc>
      </w:tr>
      <w:tr>
        <w:tc>
          <w:tcPr>
            <w:tcW w:type="dxa" w:w="1701"/>
            <w:shd w:fill="EEF3F8"/>
            <w:tcMar>
              <w:top w:w="80" w:type="dxa"/>
              <w:start w:w="90" w:type="dxa"/>
              <w:bottom w:w="80" w:type="dxa"/>
              <w:end w:w="90" w:type="dxa"/>
            </w:tcMar>
            <w:vAlign w:val="center"/>
          </w:tcPr>
          <w:p>
            <w:pPr>
              <w:jc w:val="center"/>
            </w:pPr>
            <w:r>
              <w:rPr>
                <w:rFonts w:ascii="Liberation Serif" w:hAnsi="Liberation Serif"/>
                <w:sz w:val="17"/>
              </w:rPr>
              <w:t>degree-3 quasi-isomorphism</w:t>
            </w:r>
          </w:p>
        </w:tc>
        <w:tc>
          <w:tcPr>
            <w:tcW w:type="dxa" w:w="2891"/>
            <w:shd w:fill="EEF3F8"/>
            <w:tcMar>
              <w:top w:w="80" w:type="dxa"/>
              <w:start w:w="90" w:type="dxa"/>
              <w:bottom w:w="80" w:type="dxa"/>
              <w:end w:w="90" w:type="dxa"/>
            </w:tcMar>
            <w:vAlign w:val="center"/>
          </w:tcPr>
          <w:p>
            <w:pPr>
              <w:jc w:val="left"/>
            </w:pPr>
            <w:r>
              <w:rPr>
                <w:rFonts w:ascii="Liberation Serif" w:hAnsi="Liberation Serif"/>
                <w:sz w:val="17"/>
              </w:rPr>
              <w:t>H³(J) изоморфно</w:t>
            </w:r>
          </w:p>
        </w:tc>
        <w:tc>
          <w:tcPr>
            <w:tcW w:type="dxa" w:w="4762"/>
            <w:shd w:fill="EEF3F8"/>
            <w:tcMar>
              <w:top w:w="80" w:type="dxa"/>
              <w:start w:w="90" w:type="dxa"/>
              <w:bottom w:w="80" w:type="dxa"/>
              <w:end w:w="90" w:type="dxa"/>
            </w:tcMar>
            <w:vAlign w:val="center"/>
          </w:tcPr>
          <w:p>
            <w:pPr>
              <w:jc w:val="center"/>
            </w:pPr>
            <w:r>
              <w:rPr>
                <w:rFonts w:ascii="Liberation Serif" w:hAnsi="Liberation Serif"/>
                <w:sz w:val="17"/>
              </w:rPr>
              <w:t>не утверждает изоморфизм других степеней</w:t>
            </w:r>
          </w:p>
        </w:tc>
      </w:tr>
      <w:tr>
        <w:tc>
          <w:tcPr>
            <w:tcW w:type="dxa" w:w="1701"/>
            <w:shd w:fill="FFFFFF"/>
            <w:tcMar>
              <w:top w:w="80" w:type="dxa"/>
              <w:start w:w="90" w:type="dxa"/>
              <w:bottom w:w="80" w:type="dxa"/>
              <w:end w:w="90" w:type="dxa"/>
            </w:tcMar>
            <w:vAlign w:val="center"/>
          </w:tcPr>
          <w:p>
            <w:pPr>
              <w:jc w:val="center"/>
            </w:pPr>
            <w:r>
              <w:rPr>
                <w:rFonts w:ascii="Liberation Serif" w:hAnsi="Liberation Serif"/>
                <w:sz w:val="17"/>
              </w:rPr>
              <w:t>quasi-isomorphism</w:t>
            </w:r>
          </w:p>
        </w:tc>
        <w:tc>
          <w:tcPr>
            <w:tcW w:type="dxa" w:w="2891"/>
            <w:shd w:fill="FFFFFF"/>
            <w:tcMar>
              <w:top w:w="80" w:type="dxa"/>
              <w:start w:w="90" w:type="dxa"/>
              <w:bottom w:w="80" w:type="dxa"/>
              <w:end w:w="90" w:type="dxa"/>
            </w:tcMar>
            <w:vAlign w:val="center"/>
          </w:tcPr>
          <w:p>
            <w:pPr>
              <w:jc w:val="left"/>
            </w:pPr>
            <w:r>
              <w:rPr>
                <w:rFonts w:ascii="Liberation Serif" w:hAnsi="Liberation Serif"/>
                <w:sz w:val="17"/>
              </w:rPr>
              <w:t>H^n(J) изоморфно для всех n</w:t>
            </w:r>
          </w:p>
        </w:tc>
        <w:tc>
          <w:tcPr>
            <w:tcW w:type="dxa" w:w="4762"/>
            <w:shd w:fill="FFFFFF"/>
            <w:tcMar>
              <w:top w:w="80" w:type="dxa"/>
              <w:start w:w="90" w:type="dxa"/>
              <w:bottom w:w="80" w:type="dxa"/>
              <w:end w:w="90" w:type="dxa"/>
            </w:tcMar>
            <w:vAlign w:val="center"/>
          </w:tcPr>
          <w:p>
            <w:pPr>
              <w:jc w:val="center"/>
            </w:pPr>
            <w:r>
              <w:rPr>
                <w:rFonts w:ascii="Liberation Serif" w:hAnsi="Liberation Serif"/>
                <w:sz w:val="17"/>
              </w:rPr>
              <w:t>полный гомологический эквивалент</w:t>
            </w:r>
          </w:p>
        </w:tc>
      </w:tr>
    </w:tbl>
    <w:p>
      <w:pPr>
        <w:pStyle w:val="Heading1"/>
        <w:keepNext/>
      </w:pPr>
      <w:r>
        <w:t>104. Mapping cone и измерение потери информации</w:t>
      </w:r>
    </w:p>
    <w:p>
      <w:pPr>
        <w:pStyle w:val="Heading2"/>
        <w:keepNext/>
      </w:pPr>
      <w:r>
        <w:t>104.1. Конус цепного моста</w:t>
      </w:r>
    </w:p>
    <w:p>
      <w:pPr/>
      <w:r>
        <w:t>Определение 13.5 (mapping cone). [CL] Для цепной карты J:C_min^•-&gt;E^• положим</w:t>
      </w:r>
    </w:p>
    <w:p>
      <w:pPr>
        <w:keepLines/>
        <w:spacing w:before="80" w:after="80"/>
        <w:jc w:val="center"/>
      </w:pPr>
      <w:r>
        <w:rPr>
          <w:rFonts w:ascii="Liberation Serif" w:hAnsi="Liberation Serif"/>
          <w:i/>
          <w:sz w:val="23"/>
        </w:rPr>
        <w:t>Cone(J)^n = E^n ⊕ C_min^{n+1},</w:t>
      </w:r>
      <w:r>
        <w:rPr>
          <w:sz w:val="21"/>
        </w:rPr>
        <w:t xml:space="preserve">     (13.11)</w:t>
      </w:r>
    </w:p>
    <w:p>
      <w:pPr>
        <w:keepLines/>
        <w:spacing w:before="80" w:after="80"/>
        <w:jc w:val="center"/>
      </w:pPr>
      <w:r>
        <w:rPr>
          <w:rFonts w:ascii="Liberation Serif" w:hAnsi="Liberation Serif"/>
          <w:i/>
          <w:sz w:val="23"/>
        </w:rPr>
        <w:t>D_J(e,c) = (d_E e + Jc, -δ_min c).</w:t>
      </w:r>
      <w:r>
        <w:rPr>
          <w:sz w:val="21"/>
        </w:rPr>
        <w:t xml:space="preserve">     (13.12)</w:t>
      </w:r>
    </w:p>
    <w:p>
      <w:pPr/>
      <w:r>
        <w:t>Стандартное вычисление даёт D_J²=0 именно благодаря тому, что J является цепной картой.</w:t>
      </w:r>
    </w:p>
    <w:p>
      <w:pPr/>
      <w:r>
        <w:t>Теорема 13.5 (точная последовательность детекции). [THM] Конус порождает длинную точную последовательность, фрагмент которой имеет вид</w:t>
      </w:r>
    </w:p>
    <w:p>
      <w:pPr>
        <w:keepLines/>
        <w:spacing w:before="80" w:after="80"/>
        <w:jc w:val="center"/>
      </w:pPr>
      <w:r>
        <w:rPr>
          <w:rFonts w:ascii="Liberation Serif" w:hAnsi="Liberation Serif"/>
          <w:i/>
          <w:sz w:val="23"/>
        </w:rPr>
        <w:t>H²(C_min)-&gt;H²(E)-&gt;H²(Cone J)-&gt;O_B --Π_E--&gt; H³(E)-&gt;H³(Cone J)-&gt;0.</w:t>
      </w:r>
      <w:r>
        <w:rPr>
          <w:sz w:val="21"/>
        </w:rPr>
        <w:t xml:space="preserve">     (13.13)</w:t>
      </w:r>
    </w:p>
    <w:p>
      <w:pPr/>
      <w:r>
        <w:t>Последний ноль возникает из H⁴(C_min)=0.</w:t>
      </w:r>
    </w:p>
    <w:p>
      <w:pPr>
        <w:pStyle w:val="Heading2"/>
        <w:keepNext/>
      </w:pPr>
      <w:r>
        <w:t>104.2. Blind и Excess defects</w:t>
      </w:r>
    </w:p>
    <w:p>
      <w:pPr>
        <w:keepLines/>
        <w:spacing w:before="80" w:after="80"/>
        <w:jc w:val="center"/>
      </w:pPr>
      <w:r>
        <w:rPr>
          <w:rFonts w:ascii="Liberation Serif" w:hAnsi="Liberation Serif"/>
          <w:i/>
          <w:sz w:val="23"/>
        </w:rPr>
        <w:t>Blind_E(N) := Ker Π_E,N,</w:t>
      </w:r>
      <w:r>
        <w:rPr>
          <w:sz w:val="21"/>
        </w:rPr>
        <w:t xml:space="preserve">     (13.14)</w:t>
      </w:r>
    </w:p>
    <w:p>
      <w:pPr>
        <w:keepLines/>
        <w:spacing w:before="80" w:after="80"/>
        <w:jc w:val="center"/>
      </w:pPr>
      <w:r>
        <w:rPr>
          <w:rFonts w:ascii="Liberation Serif" w:hAnsi="Liberation Serif"/>
          <w:i/>
          <w:sz w:val="23"/>
        </w:rPr>
        <w:t>Excess_E(N) := Coker Π_E,N.</w:t>
      </w:r>
      <w:r>
        <w:rPr>
          <w:sz w:val="21"/>
        </w:rPr>
        <w:t xml:space="preserve">     (13.15)</w:t>
      </w:r>
    </w:p>
    <w:p>
      <w:pPr/>
      <w:r>
        <w:t>Из точности (13.13) следуют</w:t>
      </w:r>
    </w:p>
    <w:p>
      <w:pPr>
        <w:keepLines/>
        <w:spacing w:before="80" w:after="80"/>
        <w:jc w:val="center"/>
      </w:pPr>
      <w:r>
        <w:rPr>
          <w:rFonts w:ascii="Liberation Serif" w:hAnsi="Liberation Serif"/>
          <w:i/>
          <w:sz w:val="23"/>
        </w:rPr>
        <w:t>Blind_E = Im(H²(Cone J)-&gt;O_B),</w:t>
      </w:r>
      <w:r>
        <w:rPr>
          <w:sz w:val="21"/>
        </w:rPr>
        <w:t xml:space="preserve">     (13.16)</w:t>
      </w:r>
    </w:p>
    <w:p>
      <w:pPr>
        <w:keepLines/>
        <w:spacing w:before="80" w:after="80"/>
        <w:jc w:val="center"/>
      </w:pPr>
      <w:r>
        <w:rPr>
          <w:rFonts w:ascii="Liberation Serif" w:hAnsi="Liberation Serif"/>
          <w:i/>
          <w:sz w:val="23"/>
        </w:rPr>
        <w:t>Excess_E ≅ H³(Cone J).</w:t>
      </w:r>
      <w:r>
        <w:rPr>
          <w:sz w:val="21"/>
        </w:rPr>
        <w:t xml:space="preserve">     (13.17)</w:t>
      </w:r>
    </w:p>
    <w:p>
      <w:pPr/>
      <w:r>
        <w:t>Blind_E измеряет внутренние препятствия, невидимые выбранной внешней реализацией. Excess_E измеряет внешние классы, не объясняемые внутренним квадратичным слоем. Это разные дефекты, и один не компенсирует другой.</w:t>
      </w:r>
    </w:p>
    <w:p>
      <w:pPr>
        <w:keepNext/>
        <w:jc w:val="center"/>
      </w:pPr>
      <w:r>
        <w:drawing>
          <wp:inline xmlns:a="http://schemas.openxmlformats.org/drawingml/2006/main" xmlns:pic="http://schemas.openxmlformats.org/drawingml/2006/picture">
            <wp:extent cx="5760000" cy="2635554"/>
            <wp:docPr id="31" name="Picture 31"/>
            <wp:cNvGraphicFramePr>
              <a:graphicFrameLocks noChangeAspect="1"/>
            </wp:cNvGraphicFramePr>
            <a:graphic>
              <a:graphicData uri="http://schemas.openxmlformats.org/drawingml/2006/picture">
                <pic:pic>
                  <pic:nvPicPr>
                    <pic:cNvPr id="0" name="fig27_cone_defects.png"/>
                    <pic:cNvPicPr/>
                  </pic:nvPicPr>
                  <pic:blipFill>
                    <a:blip r:embed="rId58"/>
                    <a:stretch>
                      <a:fillRect/>
                    </a:stretch>
                  </pic:blipFill>
                  <pic:spPr>
                    <a:xfrm>
                      <a:off x="0" y="0"/>
                      <a:ext cx="5760000" cy="2635554"/>
                    </a:xfrm>
                    <a:prstGeom prst="rect"/>
                  </pic:spPr>
                </pic:pic>
              </a:graphicData>
            </a:graphic>
          </wp:inline>
        </w:drawing>
      </w:r>
    </w:p>
    <w:p>
      <w:pPr>
        <w:pStyle w:val="Caption"/>
        <w:keepNext/>
        <w:jc w:val="center"/>
      </w:pPr>
      <w:r>
        <w:t>Рисунок 27. Mapping cone и два дефекта внешней детекции. Собственная схема Тома II.</w:t>
      </w:r>
    </w:p>
    <w:p>
      <w:pPr>
        <w:pStyle w:val="Heading1"/>
        <w:keepNext/>
      </w:pPr>
      <w:r>
        <w:t>105. Зависимость от выбора внешней реализации</w:t>
      </w:r>
    </w:p>
    <w:p>
      <w:pPr>
        <w:pStyle w:val="Heading2"/>
        <w:keepNext/>
      </w:pPr>
      <w:r>
        <w:t>105.1. Гомотопическая инвариантность</w:t>
      </w:r>
    </w:p>
    <w:p>
      <w:pPr/>
      <w:r>
        <w:t>Теорема 13.6 (chain-homotopy invariance). [CL/THM] Если цепные карты J,K:C_min^•-&gt;E^• гомотопны, то</w:t>
      </w:r>
    </w:p>
    <w:p>
      <w:pPr>
        <w:keepLines/>
        <w:spacing w:before="80" w:after="80"/>
        <w:jc w:val="center"/>
      </w:pPr>
      <w:r>
        <w:rPr>
          <w:rFonts w:ascii="Liberation Serif" w:hAnsi="Liberation Serif"/>
          <w:i/>
          <w:sz w:val="23"/>
        </w:rPr>
        <w:t>H^n(J)=H^n(K)  для всех n;  следовательно Π_E^J=Π_E^K.</w:t>
      </w:r>
      <w:r>
        <w:rPr>
          <w:sz w:val="21"/>
        </w:rPr>
        <w:t xml:space="preserve">     (13.18)</w:t>
      </w:r>
    </w:p>
    <w:p>
      <w:pPr/>
      <w:r>
        <w:t>В двухчленном секторе достаточно предъявить операторы h²:F²_N-&gt;E¹ и h³:X²_N-&gt;E², для которых</w:t>
      </w:r>
    </w:p>
    <w:p>
      <w:pPr>
        <w:keepLines/>
        <w:spacing w:before="80" w:after="80"/>
        <w:jc w:val="center"/>
      </w:pPr>
      <w:r>
        <w:rPr>
          <w:rFonts w:ascii="Liberation Serif" w:hAnsi="Liberation Serif"/>
          <w:i/>
          <w:sz w:val="23"/>
        </w:rPr>
        <w:t>J²-K² = d_E¹ h² + h³ Ψ²,     J³-K³ = d_E² h³.</w:t>
      </w:r>
      <w:r>
        <w:rPr>
          <w:sz w:val="21"/>
        </w:rPr>
        <w:t xml:space="preserve">     (13.19)</w:t>
      </w:r>
    </w:p>
    <w:p>
      <w:pPr/>
      <w:r>
        <w:t>Таким образом, Π_E зависит не от буквальной цепной карты, а от её класса в гомотопической категории. Не гомотопные мосты могут давать различные внешние детекции.</w:t>
      </w:r>
    </w:p>
    <w:p>
      <w:pPr>
        <w:pStyle w:val="Heading2"/>
        <w:keepNext/>
      </w:pPr>
      <w:r>
        <w:t>105.2. Сравнение двух внешних комплексов</w:t>
      </w:r>
    </w:p>
    <w:p>
      <w:pPr/>
      <w:r>
        <w:t>Пусть E и F являются двумя внешними реализациями, а Q:E^•-&gt;F^• - цепная карта. Если J_F=QJ_E, то</w:t>
      </w:r>
    </w:p>
    <w:p>
      <w:pPr>
        <w:keepLines/>
        <w:spacing w:before="80" w:after="80"/>
        <w:jc w:val="center"/>
      </w:pPr>
      <w:r>
        <w:rPr>
          <w:rFonts w:ascii="Liberation Serif" w:hAnsi="Liberation Serif"/>
          <w:i/>
          <w:sz w:val="23"/>
        </w:rPr>
        <w:t>Π_F = H³(Q) Π_E.</w:t>
      </w:r>
      <w:r>
        <w:rPr>
          <w:sz w:val="21"/>
        </w:rPr>
        <w:t xml:space="preserve">     (13.20)</w:t>
      </w:r>
    </w:p>
    <w:p>
      <w:pPr/>
      <w:r>
        <w:t>Если H³(Q) инъективно на Im Π_E, внешний переход E-&gt;F не теряет уже обнаруженные внутренние классы. Если H³(Q) имеет ненулевое ядро на Im Π_E, появляется дополнительный blind defect.</w:t>
      </w:r>
    </w:p>
    <w:p>
      <w:pPr>
        <w:pStyle w:val="Heading1"/>
        <w:keepNext/>
      </w:pPr>
      <w:r>
        <w:t>106. Функториальная внешняя теория</w:t>
      </w:r>
    </w:p>
    <w:p>
      <w:pPr/>
      <w:r>
        <w:t>Определение 13.6 (категория внешних реализаций). [DEF-A] Объектом ExtReal(N) является пара (E,J), удовлетворяющая B1-B2. Морфизмом (E,J)-&gt;(F,K) является цепная карта Q:E-&gt;F с QJ=K.</w:t>
      </w:r>
    </w:p>
    <w:p>
      <w:pPr/>
      <w:r>
        <w:t>Теорема 13.7. [THM] Назначение</w:t>
      </w:r>
    </w:p>
    <w:p>
      <w:pPr>
        <w:keepLines/>
        <w:spacing w:before="80" w:after="80"/>
        <w:jc w:val="center"/>
      </w:pPr>
      <w:r>
        <w:rPr>
          <w:rFonts w:ascii="Liberation Serif" w:hAnsi="Liberation Serif"/>
          <w:i/>
          <w:sz w:val="23"/>
        </w:rPr>
        <w:t>(E,J) ↦ Π_E:O_B(N)-&gt;H³(E)</w:t>
      </w:r>
      <w:r>
        <w:rPr>
          <w:sz w:val="21"/>
        </w:rPr>
        <w:t xml:space="preserve">     (13.21)</w:t>
      </w:r>
    </w:p>
    <w:p>
      <w:pPr/>
      <w:r>
        <w:t>функториально относительно морфизмов внешних реализаций. Следовательно, сравнение внешних моделей должно выполняться через явные цепные карты, а не через совпадение размерностей или названий когомологий.</w:t>
      </w:r>
    </w:p>
    <w:p>
      <w:pPr/>
      <w:r>
        <w:t>Определение 13.7 (canonical external class). [COND] Внешний класс называется каноническим относительно подкатегории R_ext, если все допустимые реализации связаны квазиизоморфизмами, согласованными с J, и полученные H³-классы совпадают под этими изоморфизмами.</w:t>
      </w:r>
    </w:p>
    <w:p>
      <w:pPr/>
      <w:r>
        <w:t>Без такого контракта выражение «внешний класс препятствия» зависит от выбора E и не обладает абсолютным смыслом.</w:t>
      </w:r>
    </w:p>
    <w:p>
      <w:pPr>
        <w:pStyle w:val="Heading1"/>
        <w:keepNext/>
      </w:pPr>
      <w:r>
        <w:t>107. Конечномерная численная реализация</w:t>
      </w:r>
    </w:p>
    <w:p>
      <w:pPr>
        <w:pStyle w:val="Heading2"/>
        <w:keepNext/>
      </w:pPr>
      <w:r>
        <w:t>107.1. Ортогональные модели факторпространств</w:t>
      </w:r>
    </w:p>
    <w:p>
      <w:pPr/>
      <w:r>
        <w:t>В конечномерном евклидовом или эрмитовом секторе выбираются ортогональные разложения</w:t>
      </w:r>
    </w:p>
    <w:p>
      <w:pPr>
        <w:keepLines/>
        <w:spacing w:before="80" w:after="80"/>
        <w:jc w:val="center"/>
      </w:pPr>
      <w:r>
        <w:rPr>
          <w:rFonts w:ascii="Liberation Serif" w:hAnsi="Liberation Serif"/>
          <w:i/>
          <w:sz w:val="23"/>
        </w:rPr>
        <w:t>X²_N = Im Ψ²_N ⊕ O_N,     Ker d_E³ = Im d_E² ⊕ H_E³.</w:t>
      </w:r>
      <w:r>
        <w:rPr>
          <w:sz w:val="21"/>
        </w:rPr>
        <w:t xml:space="preserve">     (13.22)</w:t>
      </w:r>
    </w:p>
    <w:p>
      <w:pPr/>
      <w:r>
        <w:t>Тогда O_N является минимально-нормовым представителем O_B, а H_E³ - гармоническим представителем внешней когомологии. Матрица индуцированного моста имеет вид</w:t>
      </w:r>
    </w:p>
    <w:p>
      <w:pPr>
        <w:keepLines/>
        <w:spacing w:before="80" w:after="80"/>
        <w:jc w:val="center"/>
      </w:pPr>
      <w:r>
        <w:rPr>
          <w:rFonts w:ascii="Liberation Serif" w:hAnsi="Liberation Serif"/>
          <w:i/>
          <w:sz w:val="23"/>
        </w:rPr>
        <w:t>P_E := P_{H_E³} J³_N |_{O_N}.</w:t>
      </w:r>
      <w:r>
        <w:rPr>
          <w:sz w:val="21"/>
        </w:rPr>
        <w:t xml:space="preserve">     (13.23)</w:t>
      </w:r>
    </w:p>
    <w:p>
      <w:pPr/>
      <w:r>
        <w:t>Теорема 13.8 (стабильная обратная детекция). [THM/COMP] P_E инъективно тогда и только тогда, когда его наименьшее сингулярное число положительно. Если</w:t>
      </w:r>
    </w:p>
    <w:p>
      <w:pPr>
        <w:keepLines/>
        <w:spacing w:before="80" w:after="80"/>
        <w:jc w:val="center"/>
      </w:pPr>
      <w:r>
        <w:rPr>
          <w:rFonts w:ascii="Liberation Serif" w:hAnsi="Liberation Serif"/>
          <w:i/>
          <w:sz w:val="23"/>
        </w:rPr>
        <w:t>σ_min(P_E) ≥ s_0 &gt; 0,</w:t>
      </w:r>
      <w:r>
        <w:rPr>
          <w:sz w:val="21"/>
        </w:rPr>
        <w:t xml:space="preserve">     (13.24)</w:t>
      </w:r>
    </w:p>
    <w:p>
      <w:pPr/>
      <w:r>
        <w:t>то для каждого внутреннего класса o</w:t>
      </w:r>
    </w:p>
    <w:p>
      <w:pPr>
        <w:keepLines/>
        <w:spacing w:before="80" w:after="80"/>
        <w:jc w:val="center"/>
      </w:pPr>
      <w:r>
        <w:rPr>
          <w:rFonts w:ascii="Liberation Serif" w:hAnsi="Liberation Serif"/>
          <w:i/>
          <w:sz w:val="23"/>
        </w:rPr>
        <w:t>||Π_E(o)|| ≥ s_0 ||o||.</w:t>
      </w:r>
      <w:r>
        <w:rPr>
          <w:sz w:val="21"/>
        </w:rPr>
        <w:t xml:space="preserve">     (13.25)</w:t>
      </w:r>
    </w:p>
    <w:p>
      <w:pPr/>
      <w:r>
        <w:t>Следовательно, ненулевой внутренний класс не может исчезнуть во внешнем слое под малыми численными возмущениями, меньшими сертифицированного запаса.</w:t>
      </w:r>
    </w:p>
    <w:p>
      <w:pPr>
        <w:pStyle w:val="Heading2"/>
        <w:keepNext/>
      </w:pPr>
      <w:r>
        <w:t>107.2. Инвариантный внешний остаток</w:t>
      </w:r>
    </w:p>
    <w:p>
      <w:pPr>
        <w:keepLines/>
        <w:spacing w:before="80" w:after="80"/>
        <w:jc w:val="center"/>
      </w:pPr>
      <w:r>
        <w:rPr>
          <w:rFonts w:ascii="Liberation Serif" w:hAnsi="Liberation Serif"/>
          <w:i/>
          <w:sz w:val="23"/>
        </w:rPr>
        <w:t>η_E([x]) := ||P_{H_E³} J³_N x_min||,</w:t>
      </w:r>
      <w:r>
        <w:rPr>
          <w:sz w:val="21"/>
        </w:rPr>
        <w:t xml:space="preserve">     (13.26)</w:t>
      </w:r>
    </w:p>
    <w:p>
      <w:pPr/>
      <w:r>
        <w:t>где x_min∈O_N - минимально-нормовый представитель внутреннего класса. При B1-B2 величина не зависит от добавления Ψ²f. Однако она зависит от выбранных норм и потому требует metric ledger.</w:t>
      </w:r>
    </w:p>
    <w:p>
      <w:pPr>
        <w:pStyle w:val="Heading1"/>
        <w:keepNext/>
      </w:pPr>
      <w:r>
        <w:t>108. Параметрические семейства и внешний горизонт</w:t>
      </w:r>
    </w:p>
    <w:p>
      <w:pPr/>
      <w:r>
        <w:t>Для семейства (N_t,E_t,J_t) вводится расширенный горизонт</w:t>
      </w:r>
    </w:p>
    <w:p>
      <w:pPr>
        <w:keepLines/>
        <w:spacing w:before="80" w:after="80"/>
        <w:jc w:val="center"/>
      </w:pPr>
      <w:r>
        <w:rPr>
          <w:rFonts w:ascii="Liberation Serif" w:hAnsi="Liberation Serif"/>
          <w:i/>
          <w:sz w:val="23"/>
        </w:rPr>
        <w:t>Δ_E = Δ_{complex} ∪ Δ_{chain} ∪ Δ_{rank Π} ∪ Δ_{σΠ} ∪ Δ_{hom} ∪ Δ_D ∪ Δ_Dom ∪ Δ_{glue}.</w:t>
      </w:r>
      <w:r>
        <w:rPr>
          <w:sz w:val="21"/>
        </w:rPr>
        <w:t xml:space="preserve">     (13.27)</w:t>
      </w:r>
    </w:p>
    <w:p>
      <w:pPr/>
      <w:r>
        <w:t>Здесь фиксируются: нарушение d_E²=0; нарушение цепного квадрата; изменение ранга Π_E; потеря устойчивой инъективности; смена гомотопического класса моста; дефекты Evidence-D, Dom и глобализации.</w:t>
      </w:r>
    </w:p>
    <w:p>
      <w:pPr/>
      <w:r>
        <w:t>Лемма 13.9 (локальная постоянность рангов). [THM] В конечномерном непрерывном семействе на области, где ранги d_E²,d_E³,Ψ² и P_E постоянны и положительные сингулярные числа отделены от нуля, размерности H³(E), Blind_E, Excess_E и Im Π_E локально постоянны.</w:t>
      </w:r>
    </w:p>
    <w:p>
      <w:pPr>
        <w:pStyle w:val="Heading1"/>
        <w:keepNext/>
      </w:pPr>
      <w:r>
        <w:t>109. Предсказательный внешний мост</w:t>
      </w:r>
    </w:p>
    <w:p>
      <w:pPr>
        <w:pStyle w:val="Heading2"/>
        <w:keepNext/>
      </w:pPr>
      <w:r>
        <w:t>109.1. Теорема устойчивого внешнего препятствия</w:t>
      </w:r>
    </w:p>
    <w:p>
      <w:pPr/>
      <w:r>
        <w:t>Теорема 13.10. [THM/COMP] Пусть на компактном интервале I выполнены B1-B5, семейства непрерывны и существует ε_E&gt;0 такое, что</w:t>
      </w:r>
    </w:p>
    <w:p>
      <w:pPr>
        <w:keepLines/>
        <w:spacing w:before="80" w:after="80"/>
        <w:jc w:val="center"/>
      </w:pPr>
      <w:r>
        <w:rPr>
          <w:rFonts w:ascii="Liberation Serif" w:hAnsi="Liberation Serif"/>
          <w:i/>
          <w:sz w:val="23"/>
        </w:rPr>
        <w:t>||Π_{E,t}(o_t)|| ≥ ε_E  для всех t∈I.</w:t>
      </w:r>
      <w:r>
        <w:rPr>
          <w:sz w:val="21"/>
        </w:rPr>
        <w:t xml:space="preserve">     (13.28)</w:t>
      </w:r>
    </w:p>
    <w:p>
      <w:pPr/>
      <w:r>
        <w:t>Тогда внешний класс не обращается в нуль ни в одной точке I. Следовательно, структурный переход, требующий исчезновения данного внешнего класса, невозможен внутри сертифицированной модели.</w:t>
      </w:r>
    </w:p>
    <w:p>
      <w:pPr/>
      <w:r>
        <w:t>Если дополнительно B6 выполнено с σ_min(P_{E,t})≥s_0&gt;0, то внешний ноль эквивалентен внутреннему нулю на I. Без B6 внешний ноль возвращает ABSTAIN, а не доказательство отсутствия внутреннего препятствия.</w:t>
      </w:r>
    </w:p>
    <w:p>
      <w:pPr>
        <w:pStyle w:val="Heading2"/>
        <w:keepNext/>
      </w:pPr>
      <w:r>
        <w:t>109.2. Главная условная теорема v0.10</w:t>
      </w:r>
    </w:p>
    <w:p>
      <w:pPr/>
      <w:r>
        <w:t>Теорема 13.11 (external-detection-safe predictive theorem). [COND] Пусть:</w:t>
      </w:r>
    </w:p>
    <w:p>
      <w:pPr>
        <w:pStyle w:val="ListBullet"/>
      </w:pPr>
      <w:r>
        <w:t>B1-B5 выполнены и документированы;</w:t>
      </w:r>
    </w:p>
    <w:p>
      <w:pPr>
        <w:pStyle w:val="ListBullet"/>
      </w:pPr>
      <w:r>
        <w:t>для обратной ветви выполнено B6 с устойчивой нижней границей;</w:t>
      </w:r>
    </w:p>
    <w:p>
      <w:pPr>
        <w:pStyle w:val="ListBullet"/>
      </w:pPr>
      <w:r>
        <w:t>внешний мост остаётся в одном гомотопическом классе;</w:t>
      </w:r>
    </w:p>
    <w:p>
      <w:pPr>
        <w:pStyle w:val="ListBullet"/>
      </w:pPr>
      <w:r>
        <w:t>D/Dom и глобализационные условия не меняются;</w:t>
      </w:r>
    </w:p>
    <w:p>
      <w:pPr>
        <w:pStyle w:val="ListBullet"/>
      </w:pPr>
      <w:r>
        <w:t>предыдущие tangent, holonomy и differential blockers закрыты;</w:t>
      </w:r>
    </w:p>
    <w:p>
      <w:pPr>
        <w:pStyle w:val="ListBullet"/>
      </w:pPr>
      <w:r>
        <w:t>β_Ass не подменяется Π_E;</w:t>
      </w:r>
    </w:p>
    <w:p>
      <w:pPr>
        <w:pStyle w:val="ListBullet"/>
      </w:pPr>
      <w:r>
        <w:t>B8 не используется без доменной редукции и данных;</w:t>
      </w:r>
    </w:p>
    <w:p>
      <w:pPr>
        <w:pStyle w:val="ListBullet"/>
      </w:pPr>
      <w:r>
        <w:t>вычислительный сертификат EXT-E воспроизводим.</w:t>
      </w:r>
    </w:p>
    <w:p>
      <w:pPr/>
      <w:r>
        <w:t>Тогда вне Δ_E профиль</w:t>
      </w:r>
    </w:p>
    <w:p>
      <w:pPr>
        <w:keepLines/>
        <w:spacing w:before="80" w:after="80"/>
        <w:jc w:val="center"/>
      </w:pPr>
      <w:r>
        <w:rPr>
          <w:rFonts w:ascii="Liberation Serif" w:hAnsi="Liberation Serif"/>
          <w:i/>
          <w:sz w:val="23"/>
        </w:rPr>
        <w:t>P_E(t)=(dim H³(E_t), rank Π_{E,t}, dim Blind_{E,t}, dim Excess_{E,t}, σ_min(P_{E,t}), η_E(o_t))</w:t>
      </w:r>
      <w:r>
        <w:rPr>
          <w:sz w:val="21"/>
        </w:rPr>
        <w:t xml:space="preserve">     (13.29)</w:t>
      </w:r>
    </w:p>
    <w:p>
      <w:pPr/>
      <w:r>
        <w:t>локально устойчив. Ненулевой η_E, отделённый от нуля, даёт отрицательный прогноз исчезновения внешнего препятствия. Нулевой η_E при faithful-мосте создаёт только кандидат внутреннего квадратичного разрешения; высшие, глобальные и физические выводы не следуют.</w:t>
      </w:r>
    </w:p>
    <w:p>
      <w:pPr>
        <w:keepNext/>
        <w:jc w:val="center"/>
      </w:pPr>
      <w:r>
        <w:drawing>
          <wp:inline xmlns:a="http://schemas.openxmlformats.org/drawingml/2006/main" xmlns:pic="http://schemas.openxmlformats.org/drawingml/2006/picture">
            <wp:extent cx="5760000" cy="2724894"/>
            <wp:docPr id="32" name="Picture 32"/>
            <wp:cNvGraphicFramePr>
              <a:graphicFrameLocks noChangeAspect="1"/>
            </wp:cNvGraphicFramePr>
            <a:graphic>
              <a:graphicData uri="http://schemas.openxmlformats.org/drawingml/2006/picture">
                <pic:pic>
                  <pic:nvPicPr>
                    <pic:cNvPr id="0" name="fig28_external_gate.png"/>
                    <pic:cNvPicPr/>
                  </pic:nvPicPr>
                  <pic:blipFill>
                    <a:blip r:embed="rId59"/>
                    <a:stretch>
                      <a:fillRect/>
                    </a:stretch>
                  </pic:blipFill>
                  <pic:spPr>
                    <a:xfrm>
                      <a:off x="0" y="0"/>
                      <a:ext cx="5760000" cy="2724894"/>
                    </a:xfrm>
                    <a:prstGeom prst="rect"/>
                  </pic:spPr>
                </pic:pic>
              </a:graphicData>
            </a:graphic>
          </wp:inline>
        </w:drawing>
      </w:r>
    </w:p>
    <w:p>
      <w:pPr>
        <w:pStyle w:val="Caption"/>
        <w:keepNext/>
        <w:jc w:val="center"/>
      </w:pPr>
      <w:r>
        <w:t>Рисунок 28. Blocker-safe шлюз внешней детекции. Собственная схема Тома II.</w:t>
      </w:r>
    </w:p>
    <w:p>
      <w:pPr>
        <w:pStyle w:val="Heading1"/>
        <w:keepNext/>
      </w:pPr>
      <w:r>
        <w:t>110. Отдельный ассоциаторный канал β_Ass</w:t>
      </w:r>
    </w:p>
    <w:p>
      <w:pPr/>
      <w:r>
        <w:t>Определение 13.8 (associator test channel). [OPEN/DEF-A] Пусть T_Ass(N) - пространство типизированных ассоциаторных тестов, а A_Ass^•(N) - отдельный внешний комплекс. Кандидатный канал имеет форму</w:t>
      </w:r>
    </w:p>
    <w:p>
      <w:pPr>
        <w:keepLines/>
        <w:spacing w:before="80" w:after="80"/>
        <w:jc w:val="center"/>
      </w:pPr>
      <w:r>
        <w:rPr>
          <w:rFonts w:ascii="Liberation Serif" w:hAnsi="Liberation Serif"/>
          <w:i/>
          <w:sz w:val="23"/>
        </w:rPr>
        <w:t>β_Ass,N:T_Ass(N)-&gt;H³(A_Ass^•(N)).</w:t>
      </w:r>
      <w:r>
        <w:rPr>
          <w:sz w:val="21"/>
        </w:rPr>
        <w:t xml:space="preserve">     (13.30)</w:t>
      </w:r>
    </w:p>
    <w:p>
      <w:pPr/>
      <w:r>
        <w:t>Условие B7 запрещает считать β_Ass следствием Π_E. Связь возможна только после построения карты S:O_B-&gt;T_Ass и цепного отображения Q:E^•-&gt;A_Ass^•, для которых доказана коммутативность соответствующей диаграммы.</w:t>
      </w:r>
    </w:p>
    <w:p>
      <w:pPr>
        <w:keepLines/>
        <w:spacing w:before="80" w:after="80"/>
        <w:jc w:val="center"/>
      </w:pPr>
      <w:r>
        <w:rPr>
          <w:rFonts w:ascii="Liberation Serif" w:hAnsi="Liberation Serif"/>
          <w:i/>
          <w:sz w:val="23"/>
        </w:rPr>
        <w:t>β_Ass ∘ S = H³(Q) ∘ Π_E.</w:t>
      </w:r>
      <w:r>
        <w:rPr>
          <w:sz w:val="21"/>
        </w:rPr>
        <w:t xml:space="preserve">     (13.31)</w:t>
      </w:r>
    </w:p>
    <w:p>
      <w:pPr/>
      <w:r>
        <w:t>До доказательства (13.31) квадратичный obstruction class, ассоциатор, ассоциаторная кривизна и Hol_D остаются различными объектами.</w:t>
      </w:r>
    </w:p>
    <w:p>
      <w:pPr>
        <w:pStyle w:val="Heading1"/>
        <w:keepNext/>
      </w:pPr>
      <w:r>
        <w:t>111. Контрпримеры к сильным внешним выводам</w:t>
      </w:r>
    </w:p>
    <w:tbl>
      <w:tblPr>
        <w:tblStyle w:val="TableGrid"/>
        <w:tblW w:type="auto" w:w="0"/>
        <w:jc w:val="center"/>
        <w:tblLayout w:type="fixed"/>
        <w:tblLook w:firstColumn="1" w:firstRow="1" w:lastColumn="0" w:lastRow="0" w:noHBand="0" w:noVBand="1" w:val="04A0"/>
      </w:tblPr>
      <w:tblGrid>
        <w:gridCol w:w="2438"/>
        <w:gridCol w:w="2438"/>
        <w:gridCol w:w="2438"/>
        <w:gridCol w:w="2438"/>
      </w:tblGrid>
      <w:tr>
        <w:trPr>
          <w:tblHeader w:val="true"/>
        </w:trPr>
        <w:tc>
          <w:tcPr>
            <w:tcW w:type="dxa" w:w="680"/>
            <w:shd w:fill="1F4E79"/>
            <w:tcMar>
              <w:top w:w="90" w:type="dxa"/>
              <w:start w:w="90" w:type="dxa"/>
              <w:bottom w:w="90" w:type="dxa"/>
              <w:end w:w="90" w:type="dxa"/>
            </w:tcMar>
            <w:vAlign w:val="center"/>
          </w:tcPr>
          <w:p>
            <w:pPr>
              <w:jc w:val="center"/>
            </w:pPr>
            <w:r>
              <w:rPr>
                <w:rFonts w:ascii="Liberation Sans" w:hAnsi="Liberation Sans"/>
                <w:b/>
                <w:color w:val="FFFFFF"/>
                <w:sz w:val="15"/>
              </w:rPr>
              <w:t>ID</w:t>
            </w:r>
          </w:p>
        </w:tc>
        <w:tc>
          <w:tcPr>
            <w:tcW w:type="dxa" w:w="1984"/>
            <w:shd w:fill="1F4E79"/>
            <w:tcMar>
              <w:top w:w="90" w:type="dxa"/>
              <w:start w:w="90" w:type="dxa"/>
              <w:bottom w:w="90" w:type="dxa"/>
              <w:end w:w="90" w:type="dxa"/>
            </w:tcMar>
            <w:vAlign w:val="center"/>
          </w:tcPr>
          <w:p>
            <w:pPr>
              <w:jc w:val="center"/>
            </w:pPr>
            <w:r>
              <w:rPr>
                <w:rFonts w:ascii="Liberation Sans" w:hAnsi="Liberation Sans"/>
                <w:b/>
                <w:color w:val="FFFFFF"/>
                <w:sz w:val="15"/>
              </w:rPr>
              <w:t>Тип</w:t>
            </w:r>
          </w:p>
        </w:tc>
        <w:tc>
          <w:tcPr>
            <w:tcW w:type="dxa" w:w="3572"/>
            <w:shd w:fill="1F4E79"/>
            <w:tcMar>
              <w:top w:w="90" w:type="dxa"/>
              <w:start w:w="90" w:type="dxa"/>
              <w:bottom w:w="90" w:type="dxa"/>
              <w:end w:w="90" w:type="dxa"/>
            </w:tcMar>
            <w:vAlign w:val="center"/>
          </w:tcPr>
          <w:p>
            <w:pPr>
              <w:jc w:val="center"/>
            </w:pPr>
            <w:r>
              <w:rPr>
                <w:rFonts w:ascii="Liberation Sans" w:hAnsi="Liberation Sans"/>
                <w:b/>
                <w:color w:val="FFFFFF"/>
                <w:sz w:val="15"/>
              </w:rPr>
              <w:t>Модель</w:t>
            </w:r>
          </w:p>
        </w:tc>
        <w:tc>
          <w:tcPr>
            <w:tcW w:type="dxa" w:w="3118"/>
            <w:shd w:fill="1F4E79"/>
            <w:tcMar>
              <w:top w:w="90" w:type="dxa"/>
              <w:start w:w="90" w:type="dxa"/>
              <w:bottom w:w="90" w:type="dxa"/>
              <w:end w:w="90" w:type="dxa"/>
            </w:tcMar>
            <w:vAlign w:val="center"/>
          </w:tcPr>
          <w:p>
            <w:pPr>
              <w:jc w:val="center"/>
            </w:pPr>
            <w:r>
              <w:rPr>
                <w:rFonts w:ascii="Liberation Sans" w:hAnsi="Liberation Sans"/>
                <w:b/>
                <w:color w:val="FFFFFF"/>
                <w:sz w:val="15"/>
              </w:rPr>
              <w:t>Вывод</w:t>
            </w:r>
          </w:p>
        </w:tc>
      </w:tr>
      <w:tr>
        <w:tc>
          <w:tcPr>
            <w:tcW w:type="dxa" w:w="680"/>
            <w:shd w:fill="FFFFFF"/>
            <w:tcMar>
              <w:top w:w="80" w:type="dxa"/>
              <w:start w:w="90" w:type="dxa"/>
              <w:bottom w:w="80" w:type="dxa"/>
              <w:end w:w="90" w:type="dxa"/>
            </w:tcMar>
            <w:vAlign w:val="center"/>
          </w:tcPr>
          <w:p>
            <w:pPr>
              <w:jc w:val="center"/>
            </w:pPr>
            <w:r>
              <w:rPr>
                <w:rFonts w:ascii="Liberation Serif" w:hAnsi="Liberation Serif"/>
                <w:sz w:val="15"/>
              </w:rPr>
              <w:t>E1</w:t>
            </w:r>
          </w:p>
        </w:tc>
        <w:tc>
          <w:tcPr>
            <w:tcW w:type="dxa" w:w="1984"/>
            <w:shd w:fill="FFFFFF"/>
            <w:tcMar>
              <w:top w:w="80" w:type="dxa"/>
              <w:start w:w="90" w:type="dxa"/>
              <w:bottom w:w="80" w:type="dxa"/>
              <w:end w:w="90" w:type="dxa"/>
            </w:tcMar>
            <w:vAlign w:val="center"/>
          </w:tcPr>
          <w:p>
            <w:pPr>
              <w:jc w:val="left"/>
            </w:pPr>
            <w:r>
              <w:rPr>
                <w:rFonts w:ascii="Liberation Serif" w:hAnsi="Liberation Serif"/>
                <w:sz w:val="15"/>
              </w:rPr>
              <w:t>Blind acyclic target</w:t>
            </w:r>
          </w:p>
        </w:tc>
        <w:tc>
          <w:tcPr>
            <w:tcW w:type="dxa" w:w="3572"/>
            <w:shd w:fill="FFFFFF"/>
            <w:tcMar>
              <w:top w:w="80" w:type="dxa"/>
              <w:start w:w="90" w:type="dxa"/>
              <w:bottom w:w="80" w:type="dxa"/>
              <w:end w:w="90" w:type="dxa"/>
            </w:tcMar>
            <w:vAlign w:val="center"/>
          </w:tcPr>
          <w:p>
            <w:pPr>
              <w:jc w:val="center"/>
            </w:pPr>
            <w:r>
              <w:rPr>
                <w:rFonts w:ascii="Liberation Serif" w:hAnsi="Liberation Serif"/>
                <w:sz w:val="15"/>
              </w:rPr>
              <w:t>O_B=K, E²=K, E³=K, d²=id, J³=id</w:t>
            </w:r>
          </w:p>
        </w:tc>
        <w:tc>
          <w:tcPr>
            <w:tcW w:type="dxa" w:w="3118"/>
            <w:shd w:fill="FFFFFF"/>
            <w:tcMar>
              <w:top w:w="80" w:type="dxa"/>
              <w:start w:w="90" w:type="dxa"/>
              <w:bottom w:w="80" w:type="dxa"/>
              <w:end w:w="90" w:type="dxa"/>
            </w:tcMar>
            <w:vAlign w:val="center"/>
          </w:tcPr>
          <w:p>
            <w:pPr>
              <w:jc w:val="left"/>
            </w:pPr>
            <w:r>
              <w:rPr>
                <w:rFonts w:ascii="Liberation Serif" w:hAnsi="Liberation Serif"/>
                <w:sz w:val="15"/>
              </w:rPr>
              <w:t>H³(E)=0, поэтому Π_E=0 при ненулевом O_B.</w:t>
            </w:r>
          </w:p>
        </w:tc>
      </w:tr>
      <w:tr>
        <w:tc>
          <w:tcPr>
            <w:tcW w:type="dxa" w:w="680"/>
            <w:shd w:fill="EEF3F8"/>
            <w:tcMar>
              <w:top w:w="80" w:type="dxa"/>
              <w:start w:w="90" w:type="dxa"/>
              <w:bottom w:w="80" w:type="dxa"/>
              <w:end w:w="90" w:type="dxa"/>
            </w:tcMar>
            <w:vAlign w:val="center"/>
          </w:tcPr>
          <w:p>
            <w:pPr>
              <w:jc w:val="center"/>
            </w:pPr>
            <w:r>
              <w:rPr>
                <w:rFonts w:ascii="Liberation Serif" w:hAnsi="Liberation Serif"/>
                <w:sz w:val="15"/>
              </w:rPr>
              <w:t>E2</w:t>
            </w:r>
          </w:p>
        </w:tc>
        <w:tc>
          <w:tcPr>
            <w:tcW w:type="dxa" w:w="1984"/>
            <w:shd w:fill="EEF3F8"/>
            <w:tcMar>
              <w:top w:w="80" w:type="dxa"/>
              <w:start w:w="90" w:type="dxa"/>
              <w:bottom w:w="80" w:type="dxa"/>
              <w:end w:w="90" w:type="dxa"/>
            </w:tcMar>
            <w:vAlign w:val="center"/>
          </w:tcPr>
          <w:p>
            <w:pPr>
              <w:jc w:val="left"/>
            </w:pPr>
            <w:r>
              <w:rPr>
                <w:rFonts w:ascii="Liberation Serif" w:hAnsi="Liberation Serif"/>
                <w:sz w:val="15"/>
              </w:rPr>
              <w:t>Injective not surjective</w:t>
            </w:r>
          </w:p>
        </w:tc>
        <w:tc>
          <w:tcPr>
            <w:tcW w:type="dxa" w:w="3572"/>
            <w:shd w:fill="EEF3F8"/>
            <w:tcMar>
              <w:top w:w="80" w:type="dxa"/>
              <w:start w:w="90" w:type="dxa"/>
              <w:bottom w:w="80" w:type="dxa"/>
              <w:end w:w="90" w:type="dxa"/>
            </w:tcMar>
            <w:vAlign w:val="center"/>
          </w:tcPr>
          <w:p>
            <w:pPr>
              <w:jc w:val="center"/>
            </w:pPr>
            <w:r>
              <w:rPr>
                <w:rFonts w:ascii="Liberation Serif" w:hAnsi="Liberation Serif"/>
                <w:sz w:val="15"/>
              </w:rPr>
              <w:t>O_B=K, H³(E)=K², Π(a)=(a,0)</w:t>
            </w:r>
          </w:p>
        </w:tc>
        <w:tc>
          <w:tcPr>
            <w:tcW w:type="dxa" w:w="3118"/>
            <w:shd w:fill="EEF3F8"/>
            <w:tcMar>
              <w:top w:w="80" w:type="dxa"/>
              <w:start w:w="90" w:type="dxa"/>
              <w:bottom w:w="80" w:type="dxa"/>
              <w:end w:w="90" w:type="dxa"/>
            </w:tcMar>
            <w:vAlign w:val="center"/>
          </w:tcPr>
          <w:p>
            <w:pPr>
              <w:jc w:val="left"/>
            </w:pPr>
            <w:r>
              <w:rPr>
                <w:rFonts w:ascii="Liberation Serif" w:hAnsi="Liberation Serif"/>
                <w:sz w:val="15"/>
              </w:rPr>
              <w:t>Все внутренние классы видимы, но внешний слой содержит excess.</w:t>
            </w:r>
          </w:p>
        </w:tc>
      </w:tr>
      <w:tr>
        <w:tc>
          <w:tcPr>
            <w:tcW w:type="dxa" w:w="680"/>
            <w:shd w:fill="FFFFFF"/>
            <w:tcMar>
              <w:top w:w="80" w:type="dxa"/>
              <w:start w:w="90" w:type="dxa"/>
              <w:bottom w:w="80" w:type="dxa"/>
              <w:end w:w="90" w:type="dxa"/>
            </w:tcMar>
            <w:vAlign w:val="center"/>
          </w:tcPr>
          <w:p>
            <w:pPr>
              <w:jc w:val="center"/>
            </w:pPr>
            <w:r>
              <w:rPr>
                <w:rFonts w:ascii="Liberation Serif" w:hAnsi="Liberation Serif"/>
                <w:sz w:val="15"/>
              </w:rPr>
              <w:t>E3</w:t>
            </w:r>
          </w:p>
        </w:tc>
        <w:tc>
          <w:tcPr>
            <w:tcW w:type="dxa" w:w="1984"/>
            <w:shd w:fill="FFFFFF"/>
            <w:tcMar>
              <w:top w:w="80" w:type="dxa"/>
              <w:start w:w="90" w:type="dxa"/>
              <w:bottom w:w="80" w:type="dxa"/>
              <w:end w:w="90" w:type="dxa"/>
            </w:tcMar>
            <w:vAlign w:val="center"/>
          </w:tcPr>
          <w:p>
            <w:pPr>
              <w:jc w:val="left"/>
            </w:pPr>
            <w:r>
              <w:rPr>
                <w:rFonts w:ascii="Liberation Serif" w:hAnsi="Liberation Serif"/>
                <w:sz w:val="15"/>
              </w:rPr>
              <w:t>Surjective not injective</w:t>
            </w:r>
          </w:p>
        </w:tc>
        <w:tc>
          <w:tcPr>
            <w:tcW w:type="dxa" w:w="3572"/>
            <w:shd w:fill="FFFFFF"/>
            <w:tcMar>
              <w:top w:w="80" w:type="dxa"/>
              <w:start w:w="90" w:type="dxa"/>
              <w:bottom w:w="80" w:type="dxa"/>
              <w:end w:w="90" w:type="dxa"/>
            </w:tcMar>
            <w:vAlign w:val="center"/>
          </w:tcPr>
          <w:p>
            <w:pPr>
              <w:jc w:val="center"/>
            </w:pPr>
            <w:r>
              <w:rPr>
                <w:rFonts w:ascii="Liberation Serif" w:hAnsi="Liberation Serif"/>
                <w:sz w:val="15"/>
              </w:rPr>
              <w:t>O_B=K², H³(E)=K, Π(a,b)=a</w:t>
            </w:r>
          </w:p>
        </w:tc>
        <w:tc>
          <w:tcPr>
            <w:tcW w:type="dxa" w:w="3118"/>
            <w:shd w:fill="FFFFFF"/>
            <w:tcMar>
              <w:top w:w="80" w:type="dxa"/>
              <w:start w:w="90" w:type="dxa"/>
              <w:bottom w:w="80" w:type="dxa"/>
              <w:end w:w="90" w:type="dxa"/>
            </w:tcMar>
            <w:vAlign w:val="center"/>
          </w:tcPr>
          <w:p>
            <w:pPr>
              <w:jc w:val="left"/>
            </w:pPr>
            <w:r>
              <w:rPr>
                <w:rFonts w:ascii="Liberation Serif" w:hAnsi="Liberation Serif"/>
                <w:sz w:val="15"/>
              </w:rPr>
              <w:t>Внешний слой полный, но теряет внутреннее направление (0,1).</w:t>
            </w:r>
          </w:p>
        </w:tc>
      </w:tr>
      <w:tr>
        <w:tc>
          <w:tcPr>
            <w:tcW w:type="dxa" w:w="680"/>
            <w:shd w:fill="EEF3F8"/>
            <w:tcMar>
              <w:top w:w="80" w:type="dxa"/>
              <w:start w:w="90" w:type="dxa"/>
              <w:bottom w:w="80" w:type="dxa"/>
              <w:end w:w="90" w:type="dxa"/>
            </w:tcMar>
            <w:vAlign w:val="center"/>
          </w:tcPr>
          <w:p>
            <w:pPr>
              <w:jc w:val="center"/>
            </w:pPr>
            <w:r>
              <w:rPr>
                <w:rFonts w:ascii="Liberation Serif" w:hAnsi="Liberation Serif"/>
                <w:sz w:val="15"/>
              </w:rPr>
              <w:t>E4</w:t>
            </w:r>
          </w:p>
        </w:tc>
        <w:tc>
          <w:tcPr>
            <w:tcW w:type="dxa" w:w="1984"/>
            <w:shd w:fill="EEF3F8"/>
            <w:tcMar>
              <w:top w:w="80" w:type="dxa"/>
              <w:start w:w="90" w:type="dxa"/>
              <w:bottom w:w="80" w:type="dxa"/>
              <w:end w:w="90" w:type="dxa"/>
            </w:tcMar>
            <w:vAlign w:val="center"/>
          </w:tcPr>
          <w:p>
            <w:pPr>
              <w:jc w:val="left"/>
            </w:pPr>
            <w:r>
              <w:rPr>
                <w:rFonts w:ascii="Liberation Serif" w:hAnsi="Liberation Serif"/>
                <w:sz w:val="15"/>
              </w:rPr>
              <w:t>Representative failure</w:t>
            </w:r>
          </w:p>
        </w:tc>
        <w:tc>
          <w:tcPr>
            <w:tcW w:type="dxa" w:w="3572"/>
            <w:shd w:fill="EEF3F8"/>
            <w:tcMar>
              <w:top w:w="80" w:type="dxa"/>
              <w:start w:w="90" w:type="dxa"/>
              <w:bottom w:w="80" w:type="dxa"/>
              <w:end w:w="90" w:type="dxa"/>
            </w:tcMar>
            <w:vAlign w:val="center"/>
          </w:tcPr>
          <w:p>
            <w:pPr>
              <w:jc w:val="center"/>
            </w:pPr>
            <w:r>
              <w:rPr>
                <w:rFonts w:ascii="Liberation Serif" w:hAnsi="Liberation Serif"/>
                <w:sz w:val="15"/>
              </w:rPr>
              <w:t>Ψ=id_K, d_E=0, J³=id, J²=0</w:t>
            </w:r>
          </w:p>
        </w:tc>
        <w:tc>
          <w:tcPr>
            <w:tcW w:type="dxa" w:w="3118"/>
            <w:shd w:fill="EEF3F8"/>
            <w:tcMar>
              <w:top w:w="80" w:type="dxa"/>
              <w:start w:w="90" w:type="dxa"/>
              <w:bottom w:w="80" w:type="dxa"/>
              <w:end w:w="90" w:type="dxa"/>
            </w:tcMar>
            <w:vAlign w:val="center"/>
          </w:tcPr>
          <w:p>
            <w:pPr>
              <w:jc w:val="left"/>
            </w:pPr>
            <w:r>
              <w:rPr>
                <w:rFonts w:ascii="Liberation Serif" w:hAnsi="Liberation Serif"/>
                <w:sz w:val="15"/>
              </w:rPr>
              <w:t>Цепное условие нарушено: один нулевой внутренний класс получает разные образы.</w:t>
            </w:r>
          </w:p>
        </w:tc>
      </w:tr>
      <w:tr>
        <w:tc>
          <w:tcPr>
            <w:tcW w:type="dxa" w:w="680"/>
            <w:shd w:fill="FFFFFF"/>
            <w:tcMar>
              <w:top w:w="80" w:type="dxa"/>
              <w:start w:w="90" w:type="dxa"/>
              <w:bottom w:w="80" w:type="dxa"/>
              <w:end w:w="90" w:type="dxa"/>
            </w:tcMar>
            <w:vAlign w:val="center"/>
          </w:tcPr>
          <w:p>
            <w:pPr>
              <w:jc w:val="center"/>
            </w:pPr>
            <w:r>
              <w:rPr>
                <w:rFonts w:ascii="Liberation Serif" w:hAnsi="Liberation Serif"/>
                <w:sz w:val="15"/>
              </w:rPr>
              <w:t>E5</w:t>
            </w:r>
          </w:p>
        </w:tc>
        <w:tc>
          <w:tcPr>
            <w:tcW w:type="dxa" w:w="1984"/>
            <w:shd w:fill="FFFFFF"/>
            <w:tcMar>
              <w:top w:w="80" w:type="dxa"/>
              <w:start w:w="90" w:type="dxa"/>
              <w:bottom w:w="80" w:type="dxa"/>
              <w:end w:w="90" w:type="dxa"/>
            </w:tcMar>
            <w:vAlign w:val="center"/>
          </w:tcPr>
          <w:p>
            <w:pPr>
              <w:jc w:val="left"/>
            </w:pPr>
            <w:r>
              <w:rPr>
                <w:rFonts w:ascii="Liberation Serif" w:hAnsi="Liberation Serif"/>
                <w:sz w:val="15"/>
              </w:rPr>
              <w:t>Choice dependence</w:t>
            </w:r>
          </w:p>
        </w:tc>
        <w:tc>
          <w:tcPr>
            <w:tcW w:type="dxa" w:w="3572"/>
            <w:shd w:fill="FFFFFF"/>
            <w:tcMar>
              <w:top w:w="80" w:type="dxa"/>
              <w:start w:w="90" w:type="dxa"/>
              <w:bottom w:w="80" w:type="dxa"/>
              <w:end w:w="90" w:type="dxa"/>
            </w:tcMar>
            <w:vAlign w:val="center"/>
          </w:tcPr>
          <w:p>
            <w:pPr>
              <w:jc w:val="center"/>
            </w:pPr>
            <w:r>
              <w:rPr>
                <w:rFonts w:ascii="Liberation Serif" w:hAnsi="Liberation Serif"/>
                <w:sz w:val="15"/>
              </w:rPr>
              <w:t>Ψ=0, E³=K, d=0; J³=id, K³=0</w:t>
            </w:r>
          </w:p>
        </w:tc>
        <w:tc>
          <w:tcPr>
            <w:tcW w:type="dxa" w:w="3118"/>
            <w:shd w:fill="FFFFFF"/>
            <w:tcMar>
              <w:top w:w="80" w:type="dxa"/>
              <w:start w:w="90" w:type="dxa"/>
              <w:bottom w:w="80" w:type="dxa"/>
              <w:end w:w="90" w:type="dxa"/>
            </w:tcMar>
            <w:vAlign w:val="center"/>
          </w:tcPr>
          <w:p>
            <w:pPr>
              <w:jc w:val="left"/>
            </w:pPr>
            <w:r>
              <w:rPr>
                <w:rFonts w:ascii="Liberation Serif" w:hAnsi="Liberation Serif"/>
                <w:sz w:val="15"/>
              </w:rPr>
              <w:t>Оба моста цепные, но не гомотопны и дают разные Π.</w:t>
            </w:r>
          </w:p>
        </w:tc>
      </w:tr>
      <w:tr>
        <w:tc>
          <w:tcPr>
            <w:tcW w:type="dxa" w:w="680"/>
            <w:shd w:fill="EEF3F8"/>
            <w:tcMar>
              <w:top w:w="80" w:type="dxa"/>
              <w:start w:w="90" w:type="dxa"/>
              <w:bottom w:w="80" w:type="dxa"/>
              <w:end w:w="90" w:type="dxa"/>
            </w:tcMar>
            <w:vAlign w:val="center"/>
          </w:tcPr>
          <w:p>
            <w:pPr>
              <w:jc w:val="center"/>
            </w:pPr>
            <w:r>
              <w:rPr>
                <w:rFonts w:ascii="Liberation Serif" w:hAnsi="Liberation Serif"/>
                <w:sz w:val="15"/>
              </w:rPr>
              <w:t>E6</w:t>
            </w:r>
          </w:p>
        </w:tc>
        <w:tc>
          <w:tcPr>
            <w:tcW w:type="dxa" w:w="1984"/>
            <w:shd w:fill="EEF3F8"/>
            <w:tcMar>
              <w:top w:w="80" w:type="dxa"/>
              <w:start w:w="90" w:type="dxa"/>
              <w:bottom w:w="80" w:type="dxa"/>
              <w:end w:w="90" w:type="dxa"/>
            </w:tcMar>
            <w:vAlign w:val="center"/>
          </w:tcPr>
          <w:p>
            <w:pPr>
              <w:jc w:val="left"/>
            </w:pPr>
            <w:r>
              <w:rPr>
                <w:rFonts w:ascii="Liberation Serif" w:hAnsi="Liberation Serif"/>
                <w:sz w:val="15"/>
              </w:rPr>
              <w:t>External-only class</w:t>
            </w:r>
          </w:p>
        </w:tc>
        <w:tc>
          <w:tcPr>
            <w:tcW w:type="dxa" w:w="3572"/>
            <w:shd w:fill="EEF3F8"/>
            <w:tcMar>
              <w:top w:w="80" w:type="dxa"/>
              <w:start w:w="90" w:type="dxa"/>
              <w:bottom w:w="80" w:type="dxa"/>
              <w:end w:w="90" w:type="dxa"/>
            </w:tcMar>
            <w:vAlign w:val="center"/>
          </w:tcPr>
          <w:p>
            <w:pPr>
              <w:jc w:val="center"/>
            </w:pPr>
            <w:r>
              <w:rPr>
                <w:rFonts w:ascii="Liberation Serif" w:hAnsi="Liberation Serif"/>
                <w:sz w:val="15"/>
              </w:rPr>
              <w:t>J=0, H³(E)≠0</w:t>
            </w:r>
          </w:p>
        </w:tc>
        <w:tc>
          <w:tcPr>
            <w:tcW w:type="dxa" w:w="3118"/>
            <w:shd w:fill="EEF3F8"/>
            <w:tcMar>
              <w:top w:w="80" w:type="dxa"/>
              <w:start w:w="90" w:type="dxa"/>
              <w:bottom w:w="80" w:type="dxa"/>
              <w:end w:w="90" w:type="dxa"/>
            </w:tcMar>
            <w:vAlign w:val="center"/>
          </w:tcPr>
          <w:p>
            <w:pPr>
              <w:jc w:val="left"/>
            </w:pPr>
            <w:r>
              <w:rPr>
                <w:rFonts w:ascii="Liberation Serif" w:hAnsi="Liberation Serif"/>
                <w:sz w:val="15"/>
              </w:rPr>
              <w:t>Ненулевой внешний класс может не лежать в Im Π_E.</w:t>
            </w:r>
          </w:p>
        </w:tc>
      </w:tr>
      <w:tr>
        <w:tc>
          <w:tcPr>
            <w:tcW w:type="dxa" w:w="680"/>
            <w:shd w:fill="FFFFFF"/>
            <w:tcMar>
              <w:top w:w="80" w:type="dxa"/>
              <w:start w:w="90" w:type="dxa"/>
              <w:bottom w:w="80" w:type="dxa"/>
              <w:end w:w="90" w:type="dxa"/>
            </w:tcMar>
            <w:vAlign w:val="center"/>
          </w:tcPr>
          <w:p>
            <w:pPr>
              <w:jc w:val="center"/>
            </w:pPr>
            <w:r>
              <w:rPr>
                <w:rFonts w:ascii="Liberation Serif" w:hAnsi="Liberation Serif"/>
                <w:sz w:val="15"/>
              </w:rPr>
              <w:t>E7</w:t>
            </w:r>
          </w:p>
        </w:tc>
        <w:tc>
          <w:tcPr>
            <w:tcW w:type="dxa" w:w="1984"/>
            <w:shd w:fill="FFFFFF"/>
            <w:tcMar>
              <w:top w:w="80" w:type="dxa"/>
              <w:start w:w="90" w:type="dxa"/>
              <w:bottom w:w="80" w:type="dxa"/>
              <w:end w:w="90" w:type="dxa"/>
            </w:tcMar>
            <w:vAlign w:val="center"/>
          </w:tcPr>
          <w:p>
            <w:pPr>
              <w:jc w:val="left"/>
            </w:pPr>
            <w:r>
              <w:rPr>
                <w:rFonts w:ascii="Liberation Serif" w:hAnsi="Liberation Serif"/>
                <w:sz w:val="15"/>
              </w:rPr>
              <w:t>Numerically blind</w:t>
            </w:r>
          </w:p>
        </w:tc>
        <w:tc>
          <w:tcPr>
            <w:tcW w:type="dxa" w:w="3572"/>
            <w:shd w:fill="FFFFFF"/>
            <w:tcMar>
              <w:top w:w="80" w:type="dxa"/>
              <w:start w:w="90" w:type="dxa"/>
              <w:bottom w:w="80" w:type="dxa"/>
              <w:end w:w="90" w:type="dxa"/>
            </w:tcMar>
            <w:vAlign w:val="center"/>
          </w:tcPr>
          <w:p>
            <w:pPr>
              <w:jc w:val="center"/>
            </w:pPr>
            <w:r>
              <w:rPr>
                <w:rFonts w:ascii="Liberation Serif" w:hAnsi="Liberation Serif"/>
                <w:sz w:val="15"/>
              </w:rPr>
              <w:t>σ_min(P_E)-&gt;0</w:t>
            </w:r>
          </w:p>
        </w:tc>
        <w:tc>
          <w:tcPr>
            <w:tcW w:type="dxa" w:w="3118"/>
            <w:shd w:fill="FFFFFF"/>
            <w:tcMar>
              <w:top w:w="80" w:type="dxa"/>
              <w:start w:w="90" w:type="dxa"/>
              <w:bottom w:w="80" w:type="dxa"/>
              <w:end w:w="90" w:type="dxa"/>
            </w:tcMar>
            <w:vAlign w:val="center"/>
          </w:tcPr>
          <w:p>
            <w:pPr>
              <w:jc w:val="left"/>
            </w:pPr>
            <w:r>
              <w:rPr>
                <w:rFonts w:ascii="Liberation Serif" w:hAnsi="Liberation Serif"/>
                <w:sz w:val="15"/>
              </w:rPr>
              <w:t>Точная инъективность теряет устойчивую обратную детекцию.</w:t>
            </w:r>
          </w:p>
        </w:tc>
      </w:tr>
      <w:tr>
        <w:tc>
          <w:tcPr>
            <w:tcW w:type="dxa" w:w="680"/>
            <w:shd w:fill="EEF3F8"/>
            <w:tcMar>
              <w:top w:w="80" w:type="dxa"/>
              <w:start w:w="90" w:type="dxa"/>
              <w:bottom w:w="80" w:type="dxa"/>
              <w:end w:w="90" w:type="dxa"/>
            </w:tcMar>
            <w:vAlign w:val="center"/>
          </w:tcPr>
          <w:p>
            <w:pPr>
              <w:jc w:val="center"/>
            </w:pPr>
            <w:r>
              <w:rPr>
                <w:rFonts w:ascii="Liberation Serif" w:hAnsi="Liberation Serif"/>
                <w:sz w:val="15"/>
              </w:rPr>
              <w:t>E8</w:t>
            </w:r>
          </w:p>
        </w:tc>
        <w:tc>
          <w:tcPr>
            <w:tcW w:type="dxa" w:w="1984"/>
            <w:shd w:fill="EEF3F8"/>
            <w:tcMar>
              <w:top w:w="80" w:type="dxa"/>
              <w:start w:w="90" w:type="dxa"/>
              <w:bottom w:w="80" w:type="dxa"/>
              <w:end w:w="90" w:type="dxa"/>
            </w:tcMar>
            <w:vAlign w:val="center"/>
          </w:tcPr>
          <w:p>
            <w:pPr>
              <w:jc w:val="left"/>
            </w:pPr>
            <w:r>
              <w:rPr>
                <w:rFonts w:ascii="Liberation Serif" w:hAnsi="Liberation Serif"/>
                <w:sz w:val="15"/>
              </w:rPr>
              <w:t>No physics from cohomology</w:t>
            </w:r>
          </w:p>
        </w:tc>
        <w:tc>
          <w:tcPr>
            <w:tcW w:type="dxa" w:w="3572"/>
            <w:shd w:fill="EEF3F8"/>
            <w:tcMar>
              <w:top w:w="80" w:type="dxa"/>
              <w:start w:w="90" w:type="dxa"/>
              <w:bottom w:w="80" w:type="dxa"/>
              <w:end w:w="90" w:type="dxa"/>
            </w:tcMar>
            <w:vAlign w:val="center"/>
          </w:tcPr>
          <w:p>
            <w:pPr>
              <w:jc w:val="center"/>
            </w:pPr>
            <w:r>
              <w:rPr>
                <w:rFonts w:ascii="Liberation Serif" w:hAnsi="Liberation Serif"/>
                <w:sz w:val="15"/>
              </w:rPr>
              <w:t>Формальный E с H³≠0 без observables/data</w:t>
            </w:r>
          </w:p>
        </w:tc>
        <w:tc>
          <w:tcPr>
            <w:tcW w:type="dxa" w:w="3118"/>
            <w:shd w:fill="EEF3F8"/>
            <w:tcMar>
              <w:top w:w="80" w:type="dxa"/>
              <w:start w:w="90" w:type="dxa"/>
              <w:bottom w:w="80" w:type="dxa"/>
              <w:end w:w="90" w:type="dxa"/>
            </w:tcMar>
            <w:vAlign w:val="center"/>
          </w:tcPr>
          <w:p>
            <w:pPr>
              <w:jc w:val="left"/>
            </w:pPr>
            <w:r>
              <w:rPr>
                <w:rFonts w:ascii="Liberation Serif" w:hAnsi="Liberation Serif"/>
                <w:sz w:val="15"/>
              </w:rPr>
              <w:t>Внешняя когомология не создаёт физический эффект.</w:t>
            </w:r>
          </w:p>
        </w:tc>
      </w:tr>
    </w:tbl>
    <w:p>
      <w:pPr/>
      <w:r>
        <w:t>Контртеорема 13.12. [THM] Без дополнительных гипотез неверны импликации</w:t>
      </w:r>
    </w:p>
    <w:p>
      <w:pPr>
        <w:pStyle w:val="ListBullet"/>
      </w:pPr>
      <w:r>
        <w:t>Π_E(o)=0 =&gt; o=0;</w:t>
      </w:r>
    </w:p>
    <w:p>
      <w:pPr>
        <w:pStyle w:val="ListBullet"/>
      </w:pPr>
      <w:r>
        <w:t>H³(E)≠0 =&gt; существует внутреннее препятствие;</w:t>
      </w:r>
    </w:p>
    <w:p>
      <w:pPr>
        <w:pStyle w:val="ListBullet"/>
      </w:pPr>
      <w:r>
        <w:t>dim H³(E)=dim O_B =&gt; Π_E является изоморфизмом;</w:t>
      </w:r>
    </w:p>
    <w:p>
      <w:pPr>
        <w:pStyle w:val="ListBullet"/>
      </w:pPr>
      <w:r>
        <w:t>два корректных моста дают один и тот же Π_E;</w:t>
      </w:r>
    </w:p>
    <w:p>
      <w:pPr>
        <w:pStyle w:val="ListBullet"/>
      </w:pPr>
      <w:r>
        <w:t>ненулевой внешний класс =&gt; ассоциаторный или физический эффект.</w:t>
      </w:r>
    </w:p>
    <w:p>
      <w:pPr>
        <w:pStyle w:val="Heading1"/>
        <w:keepNext/>
      </w:pPr>
      <w:r>
        <w:t>112. Вычислительный сертификат EXT-E v0.10</w:t>
      </w:r>
    </w:p>
    <w:tbl>
      <w:tblPr>
        <w:tblStyle w:val="TableGrid"/>
        <w:tblW w:type="auto" w:w="0"/>
        <w:jc w:val="center"/>
        <w:tblLayout w:type="fixed"/>
        <w:tblLook w:firstColumn="1" w:firstRow="1" w:lastColumn="0" w:lastRow="0" w:noHBand="0" w:noVBand="1" w:val="04A0"/>
      </w:tblPr>
      <w:tblGrid>
        <w:gridCol w:w="4876"/>
        <w:gridCol w:w="4876"/>
      </w:tblGrid>
      <w:tr>
        <w:trPr>
          <w:tblHeader w:val="true"/>
        </w:trPr>
        <w:tc>
          <w:tcPr>
            <w:tcW w:type="dxa" w:w="1134"/>
            <w:shd w:fill="1F4E79"/>
            <w:tcMar>
              <w:top w:w="90" w:type="dxa"/>
              <w:start w:w="90" w:type="dxa"/>
              <w:bottom w:w="90" w:type="dxa"/>
              <w:end w:w="90" w:type="dxa"/>
            </w:tcMar>
            <w:vAlign w:val="center"/>
          </w:tcPr>
          <w:p>
            <w:pPr>
              <w:jc w:val="center"/>
            </w:pPr>
            <w:r>
              <w:rPr>
                <w:rFonts w:ascii="Liberation Sans" w:hAnsi="Liberation Sans"/>
                <w:b/>
                <w:color w:val="FFFFFF"/>
                <w:sz w:val="17"/>
              </w:rPr>
              <w:t>Шаг</w:t>
            </w:r>
          </w:p>
        </w:tc>
        <w:tc>
          <w:tcPr>
            <w:tcW w:type="dxa" w:w="8220"/>
            <w:shd w:fill="1F4E79"/>
            <w:tcMar>
              <w:top w:w="90" w:type="dxa"/>
              <w:start w:w="90" w:type="dxa"/>
              <w:bottom w:w="90" w:type="dxa"/>
              <w:end w:w="90" w:type="dxa"/>
            </w:tcMar>
            <w:vAlign w:val="center"/>
          </w:tcPr>
          <w:p>
            <w:pPr>
              <w:jc w:val="center"/>
            </w:pPr>
            <w:r>
              <w:rPr>
                <w:rFonts w:ascii="Liberation Sans" w:hAnsi="Liberation Sans"/>
                <w:b/>
                <w:color w:val="FFFFFF"/>
                <w:sz w:val="17"/>
              </w:rPr>
              <w:t>Проверка</w:t>
            </w:r>
          </w:p>
        </w:tc>
      </w:tr>
      <w:tr>
        <w:tc>
          <w:tcPr>
            <w:tcW w:type="dxa" w:w="1134"/>
            <w:shd w:fill="FFFFFF"/>
            <w:tcMar>
              <w:top w:w="80" w:type="dxa"/>
              <w:start w:w="90" w:type="dxa"/>
              <w:bottom w:w="80" w:type="dxa"/>
              <w:end w:w="90" w:type="dxa"/>
            </w:tcMar>
            <w:vAlign w:val="center"/>
          </w:tcPr>
          <w:p>
            <w:pPr>
              <w:jc w:val="center"/>
            </w:pPr>
            <w:r>
              <w:rPr>
                <w:rFonts w:ascii="Liberation Serif" w:hAnsi="Liberation Serif"/>
                <w:sz w:val="17"/>
              </w:rPr>
              <w:t>E-01</w:t>
            </w:r>
          </w:p>
        </w:tc>
        <w:tc>
          <w:tcPr>
            <w:tcW w:type="dxa" w:w="8220"/>
            <w:shd w:fill="FFFFFF"/>
            <w:tcMar>
              <w:top w:w="80" w:type="dxa"/>
              <w:start w:w="90" w:type="dxa"/>
              <w:bottom w:w="80" w:type="dxa"/>
              <w:end w:w="90" w:type="dxa"/>
            </w:tcMar>
            <w:vAlign w:val="center"/>
          </w:tcPr>
          <w:p>
            <w:pPr>
              <w:jc w:val="left"/>
            </w:pPr>
            <w:r>
              <w:rPr>
                <w:rFonts w:ascii="Liberation Serif" w:hAnsi="Liberation Serif"/>
                <w:sz w:val="17"/>
              </w:rPr>
              <w:t>Зарегистрировать E^n, базисы, нормы, Dom и дифференциалы d_E^n.</w:t>
            </w:r>
          </w:p>
        </w:tc>
      </w:tr>
      <w:tr>
        <w:tc>
          <w:tcPr>
            <w:tcW w:type="dxa" w:w="1134"/>
            <w:shd w:fill="EEF3F8"/>
            <w:tcMar>
              <w:top w:w="80" w:type="dxa"/>
              <w:start w:w="90" w:type="dxa"/>
              <w:bottom w:w="80" w:type="dxa"/>
              <w:end w:w="90" w:type="dxa"/>
            </w:tcMar>
            <w:vAlign w:val="center"/>
          </w:tcPr>
          <w:p>
            <w:pPr>
              <w:jc w:val="center"/>
            </w:pPr>
            <w:r>
              <w:rPr>
                <w:rFonts w:ascii="Liberation Serif" w:hAnsi="Liberation Serif"/>
                <w:sz w:val="17"/>
              </w:rPr>
              <w:t>E-02</w:t>
            </w:r>
          </w:p>
        </w:tc>
        <w:tc>
          <w:tcPr>
            <w:tcW w:type="dxa" w:w="8220"/>
            <w:shd w:fill="EEF3F8"/>
            <w:tcMar>
              <w:top w:w="80" w:type="dxa"/>
              <w:start w:w="90" w:type="dxa"/>
              <w:bottom w:w="80" w:type="dxa"/>
              <w:end w:w="90" w:type="dxa"/>
            </w:tcMar>
            <w:vAlign w:val="center"/>
          </w:tcPr>
          <w:p>
            <w:pPr>
              <w:jc w:val="left"/>
            </w:pPr>
            <w:r>
              <w:rPr>
                <w:rFonts w:ascii="Liberation Serif" w:hAnsi="Liberation Serif"/>
                <w:sz w:val="17"/>
              </w:rPr>
              <w:t>Проверить d_E^{n+1}d_E^n=0 точной арифметикой.</w:t>
            </w:r>
          </w:p>
        </w:tc>
      </w:tr>
      <w:tr>
        <w:tc>
          <w:tcPr>
            <w:tcW w:type="dxa" w:w="1134"/>
            <w:shd w:fill="FFFFFF"/>
            <w:tcMar>
              <w:top w:w="80" w:type="dxa"/>
              <w:start w:w="90" w:type="dxa"/>
              <w:bottom w:w="80" w:type="dxa"/>
              <w:end w:w="90" w:type="dxa"/>
            </w:tcMar>
            <w:vAlign w:val="center"/>
          </w:tcPr>
          <w:p>
            <w:pPr>
              <w:jc w:val="center"/>
            </w:pPr>
            <w:r>
              <w:rPr>
                <w:rFonts w:ascii="Liberation Serif" w:hAnsi="Liberation Serif"/>
                <w:sz w:val="17"/>
              </w:rPr>
              <w:t>E-03</w:t>
            </w:r>
          </w:p>
        </w:tc>
        <w:tc>
          <w:tcPr>
            <w:tcW w:type="dxa" w:w="8220"/>
            <w:shd w:fill="FFFFFF"/>
            <w:tcMar>
              <w:top w:w="80" w:type="dxa"/>
              <w:start w:w="90" w:type="dxa"/>
              <w:bottom w:w="80" w:type="dxa"/>
              <w:end w:w="90" w:type="dxa"/>
            </w:tcMar>
            <w:vAlign w:val="center"/>
          </w:tcPr>
          <w:p>
            <w:pPr>
              <w:jc w:val="left"/>
            </w:pPr>
            <w:r>
              <w:rPr>
                <w:rFonts w:ascii="Liberation Serif" w:hAnsi="Liberation Serif"/>
                <w:sz w:val="17"/>
              </w:rPr>
              <w:t>Зарегистрировать J²,J³ и проверить типы.</w:t>
            </w:r>
          </w:p>
        </w:tc>
      </w:tr>
      <w:tr>
        <w:tc>
          <w:tcPr>
            <w:tcW w:type="dxa" w:w="1134"/>
            <w:shd w:fill="EEF3F8"/>
            <w:tcMar>
              <w:top w:w="80" w:type="dxa"/>
              <w:start w:w="90" w:type="dxa"/>
              <w:bottom w:w="80" w:type="dxa"/>
              <w:end w:w="90" w:type="dxa"/>
            </w:tcMar>
            <w:vAlign w:val="center"/>
          </w:tcPr>
          <w:p>
            <w:pPr>
              <w:jc w:val="center"/>
            </w:pPr>
            <w:r>
              <w:rPr>
                <w:rFonts w:ascii="Liberation Serif" w:hAnsi="Liberation Serif"/>
                <w:sz w:val="17"/>
              </w:rPr>
              <w:t>E-04</w:t>
            </w:r>
          </w:p>
        </w:tc>
        <w:tc>
          <w:tcPr>
            <w:tcW w:type="dxa" w:w="8220"/>
            <w:shd w:fill="EEF3F8"/>
            <w:tcMar>
              <w:top w:w="80" w:type="dxa"/>
              <w:start w:w="90" w:type="dxa"/>
              <w:bottom w:w="80" w:type="dxa"/>
              <w:end w:w="90" w:type="dxa"/>
            </w:tcMar>
            <w:vAlign w:val="center"/>
          </w:tcPr>
          <w:p>
            <w:pPr>
              <w:jc w:val="left"/>
            </w:pPr>
            <w:r>
              <w:rPr>
                <w:rFonts w:ascii="Liberation Serif" w:hAnsi="Liberation Serif"/>
                <w:sz w:val="17"/>
              </w:rPr>
              <w:t>Проверить d_E²J²=J³Ψ² и d_E³J³=0.</w:t>
            </w:r>
          </w:p>
        </w:tc>
      </w:tr>
      <w:tr>
        <w:tc>
          <w:tcPr>
            <w:tcW w:type="dxa" w:w="1134"/>
            <w:shd w:fill="FFFFFF"/>
            <w:tcMar>
              <w:top w:w="80" w:type="dxa"/>
              <w:start w:w="90" w:type="dxa"/>
              <w:bottom w:w="80" w:type="dxa"/>
              <w:end w:w="90" w:type="dxa"/>
            </w:tcMar>
            <w:vAlign w:val="center"/>
          </w:tcPr>
          <w:p>
            <w:pPr>
              <w:jc w:val="center"/>
            </w:pPr>
            <w:r>
              <w:rPr>
                <w:rFonts w:ascii="Liberation Serif" w:hAnsi="Liberation Serif"/>
                <w:sz w:val="17"/>
              </w:rPr>
              <w:t>E-05</w:t>
            </w:r>
          </w:p>
        </w:tc>
        <w:tc>
          <w:tcPr>
            <w:tcW w:type="dxa" w:w="8220"/>
            <w:shd w:fill="FFFFFF"/>
            <w:tcMar>
              <w:top w:w="80" w:type="dxa"/>
              <w:start w:w="90" w:type="dxa"/>
              <w:bottom w:w="80" w:type="dxa"/>
              <w:end w:w="90" w:type="dxa"/>
            </w:tcMar>
            <w:vAlign w:val="center"/>
          </w:tcPr>
          <w:p>
            <w:pPr>
              <w:jc w:val="left"/>
            </w:pPr>
            <w:r>
              <w:rPr>
                <w:rFonts w:ascii="Liberation Serif" w:hAnsi="Liberation Serif"/>
                <w:sz w:val="17"/>
              </w:rPr>
              <w:t>Построить H³(E)=ker d_E³/im d_E².</w:t>
            </w:r>
          </w:p>
        </w:tc>
      </w:tr>
      <w:tr>
        <w:tc>
          <w:tcPr>
            <w:tcW w:type="dxa" w:w="1134"/>
            <w:shd w:fill="EEF3F8"/>
            <w:tcMar>
              <w:top w:w="80" w:type="dxa"/>
              <w:start w:w="90" w:type="dxa"/>
              <w:bottom w:w="80" w:type="dxa"/>
              <w:end w:w="90" w:type="dxa"/>
            </w:tcMar>
            <w:vAlign w:val="center"/>
          </w:tcPr>
          <w:p>
            <w:pPr>
              <w:jc w:val="center"/>
            </w:pPr>
            <w:r>
              <w:rPr>
                <w:rFonts w:ascii="Liberation Serif" w:hAnsi="Liberation Serif"/>
                <w:sz w:val="17"/>
              </w:rPr>
              <w:t>E-06</w:t>
            </w:r>
          </w:p>
        </w:tc>
        <w:tc>
          <w:tcPr>
            <w:tcW w:type="dxa" w:w="8220"/>
            <w:shd w:fill="EEF3F8"/>
            <w:tcMar>
              <w:top w:w="80" w:type="dxa"/>
              <w:start w:w="90" w:type="dxa"/>
              <w:bottom w:w="80" w:type="dxa"/>
              <w:end w:w="90" w:type="dxa"/>
            </w:tcMar>
            <w:vAlign w:val="center"/>
          </w:tcPr>
          <w:p>
            <w:pPr>
              <w:jc w:val="left"/>
            </w:pPr>
            <w:r>
              <w:rPr>
                <w:rFonts w:ascii="Liberation Serif" w:hAnsi="Liberation Serif"/>
                <w:sz w:val="17"/>
              </w:rPr>
              <w:t>Построить индуцированную матрицу Π_E на факторных базисах.</w:t>
            </w:r>
          </w:p>
        </w:tc>
      </w:tr>
      <w:tr>
        <w:tc>
          <w:tcPr>
            <w:tcW w:type="dxa" w:w="1134"/>
            <w:shd w:fill="FFFFFF"/>
            <w:tcMar>
              <w:top w:w="80" w:type="dxa"/>
              <w:start w:w="90" w:type="dxa"/>
              <w:bottom w:w="80" w:type="dxa"/>
              <w:end w:w="90" w:type="dxa"/>
            </w:tcMar>
            <w:vAlign w:val="center"/>
          </w:tcPr>
          <w:p>
            <w:pPr>
              <w:jc w:val="center"/>
            </w:pPr>
            <w:r>
              <w:rPr>
                <w:rFonts w:ascii="Liberation Serif" w:hAnsi="Liberation Serif"/>
                <w:sz w:val="17"/>
              </w:rPr>
              <w:t>E-07</w:t>
            </w:r>
          </w:p>
        </w:tc>
        <w:tc>
          <w:tcPr>
            <w:tcW w:type="dxa" w:w="8220"/>
            <w:shd w:fill="FFFFFF"/>
            <w:tcMar>
              <w:top w:w="80" w:type="dxa"/>
              <w:start w:w="90" w:type="dxa"/>
              <w:bottom w:w="80" w:type="dxa"/>
              <w:end w:w="90" w:type="dxa"/>
            </w:tcMar>
            <w:vAlign w:val="center"/>
          </w:tcPr>
          <w:p>
            <w:pPr>
              <w:jc w:val="left"/>
            </w:pPr>
            <w:r>
              <w:rPr>
                <w:rFonts w:ascii="Liberation Serif" w:hAnsi="Liberation Serif"/>
                <w:sz w:val="17"/>
              </w:rPr>
              <w:t>Вычислить ker, image, coker Π_E; Blind_E и Excess_E.</w:t>
            </w:r>
          </w:p>
        </w:tc>
      </w:tr>
      <w:tr>
        <w:tc>
          <w:tcPr>
            <w:tcW w:type="dxa" w:w="1134"/>
            <w:shd w:fill="EEF3F8"/>
            <w:tcMar>
              <w:top w:w="80" w:type="dxa"/>
              <w:start w:w="90" w:type="dxa"/>
              <w:bottom w:w="80" w:type="dxa"/>
              <w:end w:w="90" w:type="dxa"/>
            </w:tcMar>
            <w:vAlign w:val="center"/>
          </w:tcPr>
          <w:p>
            <w:pPr>
              <w:jc w:val="center"/>
            </w:pPr>
            <w:r>
              <w:rPr>
                <w:rFonts w:ascii="Liberation Serif" w:hAnsi="Liberation Serif"/>
                <w:sz w:val="17"/>
              </w:rPr>
              <w:t>E-08</w:t>
            </w:r>
          </w:p>
        </w:tc>
        <w:tc>
          <w:tcPr>
            <w:tcW w:type="dxa" w:w="8220"/>
            <w:shd w:fill="EEF3F8"/>
            <w:tcMar>
              <w:top w:w="80" w:type="dxa"/>
              <w:start w:w="90" w:type="dxa"/>
              <w:bottom w:w="80" w:type="dxa"/>
              <w:end w:w="90" w:type="dxa"/>
            </w:tcMar>
            <w:vAlign w:val="center"/>
          </w:tcPr>
          <w:p>
            <w:pPr>
              <w:jc w:val="left"/>
            </w:pPr>
            <w:r>
              <w:rPr>
                <w:rFonts w:ascii="Liberation Serif" w:hAnsi="Liberation Serif"/>
                <w:sz w:val="17"/>
              </w:rPr>
              <w:t>Построить Cone(J) и сверить длинную точную последовательность.</w:t>
            </w:r>
          </w:p>
        </w:tc>
      </w:tr>
      <w:tr>
        <w:tc>
          <w:tcPr>
            <w:tcW w:type="dxa" w:w="1134"/>
            <w:shd w:fill="FFFFFF"/>
            <w:tcMar>
              <w:top w:w="80" w:type="dxa"/>
              <w:start w:w="90" w:type="dxa"/>
              <w:bottom w:w="80" w:type="dxa"/>
              <w:end w:w="90" w:type="dxa"/>
            </w:tcMar>
            <w:vAlign w:val="center"/>
          </w:tcPr>
          <w:p>
            <w:pPr>
              <w:jc w:val="center"/>
            </w:pPr>
            <w:r>
              <w:rPr>
                <w:rFonts w:ascii="Liberation Serif" w:hAnsi="Liberation Serif"/>
                <w:sz w:val="17"/>
              </w:rPr>
              <w:t>E-09</w:t>
            </w:r>
          </w:p>
        </w:tc>
        <w:tc>
          <w:tcPr>
            <w:tcW w:type="dxa" w:w="8220"/>
            <w:shd w:fill="FFFFFF"/>
            <w:tcMar>
              <w:top w:w="80" w:type="dxa"/>
              <w:start w:w="90" w:type="dxa"/>
              <w:bottom w:w="80" w:type="dxa"/>
              <w:end w:w="90" w:type="dxa"/>
            </w:tcMar>
            <w:vAlign w:val="center"/>
          </w:tcPr>
          <w:p>
            <w:pPr>
              <w:jc w:val="left"/>
            </w:pPr>
            <w:r>
              <w:rPr>
                <w:rFonts w:ascii="Liberation Serif" w:hAnsi="Liberation Serif"/>
                <w:sz w:val="17"/>
              </w:rPr>
              <w:t>Проверить naturality на морфизмах NAPG и внешних реализаций.</w:t>
            </w:r>
          </w:p>
        </w:tc>
      </w:tr>
      <w:tr>
        <w:tc>
          <w:tcPr>
            <w:tcW w:type="dxa" w:w="1134"/>
            <w:shd w:fill="EEF3F8"/>
            <w:tcMar>
              <w:top w:w="80" w:type="dxa"/>
              <w:start w:w="90" w:type="dxa"/>
              <w:bottom w:w="80" w:type="dxa"/>
              <w:end w:w="90" w:type="dxa"/>
            </w:tcMar>
            <w:vAlign w:val="center"/>
          </w:tcPr>
          <w:p>
            <w:pPr>
              <w:jc w:val="center"/>
            </w:pPr>
            <w:r>
              <w:rPr>
                <w:rFonts w:ascii="Liberation Serif" w:hAnsi="Liberation Serif"/>
                <w:sz w:val="17"/>
              </w:rPr>
              <w:t>E-10</w:t>
            </w:r>
          </w:p>
        </w:tc>
        <w:tc>
          <w:tcPr>
            <w:tcW w:type="dxa" w:w="8220"/>
            <w:shd w:fill="EEF3F8"/>
            <w:tcMar>
              <w:top w:w="80" w:type="dxa"/>
              <w:start w:w="90" w:type="dxa"/>
              <w:bottom w:w="80" w:type="dxa"/>
              <w:end w:w="90" w:type="dxa"/>
            </w:tcMar>
            <w:vAlign w:val="center"/>
          </w:tcPr>
          <w:p>
            <w:pPr>
              <w:jc w:val="left"/>
            </w:pPr>
            <w:r>
              <w:rPr>
                <w:rFonts w:ascii="Liberation Serif" w:hAnsi="Liberation Serif"/>
                <w:sz w:val="17"/>
              </w:rPr>
              <w:t>Проверить chain-homotopy invariance на контрольной паре мостов.</w:t>
            </w:r>
          </w:p>
        </w:tc>
      </w:tr>
      <w:tr>
        <w:tc>
          <w:tcPr>
            <w:tcW w:type="dxa" w:w="1134"/>
            <w:shd w:fill="FFFFFF"/>
            <w:tcMar>
              <w:top w:w="80" w:type="dxa"/>
              <w:start w:w="90" w:type="dxa"/>
              <w:bottom w:w="80" w:type="dxa"/>
              <w:end w:w="90" w:type="dxa"/>
            </w:tcMar>
            <w:vAlign w:val="center"/>
          </w:tcPr>
          <w:p>
            <w:pPr>
              <w:jc w:val="center"/>
            </w:pPr>
            <w:r>
              <w:rPr>
                <w:rFonts w:ascii="Liberation Serif" w:hAnsi="Liberation Serif"/>
                <w:sz w:val="17"/>
              </w:rPr>
              <w:t>E-11</w:t>
            </w:r>
          </w:p>
        </w:tc>
        <w:tc>
          <w:tcPr>
            <w:tcW w:type="dxa" w:w="8220"/>
            <w:shd w:fill="FFFFFF"/>
            <w:tcMar>
              <w:top w:w="80" w:type="dxa"/>
              <w:start w:w="90" w:type="dxa"/>
              <w:bottom w:w="80" w:type="dxa"/>
              <w:end w:w="90" w:type="dxa"/>
            </w:tcMar>
            <w:vAlign w:val="center"/>
          </w:tcPr>
          <w:p>
            <w:pPr>
              <w:jc w:val="left"/>
            </w:pPr>
            <w:r>
              <w:rPr>
                <w:rFonts w:ascii="Liberation Serif" w:hAnsi="Liberation Serif"/>
                <w:sz w:val="17"/>
              </w:rPr>
              <w:t>Вычислить σ_min(P_E), condition number и интервальные bounds.</w:t>
            </w:r>
          </w:p>
        </w:tc>
      </w:tr>
      <w:tr>
        <w:tc>
          <w:tcPr>
            <w:tcW w:type="dxa" w:w="1134"/>
            <w:shd w:fill="EEF3F8"/>
            <w:tcMar>
              <w:top w:w="80" w:type="dxa"/>
              <w:start w:w="90" w:type="dxa"/>
              <w:bottom w:w="80" w:type="dxa"/>
              <w:end w:w="90" w:type="dxa"/>
            </w:tcMar>
            <w:vAlign w:val="center"/>
          </w:tcPr>
          <w:p>
            <w:pPr>
              <w:jc w:val="center"/>
            </w:pPr>
            <w:r>
              <w:rPr>
                <w:rFonts w:ascii="Liberation Serif" w:hAnsi="Liberation Serif"/>
                <w:sz w:val="17"/>
              </w:rPr>
              <w:t>E-12</w:t>
            </w:r>
          </w:p>
        </w:tc>
        <w:tc>
          <w:tcPr>
            <w:tcW w:type="dxa" w:w="8220"/>
            <w:shd w:fill="EEF3F8"/>
            <w:tcMar>
              <w:top w:w="80" w:type="dxa"/>
              <w:start w:w="90" w:type="dxa"/>
              <w:bottom w:w="80" w:type="dxa"/>
              <w:end w:w="90" w:type="dxa"/>
            </w:tcMar>
            <w:vAlign w:val="center"/>
          </w:tcPr>
          <w:p>
            <w:pPr>
              <w:jc w:val="left"/>
            </w:pPr>
            <w:r>
              <w:rPr>
                <w:rFonts w:ascii="Liberation Serif" w:hAnsi="Liberation Serif"/>
                <w:sz w:val="17"/>
              </w:rPr>
              <w:t>Проверить D/Dom, globalization и предыдущие blockers.</w:t>
            </w:r>
          </w:p>
        </w:tc>
      </w:tr>
      <w:tr>
        <w:tc>
          <w:tcPr>
            <w:tcW w:type="dxa" w:w="1134"/>
            <w:shd w:fill="FFFFFF"/>
            <w:tcMar>
              <w:top w:w="80" w:type="dxa"/>
              <w:start w:w="90" w:type="dxa"/>
              <w:bottom w:w="80" w:type="dxa"/>
              <w:end w:w="90" w:type="dxa"/>
            </w:tcMar>
            <w:vAlign w:val="center"/>
          </w:tcPr>
          <w:p>
            <w:pPr>
              <w:jc w:val="center"/>
            </w:pPr>
            <w:r>
              <w:rPr>
                <w:rFonts w:ascii="Liberation Serif" w:hAnsi="Liberation Serif"/>
                <w:sz w:val="17"/>
              </w:rPr>
              <w:t>E-13</w:t>
            </w:r>
          </w:p>
        </w:tc>
        <w:tc>
          <w:tcPr>
            <w:tcW w:type="dxa" w:w="8220"/>
            <w:shd w:fill="FFFFFF"/>
            <w:tcMar>
              <w:top w:w="80" w:type="dxa"/>
              <w:start w:w="90" w:type="dxa"/>
              <w:bottom w:w="80" w:type="dxa"/>
              <w:end w:w="90" w:type="dxa"/>
            </w:tcMar>
            <w:vAlign w:val="center"/>
          </w:tcPr>
          <w:p>
            <w:pPr>
              <w:jc w:val="left"/>
            </w:pPr>
            <w:r>
              <w:rPr>
                <w:rFonts w:ascii="Liberation Serif" w:hAnsi="Liberation Serif"/>
                <w:sz w:val="17"/>
              </w:rPr>
              <w:t>Сопоставить β_Ass только через отдельную доказанную диаграмму.</w:t>
            </w:r>
          </w:p>
        </w:tc>
      </w:tr>
      <w:tr>
        <w:tc>
          <w:tcPr>
            <w:tcW w:type="dxa" w:w="1134"/>
            <w:shd w:fill="EEF3F8"/>
            <w:tcMar>
              <w:top w:w="80" w:type="dxa"/>
              <w:start w:w="90" w:type="dxa"/>
              <w:bottom w:w="80" w:type="dxa"/>
              <w:end w:w="90" w:type="dxa"/>
            </w:tcMar>
            <w:vAlign w:val="center"/>
          </w:tcPr>
          <w:p>
            <w:pPr>
              <w:jc w:val="center"/>
            </w:pPr>
            <w:r>
              <w:rPr>
                <w:rFonts w:ascii="Liberation Serif" w:hAnsi="Liberation Serif"/>
                <w:sz w:val="17"/>
              </w:rPr>
              <w:t>E-14</w:t>
            </w:r>
          </w:p>
        </w:tc>
        <w:tc>
          <w:tcPr>
            <w:tcW w:type="dxa" w:w="8220"/>
            <w:shd w:fill="EEF3F8"/>
            <w:tcMar>
              <w:top w:w="80" w:type="dxa"/>
              <w:start w:w="90" w:type="dxa"/>
              <w:bottom w:w="80" w:type="dxa"/>
              <w:end w:w="90" w:type="dxa"/>
            </w:tcMar>
            <w:vAlign w:val="center"/>
          </w:tcPr>
          <w:p>
            <w:pPr>
              <w:jc w:val="left"/>
            </w:pPr>
            <w:r>
              <w:rPr>
                <w:rFonts w:ascii="Liberation Serif" w:hAnsi="Liberation Serif"/>
                <w:sz w:val="17"/>
              </w:rPr>
              <w:t>Сформировать verdict EXTERNAL-NO-RESOLUTION / CANDIDATE / ABSTAIN.</w:t>
            </w:r>
          </w:p>
        </w:tc>
      </w:tr>
      <w:tr>
        <w:tc>
          <w:tcPr>
            <w:tcW w:type="dxa" w:w="1134"/>
            <w:shd w:fill="FFFFFF"/>
            <w:tcMar>
              <w:top w:w="80" w:type="dxa"/>
              <w:start w:w="90" w:type="dxa"/>
              <w:bottom w:w="80" w:type="dxa"/>
              <w:end w:w="90" w:type="dxa"/>
            </w:tcMar>
            <w:vAlign w:val="center"/>
          </w:tcPr>
          <w:p>
            <w:pPr>
              <w:jc w:val="center"/>
            </w:pPr>
            <w:r>
              <w:rPr>
                <w:rFonts w:ascii="Liberation Serif" w:hAnsi="Liberation Serif"/>
                <w:sz w:val="17"/>
              </w:rPr>
              <w:t>E-15</w:t>
            </w:r>
          </w:p>
        </w:tc>
        <w:tc>
          <w:tcPr>
            <w:tcW w:type="dxa" w:w="8220"/>
            <w:shd w:fill="FFFFFF"/>
            <w:tcMar>
              <w:top w:w="80" w:type="dxa"/>
              <w:start w:w="90" w:type="dxa"/>
              <w:bottom w:w="80" w:type="dxa"/>
              <w:end w:w="90" w:type="dxa"/>
            </w:tcMar>
            <w:vAlign w:val="center"/>
          </w:tcPr>
          <w:p>
            <w:pPr>
              <w:jc w:val="left"/>
            </w:pPr>
            <w:r>
              <w:rPr>
                <w:rFonts w:ascii="Liberation Serif" w:hAnsi="Liberation Serif"/>
                <w:sz w:val="17"/>
              </w:rPr>
              <w:t>Сохранить basis/metric/homotopy ledger и proof objects.</w:t>
            </w:r>
          </w:p>
        </w:tc>
      </w:tr>
      <w:tr>
        <w:tc>
          <w:tcPr>
            <w:tcW w:type="dxa" w:w="1134"/>
            <w:shd w:fill="EEF3F8"/>
            <w:tcMar>
              <w:top w:w="80" w:type="dxa"/>
              <w:start w:w="90" w:type="dxa"/>
              <w:bottom w:w="80" w:type="dxa"/>
              <w:end w:w="90" w:type="dxa"/>
            </w:tcMar>
            <w:vAlign w:val="center"/>
          </w:tcPr>
          <w:p>
            <w:pPr>
              <w:jc w:val="center"/>
            </w:pPr>
            <w:r>
              <w:rPr>
                <w:rFonts w:ascii="Liberation Serif" w:hAnsi="Liberation Serif"/>
                <w:sz w:val="17"/>
              </w:rPr>
              <w:t>E-16</w:t>
            </w:r>
          </w:p>
        </w:tc>
        <w:tc>
          <w:tcPr>
            <w:tcW w:type="dxa" w:w="8220"/>
            <w:shd w:fill="EEF3F8"/>
            <w:tcMar>
              <w:top w:w="80" w:type="dxa"/>
              <w:start w:w="90" w:type="dxa"/>
              <w:bottom w:w="80" w:type="dxa"/>
              <w:end w:w="90" w:type="dxa"/>
            </w:tcMar>
            <w:vAlign w:val="center"/>
          </w:tcPr>
          <w:p>
            <w:pPr>
              <w:jc w:val="left"/>
            </w:pPr>
            <w:r>
              <w:rPr>
                <w:rFonts w:ascii="Liberation Serif" w:hAnsi="Liberation Serif"/>
                <w:sz w:val="17"/>
              </w:rPr>
              <w:t>Вычислить SHA-256 входов, кода, матриц и отчёта.</w:t>
            </w:r>
          </w:p>
        </w:tc>
      </w:tr>
    </w:tbl>
    <w:p>
      <w:pPr>
        <w:pStyle w:val="Heading2"/>
        <w:keepNext/>
      </w:pPr>
      <w:r>
        <w:t>112.1. Псевдокод</w:t>
      </w:r>
    </w:p>
    <w:p>
      <w:pPr>
        <w:pStyle w:val="Quote"/>
      </w:pPr>
      <w:r>
        <w:t>INPUT internal frame (Psi,q), external complex E, bridge J, reper D/Dom</w:t>
        <w:br/>
        <w:t>CHECK d_E^2=0 and chain_map(J)</w:t>
        <w:br/>
        <w:t>BUILD H3(E), quotient bases, induced Pi_E</w:t>
        <w:br/>
        <w:t>COMPUTE Blind=ker(Pi_E), Excess=coker(Pi_E), Cone(J)</w:t>
        <w:br/>
        <w:t>IF Pi_E([q]) != 0 with certified lower bound: RETURN EXTERNAL-NO-RESOLUTION-IN-MODEL</w:t>
        <w:br/>
        <w:t>IF Pi_E([q]) = 0 AND Pi_E injective/stable AND all blockers closed:</w:t>
        <w:br/>
        <w:t xml:space="preserve">    RETURN CANDIDATE-INTERNAL-QUADRATIC-RESOLUTION</w:t>
        <w:br/>
        <w:t>ELSE RETURN ABSTAIN</w:t>
        <w:br/>
        <w:t>NEVER infer associator or physical event without B7/B8 packages</w:t>
      </w:r>
    </w:p>
    <w:p>
      <w:pPr>
        <w:pStyle w:val="Heading1"/>
        <w:keepNext/>
      </w:pPr>
      <w:r>
        <w:t>113. Доказательные обязательства T2-RP-v0.10</w:t>
      </w:r>
    </w:p>
    <w:tbl>
      <w:tblPr>
        <w:tblStyle w:val="TableGrid"/>
        <w:tblW w:type="auto" w:w="0"/>
        <w:jc w:val="center"/>
        <w:tblLayout w:type="fixed"/>
        <w:tblLook w:firstColumn="1" w:firstRow="1" w:lastColumn="0" w:lastRow="0" w:noHBand="0" w:noVBand="1" w:val="04A0"/>
      </w:tblPr>
      <w:tblGrid>
        <w:gridCol w:w="1950"/>
        <w:gridCol w:w="1950"/>
        <w:gridCol w:w="1950"/>
        <w:gridCol w:w="1950"/>
        <w:gridCol w:w="1950"/>
      </w:tblGrid>
      <w:tr>
        <w:trPr>
          <w:tblHeader w:val="true"/>
        </w:trPr>
        <w:tc>
          <w:tcPr>
            <w:tcW w:type="dxa" w:w="1247"/>
            <w:shd w:fill="1F4E79"/>
            <w:tcMar>
              <w:top w:w="90" w:type="dxa"/>
              <w:start w:w="90" w:type="dxa"/>
              <w:bottom w:w="90" w:type="dxa"/>
              <w:end w:w="90" w:type="dxa"/>
            </w:tcMar>
            <w:vAlign w:val="center"/>
          </w:tcPr>
          <w:p>
            <w:pPr>
              <w:jc w:val="center"/>
            </w:pPr>
            <w:r>
              <w:rPr>
                <w:rFonts w:ascii="Liberation Sans" w:hAnsi="Liberation Sans"/>
                <w:b/>
                <w:color w:val="FFFFFF"/>
                <w:sz w:val="15"/>
              </w:rPr>
              <w:t>ID</w:t>
            </w:r>
          </w:p>
        </w:tc>
        <w:tc>
          <w:tcPr>
            <w:tcW w:type="dxa" w:w="2608"/>
            <w:shd w:fill="1F4E79"/>
            <w:tcMar>
              <w:top w:w="90" w:type="dxa"/>
              <w:start w:w="90" w:type="dxa"/>
              <w:bottom w:w="90" w:type="dxa"/>
              <w:end w:w="90" w:type="dxa"/>
            </w:tcMar>
            <w:vAlign w:val="center"/>
          </w:tcPr>
          <w:p>
            <w:pPr>
              <w:jc w:val="center"/>
            </w:pPr>
            <w:r>
              <w:rPr>
                <w:rFonts w:ascii="Liberation Sans" w:hAnsi="Liberation Sans"/>
                <w:b/>
                <w:color w:val="FFFFFF"/>
                <w:sz w:val="15"/>
              </w:rPr>
              <w:t>Обязательство</w:t>
            </w:r>
          </w:p>
        </w:tc>
        <w:tc>
          <w:tcPr>
            <w:tcW w:type="dxa" w:w="1417"/>
            <w:shd w:fill="1F4E79"/>
            <w:tcMar>
              <w:top w:w="90" w:type="dxa"/>
              <w:start w:w="90" w:type="dxa"/>
              <w:bottom w:w="90" w:type="dxa"/>
              <w:end w:w="90" w:type="dxa"/>
            </w:tcMar>
            <w:vAlign w:val="center"/>
          </w:tcPr>
          <w:p>
            <w:pPr>
              <w:jc w:val="center"/>
            </w:pPr>
            <w:r>
              <w:rPr>
                <w:rFonts w:ascii="Liberation Sans" w:hAnsi="Liberation Sans"/>
                <w:b/>
                <w:color w:val="FFFFFF"/>
                <w:sz w:val="15"/>
              </w:rPr>
              <w:t>Статус</w:t>
            </w:r>
          </w:p>
        </w:tc>
        <w:tc>
          <w:tcPr>
            <w:tcW w:type="dxa" w:w="1928"/>
            <w:shd w:fill="1F4E79"/>
            <w:tcMar>
              <w:top w:w="90" w:type="dxa"/>
              <w:start w:w="90" w:type="dxa"/>
              <w:bottom w:w="90" w:type="dxa"/>
              <w:end w:w="90" w:type="dxa"/>
            </w:tcMar>
            <w:vAlign w:val="center"/>
          </w:tcPr>
          <w:p>
            <w:pPr>
              <w:jc w:val="center"/>
            </w:pPr>
            <w:r>
              <w:rPr>
                <w:rFonts w:ascii="Liberation Sans" w:hAnsi="Liberation Sans"/>
                <w:b/>
                <w:color w:val="FFFFFF"/>
                <w:sz w:val="15"/>
              </w:rPr>
              <w:t>Proof-object</w:t>
            </w:r>
          </w:p>
        </w:tc>
        <w:tc>
          <w:tcPr>
            <w:tcW w:type="dxa" w:w="2154"/>
            <w:shd w:fill="1F4E79"/>
            <w:tcMar>
              <w:top w:w="90" w:type="dxa"/>
              <w:start w:w="90" w:type="dxa"/>
              <w:bottom w:w="90" w:type="dxa"/>
              <w:end w:w="90" w:type="dxa"/>
            </w:tcMar>
            <w:vAlign w:val="center"/>
          </w:tcPr>
          <w:p>
            <w:pPr>
              <w:jc w:val="center"/>
            </w:pPr>
            <w:r>
              <w:rPr>
                <w:rFonts w:ascii="Liberation Sans" w:hAnsi="Liberation Sans"/>
                <w:b/>
                <w:color w:val="FFFFFF"/>
                <w:sz w:val="15"/>
              </w:rPr>
              <w:t>Blocker</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T2-PO-106</w:t>
            </w:r>
          </w:p>
        </w:tc>
        <w:tc>
          <w:tcPr>
            <w:tcW w:type="dxa" w:w="2608"/>
            <w:shd w:fill="FFFFFF"/>
            <w:tcMar>
              <w:top w:w="80" w:type="dxa"/>
              <w:start w:w="90" w:type="dxa"/>
              <w:bottom w:w="80" w:type="dxa"/>
              <w:end w:w="90" w:type="dxa"/>
            </w:tcMar>
            <w:vAlign w:val="center"/>
          </w:tcPr>
          <w:p>
            <w:pPr>
              <w:jc w:val="left"/>
            </w:pPr>
            <w:r>
              <w:rPr>
                <w:rFonts w:ascii="Liberation Serif" w:hAnsi="Liberation Serif"/>
                <w:sz w:val="15"/>
              </w:rPr>
              <w:t>E^• является комплексом</w:t>
            </w:r>
          </w:p>
        </w:tc>
        <w:tc>
          <w:tcPr>
            <w:tcW w:type="dxa" w:w="1417"/>
            <w:shd w:fill="FFFFFF"/>
            <w:tcMar>
              <w:top w:w="80" w:type="dxa"/>
              <w:start w:w="90" w:type="dxa"/>
              <w:bottom w:w="80" w:type="dxa"/>
              <w:end w:w="90" w:type="dxa"/>
            </w:tcMar>
            <w:vAlign w:val="center"/>
          </w:tcPr>
          <w:p>
            <w:pPr>
              <w:jc w:val="center"/>
            </w:pPr>
            <w:r>
              <w:rPr>
                <w:rFonts w:ascii="Liberation Serif" w:hAnsi="Liberation Serif"/>
                <w:sz w:val="15"/>
              </w:rPr>
              <w:t>THM/INPUT</w:t>
            </w:r>
          </w:p>
        </w:tc>
        <w:tc>
          <w:tcPr>
            <w:tcW w:type="dxa" w:w="1928"/>
            <w:shd w:fill="FFFFFF"/>
            <w:tcMar>
              <w:top w:w="80" w:type="dxa"/>
              <w:start w:w="90" w:type="dxa"/>
              <w:bottom w:w="80" w:type="dxa"/>
              <w:end w:w="90" w:type="dxa"/>
            </w:tcMar>
            <w:vAlign w:val="center"/>
          </w:tcPr>
          <w:p>
            <w:pPr>
              <w:jc w:val="left"/>
            </w:pPr>
            <w:r>
              <w:rPr>
                <w:rFonts w:ascii="Liberation Serif" w:hAnsi="Liberation Serif"/>
                <w:sz w:val="15"/>
              </w:rPr>
              <w:t>§101.1</w:t>
            </w:r>
          </w:p>
        </w:tc>
        <w:tc>
          <w:tcPr>
            <w:tcW w:type="dxa" w:w="2154"/>
            <w:shd w:fill="FFFFFF"/>
            <w:tcMar>
              <w:top w:w="80" w:type="dxa"/>
              <w:start w:w="90" w:type="dxa"/>
              <w:bottom w:w="80" w:type="dxa"/>
              <w:end w:w="90" w:type="dxa"/>
            </w:tcMar>
            <w:vAlign w:val="center"/>
          </w:tcPr>
          <w:p>
            <w:pPr>
              <w:jc w:val="left"/>
            </w:pPr>
            <w:r>
              <w:rPr>
                <w:rFonts w:ascii="Liberation Serif" w:hAnsi="Liberation Serif"/>
                <w:sz w:val="15"/>
              </w:rPr>
              <w:t>B1</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T2-PO-107</w:t>
            </w:r>
          </w:p>
        </w:tc>
        <w:tc>
          <w:tcPr>
            <w:tcW w:type="dxa" w:w="2608"/>
            <w:shd w:fill="EEF3F8"/>
            <w:tcMar>
              <w:top w:w="80" w:type="dxa"/>
              <w:start w:w="90" w:type="dxa"/>
              <w:bottom w:w="80" w:type="dxa"/>
              <w:end w:w="90" w:type="dxa"/>
            </w:tcMar>
            <w:vAlign w:val="center"/>
          </w:tcPr>
          <w:p>
            <w:pPr>
              <w:jc w:val="left"/>
            </w:pPr>
            <w:r>
              <w:rPr>
                <w:rFonts w:ascii="Liberation Serif" w:hAnsi="Liberation Serif"/>
                <w:sz w:val="15"/>
              </w:rPr>
              <w:t>J является цепной картой</w:t>
            </w:r>
          </w:p>
        </w:tc>
        <w:tc>
          <w:tcPr>
            <w:tcW w:type="dxa" w:w="1417"/>
            <w:shd w:fill="EEF3F8"/>
            <w:tcMar>
              <w:top w:w="80" w:type="dxa"/>
              <w:start w:w="90" w:type="dxa"/>
              <w:bottom w:w="80" w:type="dxa"/>
              <w:end w:w="90" w:type="dxa"/>
            </w:tcMar>
            <w:vAlign w:val="center"/>
          </w:tcPr>
          <w:p>
            <w:pPr>
              <w:jc w:val="center"/>
            </w:pPr>
            <w:r>
              <w:rPr>
                <w:rFonts w:ascii="Liberation Serif" w:hAnsi="Liberation Serif"/>
                <w:sz w:val="15"/>
              </w:rPr>
              <w:t>THM/INPUT</w:t>
            </w:r>
          </w:p>
        </w:tc>
        <w:tc>
          <w:tcPr>
            <w:tcW w:type="dxa" w:w="1928"/>
            <w:shd w:fill="EEF3F8"/>
            <w:tcMar>
              <w:top w:w="80" w:type="dxa"/>
              <w:start w:w="90" w:type="dxa"/>
              <w:bottom w:w="80" w:type="dxa"/>
              <w:end w:w="90" w:type="dxa"/>
            </w:tcMar>
            <w:vAlign w:val="center"/>
          </w:tcPr>
          <w:p>
            <w:pPr>
              <w:jc w:val="left"/>
            </w:pPr>
            <w:r>
              <w:rPr>
                <w:rFonts w:ascii="Liberation Serif" w:hAnsi="Liberation Serif"/>
                <w:sz w:val="15"/>
              </w:rPr>
              <w:t>§101.2</w:t>
            </w:r>
          </w:p>
        </w:tc>
        <w:tc>
          <w:tcPr>
            <w:tcW w:type="dxa" w:w="2154"/>
            <w:shd w:fill="EEF3F8"/>
            <w:tcMar>
              <w:top w:w="80" w:type="dxa"/>
              <w:start w:w="90" w:type="dxa"/>
              <w:bottom w:w="80" w:type="dxa"/>
              <w:end w:w="90" w:type="dxa"/>
            </w:tcMar>
            <w:vAlign w:val="center"/>
          </w:tcPr>
          <w:p>
            <w:pPr>
              <w:jc w:val="left"/>
            </w:pPr>
            <w:r>
              <w:rPr>
                <w:rFonts w:ascii="Liberation Serif" w:hAnsi="Liberation Serif"/>
                <w:sz w:val="15"/>
              </w:rPr>
              <w:t>B2</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T2-PO-108</w:t>
            </w:r>
          </w:p>
        </w:tc>
        <w:tc>
          <w:tcPr>
            <w:tcW w:type="dxa" w:w="2608"/>
            <w:shd w:fill="FFFFFF"/>
            <w:tcMar>
              <w:top w:w="80" w:type="dxa"/>
              <w:start w:w="90" w:type="dxa"/>
              <w:bottom w:w="80" w:type="dxa"/>
              <w:end w:w="90" w:type="dxa"/>
            </w:tcMar>
            <w:vAlign w:val="center"/>
          </w:tcPr>
          <w:p>
            <w:pPr>
              <w:jc w:val="left"/>
            </w:pPr>
            <w:r>
              <w:rPr>
                <w:rFonts w:ascii="Liberation Serif" w:hAnsi="Liberation Serif"/>
                <w:sz w:val="15"/>
              </w:rPr>
              <w:t>Критерий well-definedness Π_E</w:t>
            </w:r>
          </w:p>
        </w:tc>
        <w:tc>
          <w:tcPr>
            <w:tcW w:type="dxa" w:w="1417"/>
            <w:shd w:fill="FFFFFF"/>
            <w:tcMar>
              <w:top w:w="80" w:type="dxa"/>
              <w:start w:w="90" w:type="dxa"/>
              <w:bottom w:w="80" w:type="dxa"/>
              <w:end w:w="90" w:type="dxa"/>
            </w:tcMar>
            <w:vAlign w:val="center"/>
          </w:tcPr>
          <w:p>
            <w:pPr>
              <w:jc w:val="center"/>
            </w:pPr>
            <w:r>
              <w:rPr>
                <w:rFonts w:ascii="Liberation Serif" w:hAnsi="Liberation Serif"/>
                <w:sz w:val="15"/>
              </w:rPr>
              <w:t>THM</w:t>
            </w:r>
          </w:p>
        </w:tc>
        <w:tc>
          <w:tcPr>
            <w:tcW w:type="dxa" w:w="1928"/>
            <w:shd w:fill="FFFFFF"/>
            <w:tcMar>
              <w:top w:w="80" w:type="dxa"/>
              <w:start w:w="90" w:type="dxa"/>
              <w:bottom w:w="80" w:type="dxa"/>
              <w:end w:w="90" w:type="dxa"/>
            </w:tcMar>
            <w:vAlign w:val="center"/>
          </w:tcPr>
          <w:p>
            <w:pPr>
              <w:jc w:val="left"/>
            </w:pPr>
            <w:r>
              <w:rPr>
                <w:rFonts w:ascii="Liberation Serif" w:hAnsi="Liberation Serif"/>
                <w:sz w:val="15"/>
              </w:rPr>
              <w:t>Теорема 13.1</w:t>
            </w:r>
          </w:p>
        </w:tc>
        <w:tc>
          <w:tcPr>
            <w:tcW w:type="dxa" w:w="2154"/>
            <w:shd w:fill="FFFFFF"/>
            <w:tcMar>
              <w:top w:w="80" w:type="dxa"/>
              <w:start w:w="90" w:type="dxa"/>
              <w:bottom w:w="80" w:type="dxa"/>
              <w:end w:w="90" w:type="dxa"/>
            </w:tcMar>
            <w:vAlign w:val="center"/>
          </w:tcPr>
          <w:p>
            <w:pPr>
              <w:jc w:val="left"/>
            </w:pPr>
            <w:r>
              <w:rPr>
                <w:rFonts w:ascii="Liberation Serif" w:hAnsi="Liberation Serif"/>
                <w:sz w:val="15"/>
              </w:rPr>
              <w:t>-</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T2-PO-109</w:t>
            </w:r>
          </w:p>
        </w:tc>
        <w:tc>
          <w:tcPr>
            <w:tcW w:type="dxa" w:w="2608"/>
            <w:shd w:fill="EEF3F8"/>
            <w:tcMar>
              <w:top w:w="80" w:type="dxa"/>
              <w:start w:w="90" w:type="dxa"/>
              <w:bottom w:w="80" w:type="dxa"/>
              <w:end w:w="90" w:type="dxa"/>
            </w:tcMar>
            <w:vAlign w:val="center"/>
          </w:tcPr>
          <w:p>
            <w:pPr>
              <w:jc w:val="left"/>
            </w:pPr>
            <w:r>
              <w:rPr>
                <w:rFonts w:ascii="Liberation Serif" w:hAnsi="Liberation Serif"/>
                <w:sz w:val="15"/>
              </w:rPr>
              <w:t>Естественность Π_E</w:t>
            </w:r>
          </w:p>
        </w:tc>
        <w:tc>
          <w:tcPr>
            <w:tcW w:type="dxa" w:w="1417"/>
            <w:shd w:fill="EEF3F8"/>
            <w:tcMar>
              <w:top w:w="80" w:type="dxa"/>
              <w:start w:w="90" w:type="dxa"/>
              <w:bottom w:w="80" w:type="dxa"/>
              <w:end w:w="90" w:type="dxa"/>
            </w:tcMar>
            <w:vAlign w:val="center"/>
          </w:tcPr>
          <w:p>
            <w:pPr>
              <w:jc w:val="center"/>
            </w:pPr>
            <w:r>
              <w:rPr>
                <w:rFonts w:ascii="Liberation Serif" w:hAnsi="Liberation Serif"/>
                <w:sz w:val="15"/>
              </w:rPr>
              <w:t>THM при B3-B5</w:t>
            </w:r>
          </w:p>
        </w:tc>
        <w:tc>
          <w:tcPr>
            <w:tcW w:type="dxa" w:w="1928"/>
            <w:shd w:fill="EEF3F8"/>
            <w:tcMar>
              <w:top w:w="80" w:type="dxa"/>
              <w:start w:w="90" w:type="dxa"/>
              <w:bottom w:w="80" w:type="dxa"/>
              <w:end w:w="90" w:type="dxa"/>
            </w:tcMar>
            <w:vAlign w:val="center"/>
          </w:tcPr>
          <w:p>
            <w:pPr>
              <w:jc w:val="left"/>
            </w:pPr>
            <w:r>
              <w:rPr>
                <w:rFonts w:ascii="Liberation Serif" w:hAnsi="Liberation Serif"/>
                <w:sz w:val="15"/>
              </w:rPr>
              <w:t>Теорема 13.2</w:t>
            </w:r>
          </w:p>
        </w:tc>
        <w:tc>
          <w:tcPr>
            <w:tcW w:type="dxa" w:w="2154"/>
            <w:shd w:fill="EEF3F8"/>
            <w:tcMar>
              <w:top w:w="80" w:type="dxa"/>
              <w:start w:w="90" w:type="dxa"/>
              <w:bottom w:w="80" w:type="dxa"/>
              <w:end w:w="90" w:type="dxa"/>
            </w:tcMar>
            <w:vAlign w:val="center"/>
          </w:tcPr>
          <w:p>
            <w:pPr>
              <w:jc w:val="left"/>
            </w:pPr>
            <w:r>
              <w:rPr>
                <w:rFonts w:ascii="Liberation Serif" w:hAnsi="Liberation Serif"/>
                <w:sz w:val="15"/>
              </w:rPr>
              <w:t>B3-B5</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T2-PO-110</w:t>
            </w:r>
          </w:p>
        </w:tc>
        <w:tc>
          <w:tcPr>
            <w:tcW w:type="dxa" w:w="2608"/>
            <w:shd w:fill="FFFFFF"/>
            <w:tcMar>
              <w:top w:w="80" w:type="dxa"/>
              <w:start w:w="90" w:type="dxa"/>
              <w:bottom w:w="80" w:type="dxa"/>
              <w:end w:w="90" w:type="dxa"/>
            </w:tcMar>
            <w:vAlign w:val="center"/>
          </w:tcPr>
          <w:p>
            <w:pPr>
              <w:jc w:val="left"/>
            </w:pPr>
            <w:r>
              <w:rPr>
                <w:rFonts w:ascii="Liberation Serif" w:hAnsi="Liberation Serif"/>
                <w:sz w:val="15"/>
              </w:rPr>
              <w:t>Односторонняя детекция</w:t>
            </w:r>
          </w:p>
        </w:tc>
        <w:tc>
          <w:tcPr>
            <w:tcW w:type="dxa" w:w="1417"/>
            <w:shd w:fill="FFFFFF"/>
            <w:tcMar>
              <w:top w:w="80" w:type="dxa"/>
              <w:start w:w="90" w:type="dxa"/>
              <w:bottom w:w="80" w:type="dxa"/>
              <w:end w:w="90" w:type="dxa"/>
            </w:tcMar>
            <w:vAlign w:val="center"/>
          </w:tcPr>
          <w:p>
            <w:pPr>
              <w:jc w:val="center"/>
            </w:pPr>
            <w:r>
              <w:rPr>
                <w:rFonts w:ascii="Liberation Serif" w:hAnsi="Liberation Serif"/>
                <w:sz w:val="15"/>
              </w:rPr>
              <w:t>THM</w:t>
            </w:r>
          </w:p>
        </w:tc>
        <w:tc>
          <w:tcPr>
            <w:tcW w:type="dxa" w:w="1928"/>
            <w:shd w:fill="FFFFFF"/>
            <w:tcMar>
              <w:top w:w="80" w:type="dxa"/>
              <w:start w:w="90" w:type="dxa"/>
              <w:bottom w:w="80" w:type="dxa"/>
              <w:end w:w="90" w:type="dxa"/>
            </w:tcMar>
            <w:vAlign w:val="center"/>
          </w:tcPr>
          <w:p>
            <w:pPr>
              <w:jc w:val="left"/>
            </w:pPr>
            <w:r>
              <w:rPr>
                <w:rFonts w:ascii="Liberation Serif" w:hAnsi="Liberation Serif"/>
                <w:sz w:val="15"/>
              </w:rPr>
              <w:t>Теорема 13.3</w:t>
            </w:r>
          </w:p>
        </w:tc>
        <w:tc>
          <w:tcPr>
            <w:tcW w:type="dxa" w:w="2154"/>
            <w:shd w:fill="FFFFFF"/>
            <w:tcMar>
              <w:top w:w="80" w:type="dxa"/>
              <w:start w:w="90" w:type="dxa"/>
              <w:bottom w:w="80" w:type="dxa"/>
              <w:end w:w="90" w:type="dxa"/>
            </w:tcMar>
            <w:vAlign w:val="center"/>
          </w:tcPr>
          <w:p>
            <w:pPr>
              <w:jc w:val="left"/>
            </w:pPr>
            <w:r>
              <w:rPr>
                <w:rFonts w:ascii="Liberation Serif" w:hAnsi="Liberation Serif"/>
                <w:sz w:val="15"/>
              </w:rPr>
              <w:t>-</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T2-PO-111</w:t>
            </w:r>
          </w:p>
        </w:tc>
        <w:tc>
          <w:tcPr>
            <w:tcW w:type="dxa" w:w="2608"/>
            <w:shd w:fill="EEF3F8"/>
            <w:tcMar>
              <w:top w:w="80" w:type="dxa"/>
              <w:start w:w="90" w:type="dxa"/>
              <w:bottom w:w="80" w:type="dxa"/>
              <w:end w:w="90" w:type="dxa"/>
            </w:tcMar>
            <w:vAlign w:val="center"/>
          </w:tcPr>
          <w:p>
            <w:pPr>
              <w:jc w:val="left"/>
            </w:pPr>
            <w:r>
              <w:rPr>
                <w:rFonts w:ascii="Liberation Serif" w:hAnsi="Liberation Serif"/>
                <w:sz w:val="15"/>
              </w:rPr>
              <w:t>Обратная детекция</w:t>
            </w:r>
          </w:p>
        </w:tc>
        <w:tc>
          <w:tcPr>
            <w:tcW w:type="dxa" w:w="1417"/>
            <w:shd w:fill="EEF3F8"/>
            <w:tcMar>
              <w:top w:w="80" w:type="dxa"/>
              <w:start w:w="90" w:type="dxa"/>
              <w:bottom w:w="80" w:type="dxa"/>
              <w:end w:w="90" w:type="dxa"/>
            </w:tcMar>
            <w:vAlign w:val="center"/>
          </w:tcPr>
          <w:p>
            <w:pPr>
              <w:jc w:val="center"/>
            </w:pPr>
            <w:r>
              <w:rPr>
                <w:rFonts w:ascii="Liberation Serif" w:hAnsi="Liberation Serif"/>
                <w:sz w:val="15"/>
              </w:rPr>
              <w:t>THM/COND</w:t>
            </w:r>
          </w:p>
        </w:tc>
        <w:tc>
          <w:tcPr>
            <w:tcW w:type="dxa" w:w="1928"/>
            <w:shd w:fill="EEF3F8"/>
            <w:tcMar>
              <w:top w:w="80" w:type="dxa"/>
              <w:start w:w="90" w:type="dxa"/>
              <w:bottom w:w="80" w:type="dxa"/>
              <w:end w:w="90" w:type="dxa"/>
            </w:tcMar>
            <w:vAlign w:val="center"/>
          </w:tcPr>
          <w:p>
            <w:pPr>
              <w:jc w:val="left"/>
            </w:pPr>
            <w:r>
              <w:rPr>
                <w:rFonts w:ascii="Liberation Serif" w:hAnsi="Liberation Serif"/>
                <w:sz w:val="15"/>
              </w:rPr>
              <w:t>Теорема 13.4</w:t>
            </w:r>
          </w:p>
        </w:tc>
        <w:tc>
          <w:tcPr>
            <w:tcW w:type="dxa" w:w="2154"/>
            <w:shd w:fill="EEF3F8"/>
            <w:tcMar>
              <w:top w:w="80" w:type="dxa"/>
              <w:start w:w="90" w:type="dxa"/>
              <w:bottom w:w="80" w:type="dxa"/>
              <w:end w:w="90" w:type="dxa"/>
            </w:tcMar>
            <w:vAlign w:val="center"/>
          </w:tcPr>
          <w:p>
            <w:pPr>
              <w:jc w:val="left"/>
            </w:pPr>
            <w:r>
              <w:rPr>
                <w:rFonts w:ascii="Liberation Serif" w:hAnsi="Liberation Serif"/>
                <w:sz w:val="15"/>
              </w:rPr>
              <w:t>injectivity B6</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T2-PO-112</w:t>
            </w:r>
          </w:p>
        </w:tc>
        <w:tc>
          <w:tcPr>
            <w:tcW w:type="dxa" w:w="2608"/>
            <w:shd w:fill="FFFFFF"/>
            <w:tcMar>
              <w:top w:w="80" w:type="dxa"/>
              <w:start w:w="90" w:type="dxa"/>
              <w:bottom w:w="80" w:type="dxa"/>
              <w:end w:w="90" w:type="dxa"/>
            </w:tcMar>
            <w:vAlign w:val="center"/>
          </w:tcPr>
          <w:p>
            <w:pPr>
              <w:jc w:val="left"/>
            </w:pPr>
            <w:r>
              <w:rPr>
                <w:rFonts w:ascii="Liberation Serif" w:hAnsi="Liberation Serif"/>
                <w:sz w:val="15"/>
              </w:rPr>
              <w:t>Mapping cone и exact sequence</w:t>
            </w:r>
          </w:p>
        </w:tc>
        <w:tc>
          <w:tcPr>
            <w:tcW w:type="dxa" w:w="1417"/>
            <w:shd w:fill="FFFFFF"/>
            <w:tcMar>
              <w:top w:w="80" w:type="dxa"/>
              <w:start w:w="90" w:type="dxa"/>
              <w:bottom w:w="80" w:type="dxa"/>
              <w:end w:w="90" w:type="dxa"/>
            </w:tcMar>
            <w:vAlign w:val="center"/>
          </w:tcPr>
          <w:p>
            <w:pPr>
              <w:jc w:val="center"/>
            </w:pPr>
            <w:r>
              <w:rPr>
                <w:rFonts w:ascii="Liberation Serif" w:hAnsi="Liberation Serif"/>
                <w:sz w:val="15"/>
              </w:rPr>
              <w:t>THM</w:t>
            </w:r>
          </w:p>
        </w:tc>
        <w:tc>
          <w:tcPr>
            <w:tcW w:type="dxa" w:w="1928"/>
            <w:shd w:fill="FFFFFF"/>
            <w:tcMar>
              <w:top w:w="80" w:type="dxa"/>
              <w:start w:w="90" w:type="dxa"/>
              <w:bottom w:w="80" w:type="dxa"/>
              <w:end w:w="90" w:type="dxa"/>
            </w:tcMar>
            <w:vAlign w:val="center"/>
          </w:tcPr>
          <w:p>
            <w:pPr>
              <w:jc w:val="left"/>
            </w:pPr>
            <w:r>
              <w:rPr>
                <w:rFonts w:ascii="Liberation Serif" w:hAnsi="Liberation Serif"/>
                <w:sz w:val="15"/>
              </w:rPr>
              <w:t>Теорема 13.5</w:t>
            </w:r>
          </w:p>
        </w:tc>
        <w:tc>
          <w:tcPr>
            <w:tcW w:type="dxa" w:w="2154"/>
            <w:shd w:fill="FFFFFF"/>
            <w:tcMar>
              <w:top w:w="80" w:type="dxa"/>
              <w:start w:w="90" w:type="dxa"/>
              <w:bottom w:w="80" w:type="dxa"/>
              <w:end w:w="90" w:type="dxa"/>
            </w:tcMar>
            <w:vAlign w:val="center"/>
          </w:tcPr>
          <w:p>
            <w:pPr>
              <w:jc w:val="left"/>
            </w:pPr>
            <w:r>
              <w:rPr>
                <w:rFonts w:ascii="Liberation Serif" w:hAnsi="Liberation Serif"/>
                <w:sz w:val="15"/>
              </w:rPr>
              <w:t>-</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T2-PO-113</w:t>
            </w:r>
          </w:p>
        </w:tc>
        <w:tc>
          <w:tcPr>
            <w:tcW w:type="dxa" w:w="2608"/>
            <w:shd w:fill="EEF3F8"/>
            <w:tcMar>
              <w:top w:w="80" w:type="dxa"/>
              <w:start w:w="90" w:type="dxa"/>
              <w:bottom w:w="80" w:type="dxa"/>
              <w:end w:w="90" w:type="dxa"/>
            </w:tcMar>
            <w:vAlign w:val="center"/>
          </w:tcPr>
          <w:p>
            <w:pPr>
              <w:jc w:val="left"/>
            </w:pPr>
            <w:r>
              <w:rPr>
                <w:rFonts w:ascii="Liberation Serif" w:hAnsi="Liberation Serif"/>
                <w:sz w:val="15"/>
              </w:rPr>
              <w:t>Blind/Excess defects</w:t>
            </w:r>
          </w:p>
        </w:tc>
        <w:tc>
          <w:tcPr>
            <w:tcW w:type="dxa" w:w="1417"/>
            <w:shd w:fill="EEF3F8"/>
            <w:tcMar>
              <w:top w:w="80" w:type="dxa"/>
              <w:start w:w="90" w:type="dxa"/>
              <w:bottom w:w="80" w:type="dxa"/>
              <w:end w:w="90" w:type="dxa"/>
            </w:tcMar>
            <w:vAlign w:val="center"/>
          </w:tcPr>
          <w:p>
            <w:pPr>
              <w:jc w:val="center"/>
            </w:pPr>
            <w:r>
              <w:rPr>
                <w:rFonts w:ascii="Liberation Serif" w:hAnsi="Liberation Serif"/>
                <w:sz w:val="15"/>
              </w:rPr>
              <w:t>THM</w:t>
            </w:r>
          </w:p>
        </w:tc>
        <w:tc>
          <w:tcPr>
            <w:tcW w:type="dxa" w:w="1928"/>
            <w:shd w:fill="EEF3F8"/>
            <w:tcMar>
              <w:top w:w="80" w:type="dxa"/>
              <w:start w:w="90" w:type="dxa"/>
              <w:bottom w:w="80" w:type="dxa"/>
              <w:end w:w="90" w:type="dxa"/>
            </w:tcMar>
            <w:vAlign w:val="center"/>
          </w:tcPr>
          <w:p>
            <w:pPr>
              <w:jc w:val="left"/>
            </w:pPr>
            <w:r>
              <w:rPr>
                <w:rFonts w:ascii="Liberation Serif" w:hAnsi="Liberation Serif"/>
                <w:sz w:val="15"/>
              </w:rPr>
              <w:t>§104.2</w:t>
            </w:r>
          </w:p>
        </w:tc>
        <w:tc>
          <w:tcPr>
            <w:tcW w:type="dxa" w:w="2154"/>
            <w:shd w:fill="EEF3F8"/>
            <w:tcMar>
              <w:top w:w="80" w:type="dxa"/>
              <w:start w:w="90" w:type="dxa"/>
              <w:bottom w:w="80" w:type="dxa"/>
              <w:end w:w="90" w:type="dxa"/>
            </w:tcMar>
            <w:vAlign w:val="center"/>
          </w:tcPr>
          <w:p>
            <w:pPr>
              <w:jc w:val="left"/>
            </w:pPr>
            <w:r>
              <w:rPr>
                <w:rFonts w:ascii="Liberation Serif" w:hAnsi="Liberation Serif"/>
                <w:sz w:val="15"/>
              </w:rPr>
              <w:t>-</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T2-PO-114</w:t>
            </w:r>
          </w:p>
        </w:tc>
        <w:tc>
          <w:tcPr>
            <w:tcW w:type="dxa" w:w="2608"/>
            <w:shd w:fill="FFFFFF"/>
            <w:tcMar>
              <w:top w:w="80" w:type="dxa"/>
              <w:start w:w="90" w:type="dxa"/>
              <w:bottom w:w="80" w:type="dxa"/>
              <w:end w:w="90" w:type="dxa"/>
            </w:tcMar>
            <w:vAlign w:val="center"/>
          </w:tcPr>
          <w:p>
            <w:pPr>
              <w:jc w:val="left"/>
            </w:pPr>
            <w:r>
              <w:rPr>
                <w:rFonts w:ascii="Liberation Serif" w:hAnsi="Liberation Serif"/>
                <w:sz w:val="15"/>
              </w:rPr>
              <w:t>Chain-homotopy invariance</w:t>
            </w:r>
          </w:p>
        </w:tc>
        <w:tc>
          <w:tcPr>
            <w:tcW w:type="dxa" w:w="1417"/>
            <w:shd w:fill="FFFFFF"/>
            <w:tcMar>
              <w:top w:w="80" w:type="dxa"/>
              <w:start w:w="90" w:type="dxa"/>
              <w:bottom w:w="80" w:type="dxa"/>
              <w:end w:w="90" w:type="dxa"/>
            </w:tcMar>
            <w:vAlign w:val="center"/>
          </w:tcPr>
          <w:p>
            <w:pPr>
              <w:jc w:val="center"/>
            </w:pPr>
            <w:r>
              <w:rPr>
                <w:rFonts w:ascii="Liberation Serif" w:hAnsi="Liberation Serif"/>
                <w:sz w:val="15"/>
              </w:rPr>
              <w:t>THM</w:t>
            </w:r>
          </w:p>
        </w:tc>
        <w:tc>
          <w:tcPr>
            <w:tcW w:type="dxa" w:w="1928"/>
            <w:shd w:fill="FFFFFF"/>
            <w:tcMar>
              <w:top w:w="80" w:type="dxa"/>
              <w:start w:w="90" w:type="dxa"/>
              <w:bottom w:w="80" w:type="dxa"/>
              <w:end w:w="90" w:type="dxa"/>
            </w:tcMar>
            <w:vAlign w:val="center"/>
          </w:tcPr>
          <w:p>
            <w:pPr>
              <w:jc w:val="left"/>
            </w:pPr>
            <w:r>
              <w:rPr>
                <w:rFonts w:ascii="Liberation Serif" w:hAnsi="Liberation Serif"/>
                <w:sz w:val="15"/>
              </w:rPr>
              <w:t>Теорема 13.6</w:t>
            </w:r>
          </w:p>
        </w:tc>
        <w:tc>
          <w:tcPr>
            <w:tcW w:type="dxa" w:w="2154"/>
            <w:shd w:fill="FFFFFF"/>
            <w:tcMar>
              <w:top w:w="80" w:type="dxa"/>
              <w:start w:w="90" w:type="dxa"/>
              <w:bottom w:w="80" w:type="dxa"/>
              <w:end w:w="90" w:type="dxa"/>
            </w:tcMar>
            <w:vAlign w:val="center"/>
          </w:tcPr>
          <w:p>
            <w:pPr>
              <w:jc w:val="left"/>
            </w:pPr>
            <w:r>
              <w:rPr>
                <w:rFonts w:ascii="Liberation Serif" w:hAnsi="Liberation Serif"/>
                <w:sz w:val="15"/>
              </w:rPr>
              <w:t>-</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T2-PO-115</w:t>
            </w:r>
          </w:p>
        </w:tc>
        <w:tc>
          <w:tcPr>
            <w:tcW w:type="dxa" w:w="2608"/>
            <w:shd w:fill="EEF3F8"/>
            <w:tcMar>
              <w:top w:w="80" w:type="dxa"/>
              <w:start w:w="90" w:type="dxa"/>
              <w:bottom w:w="80" w:type="dxa"/>
              <w:end w:w="90" w:type="dxa"/>
            </w:tcMar>
            <w:vAlign w:val="center"/>
          </w:tcPr>
          <w:p>
            <w:pPr>
              <w:jc w:val="left"/>
            </w:pPr>
            <w:r>
              <w:rPr>
                <w:rFonts w:ascii="Liberation Serif" w:hAnsi="Liberation Serif"/>
                <w:sz w:val="15"/>
              </w:rPr>
              <w:t>Категория внешних реализаций</w:t>
            </w:r>
          </w:p>
        </w:tc>
        <w:tc>
          <w:tcPr>
            <w:tcW w:type="dxa" w:w="1417"/>
            <w:shd w:fill="EEF3F8"/>
            <w:tcMar>
              <w:top w:w="80" w:type="dxa"/>
              <w:start w:w="90" w:type="dxa"/>
              <w:bottom w:w="80" w:type="dxa"/>
              <w:end w:w="90" w:type="dxa"/>
            </w:tcMar>
            <w:vAlign w:val="center"/>
          </w:tcPr>
          <w:p>
            <w:pPr>
              <w:jc w:val="center"/>
            </w:pPr>
            <w:r>
              <w:rPr>
                <w:rFonts w:ascii="Liberation Serif" w:hAnsi="Liberation Serif"/>
                <w:sz w:val="15"/>
              </w:rPr>
              <w:t>THM/DEF-A</w:t>
            </w:r>
          </w:p>
        </w:tc>
        <w:tc>
          <w:tcPr>
            <w:tcW w:type="dxa" w:w="1928"/>
            <w:shd w:fill="EEF3F8"/>
            <w:tcMar>
              <w:top w:w="80" w:type="dxa"/>
              <w:start w:w="90" w:type="dxa"/>
              <w:bottom w:w="80" w:type="dxa"/>
              <w:end w:w="90" w:type="dxa"/>
            </w:tcMar>
            <w:vAlign w:val="center"/>
          </w:tcPr>
          <w:p>
            <w:pPr>
              <w:jc w:val="left"/>
            </w:pPr>
            <w:r>
              <w:rPr>
                <w:rFonts w:ascii="Liberation Serif" w:hAnsi="Liberation Serif"/>
                <w:sz w:val="15"/>
              </w:rPr>
              <w:t>Теорема 13.7</w:t>
            </w:r>
          </w:p>
        </w:tc>
        <w:tc>
          <w:tcPr>
            <w:tcW w:type="dxa" w:w="2154"/>
            <w:shd w:fill="EEF3F8"/>
            <w:tcMar>
              <w:top w:w="80" w:type="dxa"/>
              <w:start w:w="90" w:type="dxa"/>
              <w:bottom w:w="80" w:type="dxa"/>
              <w:end w:w="90" w:type="dxa"/>
            </w:tcMar>
            <w:vAlign w:val="center"/>
          </w:tcPr>
          <w:p>
            <w:pPr>
              <w:jc w:val="left"/>
            </w:pPr>
            <w:r>
              <w:rPr>
                <w:rFonts w:ascii="Liberation Serif" w:hAnsi="Liberation Serif"/>
                <w:sz w:val="15"/>
              </w:rPr>
              <w:t>-</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T2-PO-116</w:t>
            </w:r>
          </w:p>
        </w:tc>
        <w:tc>
          <w:tcPr>
            <w:tcW w:type="dxa" w:w="2608"/>
            <w:shd w:fill="FFFFFF"/>
            <w:tcMar>
              <w:top w:w="80" w:type="dxa"/>
              <w:start w:w="90" w:type="dxa"/>
              <w:bottom w:w="80" w:type="dxa"/>
              <w:end w:w="90" w:type="dxa"/>
            </w:tcMar>
            <w:vAlign w:val="center"/>
          </w:tcPr>
          <w:p>
            <w:pPr>
              <w:jc w:val="left"/>
            </w:pPr>
            <w:r>
              <w:rPr>
                <w:rFonts w:ascii="Liberation Serif" w:hAnsi="Liberation Serif"/>
                <w:sz w:val="15"/>
              </w:rPr>
              <w:t>Canonical external class</w:t>
            </w:r>
          </w:p>
        </w:tc>
        <w:tc>
          <w:tcPr>
            <w:tcW w:type="dxa" w:w="1417"/>
            <w:shd w:fill="FFFFFF"/>
            <w:tcMar>
              <w:top w:w="80" w:type="dxa"/>
              <w:start w:w="90" w:type="dxa"/>
              <w:bottom w:w="80" w:type="dxa"/>
              <w:end w:w="90" w:type="dxa"/>
            </w:tcMar>
            <w:vAlign w:val="center"/>
          </w:tcPr>
          <w:p>
            <w:pPr>
              <w:jc w:val="center"/>
            </w:pPr>
            <w:r>
              <w:rPr>
                <w:rFonts w:ascii="Liberation Serif" w:hAnsi="Liberation Serif"/>
                <w:sz w:val="15"/>
              </w:rPr>
              <w:t>COND</w:t>
            </w:r>
          </w:p>
        </w:tc>
        <w:tc>
          <w:tcPr>
            <w:tcW w:type="dxa" w:w="1928"/>
            <w:shd w:fill="FFFFFF"/>
            <w:tcMar>
              <w:top w:w="80" w:type="dxa"/>
              <w:start w:w="90" w:type="dxa"/>
              <w:bottom w:w="80" w:type="dxa"/>
              <w:end w:w="90" w:type="dxa"/>
            </w:tcMar>
            <w:vAlign w:val="center"/>
          </w:tcPr>
          <w:p>
            <w:pPr>
              <w:jc w:val="left"/>
            </w:pPr>
            <w:r>
              <w:rPr>
                <w:rFonts w:ascii="Liberation Serif" w:hAnsi="Liberation Serif"/>
                <w:sz w:val="15"/>
              </w:rPr>
              <w:t>§106</w:t>
            </w:r>
          </w:p>
        </w:tc>
        <w:tc>
          <w:tcPr>
            <w:tcW w:type="dxa" w:w="2154"/>
            <w:shd w:fill="FFFFFF"/>
            <w:tcMar>
              <w:top w:w="80" w:type="dxa"/>
              <w:start w:w="90" w:type="dxa"/>
              <w:bottom w:w="80" w:type="dxa"/>
              <w:end w:w="90" w:type="dxa"/>
            </w:tcMar>
            <w:vAlign w:val="center"/>
          </w:tcPr>
          <w:p>
            <w:pPr>
              <w:jc w:val="left"/>
            </w:pPr>
            <w:r>
              <w:rPr>
                <w:rFonts w:ascii="Liberation Serif" w:hAnsi="Liberation Serif"/>
                <w:sz w:val="15"/>
              </w:rPr>
              <w:t>quasi-isomorphic realization category</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T2-PO-117</w:t>
            </w:r>
          </w:p>
        </w:tc>
        <w:tc>
          <w:tcPr>
            <w:tcW w:type="dxa" w:w="2608"/>
            <w:shd w:fill="EEF3F8"/>
            <w:tcMar>
              <w:top w:w="80" w:type="dxa"/>
              <w:start w:w="90" w:type="dxa"/>
              <w:bottom w:w="80" w:type="dxa"/>
              <w:end w:w="90" w:type="dxa"/>
            </w:tcMar>
            <w:vAlign w:val="center"/>
          </w:tcPr>
          <w:p>
            <w:pPr>
              <w:jc w:val="left"/>
            </w:pPr>
            <w:r>
              <w:rPr>
                <w:rFonts w:ascii="Liberation Serif" w:hAnsi="Liberation Serif"/>
                <w:sz w:val="15"/>
              </w:rPr>
              <w:t>Stable reverse detection</w:t>
            </w:r>
          </w:p>
        </w:tc>
        <w:tc>
          <w:tcPr>
            <w:tcW w:type="dxa" w:w="1417"/>
            <w:shd w:fill="EEF3F8"/>
            <w:tcMar>
              <w:top w:w="80" w:type="dxa"/>
              <w:start w:w="90" w:type="dxa"/>
              <w:bottom w:w="80" w:type="dxa"/>
              <w:end w:w="90" w:type="dxa"/>
            </w:tcMar>
            <w:vAlign w:val="center"/>
          </w:tcPr>
          <w:p>
            <w:pPr>
              <w:jc w:val="center"/>
            </w:pPr>
            <w:r>
              <w:rPr>
                <w:rFonts w:ascii="Liberation Serif" w:hAnsi="Liberation Serif"/>
                <w:sz w:val="15"/>
              </w:rPr>
              <w:t>THM/COMP</w:t>
            </w:r>
          </w:p>
        </w:tc>
        <w:tc>
          <w:tcPr>
            <w:tcW w:type="dxa" w:w="1928"/>
            <w:shd w:fill="EEF3F8"/>
            <w:tcMar>
              <w:top w:w="80" w:type="dxa"/>
              <w:start w:w="90" w:type="dxa"/>
              <w:bottom w:w="80" w:type="dxa"/>
              <w:end w:w="90" w:type="dxa"/>
            </w:tcMar>
            <w:vAlign w:val="center"/>
          </w:tcPr>
          <w:p>
            <w:pPr>
              <w:jc w:val="left"/>
            </w:pPr>
            <w:r>
              <w:rPr>
                <w:rFonts w:ascii="Liberation Serif" w:hAnsi="Liberation Serif"/>
                <w:sz w:val="15"/>
              </w:rPr>
              <w:t>Теорема 13.8</w:t>
            </w:r>
          </w:p>
        </w:tc>
        <w:tc>
          <w:tcPr>
            <w:tcW w:type="dxa" w:w="2154"/>
            <w:shd w:fill="EEF3F8"/>
            <w:tcMar>
              <w:top w:w="80" w:type="dxa"/>
              <w:start w:w="90" w:type="dxa"/>
              <w:bottom w:w="80" w:type="dxa"/>
              <w:end w:w="90" w:type="dxa"/>
            </w:tcMar>
            <w:vAlign w:val="center"/>
          </w:tcPr>
          <w:p>
            <w:pPr>
              <w:jc w:val="left"/>
            </w:pPr>
            <w:r>
              <w:rPr>
                <w:rFonts w:ascii="Liberation Serif" w:hAnsi="Liberation Serif"/>
                <w:sz w:val="15"/>
              </w:rPr>
              <w:t>norm/basis ledger</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T2-PO-118</w:t>
            </w:r>
          </w:p>
        </w:tc>
        <w:tc>
          <w:tcPr>
            <w:tcW w:type="dxa" w:w="2608"/>
            <w:shd w:fill="FFFFFF"/>
            <w:tcMar>
              <w:top w:w="80" w:type="dxa"/>
              <w:start w:w="90" w:type="dxa"/>
              <w:bottom w:w="80" w:type="dxa"/>
              <w:end w:w="90" w:type="dxa"/>
            </w:tcMar>
            <w:vAlign w:val="center"/>
          </w:tcPr>
          <w:p>
            <w:pPr>
              <w:jc w:val="left"/>
            </w:pPr>
            <w:r>
              <w:rPr>
                <w:rFonts w:ascii="Liberation Serif" w:hAnsi="Liberation Serif"/>
                <w:sz w:val="15"/>
              </w:rPr>
              <w:t>Параметрический внешний горизонт</w:t>
            </w:r>
          </w:p>
        </w:tc>
        <w:tc>
          <w:tcPr>
            <w:tcW w:type="dxa" w:w="1417"/>
            <w:shd w:fill="FFFFFF"/>
            <w:tcMar>
              <w:top w:w="80" w:type="dxa"/>
              <w:start w:w="90" w:type="dxa"/>
              <w:bottom w:w="80" w:type="dxa"/>
              <w:end w:w="90" w:type="dxa"/>
            </w:tcMar>
            <w:vAlign w:val="center"/>
          </w:tcPr>
          <w:p>
            <w:pPr>
              <w:jc w:val="center"/>
            </w:pPr>
            <w:r>
              <w:rPr>
                <w:rFonts w:ascii="Liberation Serif" w:hAnsi="Liberation Serif"/>
                <w:sz w:val="15"/>
              </w:rPr>
              <w:t>THM/COMP</w:t>
            </w:r>
          </w:p>
        </w:tc>
        <w:tc>
          <w:tcPr>
            <w:tcW w:type="dxa" w:w="1928"/>
            <w:shd w:fill="FFFFFF"/>
            <w:tcMar>
              <w:top w:w="80" w:type="dxa"/>
              <w:start w:w="90" w:type="dxa"/>
              <w:bottom w:w="80" w:type="dxa"/>
              <w:end w:w="90" w:type="dxa"/>
            </w:tcMar>
            <w:vAlign w:val="center"/>
          </w:tcPr>
          <w:p>
            <w:pPr>
              <w:jc w:val="left"/>
            </w:pPr>
            <w:r>
              <w:rPr>
                <w:rFonts w:ascii="Liberation Serif" w:hAnsi="Liberation Serif"/>
                <w:sz w:val="15"/>
              </w:rPr>
              <w:t>§108</w:t>
            </w:r>
          </w:p>
        </w:tc>
        <w:tc>
          <w:tcPr>
            <w:tcW w:type="dxa" w:w="2154"/>
            <w:shd w:fill="FFFFFF"/>
            <w:tcMar>
              <w:top w:w="80" w:type="dxa"/>
              <w:start w:w="90" w:type="dxa"/>
              <w:bottom w:w="80" w:type="dxa"/>
              <w:end w:w="90" w:type="dxa"/>
            </w:tcMar>
            <w:vAlign w:val="center"/>
          </w:tcPr>
          <w:p>
            <w:pPr>
              <w:jc w:val="left"/>
            </w:pPr>
            <w:r>
              <w:rPr>
                <w:rFonts w:ascii="Liberation Serif" w:hAnsi="Liberation Serif"/>
                <w:sz w:val="15"/>
              </w:rPr>
              <w:t>constant ranks/bounds</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T2-PO-119</w:t>
            </w:r>
          </w:p>
        </w:tc>
        <w:tc>
          <w:tcPr>
            <w:tcW w:type="dxa" w:w="2608"/>
            <w:shd w:fill="EEF3F8"/>
            <w:tcMar>
              <w:top w:w="80" w:type="dxa"/>
              <w:start w:w="90" w:type="dxa"/>
              <w:bottom w:w="80" w:type="dxa"/>
              <w:end w:w="90" w:type="dxa"/>
            </w:tcMar>
            <w:vAlign w:val="center"/>
          </w:tcPr>
          <w:p>
            <w:pPr>
              <w:jc w:val="left"/>
            </w:pPr>
            <w:r>
              <w:rPr>
                <w:rFonts w:ascii="Liberation Serif" w:hAnsi="Liberation Serif"/>
                <w:sz w:val="15"/>
              </w:rPr>
              <w:t>Устойчивое внешнее препятствие</w:t>
            </w:r>
          </w:p>
        </w:tc>
        <w:tc>
          <w:tcPr>
            <w:tcW w:type="dxa" w:w="1417"/>
            <w:shd w:fill="EEF3F8"/>
            <w:tcMar>
              <w:top w:w="80" w:type="dxa"/>
              <w:start w:w="90" w:type="dxa"/>
              <w:bottom w:w="80" w:type="dxa"/>
              <w:end w:w="90" w:type="dxa"/>
            </w:tcMar>
            <w:vAlign w:val="center"/>
          </w:tcPr>
          <w:p>
            <w:pPr>
              <w:jc w:val="center"/>
            </w:pPr>
            <w:r>
              <w:rPr>
                <w:rFonts w:ascii="Liberation Serif" w:hAnsi="Liberation Serif"/>
                <w:sz w:val="15"/>
              </w:rPr>
              <w:t>THM/COMP</w:t>
            </w:r>
          </w:p>
        </w:tc>
        <w:tc>
          <w:tcPr>
            <w:tcW w:type="dxa" w:w="1928"/>
            <w:shd w:fill="EEF3F8"/>
            <w:tcMar>
              <w:top w:w="80" w:type="dxa"/>
              <w:start w:w="90" w:type="dxa"/>
              <w:bottom w:w="80" w:type="dxa"/>
              <w:end w:w="90" w:type="dxa"/>
            </w:tcMar>
            <w:vAlign w:val="center"/>
          </w:tcPr>
          <w:p>
            <w:pPr>
              <w:jc w:val="left"/>
            </w:pPr>
            <w:r>
              <w:rPr>
                <w:rFonts w:ascii="Liberation Serif" w:hAnsi="Liberation Serif"/>
                <w:sz w:val="15"/>
              </w:rPr>
              <w:t>Теорема 13.10</w:t>
            </w:r>
          </w:p>
        </w:tc>
        <w:tc>
          <w:tcPr>
            <w:tcW w:type="dxa" w:w="2154"/>
            <w:shd w:fill="EEF3F8"/>
            <w:tcMar>
              <w:top w:w="80" w:type="dxa"/>
              <w:start w:w="90" w:type="dxa"/>
              <w:bottom w:w="80" w:type="dxa"/>
              <w:end w:w="90" w:type="dxa"/>
            </w:tcMar>
            <w:vAlign w:val="center"/>
          </w:tcPr>
          <w:p>
            <w:pPr>
              <w:jc w:val="left"/>
            </w:pPr>
            <w:r>
              <w:rPr>
                <w:rFonts w:ascii="Liberation Serif" w:hAnsi="Liberation Serif"/>
                <w:sz w:val="15"/>
              </w:rPr>
              <w:t>ε_E certificate</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T2-PO-120</w:t>
            </w:r>
          </w:p>
        </w:tc>
        <w:tc>
          <w:tcPr>
            <w:tcW w:type="dxa" w:w="2608"/>
            <w:shd w:fill="FFFFFF"/>
            <w:tcMar>
              <w:top w:w="80" w:type="dxa"/>
              <w:start w:w="90" w:type="dxa"/>
              <w:bottom w:w="80" w:type="dxa"/>
              <w:end w:w="90" w:type="dxa"/>
            </w:tcMar>
            <w:vAlign w:val="center"/>
          </w:tcPr>
          <w:p>
            <w:pPr>
              <w:jc w:val="left"/>
            </w:pPr>
            <w:r>
              <w:rPr>
                <w:rFonts w:ascii="Liberation Serif" w:hAnsi="Liberation Serif"/>
                <w:sz w:val="15"/>
              </w:rPr>
              <w:t>Главная predictive theorem v0.10</w:t>
            </w:r>
          </w:p>
        </w:tc>
        <w:tc>
          <w:tcPr>
            <w:tcW w:type="dxa" w:w="1417"/>
            <w:shd w:fill="FFFFFF"/>
            <w:tcMar>
              <w:top w:w="80" w:type="dxa"/>
              <w:start w:w="90" w:type="dxa"/>
              <w:bottom w:w="80" w:type="dxa"/>
              <w:end w:w="90" w:type="dxa"/>
            </w:tcMar>
            <w:vAlign w:val="center"/>
          </w:tcPr>
          <w:p>
            <w:pPr>
              <w:jc w:val="center"/>
            </w:pPr>
            <w:r>
              <w:rPr>
                <w:rFonts w:ascii="Liberation Serif" w:hAnsi="Liberation Serif"/>
                <w:sz w:val="15"/>
              </w:rPr>
              <w:t>COND</w:t>
            </w:r>
          </w:p>
        </w:tc>
        <w:tc>
          <w:tcPr>
            <w:tcW w:type="dxa" w:w="1928"/>
            <w:shd w:fill="FFFFFF"/>
            <w:tcMar>
              <w:top w:w="80" w:type="dxa"/>
              <w:start w:w="90" w:type="dxa"/>
              <w:bottom w:w="80" w:type="dxa"/>
              <w:end w:w="90" w:type="dxa"/>
            </w:tcMar>
            <w:vAlign w:val="center"/>
          </w:tcPr>
          <w:p>
            <w:pPr>
              <w:jc w:val="left"/>
            </w:pPr>
            <w:r>
              <w:rPr>
                <w:rFonts w:ascii="Liberation Serif" w:hAnsi="Liberation Serif"/>
                <w:sz w:val="15"/>
              </w:rPr>
              <w:t>Теорема 13.11</w:t>
            </w:r>
          </w:p>
        </w:tc>
        <w:tc>
          <w:tcPr>
            <w:tcW w:type="dxa" w:w="2154"/>
            <w:shd w:fill="FFFFFF"/>
            <w:tcMar>
              <w:top w:w="80" w:type="dxa"/>
              <w:start w:w="90" w:type="dxa"/>
              <w:bottom w:w="80" w:type="dxa"/>
              <w:end w:w="90" w:type="dxa"/>
            </w:tcMar>
            <w:vAlign w:val="center"/>
          </w:tcPr>
          <w:p>
            <w:pPr>
              <w:jc w:val="left"/>
            </w:pPr>
            <w:r>
              <w:rPr>
                <w:rFonts w:ascii="Liberation Serif" w:hAnsi="Liberation Serif"/>
                <w:sz w:val="15"/>
              </w:rPr>
              <w:t>B1-B8 + previous blockers</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T2-PO-121</w:t>
            </w:r>
          </w:p>
        </w:tc>
        <w:tc>
          <w:tcPr>
            <w:tcW w:type="dxa" w:w="2608"/>
            <w:shd w:fill="EEF3F8"/>
            <w:tcMar>
              <w:top w:w="80" w:type="dxa"/>
              <w:start w:w="90" w:type="dxa"/>
              <w:bottom w:w="80" w:type="dxa"/>
              <w:end w:w="90" w:type="dxa"/>
            </w:tcMar>
            <w:vAlign w:val="center"/>
          </w:tcPr>
          <w:p>
            <w:pPr>
              <w:jc w:val="left"/>
            </w:pPr>
            <w:r>
              <w:rPr>
                <w:rFonts w:ascii="Liberation Serif" w:hAnsi="Liberation Serif"/>
                <w:sz w:val="15"/>
              </w:rPr>
              <w:t>Ассоциаторный β_Ass-мост</w:t>
            </w:r>
          </w:p>
        </w:tc>
        <w:tc>
          <w:tcPr>
            <w:tcW w:type="dxa" w:w="1417"/>
            <w:shd w:fill="EEF3F8"/>
            <w:tcMar>
              <w:top w:w="80" w:type="dxa"/>
              <w:start w:w="90" w:type="dxa"/>
              <w:bottom w:w="80" w:type="dxa"/>
              <w:end w:w="90" w:type="dxa"/>
            </w:tcMar>
            <w:vAlign w:val="center"/>
          </w:tcPr>
          <w:p>
            <w:pPr>
              <w:jc w:val="center"/>
            </w:pPr>
            <w:r>
              <w:rPr>
                <w:rFonts w:ascii="Liberation Serif" w:hAnsi="Liberation Serif"/>
                <w:sz w:val="15"/>
              </w:rPr>
              <w:t>OPEN</w:t>
            </w:r>
          </w:p>
        </w:tc>
        <w:tc>
          <w:tcPr>
            <w:tcW w:type="dxa" w:w="1928"/>
            <w:shd w:fill="EEF3F8"/>
            <w:tcMar>
              <w:top w:w="80" w:type="dxa"/>
              <w:start w:w="90" w:type="dxa"/>
              <w:bottom w:w="80" w:type="dxa"/>
              <w:end w:w="90" w:type="dxa"/>
            </w:tcMar>
            <w:vAlign w:val="center"/>
          </w:tcPr>
          <w:p>
            <w:pPr>
              <w:jc w:val="left"/>
            </w:pPr>
            <w:r>
              <w:rPr>
                <w:rFonts w:ascii="Liberation Serif" w:hAnsi="Liberation Serif"/>
                <w:sz w:val="15"/>
              </w:rPr>
              <w:t>§110</w:t>
            </w:r>
          </w:p>
        </w:tc>
        <w:tc>
          <w:tcPr>
            <w:tcW w:type="dxa" w:w="2154"/>
            <w:shd w:fill="EEF3F8"/>
            <w:tcMar>
              <w:top w:w="80" w:type="dxa"/>
              <w:start w:w="90" w:type="dxa"/>
              <w:bottom w:w="80" w:type="dxa"/>
              <w:end w:w="90" w:type="dxa"/>
            </w:tcMar>
            <w:vAlign w:val="center"/>
          </w:tcPr>
          <w:p>
            <w:pPr>
              <w:jc w:val="left"/>
            </w:pPr>
            <w:r>
              <w:rPr>
                <w:rFonts w:ascii="Liberation Serif" w:hAnsi="Liberation Serif"/>
                <w:sz w:val="15"/>
              </w:rPr>
              <w:t>B7</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T2-PO-122</w:t>
            </w:r>
          </w:p>
        </w:tc>
        <w:tc>
          <w:tcPr>
            <w:tcW w:type="dxa" w:w="2608"/>
            <w:shd w:fill="FFFFFF"/>
            <w:tcMar>
              <w:top w:w="80" w:type="dxa"/>
              <w:start w:w="90" w:type="dxa"/>
              <w:bottom w:w="80" w:type="dxa"/>
              <w:end w:w="90" w:type="dxa"/>
            </w:tcMar>
            <w:vAlign w:val="center"/>
          </w:tcPr>
          <w:p>
            <w:pPr>
              <w:jc w:val="left"/>
            </w:pPr>
            <w:r>
              <w:rPr>
                <w:rFonts w:ascii="Liberation Serif" w:hAnsi="Liberation Serif"/>
                <w:sz w:val="15"/>
              </w:rPr>
              <w:t>Физическая редукция</w:t>
            </w:r>
          </w:p>
        </w:tc>
        <w:tc>
          <w:tcPr>
            <w:tcW w:type="dxa" w:w="1417"/>
            <w:shd w:fill="FFFFFF"/>
            <w:tcMar>
              <w:top w:w="80" w:type="dxa"/>
              <w:start w:w="90" w:type="dxa"/>
              <w:bottom w:w="80" w:type="dxa"/>
              <w:end w:w="90" w:type="dxa"/>
            </w:tcMar>
            <w:vAlign w:val="center"/>
          </w:tcPr>
          <w:p>
            <w:pPr>
              <w:jc w:val="center"/>
            </w:pPr>
            <w:r>
              <w:rPr>
                <w:rFonts w:ascii="Liberation Serif" w:hAnsi="Liberation Serif"/>
                <w:sz w:val="15"/>
              </w:rPr>
              <w:t>PHY-HYP/OPEN</w:t>
            </w:r>
          </w:p>
        </w:tc>
        <w:tc>
          <w:tcPr>
            <w:tcW w:type="dxa" w:w="1928"/>
            <w:shd w:fill="FFFFFF"/>
            <w:tcMar>
              <w:top w:w="80" w:type="dxa"/>
              <w:start w:w="90" w:type="dxa"/>
              <w:bottom w:w="80" w:type="dxa"/>
              <w:end w:w="90" w:type="dxa"/>
            </w:tcMar>
            <w:vAlign w:val="center"/>
          </w:tcPr>
          <w:p>
            <w:pPr>
              <w:jc w:val="left"/>
            </w:pPr>
            <w:r>
              <w:rPr>
                <w:rFonts w:ascii="Liberation Serif" w:hAnsi="Liberation Serif"/>
                <w:sz w:val="15"/>
              </w:rPr>
              <w:t>Том III</w:t>
            </w:r>
          </w:p>
        </w:tc>
        <w:tc>
          <w:tcPr>
            <w:tcW w:type="dxa" w:w="2154"/>
            <w:shd w:fill="FFFFFF"/>
            <w:tcMar>
              <w:top w:w="80" w:type="dxa"/>
              <w:start w:w="90" w:type="dxa"/>
              <w:bottom w:w="80" w:type="dxa"/>
              <w:end w:w="90" w:type="dxa"/>
            </w:tcMar>
            <w:vAlign w:val="center"/>
          </w:tcPr>
          <w:p>
            <w:pPr>
              <w:jc w:val="left"/>
            </w:pPr>
            <w:r>
              <w:rPr>
                <w:rFonts w:ascii="Liberation Serif" w:hAnsi="Liberation Serif"/>
                <w:sz w:val="15"/>
              </w:rPr>
              <w:t>B8 + data</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T2-PO-123</w:t>
            </w:r>
          </w:p>
        </w:tc>
        <w:tc>
          <w:tcPr>
            <w:tcW w:type="dxa" w:w="2608"/>
            <w:shd w:fill="EEF3F8"/>
            <w:tcMar>
              <w:top w:w="80" w:type="dxa"/>
              <w:start w:w="90" w:type="dxa"/>
              <w:bottom w:w="80" w:type="dxa"/>
              <w:end w:w="90" w:type="dxa"/>
            </w:tcMar>
            <w:vAlign w:val="center"/>
          </w:tcPr>
          <w:p>
            <w:pPr>
              <w:jc w:val="left"/>
            </w:pPr>
            <w:r>
              <w:rPr>
                <w:rFonts w:ascii="Liberation Serif" w:hAnsi="Liberation Serif"/>
                <w:sz w:val="15"/>
              </w:rPr>
              <w:t>Banach/Hilbert external layer</w:t>
            </w:r>
          </w:p>
        </w:tc>
        <w:tc>
          <w:tcPr>
            <w:tcW w:type="dxa" w:w="1417"/>
            <w:shd w:fill="EEF3F8"/>
            <w:tcMar>
              <w:top w:w="80" w:type="dxa"/>
              <w:start w:w="90" w:type="dxa"/>
              <w:bottom w:w="80" w:type="dxa"/>
              <w:end w:w="90" w:type="dxa"/>
            </w:tcMar>
            <w:vAlign w:val="center"/>
          </w:tcPr>
          <w:p>
            <w:pPr>
              <w:jc w:val="center"/>
            </w:pPr>
            <w:r>
              <w:rPr>
                <w:rFonts w:ascii="Liberation Serif" w:hAnsi="Liberation Serif"/>
                <w:sz w:val="15"/>
              </w:rPr>
              <w:t>OPEN</w:t>
            </w:r>
          </w:p>
        </w:tc>
        <w:tc>
          <w:tcPr>
            <w:tcW w:type="dxa" w:w="1928"/>
            <w:shd w:fill="EEF3F8"/>
            <w:tcMar>
              <w:top w:w="80" w:type="dxa"/>
              <w:start w:w="90" w:type="dxa"/>
              <w:bottom w:w="80" w:type="dxa"/>
              <w:end w:w="90" w:type="dxa"/>
            </w:tcMar>
            <w:vAlign w:val="center"/>
          </w:tcPr>
          <w:p>
            <w:pPr>
              <w:jc w:val="left"/>
            </w:pPr>
            <w:r>
              <w:rPr>
                <w:rFonts w:ascii="Liberation Serif" w:hAnsi="Liberation Serif"/>
                <w:sz w:val="15"/>
              </w:rPr>
              <w:t>-</w:t>
            </w:r>
          </w:p>
        </w:tc>
        <w:tc>
          <w:tcPr>
            <w:tcW w:type="dxa" w:w="2154"/>
            <w:shd w:fill="EEF3F8"/>
            <w:tcMar>
              <w:top w:w="80" w:type="dxa"/>
              <w:start w:w="90" w:type="dxa"/>
              <w:bottom w:w="80" w:type="dxa"/>
              <w:end w:w="90" w:type="dxa"/>
            </w:tcMar>
            <w:vAlign w:val="center"/>
          </w:tcPr>
          <w:p>
            <w:pPr>
              <w:jc w:val="left"/>
            </w:pPr>
            <w:r>
              <w:rPr>
                <w:rFonts w:ascii="Liberation Serif" w:hAnsi="Liberation Serif"/>
                <w:sz w:val="15"/>
              </w:rPr>
              <w:t>closed range/Fredholm</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T2-PO-124</w:t>
            </w:r>
          </w:p>
        </w:tc>
        <w:tc>
          <w:tcPr>
            <w:tcW w:type="dxa" w:w="2608"/>
            <w:shd w:fill="FFFFFF"/>
            <w:tcMar>
              <w:top w:w="80" w:type="dxa"/>
              <w:start w:w="90" w:type="dxa"/>
              <w:bottom w:w="80" w:type="dxa"/>
              <w:end w:w="90" w:type="dxa"/>
            </w:tcMar>
            <w:vAlign w:val="center"/>
          </w:tcPr>
          <w:p>
            <w:pPr>
              <w:jc w:val="left"/>
            </w:pPr>
            <w:r>
              <w:rPr>
                <w:rFonts w:ascii="Liberation Serif" w:hAnsi="Liberation Serif"/>
                <w:sz w:val="15"/>
              </w:rPr>
              <w:t>Независимый доменный запуск</w:t>
            </w:r>
          </w:p>
        </w:tc>
        <w:tc>
          <w:tcPr>
            <w:tcW w:type="dxa" w:w="1417"/>
            <w:shd w:fill="FFFFFF"/>
            <w:tcMar>
              <w:top w:w="80" w:type="dxa"/>
              <w:start w:w="90" w:type="dxa"/>
              <w:bottom w:w="80" w:type="dxa"/>
              <w:end w:w="90" w:type="dxa"/>
            </w:tcMar>
            <w:vAlign w:val="center"/>
          </w:tcPr>
          <w:p>
            <w:pPr>
              <w:jc w:val="center"/>
            </w:pPr>
            <w:r>
              <w:rPr>
                <w:rFonts w:ascii="Liberation Serif" w:hAnsi="Liberation Serif"/>
                <w:sz w:val="15"/>
              </w:rPr>
              <w:t>OPEN</w:t>
            </w:r>
          </w:p>
        </w:tc>
        <w:tc>
          <w:tcPr>
            <w:tcW w:type="dxa" w:w="1928"/>
            <w:shd w:fill="FFFFFF"/>
            <w:tcMar>
              <w:top w:w="80" w:type="dxa"/>
              <w:start w:w="90" w:type="dxa"/>
              <w:bottom w:w="80" w:type="dxa"/>
              <w:end w:w="90" w:type="dxa"/>
            </w:tcMar>
            <w:vAlign w:val="center"/>
          </w:tcPr>
          <w:p>
            <w:pPr>
              <w:jc w:val="left"/>
            </w:pPr>
            <w:r>
              <w:rPr>
                <w:rFonts w:ascii="Liberation Serif" w:hAnsi="Liberation Serif"/>
                <w:sz w:val="15"/>
              </w:rPr>
              <w:t>-</w:t>
            </w:r>
          </w:p>
        </w:tc>
        <w:tc>
          <w:tcPr>
            <w:tcW w:type="dxa" w:w="2154"/>
            <w:shd w:fill="FFFFFF"/>
            <w:tcMar>
              <w:top w:w="80" w:type="dxa"/>
              <w:start w:w="90" w:type="dxa"/>
              <w:bottom w:w="80" w:type="dxa"/>
              <w:end w:w="90" w:type="dxa"/>
            </w:tcMar>
            <w:vAlign w:val="center"/>
          </w:tcPr>
          <w:p>
            <w:pPr>
              <w:jc w:val="left"/>
            </w:pPr>
            <w:r>
              <w:rPr>
                <w:rFonts w:ascii="Liberation Serif" w:hAnsi="Liberation Serif"/>
                <w:sz w:val="15"/>
              </w:rPr>
              <w:t>preregistration/data</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T2-PO-125</w:t>
            </w:r>
          </w:p>
        </w:tc>
        <w:tc>
          <w:tcPr>
            <w:tcW w:type="dxa" w:w="2608"/>
            <w:shd w:fill="EEF3F8"/>
            <w:tcMar>
              <w:top w:w="80" w:type="dxa"/>
              <w:start w:w="90" w:type="dxa"/>
              <w:bottom w:w="80" w:type="dxa"/>
              <w:end w:w="90" w:type="dxa"/>
            </w:tcMar>
            <w:vAlign w:val="center"/>
          </w:tcPr>
          <w:p>
            <w:pPr>
              <w:jc w:val="left"/>
            </w:pPr>
            <w:r>
              <w:rPr>
                <w:rFonts w:ascii="Liberation Serif" w:hAnsi="Liberation Serif"/>
                <w:sz w:val="15"/>
              </w:rPr>
              <w:t>Machine-verifiable EXT-E certificate</w:t>
            </w:r>
          </w:p>
        </w:tc>
        <w:tc>
          <w:tcPr>
            <w:tcW w:type="dxa" w:w="1417"/>
            <w:shd w:fill="EEF3F8"/>
            <w:tcMar>
              <w:top w:w="80" w:type="dxa"/>
              <w:start w:w="90" w:type="dxa"/>
              <w:bottom w:w="80" w:type="dxa"/>
              <w:end w:w="90" w:type="dxa"/>
            </w:tcMar>
            <w:vAlign w:val="center"/>
          </w:tcPr>
          <w:p>
            <w:pPr>
              <w:jc w:val="center"/>
            </w:pPr>
            <w:r>
              <w:rPr>
                <w:rFonts w:ascii="Liberation Serif" w:hAnsi="Liberation Serif"/>
                <w:sz w:val="15"/>
              </w:rPr>
              <w:t>COMP/OPEN</w:t>
            </w:r>
          </w:p>
        </w:tc>
        <w:tc>
          <w:tcPr>
            <w:tcW w:type="dxa" w:w="1928"/>
            <w:shd w:fill="EEF3F8"/>
            <w:tcMar>
              <w:top w:w="80" w:type="dxa"/>
              <w:start w:w="90" w:type="dxa"/>
              <w:bottom w:w="80" w:type="dxa"/>
              <w:end w:w="90" w:type="dxa"/>
            </w:tcMar>
            <w:vAlign w:val="center"/>
          </w:tcPr>
          <w:p>
            <w:pPr>
              <w:jc w:val="left"/>
            </w:pPr>
            <w:r>
              <w:rPr>
                <w:rFonts w:ascii="Liberation Serif" w:hAnsi="Liberation Serif"/>
                <w:sz w:val="15"/>
              </w:rPr>
              <w:t>E-01-E-16</w:t>
            </w:r>
          </w:p>
        </w:tc>
        <w:tc>
          <w:tcPr>
            <w:tcW w:type="dxa" w:w="2154"/>
            <w:shd w:fill="EEF3F8"/>
            <w:tcMar>
              <w:top w:w="80" w:type="dxa"/>
              <w:start w:w="90" w:type="dxa"/>
              <w:bottom w:w="80" w:type="dxa"/>
              <w:end w:w="90" w:type="dxa"/>
            </w:tcMar>
            <w:vAlign w:val="center"/>
          </w:tcPr>
          <w:p>
            <w:pPr>
              <w:jc w:val="left"/>
            </w:pPr>
            <w:r>
              <w:rPr>
                <w:rFonts w:ascii="Liberation Serif" w:hAnsi="Liberation Serif"/>
                <w:sz w:val="15"/>
              </w:rPr>
              <w:t>implementation audit</w:t>
            </w:r>
          </w:p>
        </w:tc>
      </w:tr>
    </w:tbl>
    <w:p>
      <w:pPr>
        <w:pStyle w:val="Heading1"/>
        <w:keepNext/>
      </w:pPr>
      <w:r>
        <w:t>114. Prior art и граница авторского вклада</w:t>
      </w:r>
    </w:p>
    <w:p>
      <w:pPr/>
      <w:r>
        <w:t>Стандартный математический слой включает морфизмы комплексов, индуцированные отображения когомологий, цепные гомотопии, mapping cones, длинные точные последовательности и квазиизоморфизмы. Авторский вклад проекта состоит в выборе конкретного внутреннего NAPG-комплекса C_min, его сопряжении с Reper(R,I,U;D), внешнем контракте B1-B8, разделении Blind/Excess defects и включении этих объектов в blocker-safe предсказательную архитектуру KLT-RBD.</w:t>
      </w:r>
    </w:p>
    <w:p>
      <w:pPr/>
      <w:r>
        <w:t>[V0.10-1] The Stacks Project. Complexes and homotopies, Tag 010V; quasi-isomorphisms, Tag 0115.</w:t>
      </w:r>
    </w:p>
    <w:p>
      <w:pPr/>
      <w:r>
        <w:t>[V0.10-2] The Stacks Project. Cones, Tag 09K9; cones and termwise split sequences, Tag 014D.</w:t>
      </w:r>
    </w:p>
    <w:p>
      <w:pPr/>
      <w:r>
        <w:t>[V0.10-3] The Stacks Project. Long exact cohomology sequence, Tag 0117.</w:t>
      </w:r>
    </w:p>
    <w:p>
      <w:pPr/>
      <w:r>
        <w:t>[V0.10-4] Weibel, C. A. An Introduction to Homological Algebra. Cambridge Studies in Advanced Mathematics 38, 1994.</w:t>
      </w:r>
    </w:p>
    <w:p>
      <w:pPr/>
      <w:r>
        <w:t>[V0.10-5] Kurpishev, I. B. Том I v197 RU, §§26.32-26.36 и §§52.6-52.18; Том II T2-RP-v0.1-v0.9.</w:t>
      </w:r>
    </w:p>
    <w:p>
      <w:pPr/>
      <w:r>
        <w:t>Граница новизны. Ни mapping cone, ни chain homotopy, ни индуцированная карта когомологий не заявляются как новые общие конструкции. Новизна связывается с их конкретным типизированным применением в NAPG 3.0 и с доказательной дисциплиной KLT-RBD, запрещающей обратную, ассоциаторную и физическую интерпретацию без соответствующих мостов.</w:t>
      </w:r>
    </w:p>
    <w:p>
      <w:pPr>
        <w:pStyle w:val="Heading1"/>
        <w:keepNext/>
      </w:pPr>
      <w:r>
        <w:t>115. Итог главы и контрольная точка T2-RP-v0.10</w:t>
      </w:r>
    </w:p>
    <w:tbl>
      <w:tblPr>
        <w:tblStyle w:val="TableGrid"/>
        <w:tblW w:type="auto" w:w="0"/>
        <w:jc w:val="center"/>
        <w:tblLayout w:type="fixed"/>
        <w:tblLook w:firstColumn="1" w:firstRow="1" w:lastColumn="0" w:lastRow="0" w:noHBand="0" w:noVBand="1" w:val="04A0"/>
      </w:tblPr>
      <w:tblGrid>
        <w:gridCol w:w="4876"/>
        <w:gridCol w:w="4876"/>
      </w:tblGrid>
      <w:tr>
        <w:tc>
          <w:tcPr>
            <w:tcW w:type="dxa" w:w="2835"/>
            <w:shd w:fill="DCE6F1"/>
            <w:tcMar>
              <w:top w:w="110" w:type="dxa"/>
              <w:start w:w="130" w:type="dxa"/>
              <w:bottom w:w="110" w:type="dxa"/>
              <w:end w:w="130" w:type="dxa"/>
            </w:tcMar>
            <w:vAlign w:val="center"/>
          </w:tcPr>
          <w:p>
            <w:r>
              <w:rPr>
                <w:rFonts w:ascii="Liberation Sans" w:hAnsi="Liberation Sans"/>
                <w:b/>
                <w:sz w:val="18"/>
              </w:rPr>
              <w:t>Доказано</w:t>
            </w:r>
          </w:p>
        </w:tc>
        <w:tc>
          <w:tcPr>
            <w:tcW w:type="dxa" w:w="6520"/>
            <w:shd w:fill="FFFFFF"/>
            <w:tcMar>
              <w:top w:w="110" w:type="dxa"/>
              <w:start w:w="130" w:type="dxa"/>
              <w:bottom w:w="110" w:type="dxa"/>
              <w:end w:w="130" w:type="dxa"/>
            </w:tcMar>
            <w:vAlign w:val="center"/>
          </w:tcPr>
          <w:p>
            <w:r>
              <w:rPr>
                <w:rFonts w:ascii="Liberation Serif" w:hAnsi="Liberation Serif"/>
                <w:sz w:val="18"/>
              </w:rPr>
              <w:t>Критерий спуска J³ на coker Ψ; корректность Π_E; односторонняя детекция; критерий обратной детекции; mapping-cone exact sequence; Blind/Excess defects; chain-homotopy invariance; конечномерная стабильная инъективность.</w:t>
            </w:r>
          </w:p>
        </w:tc>
      </w:tr>
      <w:tr>
        <w:tc>
          <w:tcPr>
            <w:tcW w:type="dxa" w:w="2835"/>
            <w:shd w:fill="EEF3F8"/>
            <w:tcMar>
              <w:top w:w="110" w:type="dxa"/>
              <w:start w:w="130" w:type="dxa"/>
              <w:bottom w:w="110" w:type="dxa"/>
              <w:end w:w="130" w:type="dxa"/>
            </w:tcMar>
            <w:vAlign w:val="center"/>
          </w:tcPr>
          <w:p>
            <w:r>
              <w:rPr>
                <w:rFonts w:ascii="Liberation Sans" w:hAnsi="Liberation Sans"/>
                <w:b/>
                <w:sz w:val="18"/>
              </w:rPr>
              <w:t>Условно</w:t>
            </w:r>
          </w:p>
        </w:tc>
        <w:tc>
          <w:tcPr>
            <w:tcW w:type="dxa" w:w="6520"/>
            <w:shd w:fill="F8FAFC"/>
            <w:tcMar>
              <w:top w:w="110" w:type="dxa"/>
              <w:start w:w="130" w:type="dxa"/>
              <w:bottom w:w="110" w:type="dxa"/>
              <w:end w:w="130" w:type="dxa"/>
            </w:tcMar>
            <w:vAlign w:val="center"/>
          </w:tcPr>
          <w:p>
            <w:r>
              <w:rPr>
                <w:rFonts w:ascii="Liberation Serif" w:hAnsi="Liberation Serif"/>
                <w:sz w:val="18"/>
              </w:rPr>
              <w:t>Естественность требует B3-B5; обратная детекция требует B6; predictive theorem требует B1-B8, постоянных рангов, D/Dom и закрытия предыдущих блокеров.</w:t>
            </w:r>
          </w:p>
        </w:tc>
      </w:tr>
      <w:tr>
        <w:tc>
          <w:tcPr>
            <w:tcW w:type="dxa" w:w="2835"/>
            <w:shd w:fill="DCE6F1"/>
            <w:tcMar>
              <w:top w:w="110" w:type="dxa"/>
              <w:start w:w="130" w:type="dxa"/>
              <w:bottom w:w="110" w:type="dxa"/>
              <w:end w:w="130" w:type="dxa"/>
            </w:tcMar>
            <w:vAlign w:val="center"/>
          </w:tcPr>
          <w:p>
            <w:r>
              <w:rPr>
                <w:rFonts w:ascii="Liberation Sans" w:hAnsi="Liberation Sans"/>
                <w:b/>
                <w:sz w:val="18"/>
              </w:rPr>
              <w:t>Опровергнуто</w:t>
            </w:r>
          </w:p>
        </w:tc>
        <w:tc>
          <w:tcPr>
            <w:tcW w:type="dxa" w:w="6520"/>
            <w:shd w:fill="FFFFFF"/>
            <w:tcMar>
              <w:top w:w="110" w:type="dxa"/>
              <w:start w:w="130" w:type="dxa"/>
              <w:bottom w:w="110" w:type="dxa"/>
              <w:end w:w="130" w:type="dxa"/>
            </w:tcMar>
            <w:vAlign w:val="center"/>
          </w:tcPr>
          <w:p>
            <w:r>
              <w:rPr>
                <w:rFonts w:ascii="Liberation Serif" w:hAnsi="Liberation Serif"/>
                <w:sz w:val="18"/>
              </w:rPr>
              <w:t>Автоматические выводы внешний ноль=&gt;внутренний ноль; H³(E)≠0=&gt;внутреннее препятствие; равные размерности=&gt;изоморфизм; Π_E=&gt;ассоциатор или физика.</w:t>
            </w:r>
          </w:p>
        </w:tc>
      </w:tr>
      <w:tr>
        <w:tc>
          <w:tcPr>
            <w:tcW w:type="dxa" w:w="2835"/>
            <w:shd w:fill="EEF3F8"/>
            <w:tcMar>
              <w:top w:w="110" w:type="dxa"/>
              <w:start w:w="130" w:type="dxa"/>
              <w:bottom w:w="110" w:type="dxa"/>
              <w:end w:w="130" w:type="dxa"/>
            </w:tcMar>
            <w:vAlign w:val="center"/>
          </w:tcPr>
          <w:p>
            <w:r>
              <w:rPr>
                <w:rFonts w:ascii="Liberation Sans" w:hAnsi="Liberation Sans"/>
                <w:b/>
                <w:sz w:val="18"/>
              </w:rPr>
              <w:t>Открыто</w:t>
            </w:r>
          </w:p>
        </w:tc>
        <w:tc>
          <w:tcPr>
            <w:tcW w:type="dxa" w:w="6520"/>
            <w:shd w:fill="F8FAFC"/>
            <w:tcMar>
              <w:top w:w="110" w:type="dxa"/>
              <w:start w:w="130" w:type="dxa"/>
              <w:bottom w:w="110" w:type="dxa"/>
              <w:end w:w="130" w:type="dxa"/>
            </w:tcMar>
            <w:vAlign w:val="center"/>
          </w:tcPr>
          <w:p>
            <w:r>
              <w:rPr>
                <w:rFonts w:ascii="Liberation Serif" w:hAnsi="Liberation Serif"/>
                <w:sz w:val="18"/>
              </w:rPr>
              <w:t>Canonical external realization category, β_Ass, Banach/Hilbert-Fredholm слой, независимый доменный запуск и B8-редукция.</w:t>
            </w:r>
          </w:p>
        </w:tc>
      </w:tr>
      <w:tr>
        <w:tc>
          <w:tcPr>
            <w:tcW w:type="dxa" w:w="2835"/>
            <w:shd w:fill="DCE6F1"/>
            <w:tcMar>
              <w:top w:w="110" w:type="dxa"/>
              <w:start w:w="130" w:type="dxa"/>
              <w:bottom w:w="110" w:type="dxa"/>
              <w:end w:w="130" w:type="dxa"/>
            </w:tcMar>
            <w:vAlign w:val="center"/>
          </w:tcPr>
          <w:p>
            <w:r>
              <w:rPr>
                <w:rFonts w:ascii="Liberation Sans" w:hAnsi="Liberation Sans"/>
                <w:b/>
                <w:sz w:val="18"/>
              </w:rPr>
              <w:t>Следующая точка</w:t>
            </w:r>
          </w:p>
        </w:tc>
        <w:tc>
          <w:tcPr>
            <w:tcW w:type="dxa" w:w="6520"/>
            <w:shd w:fill="FFFFFF"/>
            <w:tcMar>
              <w:top w:w="110" w:type="dxa"/>
              <w:start w:w="130" w:type="dxa"/>
              <w:bottom w:w="110" w:type="dxa"/>
              <w:end w:w="130" w:type="dxa"/>
            </w:tcMar>
            <w:vAlign w:val="center"/>
          </w:tcPr>
          <w:p>
            <w:r>
              <w:rPr>
                <w:rFonts w:ascii="Liberation Serif" w:hAnsi="Liberation Serif"/>
                <w:sz w:val="18"/>
              </w:rPr>
              <w:t>T2-RP-v0.11: глава 14 - пространства препятствий, projectivization, стратифицированные carriers и критерии потери информации при проектировании.</w:t>
            </w:r>
          </w:p>
        </w:tc>
      </w:tr>
    </w:tbl>
    <w:p>
      <w:pPr>
        <w:keepLines/>
        <w:spacing w:before="80" w:after="80"/>
        <w:jc w:val="center"/>
      </w:pPr>
      <w:r>
        <w:rPr>
          <w:rFonts w:ascii="Liberation Serif" w:hAnsi="Liberation Serif"/>
          <w:i/>
          <w:sz w:val="23"/>
        </w:rPr>
        <w:t>truth_layer_promotion=0;  checkpoint=T2-RP-v0.10;  next=T2-RP-v0.11.</w:t>
      </w:r>
      <w:r>
        <w:rPr>
          <w:sz w:val="21"/>
        </w:rPr>
        <w:t xml:space="preserve">     (13.32)</w:t>
      </w:r>
    </w:p>
    <w:p>
      <w:pPr>
        <w:pStyle w:val="Lead"/>
      </w:pPr>
      <w:r>
        <w:t>Следующая сборка tom2_v0_11 развивает геометрию самих пространств препятствий и их проективных носителей, не меняя статусов ПН.2, F-1-F-14 и физических мостов.</w:t>
      </w:r>
    </w:p>
    <w:p>
      <w:pPr>
        <w:pStyle w:val="Small"/>
      </w:pPr>
      <w:r>
        <w:t>checkpoint=T2-RP-v0.10; source=T2-RP-v0.9; truth_layer_promotion=0; next=T2-RP-v0.11.</w:t>
      </w:r>
    </w:p>
    <w:p>
      <w:r>
        <w:br w:type="page"/>
      </w:r>
    </w:p>
    <w:p>
      <w:pPr>
        <w:pStyle w:val="Heading1"/>
        <w:keepNext/>
      </w:pPr>
      <w:r>
        <w:t>116. Глава 14. Пространства препятствий и проективные носители</w:t>
      </w:r>
    </w:p>
    <w:tbl>
      <w:tblPr>
        <w:tblStyle w:val="TableGrid"/>
        <w:tblW w:type="auto" w:w="0"/>
        <w:jc w:val="center"/>
        <w:tblLook w:firstColumn="1" w:firstRow="1" w:lastColumn="0" w:lastRow="0" w:noHBand="0" w:noVBand="1" w:val="04A0"/>
      </w:tblPr>
      <w:tblGrid>
        <w:gridCol w:w="9752"/>
      </w:tblGrid>
      <w:tr>
        <w:tc>
          <w:tcPr>
            <w:tcW w:type="dxa" w:w="9752"/>
            <w:tcMar>
              <w:top w:w="160" w:type="dxa"/>
              <w:start w:w="180" w:type="dxa"/>
              <w:bottom w:w="160" w:type="dxa"/>
              <w:end w:w="180" w:type="dxa"/>
            </w:tcMar>
            <w:shd w:fill="DCE6F1"/>
          </w:tcPr>
          <w:p>
            <w:r>
              <w:rPr>
                <w:b/>
                <w:color w:val="1F4E79"/>
                <w:sz w:val="21"/>
              </w:rPr>
              <w:t>ОНТОЛОГИЧЕСКИЙ БЛОК</w:t>
            </w:r>
          </w:p>
          <w:p>
            <w:pPr>
              <w:spacing w:after="0"/>
            </w:pPr>
            <w:r>
              <w:rPr>
                <w:sz w:val="19"/>
              </w:rPr>
              <w:t>Препятствие существует прежде своей проективной тени. Вектор o∈O_B несёт нулевой статус, масштаб, знак, направление и происхождение; точка [o]∈P(O_B) сохраняет только одномерное направление ненулевого класса. Проективизация полезна как геометрия типов, но она не является полным онтологическим описанием препятствия.</w:t>
            </w:r>
          </w:p>
        </w:tc>
      </w:tr>
    </w:tbl>
    <w:p/>
    <w:tbl>
      <w:tblPr>
        <w:tblStyle w:val="TableGrid"/>
        <w:tblW w:type="auto" w:w="0"/>
        <w:jc w:val="center"/>
        <w:tblLook w:firstColumn="1" w:firstRow="1" w:lastColumn="0" w:lastRow="0" w:noHBand="0" w:noVBand="1" w:val="04A0"/>
      </w:tblPr>
      <w:tblGrid>
        <w:gridCol w:w="9752"/>
      </w:tblGrid>
      <w:tr>
        <w:tc>
          <w:tcPr>
            <w:tcW w:type="dxa" w:w="9752"/>
            <w:tcMar>
              <w:top w:w="160" w:type="dxa"/>
              <w:start w:w="180" w:type="dxa"/>
              <w:bottom w:w="160" w:type="dxa"/>
              <w:end w:w="180" w:type="dxa"/>
            </w:tcMar>
            <w:shd w:fill="FFF2CC"/>
          </w:tcPr>
          <w:p>
            <w:r>
              <w:rPr>
                <w:b/>
                <w:color w:val="1F4E79"/>
                <w:sz w:val="21"/>
              </w:rPr>
              <w:t>ГНОСЕОЛОГИЧЕСКИЙ БЛОК</w:t>
            </w:r>
          </w:p>
          <w:p>
            <w:pPr>
              <w:spacing w:after="0"/>
            </w:pPr>
            <w:r>
              <w:rPr>
                <w:sz w:val="19"/>
              </w:rPr>
              <w:t>Переход к P(O_B) является контролируемым забыванием. Поэтому каждый результат обязан сопровождаться журналом утраченных данных: ZERO, SCALE, SIGN, NORM, PROVENANCE, LIFT и DOMAIN. Иначе красивый проективный рисунок начинает изображать знание, которого в нём уже нет.</w:t>
            </w:r>
          </w:p>
        </w:tc>
      </w:tr>
    </w:tbl>
    <w:p/>
    <w:tbl>
      <w:tblPr>
        <w:tblStyle w:val="TableGrid"/>
        <w:tblW w:type="auto" w:w="0"/>
        <w:jc w:val="center"/>
        <w:tblLook w:firstColumn="1" w:firstRow="1" w:lastColumn="0" w:lastRow="0" w:noHBand="0" w:noVBand="1" w:val="04A0"/>
      </w:tblPr>
      <w:tblGrid>
        <w:gridCol w:w="9752"/>
      </w:tblGrid>
      <w:tr>
        <w:tc>
          <w:tcPr>
            <w:tcW w:type="dxa" w:w="9752"/>
            <w:tcMar>
              <w:top w:w="160" w:type="dxa"/>
              <w:start w:w="180" w:type="dxa"/>
              <w:bottom w:w="160" w:type="dxa"/>
              <w:end w:w="180" w:type="dxa"/>
            </w:tcMar>
            <w:shd w:fill="E2F0D9"/>
          </w:tcPr>
          <w:p>
            <w:r>
              <w:rPr>
                <w:b/>
                <w:color w:val="1F4E79"/>
                <w:sz w:val="21"/>
              </w:rPr>
              <w:t>ФЕНОМЕНОЛОГИЧЕСКИЙ БЛОК</w:t>
            </w:r>
          </w:p>
          <w:p>
            <w:pPr>
              <w:spacing w:after="0"/>
            </w:pPr>
            <w:r>
              <w:rPr>
                <w:sz w:val="19"/>
              </w:rPr>
              <w:t>Наблюдателю часто важнее направление структурного конфликта, чем его абсолютная величина. Именно это оправдывает projective carrier. Но близость направлений не равна близости величин и не гарантирует одинаковой реализуемости сценариев.</w:t>
            </w:r>
          </w:p>
        </w:tc>
      </w:tr>
    </w:tbl>
    <w:p/>
    <w:tbl>
      <w:tblPr>
        <w:tblStyle w:val="TableGrid"/>
        <w:tblW w:type="auto" w:w="0"/>
        <w:jc w:val="center"/>
        <w:tblLook w:firstColumn="1" w:firstRow="1" w:lastColumn="0" w:lastRow="0" w:noHBand="0" w:noVBand="1" w:val="04A0"/>
      </w:tblPr>
      <w:tblGrid>
        <w:gridCol w:w="9752"/>
      </w:tblGrid>
      <w:tr>
        <w:tc>
          <w:tcPr>
            <w:tcW w:type="dxa" w:w="9752"/>
            <w:tcMar>
              <w:top w:w="160" w:type="dxa"/>
              <w:start w:w="180" w:type="dxa"/>
              <w:bottom w:w="160" w:type="dxa"/>
              <w:end w:w="180" w:type="dxa"/>
            </w:tcMar>
            <w:shd w:fill="FCE4D6"/>
          </w:tcPr>
          <w:p>
            <w:r>
              <w:rPr>
                <w:b/>
                <w:color w:val="1F4E79"/>
                <w:sz w:val="21"/>
              </w:rPr>
              <w:t>ОГРАНИЧИТЕЛЬНЫЙ БЛОК</w:t>
            </w:r>
          </w:p>
          <w:p>
            <w:pPr>
              <w:spacing w:after="0"/>
            </w:pPr>
            <w:r>
              <w:rPr>
                <w:sz w:val="19"/>
              </w:rPr>
              <w:t>Ни P(O_B), ни его страта, ни пересечение projective horizon не означают физическое событие. Они задают внутренний класс, тип потери информации или кандидата структурного перехода в пределах модели. truth_layer_promotion=0.</w:t>
            </w:r>
          </w:p>
        </w:tc>
      </w:tr>
    </w:tbl>
    <w:p/>
    <w:p>
      <w:pPr>
        <w:pStyle w:val="Heading2"/>
        <w:keepNext/>
      </w:pPr>
      <w:r>
        <w:t>116.1. Векторный носитель препятствий</w:t>
      </w:r>
    </w:p>
    <w:p>
      <w:r>
        <w:t>Пусть для NAPG-кадра N внутренний минимальный комплекс даёт векторное пространство препятствий</w:t>
      </w:r>
    </w:p>
    <w:p>
      <w:pPr>
        <w:pStyle w:val="Quote"/>
        <w:jc w:val="center"/>
      </w:pPr>
      <w:r>
        <w:rPr>
          <w:rFonts w:ascii="Cambria Math" w:hAnsi="Cambria Math"/>
          <w:sz w:val="22"/>
        </w:rPr>
        <w:t>O_B(N) = H³(C_min(N)) = X_N² / Im Ψ_N².</w:t>
      </w:r>
      <w:r>
        <w:t xml:space="preserve">    (14.1)</w:t>
      </w:r>
    </w:p>
    <w:p>
      <w:r>
        <w:t>Носитель препятствий понимается как пятикомпонентный объект, а не как голое множество классов:</w:t>
      </w:r>
    </w:p>
    <w:p>
      <w:pPr>
        <w:pStyle w:val="Quote"/>
        <w:jc w:val="center"/>
      </w:pPr>
      <w:r>
        <w:rPr>
          <w:rFonts w:ascii="Cambria Math" w:hAnsi="Cambria Math"/>
          <w:sz w:val="22"/>
        </w:rPr>
        <w:t>Car_B(N) = (O_B, 0_B, Fil_B, Prov_B, Dom_B).</w:t>
      </w:r>
      <w:r>
        <w:t xml:space="preserve">    (14.2)</w:t>
      </w:r>
    </w:p>
    <w:p>
      <w:r>
        <w:t>Здесь 0_B отмечает нулевой класс; Fil_B является выбранной фильтрацией или стратификацией; Prov_B хранит происхождение представителя и цепочку источников; Dom_B фиксирует область допустимости. Последние два слоя не выводятся из структуры векторного пространства и должны передаваться отдельно.</w:t>
      </w:r>
    </w:p>
    <w:tbl>
      <w:tblPr>
        <w:tblStyle w:val="TableGrid"/>
        <w:tblW w:type="auto" w:w="0"/>
        <w:jc w:val="center"/>
        <w:tblLook w:firstColumn="1" w:firstRow="1" w:lastColumn="0" w:lastRow="0" w:noHBand="0" w:noVBand="1" w:val="04A0"/>
      </w:tblPr>
      <w:tblGrid>
        <w:gridCol w:w="2438"/>
        <w:gridCol w:w="2438"/>
        <w:gridCol w:w="2438"/>
        <w:gridCol w:w="2438"/>
      </w:tblGrid>
      <w:tr>
        <w:tc>
          <w:tcPr>
            <w:tcW w:type="dxa" w:w="1656"/>
            <w:shd w:fill="1F4E78"/>
            <w:vAlign w:val="center"/>
            <w:tcMar>
              <w:top w:w="100" w:type="dxa"/>
              <w:start w:w="120" w:type="dxa"/>
              <w:bottom w:w="100" w:type="dxa"/>
              <w:end w:w="120" w:type="dxa"/>
            </w:tcMar>
          </w:tcPr>
          <w:p>
            <w:r>
              <w:rPr>
                <w:b/>
                <w:color w:val="FFFFFF"/>
                <w:sz w:val="18"/>
              </w:rPr>
              <w:t>Компонент</w:t>
            </w:r>
          </w:p>
        </w:tc>
        <w:tc>
          <w:tcPr>
            <w:tcW w:type="dxa" w:w="1800"/>
            <w:shd w:fill="1F4E78"/>
            <w:vAlign w:val="center"/>
            <w:tcMar>
              <w:top w:w="100" w:type="dxa"/>
              <w:start w:w="120" w:type="dxa"/>
              <w:bottom w:w="100" w:type="dxa"/>
              <w:end w:w="120" w:type="dxa"/>
            </w:tcMar>
          </w:tcPr>
          <w:p>
            <w:r>
              <w:rPr>
                <w:b/>
                <w:color w:val="FFFFFF"/>
                <w:sz w:val="18"/>
              </w:rPr>
              <w:t>Тип</w:t>
            </w:r>
          </w:p>
        </w:tc>
        <w:tc>
          <w:tcPr>
            <w:tcW w:type="dxa" w:w="3672"/>
            <w:shd w:fill="1F4E78"/>
            <w:vAlign w:val="center"/>
            <w:tcMar>
              <w:top w:w="100" w:type="dxa"/>
              <w:start w:w="120" w:type="dxa"/>
              <w:bottom w:w="100" w:type="dxa"/>
              <w:end w:w="120" w:type="dxa"/>
            </w:tcMar>
          </w:tcPr>
          <w:p>
            <w:r>
              <w:rPr>
                <w:b/>
                <w:color w:val="FFFFFF"/>
                <w:sz w:val="18"/>
              </w:rPr>
              <w:t>Сохраняемое содержание</w:t>
            </w:r>
          </w:p>
        </w:tc>
        <w:tc>
          <w:tcPr>
            <w:tcW w:type="dxa" w:w="1800"/>
            <w:shd w:fill="1F4E78"/>
            <w:vAlign w:val="center"/>
            <w:tcMar>
              <w:top w:w="100" w:type="dxa"/>
              <w:start w:w="120" w:type="dxa"/>
              <w:bottom w:w="100" w:type="dxa"/>
              <w:end w:w="120" w:type="dxa"/>
            </w:tcMar>
          </w:tcPr>
          <w:p>
            <w:r>
              <w:rPr>
                <w:b/>
                <w:color w:val="FFFFFF"/>
                <w:sz w:val="18"/>
              </w:rPr>
              <w:t>Статус</w:t>
            </w:r>
          </w:p>
        </w:tc>
      </w:tr>
      <w:tr>
        <w:tc>
          <w:tcPr>
            <w:tcW w:type="dxa" w:w="1656"/>
            <w:vAlign w:val="center"/>
            <w:tcMar>
              <w:top w:w="100" w:type="dxa"/>
              <w:start w:w="120" w:type="dxa"/>
              <w:bottom w:w="100" w:type="dxa"/>
              <w:end w:w="120" w:type="dxa"/>
            </w:tcMar>
          </w:tcPr>
          <w:p>
            <w:r>
              <w:rPr>
                <w:sz w:val="17"/>
              </w:rPr>
              <w:t>O_B</w:t>
            </w:r>
          </w:p>
        </w:tc>
        <w:tc>
          <w:tcPr>
            <w:tcW w:type="dxa" w:w="1800"/>
            <w:vAlign w:val="center"/>
            <w:tcMar>
              <w:top w:w="100" w:type="dxa"/>
              <w:start w:w="120" w:type="dxa"/>
              <w:bottom w:w="100" w:type="dxa"/>
              <w:end w:w="120" w:type="dxa"/>
            </w:tcMar>
          </w:tcPr>
          <w:p>
            <w:r>
              <w:rPr>
                <w:sz w:val="17"/>
              </w:rPr>
              <w:t>векторное пространство</w:t>
            </w:r>
          </w:p>
        </w:tc>
        <w:tc>
          <w:tcPr>
            <w:tcW w:type="dxa" w:w="3672"/>
            <w:vAlign w:val="center"/>
            <w:tcMar>
              <w:top w:w="100" w:type="dxa"/>
              <w:start w:w="120" w:type="dxa"/>
              <w:bottom w:w="100" w:type="dxa"/>
              <w:end w:w="120" w:type="dxa"/>
            </w:tcMar>
          </w:tcPr>
          <w:p>
            <w:r>
              <w:rPr>
                <w:sz w:val="17"/>
              </w:rPr>
              <w:t>линейные комбинации и классы препятствий</w:t>
            </w:r>
          </w:p>
        </w:tc>
        <w:tc>
          <w:tcPr>
            <w:tcW w:type="dxa" w:w="1800"/>
            <w:vAlign w:val="center"/>
            <w:tcMar>
              <w:top w:w="100" w:type="dxa"/>
              <w:start w:w="120" w:type="dxa"/>
              <w:bottom w:w="100" w:type="dxa"/>
              <w:end w:w="120" w:type="dxa"/>
            </w:tcMar>
          </w:tcPr>
          <w:p>
            <w:r>
              <w:rPr>
                <w:sz w:val="17"/>
              </w:rPr>
              <w:t>THM в C_min</w:t>
            </w:r>
          </w:p>
        </w:tc>
      </w:tr>
      <w:tr>
        <w:tc>
          <w:tcPr>
            <w:tcW w:type="dxa" w:w="1656"/>
            <w:vAlign w:val="center"/>
            <w:tcMar>
              <w:top w:w="100" w:type="dxa"/>
              <w:start w:w="120" w:type="dxa"/>
              <w:bottom w:w="100" w:type="dxa"/>
              <w:end w:w="120" w:type="dxa"/>
            </w:tcMar>
            <w:shd w:fill="EAF1F8"/>
          </w:tcPr>
          <w:p>
            <w:r>
              <w:rPr>
                <w:sz w:val="17"/>
              </w:rPr>
              <w:t>0_B</w:t>
            </w:r>
          </w:p>
        </w:tc>
        <w:tc>
          <w:tcPr>
            <w:tcW w:type="dxa" w:w="1800"/>
            <w:vAlign w:val="center"/>
            <w:tcMar>
              <w:top w:w="100" w:type="dxa"/>
              <w:start w:w="120" w:type="dxa"/>
              <w:bottom w:w="100" w:type="dxa"/>
              <w:end w:w="120" w:type="dxa"/>
            </w:tcMar>
            <w:shd w:fill="EAF1F8"/>
          </w:tcPr>
          <w:p>
            <w:r>
              <w:rPr>
                <w:sz w:val="17"/>
              </w:rPr>
              <w:t>выделенная точка</w:t>
            </w:r>
          </w:p>
        </w:tc>
        <w:tc>
          <w:tcPr>
            <w:tcW w:type="dxa" w:w="3672"/>
            <w:vAlign w:val="center"/>
            <w:tcMar>
              <w:top w:w="100" w:type="dxa"/>
              <w:start w:w="120" w:type="dxa"/>
              <w:bottom w:w="100" w:type="dxa"/>
              <w:end w:w="120" w:type="dxa"/>
            </w:tcMar>
            <w:shd w:fill="EAF1F8"/>
          </w:tcPr>
          <w:p>
            <w:r>
              <w:rPr>
                <w:sz w:val="17"/>
              </w:rPr>
              <w:t>отсутствие внутреннего препятствия</w:t>
            </w:r>
          </w:p>
        </w:tc>
        <w:tc>
          <w:tcPr>
            <w:tcW w:type="dxa" w:w="1800"/>
            <w:vAlign w:val="center"/>
            <w:tcMar>
              <w:top w:w="100" w:type="dxa"/>
              <w:start w:w="120" w:type="dxa"/>
              <w:bottom w:w="100" w:type="dxa"/>
              <w:end w:w="120" w:type="dxa"/>
            </w:tcMar>
            <w:shd w:fill="EAF1F8"/>
          </w:tcPr>
          <w:p>
            <w:r>
              <w:rPr>
                <w:sz w:val="17"/>
              </w:rPr>
              <w:t>THM</w:t>
            </w:r>
          </w:p>
        </w:tc>
      </w:tr>
      <w:tr>
        <w:tc>
          <w:tcPr>
            <w:tcW w:type="dxa" w:w="1656"/>
            <w:vAlign w:val="center"/>
            <w:tcMar>
              <w:top w:w="100" w:type="dxa"/>
              <w:start w:w="120" w:type="dxa"/>
              <w:bottom w:w="100" w:type="dxa"/>
              <w:end w:w="120" w:type="dxa"/>
            </w:tcMar>
          </w:tcPr>
          <w:p>
            <w:r>
              <w:rPr>
                <w:sz w:val="17"/>
              </w:rPr>
              <w:t>Fil_B</w:t>
            </w:r>
          </w:p>
        </w:tc>
        <w:tc>
          <w:tcPr>
            <w:tcW w:type="dxa" w:w="1800"/>
            <w:vAlign w:val="center"/>
            <w:tcMar>
              <w:top w:w="100" w:type="dxa"/>
              <w:start w:w="120" w:type="dxa"/>
              <w:bottom w:w="100" w:type="dxa"/>
              <w:end w:w="120" w:type="dxa"/>
            </w:tcMar>
          </w:tcPr>
          <w:p>
            <w:r>
              <w:rPr>
                <w:sz w:val="17"/>
              </w:rPr>
              <w:t>фильтрация/стратификация</w:t>
            </w:r>
          </w:p>
        </w:tc>
        <w:tc>
          <w:tcPr>
            <w:tcW w:type="dxa" w:w="3672"/>
            <w:vAlign w:val="center"/>
            <w:tcMar>
              <w:top w:w="100" w:type="dxa"/>
              <w:start w:w="120" w:type="dxa"/>
              <w:bottom w:w="100" w:type="dxa"/>
              <w:end w:w="120" w:type="dxa"/>
            </w:tcMar>
          </w:tcPr>
          <w:p>
            <w:r>
              <w:rPr>
                <w:sz w:val="17"/>
              </w:rPr>
              <w:t>сложность, ранг, порядок или тип</w:t>
            </w:r>
          </w:p>
        </w:tc>
        <w:tc>
          <w:tcPr>
            <w:tcW w:type="dxa" w:w="1800"/>
            <w:vAlign w:val="center"/>
            <w:tcMar>
              <w:top w:w="100" w:type="dxa"/>
              <w:start w:w="120" w:type="dxa"/>
              <w:bottom w:w="100" w:type="dxa"/>
              <w:end w:w="120" w:type="dxa"/>
            </w:tcMar>
          </w:tcPr>
          <w:p>
            <w:r>
              <w:rPr>
                <w:sz w:val="17"/>
              </w:rPr>
              <w:t>MODEL/COND</w:t>
            </w:r>
          </w:p>
        </w:tc>
      </w:tr>
      <w:tr>
        <w:tc>
          <w:tcPr>
            <w:tcW w:type="dxa" w:w="1656"/>
            <w:vAlign w:val="center"/>
            <w:tcMar>
              <w:top w:w="100" w:type="dxa"/>
              <w:start w:w="120" w:type="dxa"/>
              <w:bottom w:w="100" w:type="dxa"/>
              <w:end w:w="120" w:type="dxa"/>
            </w:tcMar>
            <w:shd w:fill="EAF1F8"/>
          </w:tcPr>
          <w:p>
            <w:r>
              <w:rPr>
                <w:sz w:val="17"/>
              </w:rPr>
              <w:t>Prov_B</w:t>
            </w:r>
          </w:p>
        </w:tc>
        <w:tc>
          <w:tcPr>
            <w:tcW w:type="dxa" w:w="1800"/>
            <w:vAlign w:val="center"/>
            <w:tcMar>
              <w:top w:w="100" w:type="dxa"/>
              <w:start w:w="120" w:type="dxa"/>
              <w:bottom w:w="100" w:type="dxa"/>
              <w:end w:w="120" w:type="dxa"/>
            </w:tcMar>
            <w:shd w:fill="EAF1F8"/>
          </w:tcPr>
          <w:p>
            <w:r>
              <w:rPr>
                <w:sz w:val="17"/>
              </w:rPr>
              <w:t>provenance functor</w:t>
            </w:r>
          </w:p>
        </w:tc>
        <w:tc>
          <w:tcPr>
            <w:tcW w:type="dxa" w:w="3672"/>
            <w:vAlign w:val="center"/>
            <w:tcMar>
              <w:top w:w="100" w:type="dxa"/>
              <w:start w:w="120" w:type="dxa"/>
              <w:bottom w:w="100" w:type="dxa"/>
              <w:end w:w="120" w:type="dxa"/>
            </w:tcMar>
            <w:shd w:fill="EAF1F8"/>
          </w:tcPr>
          <w:p>
            <w:r>
              <w:rPr>
                <w:sz w:val="17"/>
              </w:rPr>
              <w:t>источник, вычисление, представитель</w:t>
            </w:r>
          </w:p>
        </w:tc>
        <w:tc>
          <w:tcPr>
            <w:tcW w:type="dxa" w:w="1800"/>
            <w:vAlign w:val="center"/>
            <w:tcMar>
              <w:top w:w="100" w:type="dxa"/>
              <w:start w:w="120" w:type="dxa"/>
              <w:bottom w:w="100" w:type="dxa"/>
              <w:end w:w="120" w:type="dxa"/>
            </w:tcMar>
            <w:shd w:fill="EAF1F8"/>
          </w:tcPr>
          <w:p>
            <w:r>
              <w:rPr>
                <w:sz w:val="17"/>
              </w:rPr>
              <w:t>OPEN implementation</w:t>
            </w:r>
          </w:p>
        </w:tc>
      </w:tr>
      <w:tr>
        <w:tc>
          <w:tcPr>
            <w:tcW w:type="dxa" w:w="1656"/>
            <w:vAlign w:val="center"/>
            <w:tcMar>
              <w:top w:w="100" w:type="dxa"/>
              <w:start w:w="120" w:type="dxa"/>
              <w:bottom w:w="100" w:type="dxa"/>
              <w:end w:w="120" w:type="dxa"/>
            </w:tcMar>
          </w:tcPr>
          <w:p>
            <w:r>
              <w:rPr>
                <w:sz w:val="17"/>
              </w:rPr>
              <w:t>Dom_B</w:t>
            </w:r>
          </w:p>
        </w:tc>
        <w:tc>
          <w:tcPr>
            <w:tcW w:type="dxa" w:w="1800"/>
            <w:vAlign w:val="center"/>
            <w:tcMar>
              <w:top w:w="100" w:type="dxa"/>
              <w:start w:w="120" w:type="dxa"/>
              <w:bottom w:w="100" w:type="dxa"/>
              <w:end w:w="120" w:type="dxa"/>
            </w:tcMar>
          </w:tcPr>
          <w:p>
            <w:r>
              <w:rPr>
                <w:sz w:val="17"/>
              </w:rPr>
              <w:t>доменный слой</w:t>
            </w:r>
          </w:p>
        </w:tc>
        <w:tc>
          <w:tcPr>
            <w:tcW w:type="dxa" w:w="3672"/>
            <w:vAlign w:val="center"/>
            <w:tcMar>
              <w:top w:w="100" w:type="dxa"/>
              <w:start w:w="120" w:type="dxa"/>
              <w:bottom w:w="100" w:type="dxa"/>
              <w:end w:w="120" w:type="dxa"/>
            </w:tcMar>
          </w:tcPr>
          <w:p>
            <w:r>
              <w:rPr>
                <w:sz w:val="17"/>
              </w:rPr>
              <w:t>условия существования и применимости</w:t>
            </w:r>
          </w:p>
        </w:tc>
        <w:tc>
          <w:tcPr>
            <w:tcW w:type="dxa" w:w="1800"/>
            <w:vAlign w:val="center"/>
            <w:tcMar>
              <w:top w:w="100" w:type="dxa"/>
              <w:start w:w="120" w:type="dxa"/>
              <w:bottom w:w="100" w:type="dxa"/>
              <w:end w:w="120" w:type="dxa"/>
            </w:tcMar>
          </w:tcPr>
          <w:p>
            <w:r>
              <w:rPr>
                <w:sz w:val="17"/>
              </w:rPr>
              <w:t>обязательный barrier</w:t>
            </w:r>
          </w:p>
        </w:tc>
      </w:tr>
    </w:tbl>
    <w:p/>
    <w:p>
      <w:pPr>
        <w:pStyle w:val="Heading2"/>
        <w:keepNext/>
      </w:pPr>
      <w:r>
        <w:t>116.2. Нулевая секция и ненулевая часть</w:t>
      </w:r>
    </w:p>
    <w:p>
      <w:pPr>
        <w:pStyle w:val="Quote"/>
        <w:jc w:val="center"/>
      </w:pPr>
      <w:r>
        <w:rPr>
          <w:rFonts w:ascii="Cambria Math" w:hAnsi="Cambria Math"/>
          <w:sz w:val="22"/>
        </w:rPr>
        <w:t>O_B^× = O_B \ {0_B}.</w:t>
      </w:r>
      <w:r>
        <w:t xml:space="preserve">    (14.3)</w:t>
      </w:r>
    </w:p>
    <w:p>
      <w:r>
        <w:t>Проективизация определена только на ненулевой части. Поэтому нулевой класс не является одной из точек P(O_B), не является пределом, выбранным без топологии, и не может быть восстановлен из одной projective coordinate.</w:t>
      </w:r>
    </w:p>
    <w:tbl>
      <w:tblPr>
        <w:tblStyle w:val="TableGrid"/>
        <w:tblW w:type="auto" w:w="0"/>
        <w:jc w:val="center"/>
        <w:tblLook w:firstColumn="1" w:firstRow="1" w:lastColumn="0" w:lastRow="0" w:noHBand="0" w:noVBand="1" w:val="04A0"/>
      </w:tblPr>
      <w:tblGrid>
        <w:gridCol w:w="9752"/>
      </w:tblGrid>
      <w:tr>
        <w:tc>
          <w:tcPr>
            <w:tcW w:type="dxa" w:w="9752"/>
            <w:tcMar>
              <w:top w:w="160" w:type="dxa"/>
              <w:start w:w="180" w:type="dxa"/>
              <w:bottom w:w="160" w:type="dxa"/>
              <w:end w:w="180" w:type="dxa"/>
            </w:tcMar>
            <w:shd w:fill="FCE4D6"/>
          </w:tcPr>
          <w:p>
            <w:r>
              <w:rPr>
                <w:b/>
                <w:color w:val="1F4E79"/>
                <w:sz w:val="21"/>
              </w:rPr>
              <w:t>ТЕОРЕМА 14.1. ZERO-LOSS NO-GO</w:t>
            </w:r>
          </w:p>
          <w:p>
            <w:pPr>
              <w:spacing w:after="0"/>
            </w:pPr>
            <w:r>
              <w:rPr>
                <w:sz w:val="19"/>
              </w:rPr>
              <w:t>Не существует отображения z:P(O_B)→O_B, которое одновременно было бы естественным по всем линейным изоморфизмам, выбирало ненулевого представителя каждой projective point и восстанавливало нулевой класс. Нуль удалён из области факторизации, а естественный выбор масштаба противоречит действию скаляров.</w:t>
            </w:r>
          </w:p>
        </w:tc>
      </w:tr>
    </w:tbl>
    <w:p/>
    <w:p>
      <w:pPr>
        <w:pStyle w:val="Heading1"/>
        <w:keepNext/>
      </w:pPr>
      <w:r>
        <w:t>117. Проективизация пространства препятствий</w:t>
      </w:r>
    </w:p>
    <w:p>
      <w:pPr>
        <w:pStyle w:val="Heading2"/>
        <w:keepNext/>
      </w:pPr>
      <w:r>
        <w:t>117.1. Определение и эквивалентность</w:t>
      </w:r>
    </w:p>
    <w:p>
      <w:pPr>
        <w:pStyle w:val="Quote"/>
        <w:jc w:val="center"/>
      </w:pPr>
      <w:r>
        <w:rPr>
          <w:rFonts w:ascii="Cambria Math" w:hAnsi="Cambria Math"/>
          <w:sz w:val="22"/>
        </w:rPr>
        <w:t>P(O_B) = O_B^× / K^×,    o ~ o′ ⇔ ∃a∈K^×: o′=ao.</w:t>
      </w:r>
      <w:r>
        <w:t xml:space="preserve">    (14.4)</w:t>
      </w:r>
    </w:p>
    <w:p>
      <w:r>
        <w:t>Точка [o] есть одномерное подпространство K·o. Если dim_K O_B=n+1, то после выбора базиса P(O_B)≅P^n(K). Выбор базиса не является частью канонического объекта и должен быть отмечен в вычислительном сертификате.</w:t>
      </w:r>
    </w:p>
    <w:p>
      <w:pPr>
        <w:jc w:val="center"/>
      </w:pPr>
      <w:r>
        <w:drawing>
          <wp:inline xmlns:a="http://schemas.openxmlformats.org/drawingml/2006/main" xmlns:pic="http://schemas.openxmlformats.org/drawingml/2006/picture">
            <wp:extent cx="5943600" cy="3593044"/>
            <wp:docPr id="33" name="Picture 33"/>
            <wp:cNvGraphicFramePr>
              <a:graphicFrameLocks noChangeAspect="1"/>
            </wp:cNvGraphicFramePr>
            <a:graphic>
              <a:graphicData uri="http://schemas.openxmlformats.org/drawingml/2006/picture">
                <pic:pic>
                  <pic:nvPicPr>
                    <pic:cNvPr id="0" name="carrier_gates.png"/>
                    <pic:cNvPicPr/>
                  </pic:nvPicPr>
                  <pic:blipFill>
                    <a:blip r:embed="rId60"/>
                    <a:stretch>
                      <a:fillRect/>
                    </a:stretch>
                  </pic:blipFill>
                  <pic:spPr>
                    <a:xfrm>
                      <a:off x="0" y="0"/>
                      <a:ext cx="5943600" cy="3593044"/>
                    </a:xfrm>
                    <a:prstGeom prst="rect"/>
                  </pic:spPr>
                </pic:pic>
              </a:graphicData>
            </a:graphic>
          </wp:inline>
        </w:drawing>
      </w:r>
    </w:p>
    <w:p>
      <w:pPr>
        <w:pStyle w:val="Caption"/>
        <w:keepNext/>
        <w:jc w:val="center"/>
      </w:pPr>
      <w:r>
        <w:t>Рисунок 14.1. Векторный носитель, projectivization и обязательный аудит потери информации.</w:t>
      </w:r>
    </w:p>
    <w:p>
      <w:pPr>
        <w:pStyle w:val="Heading2"/>
        <w:keepNext/>
      </w:pPr>
      <w:r>
        <w:t>117.2. Функториальность и частичность</w:t>
      </w:r>
    </w:p>
    <w:p>
      <w:r>
        <w:t>Линейная карта f:O→O′ индуцирует projective map только на тех направлениях, которые не попадают в ker f:</w:t>
      </w:r>
    </w:p>
    <w:p>
      <w:pPr>
        <w:pStyle w:val="Quote"/>
        <w:jc w:val="center"/>
      </w:pPr>
      <w:r>
        <w:rPr>
          <w:rFonts w:ascii="Cambria Math" w:hAnsi="Cambria Math"/>
          <w:sz w:val="22"/>
        </w:rPr>
        <w:t>P(f): P(O) \ P(ker f) → P(O′),    [o] ↦ [f(o)].</w:t>
      </w:r>
      <w:r>
        <w:t xml:space="preserve">    (14.5)</w:t>
      </w:r>
    </w:p>
    <w:p>
      <w:r>
        <w:t>Следовательно, projectivization является функториальной для линейных изоморфизмов и инъекций, но для произвольных линейных карт естественно возникает рациональная, то есть частично определённая, карта.</w:t>
      </w:r>
    </w:p>
    <w:tbl>
      <w:tblPr>
        <w:tblStyle w:val="TableGrid"/>
        <w:tblW w:type="auto" w:w="0"/>
        <w:jc w:val="center"/>
        <w:tblLook w:firstColumn="1" w:firstRow="1" w:lastColumn="0" w:lastRow="0" w:noHBand="0" w:noVBand="1" w:val="04A0"/>
      </w:tblPr>
      <w:tblGrid>
        <w:gridCol w:w="9752"/>
      </w:tblGrid>
      <w:tr>
        <w:tc>
          <w:tcPr>
            <w:tcW w:type="dxa" w:w="9752"/>
            <w:tcMar>
              <w:top w:w="160" w:type="dxa"/>
              <w:start w:w="180" w:type="dxa"/>
              <w:bottom w:w="160" w:type="dxa"/>
              <w:end w:w="180" w:type="dxa"/>
            </w:tcMar>
            <w:shd w:fill="DCE6F1"/>
          </w:tcPr>
          <w:p>
            <w:r>
              <w:rPr>
                <w:b/>
                <w:color w:val="1F4E79"/>
                <w:sz w:val="21"/>
              </w:rPr>
              <w:t>ТЕОРЕМА 14.2. PROJECTIVE DOMAIN THEOREM</w:t>
            </w:r>
          </w:p>
          <w:p>
            <w:pPr>
              <w:spacing w:after="0"/>
            </w:pPr>
            <w:r>
              <w:rPr>
                <w:sz w:val="19"/>
              </w:rPr>
              <w:t>Область определения P(f) равна P(O)\P(ker f). Если f инъективно, P(f) определено всюду. Если f имеет ненулевое ядро, направления ядра превращаются не в нулевую projective point, а в точки неопределённости.</w:t>
            </w:r>
          </w:p>
        </w:tc>
      </w:tr>
    </w:tbl>
    <w:p/>
    <w:p>
      <w:pPr>
        <w:pStyle w:val="Heading2"/>
        <w:keepNext/>
      </w:pPr>
      <w:r>
        <w:t>117.3. Точная потеря информации</w:t>
      </w:r>
    </w:p>
    <w:tbl>
      <w:tblPr>
        <w:tblStyle w:val="TableGrid"/>
        <w:tblW w:type="auto" w:w="0"/>
        <w:jc w:val="center"/>
        <w:tblLook w:firstColumn="1" w:firstRow="1" w:lastColumn="0" w:lastRow="0" w:noHBand="0" w:noVBand="1" w:val="04A0"/>
      </w:tblPr>
      <w:tblGrid>
        <w:gridCol w:w="3251"/>
        <w:gridCol w:w="3251"/>
        <w:gridCol w:w="3251"/>
      </w:tblGrid>
      <w:tr>
        <w:tc>
          <w:tcPr>
            <w:tcW w:type="dxa" w:w="2232"/>
            <w:shd w:fill="1F4E78"/>
            <w:vAlign w:val="center"/>
            <w:tcMar>
              <w:top w:w="100" w:type="dxa"/>
              <w:start w:w="120" w:type="dxa"/>
              <w:bottom w:w="100" w:type="dxa"/>
              <w:end w:w="120" w:type="dxa"/>
            </w:tcMar>
          </w:tcPr>
          <w:p>
            <w:r>
              <w:rPr>
                <w:b/>
                <w:color w:val="FFFFFF"/>
                <w:sz w:val="18"/>
              </w:rPr>
              <w:t>Данные в O_B</w:t>
            </w:r>
          </w:p>
        </w:tc>
        <w:tc>
          <w:tcPr>
            <w:tcW w:type="dxa" w:w="2088"/>
            <w:shd w:fill="1F4E78"/>
            <w:vAlign w:val="center"/>
            <w:tcMar>
              <w:top w:w="100" w:type="dxa"/>
              <w:start w:w="120" w:type="dxa"/>
              <w:bottom w:w="100" w:type="dxa"/>
              <w:end w:w="120" w:type="dxa"/>
            </w:tcMar>
          </w:tcPr>
          <w:p>
            <w:r>
              <w:rPr>
                <w:b/>
                <w:color w:val="FFFFFF"/>
                <w:sz w:val="18"/>
              </w:rPr>
              <w:t>Сохраняются в P(O_B)?</w:t>
            </w:r>
          </w:p>
        </w:tc>
        <w:tc>
          <w:tcPr>
            <w:tcW w:type="dxa" w:w="4608"/>
            <w:shd w:fill="1F4E78"/>
            <w:vAlign w:val="center"/>
            <w:tcMar>
              <w:top w:w="100" w:type="dxa"/>
              <w:start w:w="120" w:type="dxa"/>
              <w:bottom w:w="100" w:type="dxa"/>
              <w:end w:w="120" w:type="dxa"/>
            </w:tcMar>
          </w:tcPr>
          <w:p>
            <w:r>
              <w:rPr>
                <w:b/>
                <w:color w:val="FFFFFF"/>
                <w:sz w:val="18"/>
              </w:rPr>
              <w:t>Что требуется для восстановления</w:t>
            </w:r>
          </w:p>
        </w:tc>
      </w:tr>
      <w:tr>
        <w:tc>
          <w:tcPr>
            <w:tcW w:type="dxa" w:w="2232"/>
            <w:vAlign w:val="center"/>
            <w:tcMar>
              <w:top w:w="100" w:type="dxa"/>
              <w:start w:w="120" w:type="dxa"/>
              <w:bottom w:w="100" w:type="dxa"/>
              <w:end w:w="120" w:type="dxa"/>
            </w:tcMar>
          </w:tcPr>
          <w:p>
            <w:r>
              <w:rPr>
                <w:sz w:val="17"/>
              </w:rPr>
              <w:t>нулевой/ненулевой статус</w:t>
            </w:r>
          </w:p>
        </w:tc>
        <w:tc>
          <w:tcPr>
            <w:tcW w:type="dxa" w:w="2088"/>
            <w:vAlign w:val="center"/>
            <w:tcMar>
              <w:top w:w="100" w:type="dxa"/>
              <w:start w:w="120" w:type="dxa"/>
              <w:bottom w:w="100" w:type="dxa"/>
              <w:end w:w="120" w:type="dxa"/>
            </w:tcMar>
          </w:tcPr>
          <w:p>
            <w:r>
              <w:rPr>
                <w:sz w:val="17"/>
              </w:rPr>
              <w:t>нет для нулевого класса</w:t>
            </w:r>
          </w:p>
        </w:tc>
        <w:tc>
          <w:tcPr>
            <w:tcW w:type="dxa" w:w="4608"/>
            <w:vAlign w:val="center"/>
            <w:tcMar>
              <w:top w:w="100" w:type="dxa"/>
              <w:start w:w="120" w:type="dxa"/>
              <w:bottom w:w="100" w:type="dxa"/>
              <w:end w:w="120" w:type="dxa"/>
            </w:tcMar>
          </w:tcPr>
          <w:p>
            <w:r>
              <w:rPr>
                <w:sz w:val="17"/>
              </w:rPr>
              <w:t>отдельный ZERO-флаг</w:t>
            </w:r>
          </w:p>
        </w:tc>
      </w:tr>
      <w:tr>
        <w:tc>
          <w:tcPr>
            <w:tcW w:type="dxa" w:w="2232"/>
            <w:vAlign w:val="center"/>
            <w:tcMar>
              <w:top w:w="100" w:type="dxa"/>
              <w:start w:w="120" w:type="dxa"/>
              <w:bottom w:w="100" w:type="dxa"/>
              <w:end w:w="120" w:type="dxa"/>
            </w:tcMar>
            <w:shd w:fill="EAF1F8"/>
          </w:tcPr>
          <w:p>
            <w:r>
              <w:rPr>
                <w:sz w:val="17"/>
              </w:rPr>
              <w:t>направление K·o</w:t>
            </w:r>
          </w:p>
        </w:tc>
        <w:tc>
          <w:tcPr>
            <w:tcW w:type="dxa" w:w="2088"/>
            <w:vAlign w:val="center"/>
            <w:tcMar>
              <w:top w:w="100" w:type="dxa"/>
              <w:start w:w="120" w:type="dxa"/>
              <w:bottom w:w="100" w:type="dxa"/>
              <w:end w:w="120" w:type="dxa"/>
            </w:tcMar>
            <w:shd w:fill="EAF1F8"/>
          </w:tcPr>
          <w:p>
            <w:r>
              <w:rPr>
                <w:sz w:val="17"/>
              </w:rPr>
              <w:t>да</w:t>
            </w:r>
          </w:p>
        </w:tc>
        <w:tc>
          <w:tcPr>
            <w:tcW w:type="dxa" w:w="4608"/>
            <w:vAlign w:val="center"/>
            <w:tcMar>
              <w:top w:w="100" w:type="dxa"/>
              <w:start w:w="120" w:type="dxa"/>
              <w:bottom w:w="100" w:type="dxa"/>
              <w:end w:w="120" w:type="dxa"/>
            </w:tcMar>
            <w:shd w:fill="EAF1F8"/>
          </w:tcPr>
          <w:p>
            <w:r>
              <w:rPr>
                <w:sz w:val="17"/>
              </w:rPr>
              <w:t>ничего</w:t>
            </w:r>
          </w:p>
        </w:tc>
      </w:tr>
      <w:tr>
        <w:tc>
          <w:tcPr>
            <w:tcW w:type="dxa" w:w="2232"/>
            <w:vAlign w:val="center"/>
            <w:tcMar>
              <w:top w:w="100" w:type="dxa"/>
              <w:start w:w="120" w:type="dxa"/>
              <w:bottom w:w="100" w:type="dxa"/>
              <w:end w:w="120" w:type="dxa"/>
            </w:tcMar>
          </w:tcPr>
          <w:p>
            <w:r>
              <w:rPr>
                <w:sz w:val="17"/>
              </w:rPr>
              <w:t>абсолютный масштаб ||o||</w:t>
            </w:r>
          </w:p>
        </w:tc>
        <w:tc>
          <w:tcPr>
            <w:tcW w:type="dxa" w:w="2088"/>
            <w:vAlign w:val="center"/>
            <w:tcMar>
              <w:top w:w="100" w:type="dxa"/>
              <w:start w:w="120" w:type="dxa"/>
              <w:bottom w:w="100" w:type="dxa"/>
              <w:end w:w="120" w:type="dxa"/>
            </w:tcMar>
          </w:tcPr>
          <w:p>
            <w:r>
              <w:rPr>
                <w:sz w:val="17"/>
              </w:rPr>
              <w:t>нет</w:t>
            </w:r>
          </w:p>
        </w:tc>
        <w:tc>
          <w:tcPr>
            <w:tcW w:type="dxa" w:w="4608"/>
            <w:vAlign w:val="center"/>
            <w:tcMar>
              <w:top w:w="100" w:type="dxa"/>
              <w:start w:w="120" w:type="dxa"/>
              <w:bottom w:w="100" w:type="dxa"/>
              <w:end w:w="120" w:type="dxa"/>
            </w:tcMar>
          </w:tcPr>
          <w:p>
            <w:r>
              <w:rPr>
                <w:sz w:val="17"/>
              </w:rPr>
              <w:t>метрика + нормировка</w:t>
            </w:r>
          </w:p>
        </w:tc>
      </w:tr>
      <w:tr>
        <w:tc>
          <w:tcPr>
            <w:tcW w:type="dxa" w:w="2232"/>
            <w:vAlign w:val="center"/>
            <w:tcMar>
              <w:top w:w="100" w:type="dxa"/>
              <w:start w:w="120" w:type="dxa"/>
              <w:bottom w:w="100" w:type="dxa"/>
              <w:end w:w="120" w:type="dxa"/>
            </w:tcMar>
            <w:shd w:fill="EAF1F8"/>
          </w:tcPr>
          <w:p>
            <w:r>
              <w:rPr>
                <w:sz w:val="17"/>
              </w:rPr>
              <w:t>знак над R</w:t>
            </w:r>
          </w:p>
        </w:tc>
        <w:tc>
          <w:tcPr>
            <w:tcW w:type="dxa" w:w="2088"/>
            <w:vAlign w:val="center"/>
            <w:tcMar>
              <w:top w:w="100" w:type="dxa"/>
              <w:start w:w="120" w:type="dxa"/>
              <w:bottom w:w="100" w:type="dxa"/>
              <w:end w:w="120" w:type="dxa"/>
            </w:tcMar>
            <w:shd w:fill="EAF1F8"/>
          </w:tcPr>
          <w:p>
            <w:r>
              <w:rPr>
                <w:sz w:val="17"/>
              </w:rPr>
              <w:t>нет: [o]=[-o]</w:t>
            </w:r>
          </w:p>
        </w:tc>
        <w:tc>
          <w:tcPr>
            <w:tcW w:type="dxa" w:w="4608"/>
            <w:vAlign w:val="center"/>
            <w:tcMar>
              <w:top w:w="100" w:type="dxa"/>
              <w:start w:w="120" w:type="dxa"/>
              <w:bottom w:w="100" w:type="dxa"/>
              <w:end w:w="120" w:type="dxa"/>
            </w:tcMar>
            <w:shd w:fill="EAF1F8"/>
          </w:tcPr>
          <w:p>
            <w:r>
              <w:rPr>
                <w:sz w:val="17"/>
              </w:rPr>
              <w:t>ориентированная двойная накрывающая</w:t>
            </w:r>
          </w:p>
        </w:tc>
      </w:tr>
      <w:tr>
        <w:tc>
          <w:tcPr>
            <w:tcW w:type="dxa" w:w="2232"/>
            <w:vAlign w:val="center"/>
            <w:tcMar>
              <w:top w:w="100" w:type="dxa"/>
              <w:start w:w="120" w:type="dxa"/>
              <w:bottom w:w="100" w:type="dxa"/>
              <w:end w:w="120" w:type="dxa"/>
            </w:tcMar>
          </w:tcPr>
          <w:p>
            <w:r>
              <w:rPr>
                <w:sz w:val="17"/>
              </w:rPr>
              <w:t>фаза над C</w:t>
            </w:r>
          </w:p>
        </w:tc>
        <w:tc>
          <w:tcPr>
            <w:tcW w:type="dxa" w:w="2088"/>
            <w:vAlign w:val="center"/>
            <w:tcMar>
              <w:top w:w="100" w:type="dxa"/>
              <w:start w:w="120" w:type="dxa"/>
              <w:bottom w:w="100" w:type="dxa"/>
              <w:end w:w="120" w:type="dxa"/>
            </w:tcMar>
          </w:tcPr>
          <w:p>
            <w:r>
              <w:rPr>
                <w:sz w:val="17"/>
              </w:rPr>
              <w:t>нет</w:t>
            </w:r>
          </w:p>
        </w:tc>
        <w:tc>
          <w:tcPr>
            <w:tcW w:type="dxa" w:w="4608"/>
            <w:vAlign w:val="center"/>
            <w:tcMar>
              <w:top w:w="100" w:type="dxa"/>
              <w:start w:w="120" w:type="dxa"/>
              <w:bottom w:w="100" w:type="dxa"/>
              <w:end w:w="120" w:type="dxa"/>
            </w:tcMar>
          </w:tcPr>
          <w:p>
            <w:r>
              <w:rPr>
                <w:sz w:val="17"/>
              </w:rPr>
              <w:t>выбор U(1)-калибровки</w:t>
            </w:r>
          </w:p>
        </w:tc>
      </w:tr>
      <w:tr>
        <w:tc>
          <w:tcPr>
            <w:tcW w:type="dxa" w:w="2232"/>
            <w:vAlign w:val="center"/>
            <w:tcMar>
              <w:top w:w="100" w:type="dxa"/>
              <w:start w:w="120" w:type="dxa"/>
              <w:bottom w:w="100" w:type="dxa"/>
              <w:end w:w="120" w:type="dxa"/>
            </w:tcMar>
            <w:shd w:fill="EAF1F8"/>
          </w:tcPr>
          <w:p>
            <w:r>
              <w:rPr>
                <w:sz w:val="17"/>
              </w:rPr>
              <w:t>provenance представителя</w:t>
            </w:r>
          </w:p>
        </w:tc>
        <w:tc>
          <w:tcPr>
            <w:tcW w:type="dxa" w:w="2088"/>
            <w:vAlign w:val="center"/>
            <w:tcMar>
              <w:top w:w="100" w:type="dxa"/>
              <w:start w:w="120" w:type="dxa"/>
              <w:bottom w:w="100" w:type="dxa"/>
              <w:end w:w="120" w:type="dxa"/>
            </w:tcMar>
            <w:shd w:fill="EAF1F8"/>
          </w:tcPr>
          <w:p>
            <w:r>
              <w:rPr>
                <w:sz w:val="17"/>
              </w:rPr>
              <w:t>нет</w:t>
            </w:r>
          </w:p>
        </w:tc>
        <w:tc>
          <w:tcPr>
            <w:tcW w:type="dxa" w:w="4608"/>
            <w:vAlign w:val="center"/>
            <w:tcMar>
              <w:top w:w="100" w:type="dxa"/>
              <w:start w:w="120" w:type="dxa"/>
              <w:bottom w:w="100" w:type="dxa"/>
              <w:end w:w="120" w:type="dxa"/>
            </w:tcMar>
            <w:shd w:fill="EAF1F8"/>
          </w:tcPr>
          <w:p>
            <w:r>
              <w:rPr>
                <w:sz w:val="17"/>
              </w:rPr>
              <w:t>Evidence-D/Prov_B</w:t>
            </w:r>
          </w:p>
        </w:tc>
      </w:tr>
      <w:tr>
        <w:tc>
          <w:tcPr>
            <w:tcW w:type="dxa" w:w="2232"/>
            <w:vAlign w:val="center"/>
            <w:tcMar>
              <w:top w:w="100" w:type="dxa"/>
              <w:start w:w="120" w:type="dxa"/>
              <w:bottom w:w="100" w:type="dxa"/>
              <w:end w:w="120" w:type="dxa"/>
            </w:tcMar>
          </w:tcPr>
          <w:p>
            <w:r>
              <w:rPr>
                <w:sz w:val="17"/>
              </w:rPr>
              <w:t>конкретный lift</w:t>
            </w:r>
          </w:p>
        </w:tc>
        <w:tc>
          <w:tcPr>
            <w:tcW w:type="dxa" w:w="2088"/>
            <w:vAlign w:val="center"/>
            <w:tcMar>
              <w:top w:w="100" w:type="dxa"/>
              <w:start w:w="120" w:type="dxa"/>
              <w:bottom w:w="100" w:type="dxa"/>
              <w:end w:w="120" w:type="dxa"/>
            </w:tcMar>
          </w:tcPr>
          <w:p>
            <w:r>
              <w:rPr>
                <w:sz w:val="17"/>
              </w:rPr>
              <w:t>нет</w:t>
            </w:r>
          </w:p>
        </w:tc>
        <w:tc>
          <w:tcPr>
            <w:tcW w:type="dxa" w:w="4608"/>
            <w:vAlign w:val="center"/>
            <w:tcMar>
              <w:top w:w="100" w:type="dxa"/>
              <w:start w:w="120" w:type="dxa"/>
              <w:bottom w:w="100" w:type="dxa"/>
              <w:end w:w="120" w:type="dxa"/>
            </w:tcMar>
          </w:tcPr>
          <w:p>
            <w:r>
              <w:rPr>
                <w:sz w:val="17"/>
              </w:rPr>
              <w:t>торсор подъёмов H²(C_min)</w:t>
            </w:r>
          </w:p>
        </w:tc>
      </w:tr>
      <w:tr>
        <w:tc>
          <w:tcPr>
            <w:tcW w:type="dxa" w:w="2232"/>
            <w:vAlign w:val="center"/>
            <w:tcMar>
              <w:top w:w="100" w:type="dxa"/>
              <w:start w:w="120" w:type="dxa"/>
              <w:bottom w:w="100" w:type="dxa"/>
              <w:end w:w="120" w:type="dxa"/>
            </w:tcMar>
            <w:shd w:fill="EAF1F8"/>
          </w:tcPr>
          <w:p>
            <w:r>
              <w:rPr>
                <w:sz w:val="17"/>
              </w:rPr>
              <w:t>домен применимости</w:t>
            </w:r>
          </w:p>
        </w:tc>
        <w:tc>
          <w:tcPr>
            <w:tcW w:type="dxa" w:w="2088"/>
            <w:vAlign w:val="center"/>
            <w:tcMar>
              <w:top w:w="100" w:type="dxa"/>
              <w:start w:w="120" w:type="dxa"/>
              <w:bottom w:w="100" w:type="dxa"/>
              <w:end w:w="120" w:type="dxa"/>
            </w:tcMar>
            <w:shd w:fill="EAF1F8"/>
          </w:tcPr>
          <w:p>
            <w:r>
              <w:rPr>
                <w:sz w:val="17"/>
              </w:rPr>
              <w:t>нет</w:t>
            </w:r>
          </w:p>
        </w:tc>
        <w:tc>
          <w:tcPr>
            <w:tcW w:type="dxa" w:w="4608"/>
            <w:vAlign w:val="center"/>
            <w:tcMar>
              <w:top w:w="100" w:type="dxa"/>
              <w:start w:w="120" w:type="dxa"/>
              <w:bottom w:w="100" w:type="dxa"/>
              <w:end w:w="120" w:type="dxa"/>
            </w:tcMar>
            <w:shd w:fill="EAF1F8"/>
          </w:tcPr>
          <w:p>
            <w:r>
              <w:rPr>
                <w:sz w:val="17"/>
              </w:rPr>
              <w:t>Dom-сертификат</w:t>
            </w:r>
          </w:p>
        </w:tc>
      </w:tr>
    </w:tbl>
    <w:p/>
    <w:p>
      <w:pPr>
        <w:pStyle w:val="Heading1"/>
        <w:keepNext/>
      </w:pPr>
      <w:r>
        <w:t>118. Нормированные и ориентированные носители</w:t>
      </w:r>
    </w:p>
    <w:p>
      <w:pPr>
        <w:pStyle w:val="Heading2"/>
        <w:keepNext/>
      </w:pPr>
      <w:r>
        <w:t>118.1. Сферическое представление</w:t>
      </w:r>
    </w:p>
    <w:p>
      <w:r>
        <w:t>После выбора положительно определённого скалярного произведения всякая ненулевая projective point допускает нормированных представителей. Над R получаем двойное накрытие:</w:t>
      </w:r>
    </w:p>
    <w:p>
      <w:pPr>
        <w:pStyle w:val="Quote"/>
        <w:jc w:val="center"/>
      </w:pPr>
      <w:r>
        <w:rPr>
          <w:rFonts w:ascii="Cambria Math" w:hAnsi="Cambria Math"/>
          <w:sz w:val="22"/>
        </w:rPr>
        <w:t>S(O_B) → P(O_B),    u ↦ [u],    fibre={u,-u}.</w:t>
      </w:r>
      <w:r>
        <w:t xml:space="preserve">    (14.6)</w:t>
      </w:r>
    </w:p>
    <w:p>
      <w:r>
        <w:t>Нормировка восстанавливает модуль, но не знак. Над C волокно имеет вид U(1), поэтому требуется фазовая калибровка.</w:t>
      </w:r>
    </w:p>
    <w:tbl>
      <w:tblPr>
        <w:tblStyle w:val="TableGrid"/>
        <w:tblW w:type="auto" w:w="0"/>
        <w:jc w:val="center"/>
        <w:tblLook w:firstColumn="1" w:firstRow="1" w:lastColumn="0" w:lastRow="0" w:noHBand="0" w:noVBand="1" w:val="04A0"/>
      </w:tblPr>
      <w:tblGrid>
        <w:gridCol w:w="9752"/>
      </w:tblGrid>
      <w:tr>
        <w:tc>
          <w:tcPr>
            <w:tcW w:type="dxa" w:w="9752"/>
            <w:tcMar>
              <w:top w:w="160" w:type="dxa"/>
              <w:start w:w="180" w:type="dxa"/>
              <w:bottom w:w="160" w:type="dxa"/>
              <w:end w:w="180" w:type="dxa"/>
            </w:tcMar>
            <w:shd w:fill="FFF2CC"/>
          </w:tcPr>
          <w:p>
            <w:r>
              <w:rPr>
                <w:b/>
                <w:color w:val="1F4E79"/>
                <w:sz w:val="21"/>
              </w:rPr>
              <w:t>КОНТРПРИМЕР 14.A</w:t>
            </w:r>
          </w:p>
          <w:p>
            <w:pPr>
              <w:spacing w:after="0"/>
            </w:pPr>
            <w:r>
              <w:rPr>
                <w:sz w:val="19"/>
              </w:rPr>
              <w:t>В R² векторы (1,0), (2,0) и (-7,0) задают одну projective point. Их нормы и знаки различны. Следовательно, projective coincidence не равна количественному совпадению препятствий.</w:t>
            </w:r>
          </w:p>
        </w:tc>
      </w:tr>
    </w:tbl>
    <w:p/>
    <w:p>
      <w:pPr>
        <w:pStyle w:val="Heading2"/>
        <w:keepNext/>
      </w:pPr>
      <w:r>
        <w:t>118.2. Projective metric</w:t>
      </w:r>
    </w:p>
    <w:p>
      <w:pPr>
        <w:pStyle w:val="Quote"/>
        <w:jc w:val="center"/>
      </w:pPr>
      <w:r>
        <w:rPr>
          <w:rFonts w:ascii="Cambria Math" w:hAnsi="Cambria Math"/>
          <w:sz w:val="22"/>
        </w:rPr>
        <w:t>d_P([u],[v]) = arccos( |⟨u,v⟩| / (||u||·||v||) ).</w:t>
      </w:r>
      <w:r>
        <w:t xml:space="preserve">    (14.7)</w:t>
      </w:r>
    </w:p>
    <w:p>
      <w:r>
        <w:t>Эта метрика измеряет угол между направлениями и инвариантна относительно ненулевого масштабирования. Она не контролирует расстояние ||u-v|| без дополнительных ограничений на нормы.</w:t>
      </w:r>
    </w:p>
    <w:tbl>
      <w:tblPr>
        <w:tblStyle w:val="TableGrid"/>
        <w:tblW w:type="auto" w:w="0"/>
        <w:jc w:val="center"/>
        <w:tblLook w:firstColumn="1" w:firstRow="1" w:lastColumn="0" w:lastRow="0" w:noHBand="0" w:noVBand="1" w:val="04A0"/>
      </w:tblPr>
      <w:tblGrid>
        <w:gridCol w:w="9752"/>
      </w:tblGrid>
      <w:tr>
        <w:tc>
          <w:tcPr>
            <w:tcW w:type="dxa" w:w="9752"/>
            <w:tcMar>
              <w:top w:w="160" w:type="dxa"/>
              <w:start w:w="180" w:type="dxa"/>
              <w:bottom w:w="160" w:type="dxa"/>
              <w:end w:w="180" w:type="dxa"/>
            </w:tcMar>
            <w:shd w:fill="DCE6F1"/>
          </w:tcPr>
          <w:p>
            <w:r>
              <w:rPr>
                <w:b/>
                <w:color w:val="1F4E79"/>
                <w:sz w:val="21"/>
              </w:rPr>
              <w:t>ЛЕММА 14.3. ANGULAR STABILITY</w:t>
            </w:r>
          </w:p>
          <w:p>
            <w:pPr>
              <w:spacing w:after="0"/>
            </w:pPr>
            <w:r>
              <w:rPr>
                <w:sz w:val="19"/>
              </w:rPr>
              <w:t>Если ||u||,||v||≥m&gt;0 и ||u-v||≤ε&lt;m, то d_P([u],[v])≤2arcsin(ε/(2m)). Обратное утверждение без контроля норм ложно.</w:t>
            </w:r>
          </w:p>
        </w:tc>
      </w:tr>
    </w:tbl>
    <w:p/>
    <w:p>
      <w:pPr>
        <w:pStyle w:val="Heading1"/>
        <w:keepNext/>
      </w:pPr>
      <w:r>
        <w:t>119. Стратификация obstruction carrier</w:t>
      </w:r>
    </w:p>
    <w:p>
      <w:pPr>
        <w:pStyle w:val="Heading2"/>
        <w:keepNext/>
      </w:pPr>
      <w:r>
        <w:t>119.1. Ранговые страты</w:t>
      </w:r>
    </w:p>
    <w:p>
      <w:r>
        <w:t>Пусть препятствие кодируется матрицей A(o) или конечным семейством линейных операторов, определённым выбранной моделью. Для каждого r вводится страта</w:t>
      </w:r>
    </w:p>
    <w:p>
      <w:pPr>
        <w:pStyle w:val="Quote"/>
        <w:jc w:val="center"/>
      </w:pPr>
      <w:r>
        <w:rPr>
          <w:rFonts w:ascii="Cambria Math" w:hAnsi="Cambria Math"/>
          <w:sz w:val="22"/>
        </w:rPr>
        <w:t>S_r = { [o]∈P(O_B) : rank A(o)=r }.</w:t>
      </w:r>
      <w:r>
        <w:t xml:space="preserve">    (14.8)</w:t>
      </w:r>
    </w:p>
    <w:p>
      <w:r>
        <w:t>Ранг является projectively well-defined, если A(ao)=a^mA(o) для некоторой степени m и a≠0. В противном случае ранговая стратификация зависит от представителя и не допускается.</w:t>
      </w:r>
    </w:p>
    <w:tbl>
      <w:tblPr>
        <w:tblStyle w:val="TableGrid"/>
        <w:tblW w:type="auto" w:w="0"/>
        <w:jc w:val="center"/>
        <w:tblLook w:firstColumn="1" w:firstRow="1" w:lastColumn="0" w:lastRow="0" w:noHBand="0" w:noVBand="1" w:val="04A0"/>
      </w:tblPr>
      <w:tblGrid>
        <w:gridCol w:w="9752"/>
      </w:tblGrid>
      <w:tr>
        <w:tc>
          <w:tcPr>
            <w:tcW w:type="dxa" w:w="9752"/>
            <w:tcMar>
              <w:top w:w="160" w:type="dxa"/>
              <w:start w:w="180" w:type="dxa"/>
              <w:bottom w:w="160" w:type="dxa"/>
              <w:end w:w="180" w:type="dxa"/>
            </w:tcMar>
            <w:shd w:fill="DCE6F1"/>
          </w:tcPr>
          <w:p>
            <w:r>
              <w:rPr>
                <w:b/>
                <w:color w:val="1F4E79"/>
                <w:sz w:val="21"/>
              </w:rPr>
              <w:t>ЛЕММА 14.4. HOMOGENEITY CRITERION</w:t>
            </w:r>
          </w:p>
          <w:p>
            <w:pPr>
              <w:spacing w:after="0"/>
            </w:pPr>
            <w:r>
              <w:rPr>
                <w:sz w:val="19"/>
              </w:rPr>
              <w:t>Функция или тип τ(o) спускается на P(O_B) тогда и только тогда, когда τ(ao)=τ(o) для всех a∈K^×. Для числовой функции достаточна однородность степени 0; однородность ненулевой степени требует последующей нормировки.</w:t>
            </w:r>
          </w:p>
        </w:tc>
      </w:tr>
    </w:tbl>
    <w:p/>
    <w:p>
      <w:pPr>
        <w:pStyle w:val="Heading2"/>
        <w:keepNext/>
      </w:pPr>
      <w:r>
        <w:t>119.2. Орбитные типы</w:t>
      </w:r>
    </w:p>
    <w:p>
      <w:r>
        <w:t>Если алгебраическая группа G действует линейно на O_B, то она действует на P(O_B). Для [o] определяется стабилизатор</w:t>
      </w:r>
    </w:p>
    <w:p>
      <w:pPr>
        <w:pStyle w:val="Quote"/>
        <w:jc w:val="center"/>
      </w:pPr>
      <w:r>
        <w:rPr>
          <w:rFonts w:ascii="Cambria Math" w:hAnsi="Cambria Math"/>
          <w:sz w:val="22"/>
        </w:rPr>
        <w:t>G_[o] = { g∈G : g·o ∈ K^×o }.</w:t>
      </w:r>
      <w:r>
        <w:t xml:space="preserve">    (14.9)</w:t>
      </w:r>
    </w:p>
    <w:p>
      <w:r>
        <w:t>Страта орбитного типа объединяет точки с сопряжёнными стабилизаторами. Изменение orbit type является кандидатом структурной бифуркации, но не физическим переходом.</w:t>
      </w:r>
    </w:p>
    <w:tbl>
      <w:tblPr>
        <w:tblStyle w:val="TableGrid"/>
        <w:tblW w:type="auto" w:w="0"/>
        <w:jc w:val="center"/>
        <w:tblLook w:firstColumn="1" w:firstRow="1" w:lastColumn="0" w:lastRow="0" w:noHBand="0" w:noVBand="1" w:val="04A0"/>
      </w:tblPr>
      <w:tblGrid>
        <w:gridCol w:w="2438"/>
        <w:gridCol w:w="2438"/>
        <w:gridCol w:w="2438"/>
        <w:gridCol w:w="2438"/>
      </w:tblGrid>
      <w:tr>
        <w:tc>
          <w:tcPr>
            <w:tcW w:type="dxa" w:w="1512"/>
            <w:shd w:fill="1F4E78"/>
            <w:vAlign w:val="center"/>
            <w:tcMar>
              <w:top w:w="100" w:type="dxa"/>
              <w:start w:w="120" w:type="dxa"/>
              <w:bottom w:w="100" w:type="dxa"/>
              <w:end w:w="120" w:type="dxa"/>
            </w:tcMar>
          </w:tcPr>
          <w:p>
            <w:r>
              <w:rPr>
                <w:b/>
                <w:color w:val="FFFFFF"/>
                <w:sz w:val="18"/>
              </w:rPr>
              <w:t>Страта</w:t>
            </w:r>
          </w:p>
        </w:tc>
        <w:tc>
          <w:tcPr>
            <w:tcW w:type="dxa" w:w="2016"/>
            <w:shd w:fill="1F4E78"/>
            <w:vAlign w:val="center"/>
            <w:tcMar>
              <w:top w:w="100" w:type="dxa"/>
              <w:start w:w="120" w:type="dxa"/>
              <w:bottom w:w="100" w:type="dxa"/>
              <w:end w:w="120" w:type="dxa"/>
            </w:tcMar>
          </w:tcPr>
          <w:p>
            <w:r>
              <w:rPr>
                <w:b/>
                <w:color w:val="FFFFFF"/>
                <w:sz w:val="18"/>
              </w:rPr>
              <w:t>Инвариант</w:t>
            </w:r>
          </w:p>
        </w:tc>
        <w:tc>
          <w:tcPr>
            <w:tcW w:type="dxa" w:w="3168"/>
            <w:shd w:fill="1F4E78"/>
            <w:vAlign w:val="center"/>
            <w:tcMar>
              <w:top w:w="100" w:type="dxa"/>
              <w:start w:w="120" w:type="dxa"/>
              <w:bottom w:w="100" w:type="dxa"/>
              <w:end w:w="120" w:type="dxa"/>
            </w:tcMar>
          </w:tcPr>
          <w:p>
            <w:r>
              <w:rPr>
                <w:b/>
                <w:color w:val="FFFFFF"/>
                <w:sz w:val="18"/>
              </w:rPr>
              <w:t>Смысл</w:t>
            </w:r>
          </w:p>
        </w:tc>
        <w:tc>
          <w:tcPr>
            <w:tcW w:type="dxa" w:w="2880"/>
            <w:shd w:fill="1F4E78"/>
            <w:vAlign w:val="center"/>
            <w:tcMar>
              <w:top w:w="100" w:type="dxa"/>
              <w:start w:w="120" w:type="dxa"/>
              <w:bottom w:w="100" w:type="dxa"/>
              <w:end w:w="120" w:type="dxa"/>
            </w:tcMar>
          </w:tcPr>
          <w:p>
            <w:r>
              <w:rPr>
                <w:b/>
                <w:color w:val="FFFFFF"/>
                <w:sz w:val="18"/>
              </w:rPr>
              <w:t>Опасность</w:t>
            </w:r>
          </w:p>
        </w:tc>
      </w:tr>
      <w:tr>
        <w:tc>
          <w:tcPr>
            <w:tcW w:type="dxa" w:w="1512"/>
            <w:vAlign w:val="center"/>
            <w:tcMar>
              <w:top w:w="100" w:type="dxa"/>
              <w:start w:w="120" w:type="dxa"/>
              <w:bottom w:w="100" w:type="dxa"/>
              <w:end w:w="120" w:type="dxa"/>
            </w:tcMar>
          </w:tcPr>
          <w:p>
            <w:r>
              <w:rPr>
                <w:sz w:val="17"/>
              </w:rPr>
              <w:t>S_rank</w:t>
            </w:r>
          </w:p>
        </w:tc>
        <w:tc>
          <w:tcPr>
            <w:tcW w:type="dxa" w:w="2016"/>
            <w:vAlign w:val="center"/>
            <w:tcMar>
              <w:top w:w="100" w:type="dxa"/>
              <w:start w:w="120" w:type="dxa"/>
              <w:bottom w:w="100" w:type="dxa"/>
              <w:end w:w="120" w:type="dxa"/>
            </w:tcMar>
          </w:tcPr>
          <w:p>
            <w:r>
              <w:rPr>
                <w:sz w:val="17"/>
              </w:rPr>
              <w:t>rank A(o)</w:t>
            </w:r>
          </w:p>
        </w:tc>
        <w:tc>
          <w:tcPr>
            <w:tcW w:type="dxa" w:w="3168"/>
            <w:vAlign w:val="center"/>
            <w:tcMar>
              <w:top w:w="100" w:type="dxa"/>
              <w:start w:w="120" w:type="dxa"/>
              <w:bottom w:w="100" w:type="dxa"/>
              <w:end w:w="120" w:type="dxa"/>
            </w:tcMar>
          </w:tcPr>
          <w:p>
            <w:r>
              <w:rPr>
                <w:sz w:val="17"/>
              </w:rPr>
              <w:t>алгебраическая сложность</w:t>
            </w:r>
          </w:p>
        </w:tc>
        <w:tc>
          <w:tcPr>
            <w:tcW w:type="dxa" w:w="2880"/>
            <w:vAlign w:val="center"/>
            <w:tcMar>
              <w:top w:w="100" w:type="dxa"/>
              <w:start w:w="120" w:type="dxa"/>
              <w:bottom w:w="100" w:type="dxa"/>
              <w:end w:w="120" w:type="dxa"/>
            </w:tcMar>
          </w:tcPr>
          <w:p>
            <w:r>
              <w:rPr>
                <w:sz w:val="17"/>
              </w:rPr>
              <w:t>зависимость от неоднородного кодирования</w:t>
            </w:r>
          </w:p>
        </w:tc>
      </w:tr>
      <w:tr>
        <w:tc>
          <w:tcPr>
            <w:tcW w:type="dxa" w:w="1512"/>
            <w:vAlign w:val="center"/>
            <w:tcMar>
              <w:top w:w="100" w:type="dxa"/>
              <w:start w:w="120" w:type="dxa"/>
              <w:bottom w:w="100" w:type="dxa"/>
              <w:end w:w="120" w:type="dxa"/>
            </w:tcMar>
            <w:shd w:fill="EAF1F8"/>
          </w:tcPr>
          <w:p>
            <w:r>
              <w:rPr>
                <w:sz w:val="17"/>
              </w:rPr>
              <w:t>S_orbit</w:t>
            </w:r>
          </w:p>
        </w:tc>
        <w:tc>
          <w:tcPr>
            <w:tcW w:type="dxa" w:w="2016"/>
            <w:vAlign w:val="center"/>
            <w:tcMar>
              <w:top w:w="100" w:type="dxa"/>
              <w:start w:w="120" w:type="dxa"/>
              <w:bottom w:w="100" w:type="dxa"/>
              <w:end w:w="120" w:type="dxa"/>
            </w:tcMar>
            <w:shd w:fill="EAF1F8"/>
          </w:tcPr>
          <w:p>
            <w:r>
              <w:rPr>
                <w:sz w:val="17"/>
              </w:rPr>
              <w:t>[G_[o]]</w:t>
            </w:r>
          </w:p>
        </w:tc>
        <w:tc>
          <w:tcPr>
            <w:tcW w:type="dxa" w:w="3168"/>
            <w:vAlign w:val="center"/>
            <w:tcMar>
              <w:top w:w="100" w:type="dxa"/>
              <w:start w:w="120" w:type="dxa"/>
              <w:bottom w:w="100" w:type="dxa"/>
              <w:end w:w="120" w:type="dxa"/>
            </w:tcMar>
            <w:shd w:fill="EAF1F8"/>
          </w:tcPr>
          <w:p>
            <w:r>
              <w:rPr>
                <w:sz w:val="17"/>
              </w:rPr>
              <w:t>тип симметрии</w:t>
            </w:r>
          </w:p>
        </w:tc>
        <w:tc>
          <w:tcPr>
            <w:tcW w:type="dxa" w:w="2880"/>
            <w:vAlign w:val="center"/>
            <w:tcMar>
              <w:top w:w="100" w:type="dxa"/>
              <w:start w:w="120" w:type="dxa"/>
              <w:bottom w:w="100" w:type="dxa"/>
              <w:end w:w="120" w:type="dxa"/>
            </w:tcMar>
            <w:shd w:fill="EAF1F8"/>
          </w:tcPr>
          <w:p>
            <w:r>
              <w:rPr>
                <w:sz w:val="17"/>
              </w:rPr>
              <w:t>нестабильность на сингулярных орбитах</w:t>
            </w:r>
          </w:p>
        </w:tc>
      </w:tr>
      <w:tr>
        <w:tc>
          <w:tcPr>
            <w:tcW w:type="dxa" w:w="1512"/>
            <w:vAlign w:val="center"/>
            <w:tcMar>
              <w:top w:w="100" w:type="dxa"/>
              <w:start w:w="120" w:type="dxa"/>
              <w:bottom w:w="100" w:type="dxa"/>
              <w:end w:w="120" w:type="dxa"/>
            </w:tcMar>
          </w:tcPr>
          <w:p>
            <w:r>
              <w:rPr>
                <w:sz w:val="17"/>
              </w:rPr>
              <w:t>S_support</w:t>
            </w:r>
          </w:p>
        </w:tc>
        <w:tc>
          <w:tcPr>
            <w:tcW w:type="dxa" w:w="2016"/>
            <w:vAlign w:val="center"/>
            <w:tcMar>
              <w:top w:w="100" w:type="dxa"/>
              <w:start w:w="120" w:type="dxa"/>
              <w:bottom w:w="100" w:type="dxa"/>
              <w:end w:w="120" w:type="dxa"/>
            </w:tcMar>
          </w:tcPr>
          <w:p>
            <w:r>
              <w:rPr>
                <w:sz w:val="17"/>
              </w:rPr>
              <w:t>supp(o)</w:t>
            </w:r>
          </w:p>
        </w:tc>
        <w:tc>
          <w:tcPr>
            <w:tcW w:type="dxa" w:w="3168"/>
            <w:vAlign w:val="center"/>
            <w:tcMar>
              <w:top w:w="100" w:type="dxa"/>
              <w:start w:w="120" w:type="dxa"/>
              <w:bottom w:w="100" w:type="dxa"/>
              <w:end w:w="120" w:type="dxa"/>
            </w:tcMar>
          </w:tcPr>
          <w:p>
            <w:r>
              <w:rPr>
                <w:sz w:val="17"/>
              </w:rPr>
              <w:t>активные компоненты</w:t>
            </w:r>
          </w:p>
        </w:tc>
        <w:tc>
          <w:tcPr>
            <w:tcW w:type="dxa" w:w="2880"/>
            <w:vAlign w:val="center"/>
            <w:tcMar>
              <w:top w:w="100" w:type="dxa"/>
              <w:start w:w="120" w:type="dxa"/>
              <w:bottom w:w="100" w:type="dxa"/>
              <w:end w:w="120" w:type="dxa"/>
            </w:tcMar>
          </w:tcPr>
          <w:p>
            <w:r>
              <w:rPr>
                <w:sz w:val="17"/>
              </w:rPr>
              <w:t>зависимость от базиса</w:t>
            </w:r>
          </w:p>
        </w:tc>
      </w:tr>
      <w:tr>
        <w:tc>
          <w:tcPr>
            <w:tcW w:type="dxa" w:w="1512"/>
            <w:vAlign w:val="center"/>
            <w:tcMar>
              <w:top w:w="100" w:type="dxa"/>
              <w:start w:w="120" w:type="dxa"/>
              <w:bottom w:w="100" w:type="dxa"/>
              <w:end w:w="120" w:type="dxa"/>
            </w:tcMar>
            <w:shd w:fill="EAF1F8"/>
          </w:tcPr>
          <w:p>
            <w:r>
              <w:rPr>
                <w:sz w:val="17"/>
              </w:rPr>
              <w:t>S_prov</w:t>
            </w:r>
          </w:p>
        </w:tc>
        <w:tc>
          <w:tcPr>
            <w:tcW w:type="dxa" w:w="2016"/>
            <w:vAlign w:val="center"/>
            <w:tcMar>
              <w:top w:w="100" w:type="dxa"/>
              <w:start w:w="120" w:type="dxa"/>
              <w:bottom w:w="100" w:type="dxa"/>
              <w:end w:w="120" w:type="dxa"/>
            </w:tcMar>
            <w:shd w:fill="EAF1F8"/>
          </w:tcPr>
          <w:p>
            <w:r>
              <w:rPr>
                <w:sz w:val="17"/>
              </w:rPr>
              <w:t>provenance class</w:t>
            </w:r>
          </w:p>
        </w:tc>
        <w:tc>
          <w:tcPr>
            <w:tcW w:type="dxa" w:w="3168"/>
            <w:vAlign w:val="center"/>
            <w:tcMar>
              <w:top w:w="100" w:type="dxa"/>
              <w:start w:w="120" w:type="dxa"/>
              <w:bottom w:w="100" w:type="dxa"/>
              <w:end w:w="120" w:type="dxa"/>
            </w:tcMar>
            <w:shd w:fill="EAF1F8"/>
          </w:tcPr>
          <w:p>
            <w:r>
              <w:rPr>
                <w:sz w:val="17"/>
              </w:rPr>
              <w:t>источниковый тип</w:t>
            </w:r>
          </w:p>
        </w:tc>
        <w:tc>
          <w:tcPr>
            <w:tcW w:type="dxa" w:w="2880"/>
            <w:vAlign w:val="center"/>
            <w:tcMar>
              <w:top w:w="100" w:type="dxa"/>
              <w:start w:w="120" w:type="dxa"/>
              <w:bottom w:w="100" w:type="dxa"/>
              <w:end w:w="120" w:type="dxa"/>
            </w:tcMar>
            <w:shd w:fill="EAF1F8"/>
          </w:tcPr>
          <w:p>
            <w:r>
              <w:rPr>
                <w:sz w:val="17"/>
              </w:rPr>
              <w:t>не является чисто геометрическим</w:t>
            </w:r>
          </w:p>
        </w:tc>
      </w:tr>
      <w:tr>
        <w:tc>
          <w:tcPr>
            <w:tcW w:type="dxa" w:w="1512"/>
            <w:vAlign w:val="center"/>
            <w:tcMar>
              <w:top w:w="100" w:type="dxa"/>
              <w:start w:w="120" w:type="dxa"/>
              <w:bottom w:w="100" w:type="dxa"/>
              <w:end w:w="120" w:type="dxa"/>
            </w:tcMar>
          </w:tcPr>
          <w:p>
            <w:r>
              <w:rPr>
                <w:sz w:val="17"/>
              </w:rPr>
              <w:t>S_Dom</w:t>
            </w:r>
          </w:p>
        </w:tc>
        <w:tc>
          <w:tcPr>
            <w:tcW w:type="dxa" w:w="2016"/>
            <w:vAlign w:val="center"/>
            <w:tcMar>
              <w:top w:w="100" w:type="dxa"/>
              <w:start w:w="120" w:type="dxa"/>
              <w:bottom w:w="100" w:type="dxa"/>
              <w:end w:w="120" w:type="dxa"/>
            </w:tcMar>
          </w:tcPr>
          <w:p>
            <w:r>
              <w:rPr>
                <w:sz w:val="17"/>
              </w:rPr>
              <w:t>domain signature</w:t>
            </w:r>
          </w:p>
        </w:tc>
        <w:tc>
          <w:tcPr>
            <w:tcW w:type="dxa" w:w="3168"/>
            <w:vAlign w:val="center"/>
            <w:tcMar>
              <w:top w:w="100" w:type="dxa"/>
              <w:start w:w="120" w:type="dxa"/>
              <w:bottom w:w="100" w:type="dxa"/>
              <w:end w:w="120" w:type="dxa"/>
            </w:tcMar>
          </w:tcPr>
          <w:p>
            <w:r>
              <w:rPr>
                <w:sz w:val="17"/>
              </w:rPr>
              <w:t>область допустимости</w:t>
            </w:r>
          </w:p>
        </w:tc>
        <w:tc>
          <w:tcPr>
            <w:tcW w:type="dxa" w:w="2880"/>
            <w:vAlign w:val="center"/>
            <w:tcMar>
              <w:top w:w="100" w:type="dxa"/>
              <w:start w:w="120" w:type="dxa"/>
              <w:bottom w:w="100" w:type="dxa"/>
              <w:end w:w="120" w:type="dxa"/>
            </w:tcMar>
          </w:tcPr>
          <w:p>
            <w:r>
              <w:rPr>
                <w:sz w:val="17"/>
              </w:rPr>
              <w:t>может меняться скачком</w:t>
            </w:r>
          </w:p>
        </w:tc>
      </w:tr>
    </w:tbl>
    <w:p/>
    <w:p>
      <w:pPr>
        <w:pStyle w:val="Heading2"/>
        <w:keepNext/>
      </w:pPr>
      <w:r>
        <w:t>119.3. Whitney-условия как открытое обязательство</w:t>
      </w:r>
    </w:p>
    <w:p>
      <w:r>
        <w:t>Для гладкой или алгебраической стратификации полезно требовать Whitney (a)/(b), локальную конечность и frontier condition. В общей NAPG эти свойства не объявляются автоматически. Они формируют proof obligations T2-PO-133-T2-PO-135.</w:t>
      </w:r>
    </w:p>
    <w:p>
      <w:pPr>
        <w:pStyle w:val="Heading1"/>
        <w:keepNext/>
      </w:pPr>
      <w:r>
        <w:t>120. Проектированный обструкционный конус</w:t>
      </w:r>
    </w:p>
    <w:p>
      <w:pPr>
        <w:pStyle w:val="Heading2"/>
        <w:keepNext/>
      </w:pPr>
      <w:r>
        <w:t>120.1. Конический носитель</w:t>
      </w:r>
    </w:p>
    <w:p>
      <w:r>
        <w:t>Пусть C_B⊆O_B является замкнутым конусом допустимых или достижимых препятствий, то есть aC_B⊆C_B для a∈K. Его проектированный носитель определяется как</w:t>
      </w:r>
    </w:p>
    <w:p>
      <w:pPr>
        <w:pStyle w:val="Quote"/>
        <w:jc w:val="center"/>
      </w:pPr>
      <w:r>
        <w:rPr>
          <w:rFonts w:ascii="Cambria Math" w:hAnsi="Cambria Math"/>
          <w:sz w:val="22"/>
        </w:rPr>
        <w:t>P(C_B) = (C_B \ {0}) / K^× ⊆ P(O_B).</w:t>
      </w:r>
      <w:r>
        <w:t xml:space="preserve">    (14.10)</w:t>
      </w:r>
    </w:p>
    <w:p>
      <w:r>
        <w:t>Если C_B не инвариантен относительно всех ненулевых скаляров, вместо projectivization требуется положительная projectivization или сферическая нормировка. Особенно это важно для упорядоченных конусов над R, где отрицательное масштабирование меняет смысл.</w:t>
      </w:r>
    </w:p>
    <w:tbl>
      <w:tblPr>
        <w:tblStyle w:val="TableGrid"/>
        <w:tblW w:type="auto" w:w="0"/>
        <w:jc w:val="center"/>
        <w:tblLook w:firstColumn="1" w:firstRow="1" w:lastColumn="0" w:lastRow="0" w:noHBand="0" w:noVBand="1" w:val="04A0"/>
      </w:tblPr>
      <w:tblGrid>
        <w:gridCol w:w="9752"/>
      </w:tblGrid>
      <w:tr>
        <w:tc>
          <w:tcPr>
            <w:tcW w:type="dxa" w:w="9752"/>
            <w:tcMar>
              <w:top w:w="160" w:type="dxa"/>
              <w:start w:w="180" w:type="dxa"/>
              <w:bottom w:w="160" w:type="dxa"/>
              <w:end w:w="180" w:type="dxa"/>
            </w:tcMar>
            <w:shd w:fill="FCE4D6"/>
          </w:tcPr>
          <w:p>
            <w:r>
              <w:rPr>
                <w:b/>
                <w:color w:val="1F4E79"/>
                <w:sz w:val="21"/>
              </w:rPr>
              <w:t>КОНТРПРИМЕР 14.B</w:t>
            </w:r>
          </w:p>
          <w:p>
            <w:pPr>
              <w:spacing w:after="0"/>
            </w:pPr>
            <w:r>
              <w:rPr>
                <w:sz w:val="19"/>
              </w:rPr>
              <w:t>Положительный ортант R^n_{≥0} не инвариантен относительно отрицательных скаляров. Обычная real projectivization отождествляет положительное и отрицательное направления и уничтожает порядок. Для причинных или вероятностных конусов требуется quotient по R_{&gt;0}, а не по R^×.</w:t>
            </w:r>
          </w:p>
        </w:tc>
      </w:tr>
    </w:tbl>
    <w:p/>
    <w:p>
      <w:pPr>
        <w:pStyle w:val="Heading2"/>
        <w:keepNext/>
      </w:pPr>
      <w:r>
        <w:t>120.2. Полупроективный носитель</w:t>
      </w:r>
    </w:p>
    <w:p>
      <w:pPr>
        <w:pStyle w:val="Quote"/>
        <w:jc w:val="center"/>
      </w:pPr>
      <w:r>
        <w:rPr>
          <w:rFonts w:ascii="Cambria Math" w:hAnsi="Cambria Math"/>
          <w:sz w:val="22"/>
        </w:rPr>
        <w:t>P_+(C_B) = (C_B \ {0}) / R_{&gt;0}.</w:t>
      </w:r>
      <w:r>
        <w:t xml:space="preserve">    (14.11)</w:t>
      </w:r>
    </w:p>
    <w:p>
      <w:r>
        <w:t>Носитель P_+(C_B) сохраняет ориентацию луча и различает o от -o. Он является предпочтительным для знако-чувствительных препятствий, направленных потоков и one-sided domain constraints.</w:t>
      </w:r>
    </w:p>
    <w:p>
      <w:pPr>
        <w:pStyle w:val="Heading1"/>
        <w:keepNext/>
      </w:pPr>
      <w:r>
        <w:t>121. Локальные носители и Fano globalization firewall</w:t>
      </w:r>
    </w:p>
    <w:p>
      <w:r>
        <w:t>PILOT-01 уже различал локальные obstruction carriers и глобальный Fano carrier: семь локальных трёхмерных носителей сначала дают прямую сумму размерности 21, а переход к F₂³ требует явных совместимых карт идентификации. Эта дисциплина переносится в общий NAPG-слой.</w:t>
      </w:r>
    </w:p>
    <w:p>
      <w:pPr>
        <w:pStyle w:val="Quote"/>
        <w:jc w:val="center"/>
      </w:pPr>
      <w:r>
        <w:rPr>
          <w:rFonts w:ascii="Cambria Math" w:hAnsi="Cambria Math"/>
          <w:sz w:val="22"/>
        </w:rPr>
        <w:t>O_pre = ⊕_{L∈Lines(Fano)} O_L.</w:t>
      </w:r>
      <w:r>
        <w:t xml:space="preserve">    (14.12)</w:t>
      </w:r>
    </w:p>
    <w:p>
      <w:pPr>
        <w:pStyle w:val="Quote"/>
        <w:jc w:val="center"/>
      </w:pPr>
      <w:r>
        <w:rPr>
          <w:rFonts w:ascii="Cambria Math" w:hAnsi="Cambria Math"/>
          <w:sz w:val="22"/>
        </w:rPr>
        <w:t>O_glob = colim( O_L, φ_{LL′} ).</w:t>
      </w:r>
      <w:r>
        <w:t xml:space="preserve">    (14.13)</w:t>
      </w:r>
    </w:p>
    <w:p>
      <w:pPr>
        <w:jc w:val="center"/>
      </w:pPr>
      <w:r>
        <w:drawing>
          <wp:inline xmlns:a="http://schemas.openxmlformats.org/drawingml/2006/main" xmlns:pic="http://schemas.openxmlformats.org/drawingml/2006/picture">
            <wp:extent cx="5943600" cy="3595598"/>
            <wp:docPr id="34" name="Picture 34"/>
            <wp:cNvGraphicFramePr>
              <a:graphicFrameLocks noChangeAspect="1"/>
            </wp:cNvGraphicFramePr>
            <a:graphic>
              <a:graphicData uri="http://schemas.openxmlformats.org/drawingml/2006/picture">
                <pic:pic>
                  <pic:nvPicPr>
                    <pic:cNvPr id="0" name="fano_barrier.png"/>
                    <pic:cNvPicPr/>
                  </pic:nvPicPr>
                  <pic:blipFill>
                    <a:blip r:embed="rId61"/>
                    <a:stretch>
                      <a:fillRect/>
                    </a:stretch>
                  </pic:blipFill>
                  <pic:spPr>
                    <a:xfrm>
                      <a:off x="0" y="0"/>
                      <a:ext cx="5943600" cy="3595598"/>
                    </a:xfrm>
                    <a:prstGeom prst="rect"/>
                  </pic:spPr>
                </pic:pic>
              </a:graphicData>
            </a:graphic>
          </wp:inline>
        </w:drawing>
      </w:r>
    </w:p>
    <w:p>
      <w:pPr>
        <w:pStyle w:val="Caption"/>
        <w:keepNext/>
        <w:jc w:val="center"/>
      </w:pPr>
      <w:r>
        <w:t>Рисунок 14.2. Fano globalization firewall: локальные носители не образуют глобальный projective carrier без identification maps.</w:t>
      </w:r>
    </w:p>
    <w:tbl>
      <w:tblPr>
        <w:tblStyle w:val="TableGrid"/>
        <w:tblW w:type="auto" w:w="0"/>
        <w:jc w:val="center"/>
        <w:tblLook w:firstColumn="1" w:firstRow="1" w:lastColumn="0" w:lastRow="0" w:noHBand="0" w:noVBand="1" w:val="04A0"/>
      </w:tblPr>
      <w:tblGrid>
        <w:gridCol w:w="9752"/>
      </w:tblGrid>
      <w:tr>
        <w:tc>
          <w:tcPr>
            <w:tcW w:type="dxa" w:w="9752"/>
            <w:tcMar>
              <w:top w:w="160" w:type="dxa"/>
              <w:start w:w="180" w:type="dxa"/>
              <w:bottom w:w="160" w:type="dxa"/>
              <w:end w:w="180" w:type="dxa"/>
            </w:tcMar>
            <w:shd w:fill="FCE4D6"/>
          </w:tcPr>
          <w:p>
            <w:r>
              <w:rPr>
                <w:b/>
                <w:color w:val="1F4E79"/>
                <w:sz w:val="21"/>
              </w:rPr>
              <w:t>ТЕОРЕМА 14.5. LOCAL-TO-GLOBAL NO-GO</w:t>
            </w:r>
          </w:p>
          <w:p>
            <w:pPr>
              <w:spacing w:after="0"/>
            </w:pPr>
            <w:r>
              <w:rPr>
                <w:sz w:val="19"/>
              </w:rPr>
              <w:t>Из существования семейства projective carriers P(O_i) не следует существование глобального P(O). Необходимы линейные карты склейки, cocycle condition, совместимость нулевых секций, Evidence-D и effective descent.</w:t>
            </w:r>
          </w:p>
        </w:tc>
      </w:tr>
    </w:tbl>
    <w:p/>
    <w:p>
      <w:r>
        <w:t>Это усиливает принцип Fano ontological barrier, сформулированный в PILOT-01: локальная projective картина не перескакивает в глобальную только потому, что число точек выглядит подходящим [V0.11-1].</w:t>
      </w:r>
    </w:p>
    <w:p>
      <w:pPr>
        <w:pStyle w:val="Heading1"/>
        <w:keepNext/>
      </w:pPr>
      <w:r>
        <w:t>122. Проективный переходный горизонт</w:t>
      </w:r>
    </w:p>
    <w:p>
      <w:pPr>
        <w:pStyle w:val="Heading2"/>
        <w:keepNext/>
      </w:pPr>
      <w:r>
        <w:t>122.1. Компоненты горизонта</w:t>
      </w:r>
    </w:p>
    <w:p>
      <w:pPr>
        <w:pStyle w:val="Quote"/>
        <w:jc w:val="center"/>
      </w:pPr>
      <w:r>
        <w:rPr>
          <w:rFonts w:ascii="Cambria Math" w:hAnsi="Cambria Math"/>
          <w:sz w:val="22"/>
        </w:rPr>
        <w:t>Δ_proj = Δ_zero ∪ Δ_rank ∪ Δ_orbit ∪ Δ_chart ∪ Δ_glue ∪ Δ_D ∪ Δ_Dom.</w:t>
      </w:r>
      <w:r>
        <w:t xml:space="preserve">    (14.14)</w:t>
      </w:r>
    </w:p>
    <w:tbl>
      <w:tblPr>
        <w:tblStyle w:val="TableGrid"/>
        <w:tblW w:type="auto" w:w="0"/>
        <w:jc w:val="center"/>
        <w:tblLook w:firstColumn="1" w:firstRow="1" w:lastColumn="0" w:lastRow="0" w:noHBand="0" w:noVBand="1" w:val="04A0"/>
      </w:tblPr>
      <w:tblGrid>
        <w:gridCol w:w="3251"/>
        <w:gridCol w:w="3251"/>
        <w:gridCol w:w="3251"/>
      </w:tblGrid>
      <w:tr>
        <w:tc>
          <w:tcPr>
            <w:tcW w:type="dxa" w:w="1584"/>
            <w:shd w:fill="1F4E78"/>
            <w:vAlign w:val="center"/>
            <w:tcMar>
              <w:top w:w="100" w:type="dxa"/>
              <w:start w:w="120" w:type="dxa"/>
              <w:bottom w:w="100" w:type="dxa"/>
              <w:end w:w="120" w:type="dxa"/>
            </w:tcMar>
          </w:tcPr>
          <w:p>
            <w:r>
              <w:rPr>
                <w:b/>
                <w:color w:val="FFFFFF"/>
                <w:sz w:val="18"/>
              </w:rPr>
              <w:t>Компонент</w:t>
            </w:r>
          </w:p>
        </w:tc>
        <w:tc>
          <w:tcPr>
            <w:tcW w:type="dxa" w:w="3600"/>
            <w:shd w:fill="1F4E78"/>
            <w:vAlign w:val="center"/>
            <w:tcMar>
              <w:top w:w="100" w:type="dxa"/>
              <w:start w:w="120" w:type="dxa"/>
              <w:bottom w:w="100" w:type="dxa"/>
              <w:end w:w="120" w:type="dxa"/>
            </w:tcMar>
          </w:tcPr>
          <w:p>
            <w:r>
              <w:rPr>
                <w:b/>
                <w:color w:val="FFFFFF"/>
                <w:sz w:val="18"/>
              </w:rPr>
              <w:t>Условие попадания</w:t>
            </w:r>
          </w:p>
        </w:tc>
        <w:tc>
          <w:tcPr>
            <w:tcW w:type="dxa" w:w="4608"/>
            <w:shd w:fill="1F4E78"/>
            <w:vAlign w:val="center"/>
            <w:tcMar>
              <w:top w:w="100" w:type="dxa"/>
              <w:start w:w="120" w:type="dxa"/>
              <w:bottom w:w="100" w:type="dxa"/>
              <w:end w:w="120" w:type="dxa"/>
            </w:tcMar>
          </w:tcPr>
          <w:p>
            <w:r>
              <w:rPr>
                <w:b/>
                <w:color w:val="FFFFFF"/>
                <w:sz w:val="18"/>
              </w:rPr>
              <w:t>Интерпретация</w:t>
            </w:r>
          </w:p>
        </w:tc>
      </w:tr>
      <w:tr>
        <w:tc>
          <w:tcPr>
            <w:tcW w:type="dxa" w:w="1584"/>
            <w:vAlign w:val="center"/>
            <w:tcMar>
              <w:top w:w="100" w:type="dxa"/>
              <w:start w:w="120" w:type="dxa"/>
              <w:bottom w:w="100" w:type="dxa"/>
              <w:end w:w="120" w:type="dxa"/>
            </w:tcMar>
          </w:tcPr>
          <w:p>
            <w:r>
              <w:rPr>
                <w:sz w:val="17"/>
              </w:rPr>
              <w:t>Δ_zero</w:t>
            </w:r>
          </w:p>
        </w:tc>
        <w:tc>
          <w:tcPr>
            <w:tcW w:type="dxa" w:w="3600"/>
            <w:vAlign w:val="center"/>
            <w:tcMar>
              <w:top w:w="100" w:type="dxa"/>
              <w:start w:w="120" w:type="dxa"/>
              <w:bottom w:w="100" w:type="dxa"/>
              <w:end w:w="120" w:type="dxa"/>
            </w:tcMar>
          </w:tcPr>
          <w:p>
            <w:r>
              <w:rPr>
                <w:sz w:val="17"/>
              </w:rPr>
              <w:t>o_t=0 или потеря отделимости от 0</w:t>
            </w:r>
          </w:p>
        </w:tc>
        <w:tc>
          <w:tcPr>
            <w:tcW w:type="dxa" w:w="4608"/>
            <w:vAlign w:val="center"/>
            <w:tcMar>
              <w:top w:w="100" w:type="dxa"/>
              <w:start w:w="120" w:type="dxa"/>
              <w:bottom w:w="100" w:type="dxa"/>
              <w:end w:w="120" w:type="dxa"/>
            </w:tcMar>
          </w:tcPr>
          <w:p>
            <w:r>
              <w:rPr>
                <w:sz w:val="17"/>
              </w:rPr>
              <w:t>появление/исчезновение внутреннего класса</w:t>
            </w:r>
          </w:p>
        </w:tc>
      </w:tr>
      <w:tr>
        <w:tc>
          <w:tcPr>
            <w:tcW w:type="dxa" w:w="1584"/>
            <w:vAlign w:val="center"/>
            <w:tcMar>
              <w:top w:w="100" w:type="dxa"/>
              <w:start w:w="120" w:type="dxa"/>
              <w:bottom w:w="100" w:type="dxa"/>
              <w:end w:w="120" w:type="dxa"/>
            </w:tcMar>
            <w:shd w:fill="EAF1F8"/>
          </w:tcPr>
          <w:p>
            <w:r>
              <w:rPr>
                <w:sz w:val="17"/>
              </w:rPr>
              <w:t>Δ_rank</w:t>
            </w:r>
          </w:p>
        </w:tc>
        <w:tc>
          <w:tcPr>
            <w:tcW w:type="dxa" w:w="3600"/>
            <w:vAlign w:val="center"/>
            <w:tcMar>
              <w:top w:w="100" w:type="dxa"/>
              <w:start w:w="120" w:type="dxa"/>
              <w:bottom w:w="100" w:type="dxa"/>
              <w:end w:w="120" w:type="dxa"/>
            </w:tcMar>
            <w:shd w:fill="EAF1F8"/>
          </w:tcPr>
          <w:p>
            <w:r>
              <w:rPr>
                <w:sz w:val="17"/>
              </w:rPr>
              <w:t>rank A(o_t) меняется</w:t>
            </w:r>
          </w:p>
        </w:tc>
        <w:tc>
          <w:tcPr>
            <w:tcW w:type="dxa" w:w="4608"/>
            <w:vAlign w:val="center"/>
            <w:tcMar>
              <w:top w:w="100" w:type="dxa"/>
              <w:start w:w="120" w:type="dxa"/>
              <w:bottom w:w="100" w:type="dxa"/>
              <w:end w:w="120" w:type="dxa"/>
            </w:tcMar>
            <w:shd w:fill="EAF1F8"/>
          </w:tcPr>
          <w:p>
            <w:r>
              <w:rPr>
                <w:sz w:val="17"/>
              </w:rPr>
              <w:t>смена алгебраического типа</w:t>
            </w:r>
          </w:p>
        </w:tc>
      </w:tr>
      <w:tr>
        <w:tc>
          <w:tcPr>
            <w:tcW w:type="dxa" w:w="1584"/>
            <w:vAlign w:val="center"/>
            <w:tcMar>
              <w:top w:w="100" w:type="dxa"/>
              <w:start w:w="120" w:type="dxa"/>
              <w:bottom w:w="100" w:type="dxa"/>
              <w:end w:w="120" w:type="dxa"/>
            </w:tcMar>
          </w:tcPr>
          <w:p>
            <w:r>
              <w:rPr>
                <w:sz w:val="17"/>
              </w:rPr>
              <w:t>Δ_orbit</w:t>
            </w:r>
          </w:p>
        </w:tc>
        <w:tc>
          <w:tcPr>
            <w:tcW w:type="dxa" w:w="3600"/>
            <w:vAlign w:val="center"/>
            <w:tcMar>
              <w:top w:w="100" w:type="dxa"/>
              <w:start w:w="120" w:type="dxa"/>
              <w:bottom w:w="100" w:type="dxa"/>
              <w:end w:w="120" w:type="dxa"/>
            </w:tcMar>
          </w:tcPr>
          <w:p>
            <w:r>
              <w:rPr>
                <w:sz w:val="17"/>
              </w:rPr>
              <w:t>тип стабилизатора меняется</w:t>
            </w:r>
          </w:p>
        </w:tc>
        <w:tc>
          <w:tcPr>
            <w:tcW w:type="dxa" w:w="4608"/>
            <w:vAlign w:val="center"/>
            <w:tcMar>
              <w:top w:w="100" w:type="dxa"/>
              <w:start w:w="120" w:type="dxa"/>
              <w:bottom w:w="100" w:type="dxa"/>
              <w:end w:w="120" w:type="dxa"/>
            </w:tcMar>
          </w:tcPr>
          <w:p>
            <w:r>
              <w:rPr>
                <w:sz w:val="17"/>
              </w:rPr>
              <w:t>смена симметрии</w:t>
            </w:r>
          </w:p>
        </w:tc>
      </w:tr>
      <w:tr>
        <w:tc>
          <w:tcPr>
            <w:tcW w:type="dxa" w:w="1584"/>
            <w:vAlign w:val="center"/>
            <w:tcMar>
              <w:top w:w="100" w:type="dxa"/>
              <w:start w:w="120" w:type="dxa"/>
              <w:bottom w:w="100" w:type="dxa"/>
              <w:end w:w="120" w:type="dxa"/>
            </w:tcMar>
            <w:shd w:fill="EAF1F8"/>
          </w:tcPr>
          <w:p>
            <w:r>
              <w:rPr>
                <w:sz w:val="17"/>
              </w:rPr>
              <w:t>Δ_chart</w:t>
            </w:r>
          </w:p>
        </w:tc>
        <w:tc>
          <w:tcPr>
            <w:tcW w:type="dxa" w:w="3600"/>
            <w:vAlign w:val="center"/>
            <w:tcMar>
              <w:top w:w="100" w:type="dxa"/>
              <w:start w:w="120" w:type="dxa"/>
              <w:bottom w:w="100" w:type="dxa"/>
              <w:end w:w="120" w:type="dxa"/>
            </w:tcMar>
            <w:shd w:fill="EAF1F8"/>
          </w:tcPr>
          <w:p>
            <w:r>
              <w:rPr>
                <w:sz w:val="17"/>
              </w:rPr>
              <w:t>выбранная projective chart вырождается</w:t>
            </w:r>
          </w:p>
        </w:tc>
        <w:tc>
          <w:tcPr>
            <w:tcW w:type="dxa" w:w="4608"/>
            <w:vAlign w:val="center"/>
            <w:tcMar>
              <w:top w:w="100" w:type="dxa"/>
              <w:start w:w="120" w:type="dxa"/>
              <w:bottom w:w="100" w:type="dxa"/>
              <w:end w:w="120" w:type="dxa"/>
            </w:tcMar>
            <w:shd w:fill="EAF1F8"/>
          </w:tcPr>
          <w:p>
            <w:r>
              <w:rPr>
                <w:sz w:val="17"/>
              </w:rPr>
              <w:t>координатный, не обязательно структурный дефект</w:t>
            </w:r>
          </w:p>
        </w:tc>
      </w:tr>
      <w:tr>
        <w:tc>
          <w:tcPr>
            <w:tcW w:type="dxa" w:w="1584"/>
            <w:vAlign w:val="center"/>
            <w:tcMar>
              <w:top w:w="100" w:type="dxa"/>
              <w:start w:w="120" w:type="dxa"/>
              <w:bottom w:w="100" w:type="dxa"/>
              <w:end w:w="120" w:type="dxa"/>
            </w:tcMar>
          </w:tcPr>
          <w:p>
            <w:r>
              <w:rPr>
                <w:sz w:val="17"/>
              </w:rPr>
              <w:t>Δ_glue</w:t>
            </w:r>
          </w:p>
        </w:tc>
        <w:tc>
          <w:tcPr>
            <w:tcW w:type="dxa" w:w="3600"/>
            <w:vAlign w:val="center"/>
            <w:tcMar>
              <w:top w:w="100" w:type="dxa"/>
              <w:start w:w="120" w:type="dxa"/>
              <w:bottom w:w="100" w:type="dxa"/>
              <w:end w:w="120" w:type="dxa"/>
            </w:tcMar>
          </w:tcPr>
          <w:p>
            <w:r>
              <w:rPr>
                <w:sz w:val="17"/>
              </w:rPr>
              <w:t>нарушены cocycle/effective descent</w:t>
            </w:r>
          </w:p>
        </w:tc>
        <w:tc>
          <w:tcPr>
            <w:tcW w:type="dxa" w:w="4608"/>
            <w:vAlign w:val="center"/>
            <w:tcMar>
              <w:top w:w="100" w:type="dxa"/>
              <w:start w:w="120" w:type="dxa"/>
              <w:bottom w:w="100" w:type="dxa"/>
              <w:end w:w="120" w:type="dxa"/>
            </w:tcMar>
          </w:tcPr>
          <w:p>
            <w:r>
              <w:rPr>
                <w:sz w:val="17"/>
              </w:rPr>
              <w:t>локально-глобальный разрыв</w:t>
            </w:r>
          </w:p>
        </w:tc>
      </w:tr>
      <w:tr>
        <w:tc>
          <w:tcPr>
            <w:tcW w:type="dxa" w:w="1584"/>
            <w:vAlign w:val="center"/>
            <w:tcMar>
              <w:top w:w="100" w:type="dxa"/>
              <w:start w:w="120" w:type="dxa"/>
              <w:bottom w:w="100" w:type="dxa"/>
              <w:end w:w="120" w:type="dxa"/>
            </w:tcMar>
            <w:shd w:fill="EAF1F8"/>
          </w:tcPr>
          <w:p>
            <w:r>
              <w:rPr>
                <w:sz w:val="17"/>
              </w:rPr>
              <w:t>Δ_D</w:t>
            </w:r>
          </w:p>
        </w:tc>
        <w:tc>
          <w:tcPr>
            <w:tcW w:type="dxa" w:w="3600"/>
            <w:vAlign w:val="center"/>
            <w:tcMar>
              <w:top w:w="100" w:type="dxa"/>
              <w:start w:w="120" w:type="dxa"/>
              <w:bottom w:w="100" w:type="dxa"/>
              <w:end w:w="120" w:type="dxa"/>
            </w:tcMar>
            <w:shd w:fill="EAF1F8"/>
          </w:tcPr>
          <w:p>
            <w:r>
              <w:rPr>
                <w:sz w:val="17"/>
              </w:rPr>
              <w:t>Evidence-D невалиден</w:t>
            </w:r>
          </w:p>
        </w:tc>
        <w:tc>
          <w:tcPr>
            <w:tcW w:type="dxa" w:w="4608"/>
            <w:vAlign w:val="center"/>
            <w:tcMar>
              <w:top w:w="100" w:type="dxa"/>
              <w:start w:w="120" w:type="dxa"/>
              <w:bottom w:w="100" w:type="dxa"/>
              <w:end w:w="120" w:type="dxa"/>
            </w:tcMar>
            <w:shd w:fill="EAF1F8"/>
          </w:tcPr>
          <w:p>
            <w:r>
              <w:rPr>
                <w:sz w:val="17"/>
              </w:rPr>
              <w:t>доказательный блокер</w:t>
            </w:r>
          </w:p>
        </w:tc>
      </w:tr>
      <w:tr>
        <w:tc>
          <w:tcPr>
            <w:tcW w:type="dxa" w:w="1584"/>
            <w:vAlign w:val="center"/>
            <w:tcMar>
              <w:top w:w="100" w:type="dxa"/>
              <w:start w:w="120" w:type="dxa"/>
              <w:bottom w:w="100" w:type="dxa"/>
              <w:end w:w="120" w:type="dxa"/>
            </w:tcMar>
          </w:tcPr>
          <w:p>
            <w:r>
              <w:rPr>
                <w:sz w:val="17"/>
              </w:rPr>
              <w:t>Δ_Dom</w:t>
            </w:r>
          </w:p>
        </w:tc>
        <w:tc>
          <w:tcPr>
            <w:tcW w:type="dxa" w:w="3600"/>
            <w:vAlign w:val="center"/>
            <w:tcMar>
              <w:top w:w="100" w:type="dxa"/>
              <w:start w:w="120" w:type="dxa"/>
              <w:bottom w:w="100" w:type="dxa"/>
              <w:end w:w="120" w:type="dxa"/>
            </w:tcMar>
          </w:tcPr>
          <w:p>
            <w:r>
              <w:rPr>
                <w:sz w:val="17"/>
              </w:rPr>
              <w:t>меняется допустимый домен</w:t>
            </w:r>
          </w:p>
        </w:tc>
        <w:tc>
          <w:tcPr>
            <w:tcW w:type="dxa" w:w="4608"/>
            <w:vAlign w:val="center"/>
            <w:tcMar>
              <w:top w:w="100" w:type="dxa"/>
              <w:start w:w="120" w:type="dxa"/>
              <w:bottom w:w="100" w:type="dxa"/>
              <w:end w:w="120" w:type="dxa"/>
            </w:tcMar>
          </w:tcPr>
          <w:p>
            <w:r>
              <w:rPr>
                <w:sz w:val="17"/>
              </w:rPr>
              <w:t>смена области утверждения</w:t>
            </w:r>
          </w:p>
        </w:tc>
      </w:tr>
    </w:tbl>
    <w:p/>
    <w:p>
      <w:pPr>
        <w:jc w:val="center"/>
      </w:pPr>
      <w:r>
        <w:drawing>
          <wp:inline xmlns:a="http://schemas.openxmlformats.org/drawingml/2006/main" xmlns:pic="http://schemas.openxmlformats.org/drawingml/2006/picture">
            <wp:extent cx="5943600" cy="3360587"/>
            <wp:docPr id="35" name="Picture 35"/>
            <wp:cNvGraphicFramePr>
              <a:graphicFrameLocks noChangeAspect="1"/>
            </wp:cNvGraphicFramePr>
            <a:graphic>
              <a:graphicData uri="http://schemas.openxmlformats.org/drawingml/2006/picture">
                <pic:pic>
                  <pic:nvPicPr>
                    <pic:cNvPr id="0" name="proj_horizon.png"/>
                    <pic:cNvPicPr/>
                  </pic:nvPicPr>
                  <pic:blipFill>
                    <a:blip r:embed="rId62"/>
                    <a:stretch>
                      <a:fillRect/>
                    </a:stretch>
                  </pic:blipFill>
                  <pic:spPr>
                    <a:xfrm>
                      <a:off x="0" y="0"/>
                      <a:ext cx="5943600" cy="3360587"/>
                    </a:xfrm>
                    <a:prstGeom prst="rect"/>
                  </pic:spPr>
                </pic:pic>
              </a:graphicData>
            </a:graphic>
          </wp:inline>
        </w:drawing>
      </w:r>
    </w:p>
    <w:p>
      <w:pPr>
        <w:pStyle w:val="Caption"/>
        <w:keepNext/>
        <w:jc w:val="center"/>
      </w:pPr>
      <w:r>
        <w:t>Рисунок 14.3. Состав projective transition horizon Δ_proj.</w:t>
      </w:r>
    </w:p>
    <w:p>
      <w:pPr>
        <w:pStyle w:val="Heading2"/>
        <w:keepNext/>
      </w:pPr>
      <w:r>
        <w:t>122.2. Теорема постоянства projective type</w:t>
      </w:r>
    </w:p>
    <w:tbl>
      <w:tblPr>
        <w:tblStyle w:val="TableGrid"/>
        <w:tblW w:type="auto" w:w="0"/>
        <w:jc w:val="center"/>
        <w:tblLook w:firstColumn="1" w:firstRow="1" w:lastColumn="0" w:lastRow="0" w:noHBand="0" w:noVBand="1" w:val="04A0"/>
      </w:tblPr>
      <w:tblGrid>
        <w:gridCol w:w="9752"/>
      </w:tblGrid>
      <w:tr>
        <w:tc>
          <w:tcPr>
            <w:tcW w:type="dxa" w:w="9752"/>
            <w:tcMar>
              <w:top w:w="160" w:type="dxa"/>
              <w:start w:w="180" w:type="dxa"/>
              <w:bottom w:w="160" w:type="dxa"/>
              <w:end w:w="180" w:type="dxa"/>
            </w:tcMar>
            <w:shd w:fill="DCE6F1"/>
          </w:tcPr>
          <w:p>
            <w:r>
              <w:rPr>
                <w:b/>
                <w:color w:val="1F4E79"/>
                <w:sz w:val="21"/>
              </w:rPr>
              <w:t>ТЕОРЕМА 14.6. PROJECTIVE-PROFILE CONSTANCY</w:t>
            </w:r>
          </w:p>
          <w:p>
            <w:pPr>
              <w:spacing w:after="0"/>
            </w:pPr>
            <w:r>
              <w:rPr>
                <w:sz w:val="19"/>
              </w:rPr>
              <w:t>Пусть t↦o_t является непрерывным ненулевым сечением obstruction bundle на связном интервале I. Если ранговая и орбитная страты локально замкнуты, путь не пересекает Δ_proj, а D/Dom и gluing data постоянны, то projective profile ([o_t], rank A(o_t), orbit type, Dom signature) остаётся в одной связной страте.</w:t>
            </w:r>
          </w:p>
        </w:tc>
      </w:tr>
    </w:tbl>
    <w:p/>
    <w:p>
      <w:r>
        <w:t>Теорема не утверждает, что [o_t] является постоянной точкой. Она утверждает неизменность сертифицированного типа внутри выбранной стратификации. Движение внутри страты допускается.</w:t>
      </w:r>
    </w:p>
    <w:p>
      <w:pPr>
        <w:pStyle w:val="Heading2"/>
        <w:keepNext/>
      </w:pPr>
      <w:r>
        <w:t>122.3. Отрицательный прогноз</w:t>
      </w:r>
    </w:p>
    <w:p>
      <w:pPr>
        <w:pStyle w:val="Quote"/>
        <w:jc w:val="center"/>
      </w:pPr>
      <w:r>
        <w:rPr>
          <w:rFonts w:ascii="Cambria Math" w:hAnsi="Cambria Math"/>
          <w:sz w:val="22"/>
        </w:rPr>
        <w:t>I∩Δ_proj=∅  ⇒  transition of certified projective type is impossible in model.</w:t>
      </w:r>
      <w:r>
        <w:t xml:space="preserve">    (14.15)</w:t>
      </w:r>
    </w:p>
    <w:p>
      <w:r>
        <w:t>Пересечение Δ_proj создаёт CANDIDATE-TRANSITION. Оно не гарантирует пересечение нулевой секции, существование lift, глобализацию, наблюдаемость или физическую реализацию.</w:t>
      </w:r>
    </w:p>
    <w:p>
      <w:pPr>
        <w:pStyle w:val="Heading1"/>
        <w:keepNext/>
      </w:pPr>
      <w:r>
        <w:t>123. Проективный carrier и Reper-λ</w:t>
      </w:r>
    </w:p>
    <w:p>
      <w:r>
        <w:t>Reper-кросс-соотношение и projective obstruction carrier являются двумя разными проективными слоями. Первый живёт на конфигурациях четырёх точек P¹, второй - на направлениях в O_B. Для их связи требуется отдельная карта</w:t>
      </w:r>
    </w:p>
    <w:p>
      <w:pPr>
        <w:pStyle w:val="Quote"/>
        <w:jc w:val="center"/>
      </w:pPr>
      <w:r>
        <w:rPr>
          <w:rFonts w:ascii="Cambria Math" w:hAnsi="Cambria Math"/>
          <w:sz w:val="22"/>
        </w:rPr>
        <w:t>χ_λ : P(O_B) ⇢ P¹(K),</w:t>
      </w:r>
      <w:r>
        <w:t xml:space="preserve">    (14.16)</w:t>
      </w:r>
    </w:p>
    <w:p>
      <w:r>
        <w:t>определённая лишь при явном выборе реперных функционалов R,I,U,D на O_B и вне их полюсного множества.</w:t>
      </w:r>
    </w:p>
    <w:tbl>
      <w:tblPr>
        <w:tblStyle w:val="TableGrid"/>
        <w:tblW w:type="auto" w:w="0"/>
        <w:jc w:val="center"/>
        <w:tblLook w:firstColumn="1" w:firstRow="1" w:lastColumn="0" w:lastRow="0" w:noHBand="0" w:noVBand="1" w:val="04A0"/>
      </w:tblPr>
      <w:tblGrid>
        <w:gridCol w:w="9752"/>
      </w:tblGrid>
      <w:tr>
        <w:tc>
          <w:tcPr>
            <w:tcW w:type="dxa" w:w="9752"/>
            <w:tcMar>
              <w:top w:w="160" w:type="dxa"/>
              <w:start w:w="180" w:type="dxa"/>
              <w:bottom w:w="160" w:type="dxa"/>
              <w:end w:w="180" w:type="dxa"/>
            </w:tcMar>
            <w:shd w:fill="FCE4D6"/>
          </w:tcPr>
          <w:p>
            <w:r>
              <w:rPr>
                <w:b/>
                <w:color w:val="1F4E79"/>
                <w:sz w:val="21"/>
              </w:rPr>
              <w:t>ТЕОРЕМА 14.7. NO AUTOMATIC LAMBDA BRIDGE</w:t>
            </w:r>
          </w:p>
          <w:p>
            <w:pPr>
              <w:spacing w:after="0"/>
            </w:pPr>
            <w:r>
              <w:rPr>
                <w:sz w:val="19"/>
              </w:rPr>
              <w:t>Из projective point [o]∈P(O_B) не следует каноническое значение λ. Для λ необходимы четыре согласованных линейных или рациональных функционала и доказательство инвариантности их cross-ratio.</w:t>
            </w:r>
          </w:p>
        </w:tc>
      </w:tr>
    </w:tbl>
    <w:p/>
    <w:p>
      <w:pPr>
        <w:pStyle w:val="Quote"/>
        <w:jc w:val="center"/>
      </w:pPr>
      <w:r>
        <w:rPr>
          <w:rFonts w:ascii="Cambria Math" w:hAnsi="Cambria Math"/>
          <w:sz w:val="22"/>
        </w:rPr>
        <w:t>λ([o]) = cr(U([o]), I([o]); R([o]), D([o])).</w:t>
      </w:r>
      <w:r>
        <w:t xml:space="preserve">    (14.17)</w:t>
      </w:r>
    </w:p>
    <w:p>
      <w:r>
        <w:t>Даже при λ=-1 сохраняются отдельные проверки: o≠0, Valid(D), Dom_λ, отсутствие internal/external obstruction blockers и корректность χ_λ.</w:t>
      </w:r>
    </w:p>
    <w:p>
      <w:pPr>
        <w:pStyle w:val="Heading1"/>
        <w:keepNext/>
      </w:pPr>
      <w:r>
        <w:t>124. Ledger потери и восстановления информации</w:t>
      </w:r>
    </w:p>
    <w:tbl>
      <w:tblPr>
        <w:tblStyle w:val="TableGrid"/>
        <w:tblW w:type="auto" w:w="0"/>
        <w:jc w:val="center"/>
        <w:tblLook w:firstColumn="1" w:firstRow="1" w:lastColumn="0" w:lastRow="0" w:noHBand="0" w:noVBand="1" w:val="04A0"/>
      </w:tblPr>
      <w:tblGrid>
        <w:gridCol w:w="2438"/>
        <w:gridCol w:w="2438"/>
        <w:gridCol w:w="2438"/>
        <w:gridCol w:w="2438"/>
      </w:tblGrid>
      <w:tr>
        <w:tc>
          <w:tcPr>
            <w:tcW w:type="dxa" w:w="1152"/>
            <w:shd w:fill="1F4E78"/>
            <w:vAlign w:val="center"/>
            <w:tcMar>
              <w:top w:w="100" w:type="dxa"/>
              <w:start w:w="120" w:type="dxa"/>
              <w:bottom w:w="100" w:type="dxa"/>
              <w:end w:w="120" w:type="dxa"/>
            </w:tcMar>
          </w:tcPr>
          <w:p>
            <w:r>
              <w:rPr>
                <w:b/>
                <w:color w:val="FFFFFF"/>
                <w:sz w:val="18"/>
              </w:rPr>
              <w:t>Код</w:t>
            </w:r>
          </w:p>
        </w:tc>
        <w:tc>
          <w:tcPr>
            <w:tcW w:type="dxa" w:w="2448"/>
            <w:shd w:fill="1F4E78"/>
            <w:vAlign w:val="center"/>
            <w:tcMar>
              <w:top w:w="100" w:type="dxa"/>
              <w:start w:w="120" w:type="dxa"/>
              <w:bottom w:w="100" w:type="dxa"/>
              <w:end w:w="120" w:type="dxa"/>
            </w:tcMar>
          </w:tcPr>
          <w:p>
            <w:r>
              <w:rPr>
                <w:b/>
                <w:color w:val="FFFFFF"/>
                <w:sz w:val="18"/>
              </w:rPr>
              <w:t>Потерянный слой</w:t>
            </w:r>
          </w:p>
        </w:tc>
        <w:tc>
          <w:tcPr>
            <w:tcW w:type="dxa" w:w="3888"/>
            <w:shd w:fill="1F4E78"/>
            <w:vAlign w:val="center"/>
            <w:tcMar>
              <w:top w:w="100" w:type="dxa"/>
              <w:start w:w="120" w:type="dxa"/>
              <w:bottom w:w="100" w:type="dxa"/>
              <w:end w:w="120" w:type="dxa"/>
            </w:tcMar>
          </w:tcPr>
          <w:p>
            <w:r>
              <w:rPr>
                <w:b/>
                <w:color w:val="FFFFFF"/>
                <w:sz w:val="18"/>
              </w:rPr>
              <w:t>Минимальный repair certificate</w:t>
            </w:r>
          </w:p>
        </w:tc>
        <w:tc>
          <w:tcPr>
            <w:tcW w:type="dxa" w:w="2016"/>
            <w:shd w:fill="1F4E78"/>
            <w:vAlign w:val="center"/>
            <w:tcMar>
              <w:top w:w="100" w:type="dxa"/>
              <w:start w:w="120" w:type="dxa"/>
              <w:bottom w:w="100" w:type="dxa"/>
              <w:end w:w="120" w:type="dxa"/>
            </w:tcMar>
          </w:tcPr>
          <w:p>
            <w:r>
              <w:rPr>
                <w:b/>
                <w:color w:val="FFFFFF"/>
                <w:sz w:val="18"/>
              </w:rPr>
              <w:t>Вердикт без сертификата</w:t>
            </w:r>
          </w:p>
        </w:tc>
      </w:tr>
      <w:tr>
        <w:tc>
          <w:tcPr>
            <w:tcW w:type="dxa" w:w="1152"/>
            <w:vAlign w:val="center"/>
            <w:tcMar>
              <w:top w:w="100" w:type="dxa"/>
              <w:start w:w="120" w:type="dxa"/>
              <w:bottom w:w="100" w:type="dxa"/>
              <w:end w:w="120" w:type="dxa"/>
            </w:tcMar>
          </w:tcPr>
          <w:p>
            <w:r>
              <w:rPr>
                <w:sz w:val="17"/>
              </w:rPr>
              <w:t>LOSS-0</w:t>
            </w:r>
          </w:p>
        </w:tc>
        <w:tc>
          <w:tcPr>
            <w:tcW w:type="dxa" w:w="2448"/>
            <w:vAlign w:val="center"/>
            <w:tcMar>
              <w:top w:w="100" w:type="dxa"/>
              <w:start w:w="120" w:type="dxa"/>
              <w:bottom w:w="100" w:type="dxa"/>
              <w:end w:w="120" w:type="dxa"/>
            </w:tcMar>
          </w:tcPr>
          <w:p>
            <w:r>
              <w:rPr>
                <w:sz w:val="17"/>
              </w:rPr>
              <w:t>нулевой класс</w:t>
            </w:r>
          </w:p>
        </w:tc>
        <w:tc>
          <w:tcPr>
            <w:tcW w:type="dxa" w:w="3888"/>
            <w:vAlign w:val="center"/>
            <w:tcMar>
              <w:top w:w="100" w:type="dxa"/>
              <w:start w:w="120" w:type="dxa"/>
              <w:bottom w:w="100" w:type="dxa"/>
              <w:end w:w="120" w:type="dxa"/>
            </w:tcMar>
          </w:tcPr>
          <w:p>
            <w:r>
              <w:rPr>
                <w:sz w:val="17"/>
              </w:rPr>
              <w:t>ZERO flag + exact residual</w:t>
            </w:r>
          </w:p>
        </w:tc>
        <w:tc>
          <w:tcPr>
            <w:tcW w:type="dxa" w:w="2016"/>
            <w:vAlign w:val="center"/>
            <w:tcMar>
              <w:top w:w="100" w:type="dxa"/>
              <w:start w:w="120" w:type="dxa"/>
              <w:bottom w:w="100" w:type="dxa"/>
              <w:end w:w="120" w:type="dxa"/>
            </w:tcMar>
          </w:tcPr>
          <w:p>
            <w:r>
              <w:rPr>
                <w:sz w:val="17"/>
              </w:rPr>
              <w:t>ABSTAIN</w:t>
            </w:r>
          </w:p>
        </w:tc>
      </w:tr>
      <w:tr>
        <w:tc>
          <w:tcPr>
            <w:tcW w:type="dxa" w:w="1152"/>
            <w:vAlign w:val="center"/>
            <w:tcMar>
              <w:top w:w="100" w:type="dxa"/>
              <w:start w:w="120" w:type="dxa"/>
              <w:bottom w:w="100" w:type="dxa"/>
              <w:end w:w="120" w:type="dxa"/>
            </w:tcMar>
            <w:shd w:fill="EAF1F8"/>
          </w:tcPr>
          <w:p>
            <w:r>
              <w:rPr>
                <w:sz w:val="17"/>
              </w:rPr>
              <w:t>LOSS-S</w:t>
            </w:r>
          </w:p>
        </w:tc>
        <w:tc>
          <w:tcPr>
            <w:tcW w:type="dxa" w:w="2448"/>
            <w:vAlign w:val="center"/>
            <w:tcMar>
              <w:top w:w="100" w:type="dxa"/>
              <w:start w:w="120" w:type="dxa"/>
              <w:bottom w:w="100" w:type="dxa"/>
              <w:end w:w="120" w:type="dxa"/>
            </w:tcMar>
            <w:shd w:fill="EAF1F8"/>
          </w:tcPr>
          <w:p>
            <w:r>
              <w:rPr>
                <w:sz w:val="17"/>
              </w:rPr>
              <w:t>масштаб</w:t>
            </w:r>
          </w:p>
        </w:tc>
        <w:tc>
          <w:tcPr>
            <w:tcW w:type="dxa" w:w="3888"/>
            <w:vAlign w:val="center"/>
            <w:tcMar>
              <w:top w:w="100" w:type="dxa"/>
              <w:start w:w="120" w:type="dxa"/>
              <w:bottom w:w="100" w:type="dxa"/>
              <w:end w:w="120" w:type="dxa"/>
            </w:tcMar>
            <w:shd w:fill="EAF1F8"/>
          </w:tcPr>
          <w:p>
            <w:r>
              <w:rPr>
                <w:sz w:val="17"/>
              </w:rPr>
              <w:t>metric + normalization rule</w:t>
            </w:r>
          </w:p>
        </w:tc>
        <w:tc>
          <w:tcPr>
            <w:tcW w:type="dxa" w:w="2016"/>
            <w:vAlign w:val="center"/>
            <w:tcMar>
              <w:top w:w="100" w:type="dxa"/>
              <w:start w:w="120" w:type="dxa"/>
              <w:bottom w:w="100" w:type="dxa"/>
              <w:end w:w="120" w:type="dxa"/>
            </w:tcMar>
            <w:shd w:fill="EAF1F8"/>
          </w:tcPr>
          <w:p>
            <w:r>
              <w:rPr>
                <w:sz w:val="17"/>
              </w:rPr>
              <w:t>direction only</w:t>
            </w:r>
          </w:p>
        </w:tc>
      </w:tr>
      <w:tr>
        <w:tc>
          <w:tcPr>
            <w:tcW w:type="dxa" w:w="1152"/>
            <w:vAlign w:val="center"/>
            <w:tcMar>
              <w:top w:w="100" w:type="dxa"/>
              <w:start w:w="120" w:type="dxa"/>
              <w:bottom w:w="100" w:type="dxa"/>
              <w:end w:w="120" w:type="dxa"/>
            </w:tcMar>
          </w:tcPr>
          <w:p>
            <w:r>
              <w:rPr>
                <w:sz w:val="17"/>
              </w:rPr>
              <w:t>LOSS-SGN</w:t>
            </w:r>
          </w:p>
        </w:tc>
        <w:tc>
          <w:tcPr>
            <w:tcW w:type="dxa" w:w="2448"/>
            <w:vAlign w:val="center"/>
            <w:tcMar>
              <w:top w:w="100" w:type="dxa"/>
              <w:start w:w="120" w:type="dxa"/>
              <w:bottom w:w="100" w:type="dxa"/>
              <w:end w:w="120" w:type="dxa"/>
            </w:tcMar>
          </w:tcPr>
          <w:p>
            <w:r>
              <w:rPr>
                <w:sz w:val="17"/>
              </w:rPr>
              <w:t>знак/ориентация</w:t>
            </w:r>
          </w:p>
        </w:tc>
        <w:tc>
          <w:tcPr>
            <w:tcW w:type="dxa" w:w="3888"/>
            <w:vAlign w:val="center"/>
            <w:tcMar>
              <w:top w:w="100" w:type="dxa"/>
              <w:start w:w="120" w:type="dxa"/>
              <w:bottom w:w="100" w:type="dxa"/>
              <w:end w:w="120" w:type="dxa"/>
            </w:tcMar>
          </w:tcPr>
          <w:p>
            <w:r>
              <w:rPr>
                <w:sz w:val="17"/>
              </w:rPr>
              <w:t>oriented ray or double cover</w:t>
            </w:r>
          </w:p>
        </w:tc>
        <w:tc>
          <w:tcPr>
            <w:tcW w:type="dxa" w:w="2016"/>
            <w:vAlign w:val="center"/>
            <w:tcMar>
              <w:top w:w="100" w:type="dxa"/>
              <w:start w:w="120" w:type="dxa"/>
              <w:bottom w:w="100" w:type="dxa"/>
              <w:end w:w="120" w:type="dxa"/>
            </w:tcMar>
          </w:tcPr>
          <w:p>
            <w:r>
              <w:rPr>
                <w:sz w:val="17"/>
              </w:rPr>
              <w:t>sign unknown</w:t>
            </w:r>
          </w:p>
        </w:tc>
      </w:tr>
      <w:tr>
        <w:tc>
          <w:tcPr>
            <w:tcW w:type="dxa" w:w="1152"/>
            <w:vAlign w:val="center"/>
            <w:tcMar>
              <w:top w:w="100" w:type="dxa"/>
              <w:start w:w="120" w:type="dxa"/>
              <w:bottom w:w="100" w:type="dxa"/>
              <w:end w:w="120" w:type="dxa"/>
            </w:tcMar>
            <w:shd w:fill="EAF1F8"/>
          </w:tcPr>
          <w:p>
            <w:r>
              <w:rPr>
                <w:sz w:val="17"/>
              </w:rPr>
              <w:t>LOSS-PH</w:t>
            </w:r>
          </w:p>
        </w:tc>
        <w:tc>
          <w:tcPr>
            <w:tcW w:type="dxa" w:w="2448"/>
            <w:vAlign w:val="center"/>
            <w:tcMar>
              <w:top w:w="100" w:type="dxa"/>
              <w:start w:w="120" w:type="dxa"/>
              <w:bottom w:w="100" w:type="dxa"/>
              <w:end w:w="120" w:type="dxa"/>
            </w:tcMar>
            <w:shd w:fill="EAF1F8"/>
          </w:tcPr>
          <w:p>
            <w:r>
              <w:rPr>
                <w:sz w:val="17"/>
              </w:rPr>
              <w:t>complex phase</w:t>
            </w:r>
          </w:p>
        </w:tc>
        <w:tc>
          <w:tcPr>
            <w:tcW w:type="dxa" w:w="3888"/>
            <w:vAlign w:val="center"/>
            <w:tcMar>
              <w:top w:w="100" w:type="dxa"/>
              <w:start w:w="120" w:type="dxa"/>
              <w:bottom w:w="100" w:type="dxa"/>
              <w:end w:w="120" w:type="dxa"/>
            </w:tcMar>
            <w:shd w:fill="EAF1F8"/>
          </w:tcPr>
          <w:p>
            <w:r>
              <w:rPr>
                <w:sz w:val="17"/>
              </w:rPr>
              <w:t>U(1) gauge certificate</w:t>
            </w:r>
          </w:p>
        </w:tc>
        <w:tc>
          <w:tcPr>
            <w:tcW w:type="dxa" w:w="2016"/>
            <w:vAlign w:val="center"/>
            <w:tcMar>
              <w:top w:w="100" w:type="dxa"/>
              <w:start w:w="120" w:type="dxa"/>
              <w:bottom w:w="100" w:type="dxa"/>
              <w:end w:w="120" w:type="dxa"/>
            </w:tcMar>
            <w:shd w:fill="EAF1F8"/>
          </w:tcPr>
          <w:p>
            <w:r>
              <w:rPr>
                <w:sz w:val="17"/>
              </w:rPr>
              <w:t>phase unknown</w:t>
            </w:r>
          </w:p>
        </w:tc>
      </w:tr>
      <w:tr>
        <w:tc>
          <w:tcPr>
            <w:tcW w:type="dxa" w:w="1152"/>
            <w:vAlign w:val="center"/>
            <w:tcMar>
              <w:top w:w="100" w:type="dxa"/>
              <w:start w:w="120" w:type="dxa"/>
              <w:bottom w:w="100" w:type="dxa"/>
              <w:end w:w="120" w:type="dxa"/>
            </w:tcMar>
          </w:tcPr>
          <w:p>
            <w:r>
              <w:rPr>
                <w:sz w:val="17"/>
              </w:rPr>
              <w:t>LOSS-PR</w:t>
            </w:r>
          </w:p>
        </w:tc>
        <w:tc>
          <w:tcPr>
            <w:tcW w:type="dxa" w:w="2448"/>
            <w:vAlign w:val="center"/>
            <w:tcMar>
              <w:top w:w="100" w:type="dxa"/>
              <w:start w:w="120" w:type="dxa"/>
              <w:bottom w:w="100" w:type="dxa"/>
              <w:end w:w="120" w:type="dxa"/>
            </w:tcMar>
          </w:tcPr>
          <w:p>
            <w:r>
              <w:rPr>
                <w:sz w:val="17"/>
              </w:rPr>
              <w:t>provenance</w:t>
            </w:r>
          </w:p>
        </w:tc>
        <w:tc>
          <w:tcPr>
            <w:tcW w:type="dxa" w:w="3888"/>
            <w:vAlign w:val="center"/>
            <w:tcMar>
              <w:top w:w="100" w:type="dxa"/>
              <w:start w:w="120" w:type="dxa"/>
              <w:bottom w:w="100" w:type="dxa"/>
              <w:end w:w="120" w:type="dxa"/>
            </w:tcMar>
          </w:tcPr>
          <w:p>
            <w:r>
              <w:rPr>
                <w:sz w:val="17"/>
              </w:rPr>
              <w:t>Evidence-D chain</w:t>
            </w:r>
          </w:p>
        </w:tc>
        <w:tc>
          <w:tcPr>
            <w:tcW w:type="dxa" w:w="2016"/>
            <w:vAlign w:val="center"/>
            <w:tcMar>
              <w:top w:w="100" w:type="dxa"/>
              <w:start w:w="120" w:type="dxa"/>
              <w:bottom w:w="100" w:type="dxa"/>
              <w:end w:w="120" w:type="dxa"/>
            </w:tcMar>
          </w:tcPr>
          <w:p>
            <w:r>
              <w:rPr>
                <w:sz w:val="17"/>
              </w:rPr>
              <w:t>source unknown</w:t>
            </w:r>
          </w:p>
        </w:tc>
      </w:tr>
      <w:tr>
        <w:tc>
          <w:tcPr>
            <w:tcW w:type="dxa" w:w="1152"/>
            <w:vAlign w:val="center"/>
            <w:tcMar>
              <w:top w:w="100" w:type="dxa"/>
              <w:start w:w="120" w:type="dxa"/>
              <w:bottom w:w="100" w:type="dxa"/>
              <w:end w:w="120" w:type="dxa"/>
            </w:tcMar>
            <w:shd w:fill="EAF1F8"/>
          </w:tcPr>
          <w:p>
            <w:r>
              <w:rPr>
                <w:sz w:val="17"/>
              </w:rPr>
              <w:t>LOSS-LF</w:t>
            </w:r>
          </w:p>
        </w:tc>
        <w:tc>
          <w:tcPr>
            <w:tcW w:type="dxa" w:w="2448"/>
            <w:vAlign w:val="center"/>
            <w:tcMar>
              <w:top w:w="100" w:type="dxa"/>
              <w:start w:w="120" w:type="dxa"/>
              <w:bottom w:w="100" w:type="dxa"/>
              <w:end w:w="120" w:type="dxa"/>
            </w:tcMar>
            <w:shd w:fill="EAF1F8"/>
          </w:tcPr>
          <w:p>
            <w:r>
              <w:rPr>
                <w:sz w:val="17"/>
              </w:rPr>
              <w:t>lift representative</w:t>
            </w:r>
          </w:p>
        </w:tc>
        <w:tc>
          <w:tcPr>
            <w:tcW w:type="dxa" w:w="3888"/>
            <w:vAlign w:val="center"/>
            <w:tcMar>
              <w:top w:w="100" w:type="dxa"/>
              <w:start w:w="120" w:type="dxa"/>
              <w:bottom w:w="100" w:type="dxa"/>
              <w:end w:w="120" w:type="dxa"/>
            </w:tcMar>
            <w:shd w:fill="EAF1F8"/>
          </w:tcPr>
          <w:p>
            <w:r>
              <w:rPr>
                <w:sz w:val="17"/>
              </w:rPr>
              <w:t>H² torsor coordinate</w:t>
            </w:r>
          </w:p>
        </w:tc>
        <w:tc>
          <w:tcPr>
            <w:tcW w:type="dxa" w:w="2016"/>
            <w:vAlign w:val="center"/>
            <w:tcMar>
              <w:top w:w="100" w:type="dxa"/>
              <w:start w:w="120" w:type="dxa"/>
              <w:bottom w:w="100" w:type="dxa"/>
              <w:end w:w="120" w:type="dxa"/>
            </w:tcMar>
            <w:shd w:fill="EAF1F8"/>
          </w:tcPr>
          <w:p>
            <w:r>
              <w:rPr>
                <w:sz w:val="17"/>
              </w:rPr>
              <w:t>lift nonunique</w:t>
            </w:r>
          </w:p>
        </w:tc>
      </w:tr>
      <w:tr>
        <w:tc>
          <w:tcPr>
            <w:tcW w:type="dxa" w:w="1152"/>
            <w:vAlign w:val="center"/>
            <w:tcMar>
              <w:top w:w="100" w:type="dxa"/>
              <w:start w:w="120" w:type="dxa"/>
              <w:bottom w:w="100" w:type="dxa"/>
              <w:end w:w="120" w:type="dxa"/>
            </w:tcMar>
          </w:tcPr>
          <w:p>
            <w:r>
              <w:rPr>
                <w:sz w:val="17"/>
              </w:rPr>
              <w:t>LOSS-DOM</w:t>
            </w:r>
          </w:p>
        </w:tc>
        <w:tc>
          <w:tcPr>
            <w:tcW w:type="dxa" w:w="2448"/>
            <w:vAlign w:val="center"/>
            <w:tcMar>
              <w:top w:w="100" w:type="dxa"/>
              <w:start w:w="120" w:type="dxa"/>
              <w:bottom w:w="100" w:type="dxa"/>
              <w:end w:w="120" w:type="dxa"/>
            </w:tcMar>
          </w:tcPr>
          <w:p>
            <w:r>
              <w:rPr>
                <w:sz w:val="17"/>
              </w:rPr>
              <w:t>domain</w:t>
            </w:r>
          </w:p>
        </w:tc>
        <w:tc>
          <w:tcPr>
            <w:tcW w:type="dxa" w:w="3888"/>
            <w:vAlign w:val="center"/>
            <w:tcMar>
              <w:top w:w="100" w:type="dxa"/>
              <w:start w:w="120" w:type="dxa"/>
              <w:bottom w:w="100" w:type="dxa"/>
              <w:end w:w="120" w:type="dxa"/>
            </w:tcMar>
          </w:tcPr>
          <w:p>
            <w:r>
              <w:rPr>
                <w:sz w:val="17"/>
              </w:rPr>
              <w:t>Dom signature</w:t>
            </w:r>
          </w:p>
        </w:tc>
        <w:tc>
          <w:tcPr>
            <w:tcW w:type="dxa" w:w="2016"/>
            <w:vAlign w:val="center"/>
            <w:tcMar>
              <w:top w:w="100" w:type="dxa"/>
              <w:start w:w="120" w:type="dxa"/>
              <w:bottom w:w="100" w:type="dxa"/>
              <w:end w:w="120" w:type="dxa"/>
            </w:tcMar>
          </w:tcPr>
          <w:p>
            <w:r>
              <w:rPr>
                <w:sz w:val="17"/>
              </w:rPr>
              <w:t>claim not transportable</w:t>
            </w:r>
          </w:p>
        </w:tc>
      </w:tr>
      <w:tr>
        <w:tc>
          <w:tcPr>
            <w:tcW w:type="dxa" w:w="1152"/>
            <w:vAlign w:val="center"/>
            <w:tcMar>
              <w:top w:w="100" w:type="dxa"/>
              <w:start w:w="120" w:type="dxa"/>
              <w:bottom w:w="100" w:type="dxa"/>
              <w:end w:w="120" w:type="dxa"/>
            </w:tcMar>
            <w:shd w:fill="EAF1F8"/>
          </w:tcPr>
          <w:p>
            <w:r>
              <w:rPr>
                <w:sz w:val="17"/>
              </w:rPr>
              <w:t>LOSS-GL</w:t>
            </w:r>
          </w:p>
        </w:tc>
        <w:tc>
          <w:tcPr>
            <w:tcW w:type="dxa" w:w="2448"/>
            <w:vAlign w:val="center"/>
            <w:tcMar>
              <w:top w:w="100" w:type="dxa"/>
              <w:start w:w="120" w:type="dxa"/>
              <w:bottom w:w="100" w:type="dxa"/>
              <w:end w:w="120" w:type="dxa"/>
            </w:tcMar>
            <w:shd w:fill="EAF1F8"/>
          </w:tcPr>
          <w:p>
            <w:r>
              <w:rPr>
                <w:sz w:val="17"/>
              </w:rPr>
              <w:t>globalization</w:t>
            </w:r>
          </w:p>
        </w:tc>
        <w:tc>
          <w:tcPr>
            <w:tcW w:type="dxa" w:w="3888"/>
            <w:vAlign w:val="center"/>
            <w:tcMar>
              <w:top w:w="100" w:type="dxa"/>
              <w:start w:w="120" w:type="dxa"/>
              <w:bottom w:w="100" w:type="dxa"/>
              <w:end w:w="120" w:type="dxa"/>
            </w:tcMar>
            <w:shd w:fill="EAF1F8"/>
          </w:tcPr>
          <w:p>
            <w:r>
              <w:rPr>
                <w:sz w:val="17"/>
              </w:rPr>
              <w:t>descent certificate</w:t>
            </w:r>
          </w:p>
        </w:tc>
        <w:tc>
          <w:tcPr>
            <w:tcW w:type="dxa" w:w="2016"/>
            <w:vAlign w:val="center"/>
            <w:tcMar>
              <w:top w:w="100" w:type="dxa"/>
              <w:start w:w="120" w:type="dxa"/>
              <w:bottom w:w="100" w:type="dxa"/>
              <w:end w:w="120" w:type="dxa"/>
            </w:tcMar>
            <w:shd w:fill="EAF1F8"/>
          </w:tcPr>
          <w:p>
            <w:r>
              <w:rPr>
                <w:sz w:val="17"/>
              </w:rPr>
              <w:t>local only</w:t>
            </w:r>
          </w:p>
        </w:tc>
      </w:tr>
    </w:tbl>
    <w:p/>
    <w:p>
      <w:r>
        <w:t>Полный projective certificate имеет форму</w:t>
      </w:r>
    </w:p>
    <w:p>
      <w:pPr>
        <w:pStyle w:val="Quote"/>
        <w:jc w:val="center"/>
      </w:pPr>
      <w:r>
        <w:rPr>
          <w:rFonts w:ascii="Cambria Math" w:hAnsi="Cambria Math"/>
          <w:sz w:val="22"/>
        </w:rPr>
        <w:t>Cert_proj = ([o], ZERO, NORM, ORIENT, PROV, LIFT, DOM, GLUE, HASH).</w:t>
      </w:r>
      <w:r>
        <w:t xml:space="preserve">    (14.18)</w:t>
      </w:r>
    </w:p>
    <w:p>
      <w:pPr>
        <w:pStyle w:val="Heading1"/>
        <w:keepNext/>
      </w:pPr>
      <w:r>
        <w:t>125. Контрпримеры и разделяющие модели</w:t>
      </w:r>
    </w:p>
    <w:tbl>
      <w:tblPr>
        <w:tblStyle w:val="TableGrid"/>
        <w:tblW w:type="auto" w:w="0"/>
        <w:jc w:val="center"/>
        <w:tblLook w:firstColumn="1" w:firstRow="1" w:lastColumn="0" w:lastRow="0" w:noHBand="0" w:noVBand="1" w:val="04A0"/>
      </w:tblPr>
      <w:tblGrid>
        <w:gridCol w:w="2438"/>
        <w:gridCol w:w="2438"/>
        <w:gridCol w:w="2438"/>
        <w:gridCol w:w="2438"/>
      </w:tblGrid>
      <w:tr>
        <w:tc>
          <w:tcPr>
            <w:tcW w:type="dxa" w:w="936"/>
            <w:shd w:fill="1F4E78"/>
            <w:vAlign w:val="center"/>
            <w:tcMar>
              <w:top w:w="100" w:type="dxa"/>
              <w:start w:w="120" w:type="dxa"/>
              <w:bottom w:w="100" w:type="dxa"/>
              <w:end w:w="120" w:type="dxa"/>
            </w:tcMar>
          </w:tcPr>
          <w:p>
            <w:r>
              <w:rPr>
                <w:b/>
                <w:color w:val="FFFFFF"/>
                <w:sz w:val="18"/>
              </w:rPr>
              <w:t>ID</w:t>
            </w:r>
          </w:p>
        </w:tc>
        <w:tc>
          <w:tcPr>
            <w:tcW w:type="dxa" w:w="2232"/>
            <w:shd w:fill="1F4E78"/>
            <w:vAlign w:val="center"/>
            <w:tcMar>
              <w:top w:w="100" w:type="dxa"/>
              <w:start w:w="120" w:type="dxa"/>
              <w:bottom w:w="100" w:type="dxa"/>
              <w:end w:w="120" w:type="dxa"/>
            </w:tcMar>
          </w:tcPr>
          <w:p>
            <w:r>
              <w:rPr>
                <w:b/>
                <w:color w:val="FFFFFF"/>
                <w:sz w:val="18"/>
              </w:rPr>
              <w:t>Модель</w:t>
            </w:r>
          </w:p>
        </w:tc>
        <w:tc>
          <w:tcPr>
            <w:tcW w:type="dxa" w:w="3240"/>
            <w:shd w:fill="1F4E78"/>
            <w:vAlign w:val="center"/>
            <w:tcMar>
              <w:top w:w="100" w:type="dxa"/>
              <w:start w:w="120" w:type="dxa"/>
              <w:bottom w:w="100" w:type="dxa"/>
              <w:end w:w="120" w:type="dxa"/>
            </w:tcMar>
          </w:tcPr>
          <w:p>
            <w:r>
              <w:rPr>
                <w:b/>
                <w:color w:val="FFFFFF"/>
                <w:sz w:val="18"/>
              </w:rPr>
              <w:t>Данные</w:t>
            </w:r>
          </w:p>
        </w:tc>
        <w:tc>
          <w:tcPr>
            <w:tcW w:type="dxa" w:w="3096"/>
            <w:shd w:fill="1F4E78"/>
            <w:vAlign w:val="center"/>
            <w:tcMar>
              <w:top w:w="100" w:type="dxa"/>
              <w:start w:w="120" w:type="dxa"/>
              <w:bottom w:w="100" w:type="dxa"/>
              <w:end w:w="120" w:type="dxa"/>
            </w:tcMar>
          </w:tcPr>
          <w:p>
            <w:r>
              <w:rPr>
                <w:b/>
                <w:color w:val="FFFFFF"/>
                <w:sz w:val="18"/>
              </w:rPr>
              <w:t>Что опровергает</w:t>
            </w:r>
          </w:p>
        </w:tc>
      </w:tr>
      <w:tr>
        <w:tc>
          <w:tcPr>
            <w:tcW w:type="dxa" w:w="936"/>
            <w:vAlign w:val="center"/>
            <w:tcMar>
              <w:top w:w="100" w:type="dxa"/>
              <w:start w:w="120" w:type="dxa"/>
              <w:bottom w:w="100" w:type="dxa"/>
              <w:end w:w="120" w:type="dxa"/>
            </w:tcMar>
          </w:tcPr>
          <w:p>
            <w:r>
              <w:rPr>
                <w:sz w:val="17"/>
              </w:rPr>
              <w:t>14.C</w:t>
            </w:r>
          </w:p>
        </w:tc>
        <w:tc>
          <w:tcPr>
            <w:tcW w:type="dxa" w:w="2232"/>
            <w:vAlign w:val="center"/>
            <w:tcMar>
              <w:top w:w="100" w:type="dxa"/>
              <w:start w:w="120" w:type="dxa"/>
              <w:bottom w:w="100" w:type="dxa"/>
              <w:end w:w="120" w:type="dxa"/>
            </w:tcMar>
          </w:tcPr>
          <w:p>
            <w:r>
              <w:rPr>
                <w:sz w:val="17"/>
              </w:rPr>
              <w:t>Одинаковая точка, разные нормы</w:t>
            </w:r>
          </w:p>
        </w:tc>
        <w:tc>
          <w:tcPr>
            <w:tcW w:type="dxa" w:w="3240"/>
            <w:vAlign w:val="center"/>
            <w:tcMar>
              <w:top w:w="100" w:type="dxa"/>
              <w:start w:w="120" w:type="dxa"/>
              <w:bottom w:w="100" w:type="dxa"/>
              <w:end w:w="120" w:type="dxa"/>
            </w:tcMar>
          </w:tcPr>
          <w:p>
            <w:r>
              <w:rPr>
                <w:sz w:val="17"/>
              </w:rPr>
              <w:t>o=(1,0), o′=(10⁶,0)</w:t>
            </w:r>
          </w:p>
        </w:tc>
        <w:tc>
          <w:tcPr>
            <w:tcW w:type="dxa" w:w="3096"/>
            <w:vAlign w:val="center"/>
            <w:tcMar>
              <w:top w:w="100" w:type="dxa"/>
              <w:start w:w="120" w:type="dxa"/>
              <w:bottom w:w="100" w:type="dxa"/>
              <w:end w:w="120" w:type="dxa"/>
            </w:tcMar>
          </w:tcPr>
          <w:p>
            <w:r>
              <w:rPr>
                <w:sz w:val="17"/>
              </w:rPr>
              <w:t>[o]=[o′], но количественный риск различен</w:t>
            </w:r>
          </w:p>
        </w:tc>
      </w:tr>
      <w:tr>
        <w:tc>
          <w:tcPr>
            <w:tcW w:type="dxa" w:w="936"/>
            <w:vAlign w:val="center"/>
            <w:tcMar>
              <w:top w:w="100" w:type="dxa"/>
              <w:start w:w="120" w:type="dxa"/>
              <w:bottom w:w="100" w:type="dxa"/>
              <w:end w:w="120" w:type="dxa"/>
            </w:tcMar>
            <w:shd w:fill="EAF1F8"/>
          </w:tcPr>
          <w:p>
            <w:r>
              <w:rPr>
                <w:sz w:val="17"/>
              </w:rPr>
              <w:t>14.D</w:t>
            </w:r>
          </w:p>
        </w:tc>
        <w:tc>
          <w:tcPr>
            <w:tcW w:type="dxa" w:w="2232"/>
            <w:vAlign w:val="center"/>
            <w:tcMar>
              <w:top w:w="100" w:type="dxa"/>
              <w:start w:w="120" w:type="dxa"/>
              <w:bottom w:w="100" w:type="dxa"/>
              <w:end w:w="120" w:type="dxa"/>
            </w:tcMar>
            <w:shd w:fill="EAF1F8"/>
          </w:tcPr>
          <w:p>
            <w:r>
              <w:rPr>
                <w:sz w:val="17"/>
              </w:rPr>
              <w:t>Одинаковая точка, противоположный знак</w:t>
            </w:r>
          </w:p>
        </w:tc>
        <w:tc>
          <w:tcPr>
            <w:tcW w:type="dxa" w:w="3240"/>
            <w:vAlign w:val="center"/>
            <w:tcMar>
              <w:top w:w="100" w:type="dxa"/>
              <w:start w:w="120" w:type="dxa"/>
              <w:bottom w:w="100" w:type="dxa"/>
              <w:end w:w="120" w:type="dxa"/>
            </w:tcMar>
            <w:shd w:fill="EAF1F8"/>
          </w:tcPr>
          <w:p>
            <w:r>
              <w:rPr>
                <w:sz w:val="17"/>
              </w:rPr>
              <w:t>o и -o над R</w:t>
            </w:r>
          </w:p>
        </w:tc>
        <w:tc>
          <w:tcPr>
            <w:tcW w:type="dxa" w:w="3096"/>
            <w:vAlign w:val="center"/>
            <w:tcMar>
              <w:top w:w="100" w:type="dxa"/>
              <w:start w:w="120" w:type="dxa"/>
              <w:bottom w:w="100" w:type="dxa"/>
              <w:end w:w="120" w:type="dxa"/>
            </w:tcMar>
            <w:shd w:fill="EAF1F8"/>
          </w:tcPr>
          <w:p>
            <w:r>
              <w:rPr>
                <w:sz w:val="17"/>
              </w:rPr>
              <w:t>projectivization уничтожает ориентацию</w:t>
            </w:r>
          </w:p>
        </w:tc>
      </w:tr>
      <w:tr>
        <w:tc>
          <w:tcPr>
            <w:tcW w:type="dxa" w:w="936"/>
            <w:vAlign w:val="center"/>
            <w:tcMar>
              <w:top w:w="100" w:type="dxa"/>
              <w:start w:w="120" w:type="dxa"/>
              <w:bottom w:w="100" w:type="dxa"/>
              <w:end w:w="120" w:type="dxa"/>
            </w:tcMar>
          </w:tcPr>
          <w:p>
            <w:r>
              <w:rPr>
                <w:sz w:val="17"/>
              </w:rPr>
              <w:t>14.E</w:t>
            </w:r>
          </w:p>
        </w:tc>
        <w:tc>
          <w:tcPr>
            <w:tcW w:type="dxa" w:w="2232"/>
            <w:vAlign w:val="center"/>
            <w:tcMar>
              <w:top w:w="100" w:type="dxa"/>
              <w:start w:w="120" w:type="dxa"/>
              <w:bottom w:w="100" w:type="dxa"/>
              <w:end w:w="120" w:type="dxa"/>
            </w:tcMar>
          </w:tcPr>
          <w:p>
            <w:r>
              <w:rPr>
                <w:sz w:val="17"/>
              </w:rPr>
              <w:t>Нулевой класс</w:t>
            </w:r>
          </w:p>
        </w:tc>
        <w:tc>
          <w:tcPr>
            <w:tcW w:type="dxa" w:w="3240"/>
            <w:vAlign w:val="center"/>
            <w:tcMar>
              <w:top w:w="100" w:type="dxa"/>
              <w:start w:w="120" w:type="dxa"/>
              <w:bottom w:w="100" w:type="dxa"/>
              <w:end w:w="120" w:type="dxa"/>
            </w:tcMar>
          </w:tcPr>
          <w:p>
            <w:r>
              <w:rPr>
                <w:sz w:val="17"/>
              </w:rPr>
              <w:t>o=0</w:t>
            </w:r>
          </w:p>
        </w:tc>
        <w:tc>
          <w:tcPr>
            <w:tcW w:type="dxa" w:w="3096"/>
            <w:vAlign w:val="center"/>
            <w:tcMar>
              <w:top w:w="100" w:type="dxa"/>
              <w:start w:w="120" w:type="dxa"/>
              <w:bottom w:w="100" w:type="dxa"/>
              <w:end w:w="120" w:type="dxa"/>
            </w:tcMar>
          </w:tcPr>
          <w:p>
            <w:r>
              <w:rPr>
                <w:sz w:val="17"/>
              </w:rPr>
              <w:t>P(o) не определено</w:t>
            </w:r>
          </w:p>
        </w:tc>
      </w:tr>
      <w:tr>
        <w:tc>
          <w:tcPr>
            <w:tcW w:type="dxa" w:w="936"/>
            <w:vAlign w:val="center"/>
            <w:tcMar>
              <w:top w:w="100" w:type="dxa"/>
              <w:start w:w="120" w:type="dxa"/>
              <w:bottom w:w="100" w:type="dxa"/>
              <w:end w:w="120" w:type="dxa"/>
            </w:tcMar>
            <w:shd w:fill="EAF1F8"/>
          </w:tcPr>
          <w:p>
            <w:r>
              <w:rPr>
                <w:sz w:val="17"/>
              </w:rPr>
              <w:t>14.F</w:t>
            </w:r>
          </w:p>
        </w:tc>
        <w:tc>
          <w:tcPr>
            <w:tcW w:type="dxa" w:w="2232"/>
            <w:vAlign w:val="center"/>
            <w:tcMar>
              <w:top w:w="100" w:type="dxa"/>
              <w:start w:w="120" w:type="dxa"/>
              <w:bottom w:w="100" w:type="dxa"/>
              <w:end w:w="120" w:type="dxa"/>
            </w:tcMar>
            <w:shd w:fill="EAF1F8"/>
          </w:tcPr>
          <w:p>
            <w:r>
              <w:rPr>
                <w:sz w:val="17"/>
              </w:rPr>
              <w:t>Карта с ядром</w:t>
            </w:r>
          </w:p>
        </w:tc>
        <w:tc>
          <w:tcPr>
            <w:tcW w:type="dxa" w:w="3240"/>
            <w:vAlign w:val="center"/>
            <w:tcMar>
              <w:top w:w="100" w:type="dxa"/>
              <w:start w:w="120" w:type="dxa"/>
              <w:bottom w:w="100" w:type="dxa"/>
              <w:end w:w="120" w:type="dxa"/>
            </w:tcMar>
            <w:shd w:fill="EAF1F8"/>
          </w:tcPr>
          <w:p>
            <w:r>
              <w:rPr>
                <w:sz w:val="17"/>
              </w:rPr>
              <w:t>f(x,y)=x</w:t>
            </w:r>
          </w:p>
        </w:tc>
        <w:tc>
          <w:tcPr>
            <w:tcW w:type="dxa" w:w="3096"/>
            <w:vAlign w:val="center"/>
            <w:tcMar>
              <w:top w:w="100" w:type="dxa"/>
              <w:start w:w="120" w:type="dxa"/>
              <w:bottom w:w="100" w:type="dxa"/>
              <w:end w:w="120" w:type="dxa"/>
            </w:tcMar>
            <w:shd w:fill="EAF1F8"/>
          </w:tcPr>
          <w:p>
            <w:r>
              <w:rPr>
                <w:sz w:val="17"/>
              </w:rPr>
              <w:t>P(f) не определено в [0:1]</w:t>
            </w:r>
          </w:p>
        </w:tc>
      </w:tr>
      <w:tr>
        <w:tc>
          <w:tcPr>
            <w:tcW w:type="dxa" w:w="936"/>
            <w:vAlign w:val="center"/>
            <w:tcMar>
              <w:top w:w="100" w:type="dxa"/>
              <w:start w:w="120" w:type="dxa"/>
              <w:bottom w:w="100" w:type="dxa"/>
              <w:end w:w="120" w:type="dxa"/>
            </w:tcMar>
          </w:tcPr>
          <w:p>
            <w:r>
              <w:rPr>
                <w:sz w:val="17"/>
              </w:rPr>
              <w:t>14.G</w:t>
            </w:r>
          </w:p>
        </w:tc>
        <w:tc>
          <w:tcPr>
            <w:tcW w:type="dxa" w:w="2232"/>
            <w:vAlign w:val="center"/>
            <w:tcMar>
              <w:top w:w="100" w:type="dxa"/>
              <w:start w:w="120" w:type="dxa"/>
              <w:bottom w:w="100" w:type="dxa"/>
              <w:end w:w="120" w:type="dxa"/>
            </w:tcMar>
          </w:tcPr>
          <w:p>
            <w:r>
              <w:rPr>
                <w:sz w:val="17"/>
              </w:rPr>
              <w:t>Локально, но не глобально</w:t>
            </w:r>
          </w:p>
        </w:tc>
        <w:tc>
          <w:tcPr>
            <w:tcW w:type="dxa" w:w="3240"/>
            <w:vAlign w:val="center"/>
            <w:tcMar>
              <w:top w:w="100" w:type="dxa"/>
              <w:start w:w="120" w:type="dxa"/>
              <w:bottom w:w="100" w:type="dxa"/>
              <w:end w:w="120" w:type="dxa"/>
            </w:tcMar>
          </w:tcPr>
          <w:p>
            <w:r>
              <w:rPr>
                <w:sz w:val="17"/>
              </w:rPr>
              <w:t>несогласованные φ_ij</w:t>
            </w:r>
          </w:p>
        </w:tc>
        <w:tc>
          <w:tcPr>
            <w:tcW w:type="dxa" w:w="3096"/>
            <w:vAlign w:val="center"/>
            <w:tcMar>
              <w:top w:w="100" w:type="dxa"/>
              <w:start w:w="120" w:type="dxa"/>
              <w:bottom w:w="100" w:type="dxa"/>
              <w:end w:w="120" w:type="dxa"/>
            </w:tcMar>
          </w:tcPr>
          <w:p>
            <w:r>
              <w:rPr>
                <w:sz w:val="17"/>
              </w:rPr>
              <w:t>projective charts не склеиваются</w:t>
            </w:r>
          </w:p>
        </w:tc>
      </w:tr>
      <w:tr>
        <w:tc>
          <w:tcPr>
            <w:tcW w:type="dxa" w:w="936"/>
            <w:vAlign w:val="center"/>
            <w:tcMar>
              <w:top w:w="100" w:type="dxa"/>
              <w:start w:w="120" w:type="dxa"/>
              <w:bottom w:w="100" w:type="dxa"/>
              <w:end w:w="120" w:type="dxa"/>
            </w:tcMar>
            <w:shd w:fill="EAF1F8"/>
          </w:tcPr>
          <w:p>
            <w:r>
              <w:rPr>
                <w:sz w:val="17"/>
              </w:rPr>
              <w:t>14.H</w:t>
            </w:r>
          </w:p>
        </w:tc>
        <w:tc>
          <w:tcPr>
            <w:tcW w:type="dxa" w:w="2232"/>
            <w:vAlign w:val="center"/>
            <w:tcMar>
              <w:top w:w="100" w:type="dxa"/>
              <w:start w:w="120" w:type="dxa"/>
              <w:bottom w:w="100" w:type="dxa"/>
              <w:end w:w="120" w:type="dxa"/>
            </w:tcMar>
            <w:shd w:fill="EAF1F8"/>
          </w:tcPr>
          <w:p>
            <w:r>
              <w:rPr>
                <w:sz w:val="17"/>
              </w:rPr>
              <w:t>Малая projective дистанция</w:t>
            </w:r>
          </w:p>
        </w:tc>
        <w:tc>
          <w:tcPr>
            <w:tcW w:type="dxa" w:w="3240"/>
            <w:vAlign w:val="center"/>
            <w:tcMar>
              <w:top w:w="100" w:type="dxa"/>
              <w:start w:w="120" w:type="dxa"/>
              <w:bottom w:w="100" w:type="dxa"/>
              <w:end w:w="120" w:type="dxa"/>
            </w:tcMar>
            <w:shd w:fill="EAF1F8"/>
          </w:tcPr>
          <w:p>
            <w:r>
              <w:rPr>
                <w:sz w:val="17"/>
              </w:rPr>
              <w:t>u_n=n e1, v_n=n e1+e2</w:t>
            </w:r>
          </w:p>
        </w:tc>
        <w:tc>
          <w:tcPr>
            <w:tcW w:type="dxa" w:w="3096"/>
            <w:vAlign w:val="center"/>
            <w:tcMar>
              <w:top w:w="100" w:type="dxa"/>
              <w:start w:w="120" w:type="dxa"/>
              <w:bottom w:w="100" w:type="dxa"/>
              <w:end w:w="120" w:type="dxa"/>
            </w:tcMar>
            <w:shd w:fill="EAF1F8"/>
          </w:tcPr>
          <w:p>
            <w:r>
              <w:rPr>
                <w:sz w:val="17"/>
              </w:rPr>
              <w:t>угол→0, но абсолютный дефект не исчезает</w:t>
            </w:r>
          </w:p>
        </w:tc>
      </w:tr>
      <w:tr>
        <w:tc>
          <w:tcPr>
            <w:tcW w:type="dxa" w:w="936"/>
            <w:vAlign w:val="center"/>
            <w:tcMar>
              <w:top w:w="100" w:type="dxa"/>
              <w:start w:w="120" w:type="dxa"/>
              <w:bottom w:w="100" w:type="dxa"/>
              <w:end w:w="120" w:type="dxa"/>
            </w:tcMar>
          </w:tcPr>
          <w:p>
            <w:r>
              <w:rPr>
                <w:sz w:val="17"/>
              </w:rPr>
              <w:t>14.I</w:t>
            </w:r>
          </w:p>
        </w:tc>
        <w:tc>
          <w:tcPr>
            <w:tcW w:type="dxa" w:w="2232"/>
            <w:vAlign w:val="center"/>
            <w:tcMar>
              <w:top w:w="100" w:type="dxa"/>
              <w:start w:w="120" w:type="dxa"/>
              <w:bottom w:w="100" w:type="dxa"/>
              <w:end w:w="120" w:type="dxa"/>
            </w:tcMar>
          </w:tcPr>
          <w:p>
            <w:r>
              <w:rPr>
                <w:sz w:val="17"/>
              </w:rPr>
              <w:t>λ без моста</w:t>
            </w:r>
          </w:p>
        </w:tc>
        <w:tc>
          <w:tcPr>
            <w:tcW w:type="dxa" w:w="3240"/>
            <w:vAlign w:val="center"/>
            <w:tcMar>
              <w:top w:w="100" w:type="dxa"/>
              <w:start w:w="120" w:type="dxa"/>
              <w:bottom w:w="100" w:type="dxa"/>
              <w:end w:w="120" w:type="dxa"/>
            </w:tcMar>
          </w:tcPr>
          <w:p>
            <w:r>
              <w:rPr>
                <w:sz w:val="17"/>
              </w:rPr>
              <w:t>одна [o], разные четверки функционалов</w:t>
            </w:r>
          </w:p>
        </w:tc>
        <w:tc>
          <w:tcPr>
            <w:tcW w:type="dxa" w:w="3096"/>
            <w:vAlign w:val="center"/>
            <w:tcMar>
              <w:top w:w="100" w:type="dxa"/>
              <w:start w:w="120" w:type="dxa"/>
              <w:bottom w:w="100" w:type="dxa"/>
              <w:end w:w="120" w:type="dxa"/>
            </w:tcMar>
          </w:tcPr>
          <w:p>
            <w:r>
              <w:rPr>
                <w:sz w:val="17"/>
              </w:rPr>
              <w:t>разные λ</w:t>
            </w:r>
          </w:p>
        </w:tc>
      </w:tr>
      <w:tr>
        <w:tc>
          <w:tcPr>
            <w:tcW w:type="dxa" w:w="936"/>
            <w:vAlign w:val="center"/>
            <w:tcMar>
              <w:top w:w="100" w:type="dxa"/>
              <w:start w:w="120" w:type="dxa"/>
              <w:bottom w:w="100" w:type="dxa"/>
              <w:end w:w="120" w:type="dxa"/>
            </w:tcMar>
            <w:shd w:fill="EAF1F8"/>
          </w:tcPr>
          <w:p>
            <w:r>
              <w:rPr>
                <w:sz w:val="17"/>
              </w:rPr>
              <w:t>14.J</w:t>
            </w:r>
          </w:p>
        </w:tc>
        <w:tc>
          <w:tcPr>
            <w:tcW w:type="dxa" w:w="2232"/>
            <w:vAlign w:val="center"/>
            <w:tcMar>
              <w:top w:w="100" w:type="dxa"/>
              <w:start w:w="120" w:type="dxa"/>
              <w:bottom w:w="100" w:type="dxa"/>
              <w:end w:w="120" w:type="dxa"/>
            </w:tcMar>
            <w:shd w:fill="EAF1F8"/>
          </w:tcPr>
          <w:p>
            <w:r>
              <w:rPr>
                <w:sz w:val="17"/>
              </w:rPr>
              <w:t>Положительный конус</w:t>
            </w:r>
          </w:p>
        </w:tc>
        <w:tc>
          <w:tcPr>
            <w:tcW w:type="dxa" w:w="3240"/>
            <w:vAlign w:val="center"/>
            <w:tcMar>
              <w:top w:w="100" w:type="dxa"/>
              <w:start w:w="120" w:type="dxa"/>
              <w:bottom w:w="100" w:type="dxa"/>
              <w:end w:w="120" w:type="dxa"/>
            </w:tcMar>
            <w:shd w:fill="EAF1F8"/>
          </w:tcPr>
          <w:p>
            <w:r>
              <w:rPr>
                <w:sz w:val="17"/>
              </w:rPr>
              <w:t>o и -o</w:t>
            </w:r>
          </w:p>
        </w:tc>
        <w:tc>
          <w:tcPr>
            <w:tcW w:type="dxa" w:w="3096"/>
            <w:vAlign w:val="center"/>
            <w:tcMar>
              <w:top w:w="100" w:type="dxa"/>
              <w:start w:w="120" w:type="dxa"/>
              <w:bottom w:w="100" w:type="dxa"/>
              <w:end w:w="120" w:type="dxa"/>
            </w:tcMar>
            <w:shd w:fill="EAF1F8"/>
          </w:tcPr>
          <w:p>
            <w:r>
              <w:rPr>
                <w:sz w:val="17"/>
              </w:rPr>
              <w:t>обычная P теряет order type</w:t>
            </w:r>
          </w:p>
        </w:tc>
      </w:tr>
    </w:tbl>
    <w:p/>
    <w:p>
      <w:pPr>
        <w:pStyle w:val="Heading1"/>
        <w:keepNext/>
      </w:pPr>
      <w:r>
        <w:t>126. Вычислительный сертификат PROJ-01-PROJ-18</w:t>
      </w:r>
    </w:p>
    <w:tbl>
      <w:tblPr>
        <w:tblStyle w:val="TableGrid"/>
        <w:tblW w:type="auto" w:w="0"/>
        <w:jc w:val="center"/>
        <w:tblLook w:firstColumn="1" w:firstRow="1" w:lastColumn="0" w:lastRow="0" w:noHBand="0" w:noVBand="1" w:val="04A0"/>
      </w:tblPr>
      <w:tblGrid>
        <w:gridCol w:w="4876"/>
        <w:gridCol w:w="4876"/>
      </w:tblGrid>
      <w:tr>
        <w:tc>
          <w:tcPr>
            <w:tcW w:type="dxa" w:w="1728"/>
            <w:shd w:fill="1F4E78"/>
            <w:vAlign w:val="center"/>
            <w:tcMar>
              <w:top w:w="100" w:type="dxa"/>
              <w:start w:w="120" w:type="dxa"/>
              <w:bottom w:w="100" w:type="dxa"/>
              <w:end w:w="120" w:type="dxa"/>
            </w:tcMar>
          </w:tcPr>
          <w:p>
            <w:r>
              <w:rPr>
                <w:b/>
                <w:color w:val="FFFFFF"/>
                <w:sz w:val="18"/>
              </w:rPr>
              <w:t>Шаг</w:t>
            </w:r>
          </w:p>
        </w:tc>
        <w:tc>
          <w:tcPr>
            <w:tcW w:type="dxa" w:w="8352"/>
            <w:shd w:fill="1F4E78"/>
            <w:vAlign w:val="center"/>
            <w:tcMar>
              <w:top w:w="100" w:type="dxa"/>
              <w:start w:w="120" w:type="dxa"/>
              <w:bottom w:w="100" w:type="dxa"/>
              <w:end w:w="120" w:type="dxa"/>
            </w:tcMar>
          </w:tcPr>
          <w:p>
            <w:r>
              <w:rPr>
                <w:b/>
                <w:color w:val="FFFFFF"/>
                <w:sz w:val="18"/>
              </w:rPr>
              <w:t>Проверка</w:t>
            </w:r>
          </w:p>
        </w:tc>
      </w:tr>
      <w:tr>
        <w:tc>
          <w:tcPr>
            <w:tcW w:type="dxa" w:w="1728"/>
            <w:vAlign w:val="center"/>
            <w:tcMar>
              <w:top w:w="100" w:type="dxa"/>
              <w:start w:w="120" w:type="dxa"/>
              <w:bottom w:w="100" w:type="dxa"/>
              <w:end w:w="120" w:type="dxa"/>
            </w:tcMar>
          </w:tcPr>
          <w:p>
            <w:r>
              <w:rPr>
                <w:sz w:val="17"/>
              </w:rPr>
              <w:t>PROJ-01</w:t>
            </w:r>
          </w:p>
        </w:tc>
        <w:tc>
          <w:tcPr>
            <w:tcW w:type="dxa" w:w="8352"/>
            <w:vAlign w:val="center"/>
            <w:tcMar>
              <w:top w:w="100" w:type="dxa"/>
              <w:start w:w="120" w:type="dxa"/>
              <w:bottom w:w="100" w:type="dxa"/>
              <w:end w:w="120" w:type="dxa"/>
            </w:tcMar>
          </w:tcPr>
          <w:p>
            <w:r>
              <w:rPr>
                <w:sz w:val="17"/>
              </w:rPr>
              <w:t>построить точный базис O_B и нулевой класс</w:t>
            </w:r>
          </w:p>
        </w:tc>
      </w:tr>
      <w:tr>
        <w:tc>
          <w:tcPr>
            <w:tcW w:type="dxa" w:w="1728"/>
            <w:vAlign w:val="center"/>
            <w:tcMar>
              <w:top w:w="100" w:type="dxa"/>
              <w:start w:w="120" w:type="dxa"/>
              <w:bottom w:w="100" w:type="dxa"/>
              <w:end w:w="120" w:type="dxa"/>
            </w:tcMar>
            <w:shd w:fill="EAF1F8"/>
          </w:tcPr>
          <w:p>
            <w:r>
              <w:rPr>
                <w:sz w:val="17"/>
              </w:rPr>
              <w:t>PROJ-02</w:t>
            </w:r>
          </w:p>
        </w:tc>
        <w:tc>
          <w:tcPr>
            <w:tcW w:type="dxa" w:w="8352"/>
            <w:vAlign w:val="center"/>
            <w:tcMar>
              <w:top w:w="100" w:type="dxa"/>
              <w:start w:w="120" w:type="dxa"/>
              <w:bottom w:w="100" w:type="dxa"/>
              <w:end w:w="120" w:type="dxa"/>
            </w:tcMar>
            <w:shd w:fill="EAF1F8"/>
          </w:tcPr>
          <w:p>
            <w:r>
              <w:rPr>
                <w:sz w:val="17"/>
              </w:rPr>
              <w:t>зафиксировать поле, метрику и group action</w:t>
            </w:r>
          </w:p>
        </w:tc>
      </w:tr>
      <w:tr>
        <w:tc>
          <w:tcPr>
            <w:tcW w:type="dxa" w:w="1728"/>
            <w:vAlign w:val="center"/>
            <w:tcMar>
              <w:top w:w="100" w:type="dxa"/>
              <w:start w:w="120" w:type="dxa"/>
              <w:bottom w:w="100" w:type="dxa"/>
              <w:end w:w="120" w:type="dxa"/>
            </w:tcMar>
          </w:tcPr>
          <w:p>
            <w:r>
              <w:rPr>
                <w:sz w:val="17"/>
              </w:rPr>
              <w:t>PROJ-03</w:t>
            </w:r>
          </w:p>
        </w:tc>
        <w:tc>
          <w:tcPr>
            <w:tcW w:type="dxa" w:w="8352"/>
            <w:vAlign w:val="center"/>
            <w:tcMar>
              <w:top w:w="100" w:type="dxa"/>
              <w:start w:w="120" w:type="dxa"/>
              <w:bottom w:w="100" w:type="dxa"/>
              <w:end w:w="120" w:type="dxa"/>
            </w:tcMar>
          </w:tcPr>
          <w:p>
            <w:r>
              <w:rPr>
                <w:sz w:val="17"/>
              </w:rPr>
              <w:t>проверить ненулевость представителя</w:t>
            </w:r>
          </w:p>
        </w:tc>
      </w:tr>
      <w:tr>
        <w:tc>
          <w:tcPr>
            <w:tcW w:type="dxa" w:w="1728"/>
            <w:vAlign w:val="center"/>
            <w:tcMar>
              <w:top w:w="100" w:type="dxa"/>
              <w:start w:w="120" w:type="dxa"/>
              <w:bottom w:w="100" w:type="dxa"/>
              <w:end w:w="120" w:type="dxa"/>
            </w:tcMar>
            <w:shd w:fill="EAF1F8"/>
          </w:tcPr>
          <w:p>
            <w:r>
              <w:rPr>
                <w:sz w:val="17"/>
              </w:rPr>
              <w:t>PROJ-04</w:t>
            </w:r>
          </w:p>
        </w:tc>
        <w:tc>
          <w:tcPr>
            <w:tcW w:type="dxa" w:w="8352"/>
            <w:vAlign w:val="center"/>
            <w:tcMar>
              <w:top w:w="100" w:type="dxa"/>
              <w:start w:w="120" w:type="dxa"/>
              <w:bottom w:w="100" w:type="dxa"/>
              <w:end w:w="120" w:type="dxa"/>
            </w:tcMar>
            <w:shd w:fill="EAF1F8"/>
          </w:tcPr>
          <w:p>
            <w:r>
              <w:rPr>
                <w:sz w:val="17"/>
              </w:rPr>
              <w:t>нормировать или выбрать positive ray</w:t>
            </w:r>
          </w:p>
        </w:tc>
      </w:tr>
      <w:tr>
        <w:tc>
          <w:tcPr>
            <w:tcW w:type="dxa" w:w="1728"/>
            <w:vAlign w:val="center"/>
            <w:tcMar>
              <w:top w:w="100" w:type="dxa"/>
              <w:start w:w="120" w:type="dxa"/>
              <w:bottom w:w="100" w:type="dxa"/>
              <w:end w:w="120" w:type="dxa"/>
            </w:tcMar>
          </w:tcPr>
          <w:p>
            <w:r>
              <w:rPr>
                <w:sz w:val="17"/>
              </w:rPr>
              <w:t>PROJ-05</w:t>
            </w:r>
          </w:p>
        </w:tc>
        <w:tc>
          <w:tcPr>
            <w:tcW w:type="dxa" w:w="8352"/>
            <w:vAlign w:val="center"/>
            <w:tcMar>
              <w:top w:w="100" w:type="dxa"/>
              <w:start w:w="120" w:type="dxa"/>
              <w:bottom w:w="100" w:type="dxa"/>
              <w:end w:w="120" w:type="dxa"/>
            </w:tcMar>
          </w:tcPr>
          <w:p>
            <w:r>
              <w:rPr>
                <w:sz w:val="17"/>
              </w:rPr>
              <w:t>построить projective coordinates</w:t>
            </w:r>
          </w:p>
        </w:tc>
      </w:tr>
      <w:tr>
        <w:tc>
          <w:tcPr>
            <w:tcW w:type="dxa" w:w="1728"/>
            <w:vAlign w:val="center"/>
            <w:tcMar>
              <w:top w:w="100" w:type="dxa"/>
              <w:start w:w="120" w:type="dxa"/>
              <w:bottom w:w="100" w:type="dxa"/>
              <w:end w:w="120" w:type="dxa"/>
            </w:tcMar>
            <w:shd w:fill="EAF1F8"/>
          </w:tcPr>
          <w:p>
            <w:r>
              <w:rPr>
                <w:sz w:val="17"/>
              </w:rPr>
              <w:t>PROJ-06</w:t>
            </w:r>
          </w:p>
        </w:tc>
        <w:tc>
          <w:tcPr>
            <w:tcW w:type="dxa" w:w="8352"/>
            <w:vAlign w:val="center"/>
            <w:tcMar>
              <w:top w:w="100" w:type="dxa"/>
              <w:start w:w="120" w:type="dxa"/>
              <w:bottom w:w="100" w:type="dxa"/>
              <w:end w:w="120" w:type="dxa"/>
            </w:tcMar>
            <w:shd w:fill="EAF1F8"/>
          </w:tcPr>
          <w:p>
            <w:r>
              <w:rPr>
                <w:sz w:val="17"/>
              </w:rPr>
              <w:t>проверить смену chart</w:t>
            </w:r>
          </w:p>
        </w:tc>
      </w:tr>
      <w:tr>
        <w:tc>
          <w:tcPr>
            <w:tcW w:type="dxa" w:w="1728"/>
            <w:vAlign w:val="center"/>
            <w:tcMar>
              <w:top w:w="100" w:type="dxa"/>
              <w:start w:w="120" w:type="dxa"/>
              <w:bottom w:w="100" w:type="dxa"/>
              <w:end w:w="120" w:type="dxa"/>
            </w:tcMar>
          </w:tcPr>
          <w:p>
            <w:r>
              <w:rPr>
                <w:sz w:val="17"/>
              </w:rPr>
              <w:t>PROJ-07</w:t>
            </w:r>
          </w:p>
        </w:tc>
        <w:tc>
          <w:tcPr>
            <w:tcW w:type="dxa" w:w="8352"/>
            <w:vAlign w:val="center"/>
            <w:tcMar>
              <w:top w:w="100" w:type="dxa"/>
              <w:start w:w="120" w:type="dxa"/>
              <w:bottom w:w="100" w:type="dxa"/>
              <w:end w:w="120" w:type="dxa"/>
            </w:tcMar>
          </w:tcPr>
          <w:p>
            <w:r>
              <w:rPr>
                <w:sz w:val="17"/>
              </w:rPr>
              <w:t>вычислить rank strata</w:t>
            </w:r>
          </w:p>
        </w:tc>
      </w:tr>
      <w:tr>
        <w:tc>
          <w:tcPr>
            <w:tcW w:type="dxa" w:w="1728"/>
            <w:vAlign w:val="center"/>
            <w:tcMar>
              <w:top w:w="100" w:type="dxa"/>
              <w:start w:w="120" w:type="dxa"/>
              <w:bottom w:w="100" w:type="dxa"/>
              <w:end w:w="120" w:type="dxa"/>
            </w:tcMar>
            <w:shd w:fill="EAF1F8"/>
          </w:tcPr>
          <w:p>
            <w:r>
              <w:rPr>
                <w:sz w:val="17"/>
              </w:rPr>
              <w:t>PROJ-08</w:t>
            </w:r>
          </w:p>
        </w:tc>
        <w:tc>
          <w:tcPr>
            <w:tcW w:type="dxa" w:w="8352"/>
            <w:vAlign w:val="center"/>
            <w:tcMar>
              <w:top w:w="100" w:type="dxa"/>
              <w:start w:w="120" w:type="dxa"/>
              <w:bottom w:w="100" w:type="dxa"/>
              <w:end w:w="120" w:type="dxa"/>
            </w:tcMar>
            <w:shd w:fill="EAF1F8"/>
          </w:tcPr>
          <w:p>
            <w:r>
              <w:rPr>
                <w:sz w:val="17"/>
              </w:rPr>
              <w:t>вычислить orbit stabilizers</w:t>
            </w:r>
          </w:p>
        </w:tc>
      </w:tr>
      <w:tr>
        <w:tc>
          <w:tcPr>
            <w:tcW w:type="dxa" w:w="1728"/>
            <w:vAlign w:val="center"/>
            <w:tcMar>
              <w:top w:w="100" w:type="dxa"/>
              <w:start w:w="120" w:type="dxa"/>
              <w:bottom w:w="100" w:type="dxa"/>
              <w:end w:w="120" w:type="dxa"/>
            </w:tcMar>
          </w:tcPr>
          <w:p>
            <w:r>
              <w:rPr>
                <w:sz w:val="17"/>
              </w:rPr>
              <w:t>PROJ-09</w:t>
            </w:r>
          </w:p>
        </w:tc>
        <w:tc>
          <w:tcPr>
            <w:tcW w:type="dxa" w:w="8352"/>
            <w:vAlign w:val="center"/>
            <w:tcMar>
              <w:top w:w="100" w:type="dxa"/>
              <w:start w:w="120" w:type="dxa"/>
              <w:bottom w:w="100" w:type="dxa"/>
              <w:end w:w="120" w:type="dxa"/>
            </w:tcMar>
          </w:tcPr>
          <w:p>
            <w:r>
              <w:rPr>
                <w:sz w:val="17"/>
              </w:rPr>
              <w:t>проверить homogeneity каждого инварианта</w:t>
            </w:r>
          </w:p>
        </w:tc>
      </w:tr>
      <w:tr>
        <w:tc>
          <w:tcPr>
            <w:tcW w:type="dxa" w:w="1728"/>
            <w:vAlign w:val="center"/>
            <w:tcMar>
              <w:top w:w="100" w:type="dxa"/>
              <w:start w:w="120" w:type="dxa"/>
              <w:bottom w:w="100" w:type="dxa"/>
              <w:end w:w="120" w:type="dxa"/>
            </w:tcMar>
            <w:shd w:fill="EAF1F8"/>
          </w:tcPr>
          <w:p>
            <w:r>
              <w:rPr>
                <w:sz w:val="17"/>
              </w:rPr>
              <w:t>PROJ-10</w:t>
            </w:r>
          </w:p>
        </w:tc>
        <w:tc>
          <w:tcPr>
            <w:tcW w:type="dxa" w:w="8352"/>
            <w:vAlign w:val="center"/>
            <w:tcMar>
              <w:top w:w="100" w:type="dxa"/>
              <w:start w:w="120" w:type="dxa"/>
              <w:bottom w:w="100" w:type="dxa"/>
              <w:end w:w="120" w:type="dxa"/>
            </w:tcMar>
            <w:shd w:fill="EAF1F8"/>
          </w:tcPr>
          <w:p>
            <w:r>
              <w:rPr>
                <w:sz w:val="17"/>
              </w:rPr>
              <w:t>построить ZERO/SCALE/SIGN ledger</w:t>
            </w:r>
          </w:p>
        </w:tc>
      </w:tr>
      <w:tr>
        <w:tc>
          <w:tcPr>
            <w:tcW w:type="dxa" w:w="1728"/>
            <w:vAlign w:val="center"/>
            <w:tcMar>
              <w:top w:w="100" w:type="dxa"/>
              <w:start w:w="120" w:type="dxa"/>
              <w:bottom w:w="100" w:type="dxa"/>
              <w:end w:w="120" w:type="dxa"/>
            </w:tcMar>
          </w:tcPr>
          <w:p>
            <w:r>
              <w:rPr>
                <w:sz w:val="17"/>
              </w:rPr>
              <w:t>PROJ-11</w:t>
            </w:r>
          </w:p>
        </w:tc>
        <w:tc>
          <w:tcPr>
            <w:tcW w:type="dxa" w:w="8352"/>
            <w:vAlign w:val="center"/>
            <w:tcMar>
              <w:top w:w="100" w:type="dxa"/>
              <w:start w:w="120" w:type="dxa"/>
              <w:bottom w:w="100" w:type="dxa"/>
              <w:end w:w="120" w:type="dxa"/>
            </w:tcMar>
          </w:tcPr>
          <w:p>
            <w:r>
              <w:rPr>
                <w:sz w:val="17"/>
              </w:rPr>
              <w:t>проверить provenance и Evidence-D</w:t>
            </w:r>
          </w:p>
        </w:tc>
      </w:tr>
      <w:tr>
        <w:tc>
          <w:tcPr>
            <w:tcW w:type="dxa" w:w="1728"/>
            <w:vAlign w:val="center"/>
            <w:tcMar>
              <w:top w:w="100" w:type="dxa"/>
              <w:start w:w="120" w:type="dxa"/>
              <w:bottom w:w="100" w:type="dxa"/>
              <w:end w:w="120" w:type="dxa"/>
            </w:tcMar>
            <w:shd w:fill="EAF1F8"/>
          </w:tcPr>
          <w:p>
            <w:r>
              <w:rPr>
                <w:sz w:val="17"/>
              </w:rPr>
              <w:t>PROJ-12</w:t>
            </w:r>
          </w:p>
        </w:tc>
        <w:tc>
          <w:tcPr>
            <w:tcW w:type="dxa" w:w="8352"/>
            <w:vAlign w:val="center"/>
            <w:tcMar>
              <w:top w:w="100" w:type="dxa"/>
              <w:start w:w="120" w:type="dxa"/>
              <w:bottom w:w="100" w:type="dxa"/>
              <w:end w:w="120" w:type="dxa"/>
            </w:tcMar>
            <w:shd w:fill="EAF1F8"/>
          </w:tcPr>
          <w:p>
            <w:r>
              <w:rPr>
                <w:sz w:val="17"/>
              </w:rPr>
              <w:t>проверить lift torsor data</w:t>
            </w:r>
          </w:p>
        </w:tc>
      </w:tr>
      <w:tr>
        <w:tc>
          <w:tcPr>
            <w:tcW w:type="dxa" w:w="1728"/>
            <w:vAlign w:val="center"/>
            <w:tcMar>
              <w:top w:w="100" w:type="dxa"/>
              <w:start w:w="120" w:type="dxa"/>
              <w:bottom w:w="100" w:type="dxa"/>
              <w:end w:w="120" w:type="dxa"/>
            </w:tcMar>
          </w:tcPr>
          <w:p>
            <w:r>
              <w:rPr>
                <w:sz w:val="17"/>
              </w:rPr>
              <w:t>PROJ-13</w:t>
            </w:r>
          </w:p>
        </w:tc>
        <w:tc>
          <w:tcPr>
            <w:tcW w:type="dxa" w:w="8352"/>
            <w:vAlign w:val="center"/>
            <w:tcMar>
              <w:top w:w="100" w:type="dxa"/>
              <w:start w:w="120" w:type="dxa"/>
              <w:bottom w:w="100" w:type="dxa"/>
              <w:end w:w="120" w:type="dxa"/>
            </w:tcMar>
          </w:tcPr>
          <w:p>
            <w:r>
              <w:rPr>
                <w:sz w:val="17"/>
              </w:rPr>
              <w:t>проверить local-to-global cocycle</w:t>
            </w:r>
          </w:p>
        </w:tc>
      </w:tr>
      <w:tr>
        <w:tc>
          <w:tcPr>
            <w:tcW w:type="dxa" w:w="1728"/>
            <w:vAlign w:val="center"/>
            <w:tcMar>
              <w:top w:w="100" w:type="dxa"/>
              <w:start w:w="120" w:type="dxa"/>
              <w:bottom w:w="100" w:type="dxa"/>
              <w:end w:w="120" w:type="dxa"/>
            </w:tcMar>
            <w:shd w:fill="EAF1F8"/>
          </w:tcPr>
          <w:p>
            <w:r>
              <w:rPr>
                <w:sz w:val="17"/>
              </w:rPr>
              <w:t>PROJ-14</w:t>
            </w:r>
          </w:p>
        </w:tc>
        <w:tc>
          <w:tcPr>
            <w:tcW w:type="dxa" w:w="8352"/>
            <w:vAlign w:val="center"/>
            <w:tcMar>
              <w:top w:w="100" w:type="dxa"/>
              <w:start w:w="120" w:type="dxa"/>
              <w:bottom w:w="100" w:type="dxa"/>
              <w:end w:w="120" w:type="dxa"/>
            </w:tcMar>
            <w:shd w:fill="EAF1F8"/>
          </w:tcPr>
          <w:p>
            <w:r>
              <w:rPr>
                <w:sz w:val="17"/>
              </w:rPr>
              <w:t>построить Δ_proj</w:t>
            </w:r>
          </w:p>
        </w:tc>
      </w:tr>
      <w:tr>
        <w:tc>
          <w:tcPr>
            <w:tcW w:type="dxa" w:w="1728"/>
            <w:vAlign w:val="center"/>
            <w:tcMar>
              <w:top w:w="100" w:type="dxa"/>
              <w:start w:w="120" w:type="dxa"/>
              <w:bottom w:w="100" w:type="dxa"/>
              <w:end w:w="120" w:type="dxa"/>
            </w:tcMar>
          </w:tcPr>
          <w:p>
            <w:r>
              <w:rPr>
                <w:sz w:val="17"/>
              </w:rPr>
              <w:t>PROJ-15</w:t>
            </w:r>
          </w:p>
        </w:tc>
        <w:tc>
          <w:tcPr>
            <w:tcW w:type="dxa" w:w="8352"/>
            <w:vAlign w:val="center"/>
            <w:tcMar>
              <w:top w:w="100" w:type="dxa"/>
              <w:start w:w="120" w:type="dxa"/>
              <w:bottom w:w="100" w:type="dxa"/>
              <w:end w:w="120" w:type="dxa"/>
            </w:tcMar>
          </w:tcPr>
          <w:p>
            <w:r>
              <w:rPr>
                <w:sz w:val="17"/>
              </w:rPr>
              <w:t>оценить projective distance и интервалы</w:t>
            </w:r>
          </w:p>
        </w:tc>
      </w:tr>
      <w:tr>
        <w:tc>
          <w:tcPr>
            <w:tcW w:type="dxa" w:w="1728"/>
            <w:vAlign w:val="center"/>
            <w:tcMar>
              <w:top w:w="100" w:type="dxa"/>
              <w:start w:w="120" w:type="dxa"/>
              <w:bottom w:w="100" w:type="dxa"/>
              <w:end w:w="120" w:type="dxa"/>
            </w:tcMar>
            <w:shd w:fill="EAF1F8"/>
          </w:tcPr>
          <w:p>
            <w:r>
              <w:rPr>
                <w:sz w:val="17"/>
              </w:rPr>
              <w:t>PROJ-16</w:t>
            </w:r>
          </w:p>
        </w:tc>
        <w:tc>
          <w:tcPr>
            <w:tcW w:type="dxa" w:w="8352"/>
            <w:vAlign w:val="center"/>
            <w:tcMar>
              <w:top w:w="100" w:type="dxa"/>
              <w:start w:w="120" w:type="dxa"/>
              <w:bottom w:w="100" w:type="dxa"/>
              <w:end w:w="120" w:type="dxa"/>
            </w:tcMar>
            <w:shd w:fill="EAF1F8"/>
          </w:tcPr>
          <w:p>
            <w:r>
              <w:rPr>
                <w:sz w:val="17"/>
              </w:rPr>
              <w:t>проверить χ_λ и его полюса</w:t>
            </w:r>
          </w:p>
        </w:tc>
      </w:tr>
      <w:tr>
        <w:tc>
          <w:tcPr>
            <w:tcW w:type="dxa" w:w="1728"/>
            <w:vAlign w:val="center"/>
            <w:tcMar>
              <w:top w:w="100" w:type="dxa"/>
              <w:start w:w="120" w:type="dxa"/>
              <w:bottom w:w="100" w:type="dxa"/>
              <w:end w:w="120" w:type="dxa"/>
            </w:tcMar>
          </w:tcPr>
          <w:p>
            <w:r>
              <w:rPr>
                <w:sz w:val="17"/>
              </w:rPr>
              <w:t>PROJ-17</w:t>
            </w:r>
          </w:p>
        </w:tc>
        <w:tc>
          <w:tcPr>
            <w:tcW w:type="dxa" w:w="8352"/>
            <w:vAlign w:val="center"/>
            <w:tcMar>
              <w:top w:w="100" w:type="dxa"/>
              <w:start w:w="120" w:type="dxa"/>
              <w:bottom w:w="100" w:type="dxa"/>
              <w:end w:w="120" w:type="dxa"/>
            </w:tcMar>
          </w:tcPr>
          <w:p>
            <w:r>
              <w:rPr>
                <w:sz w:val="17"/>
              </w:rPr>
              <w:t>выдать blocker-safe verdict</w:t>
            </w:r>
          </w:p>
        </w:tc>
      </w:tr>
      <w:tr>
        <w:tc>
          <w:tcPr>
            <w:tcW w:type="dxa" w:w="1728"/>
            <w:vAlign w:val="center"/>
            <w:tcMar>
              <w:top w:w="100" w:type="dxa"/>
              <w:start w:w="120" w:type="dxa"/>
              <w:bottom w:w="100" w:type="dxa"/>
              <w:end w:w="120" w:type="dxa"/>
            </w:tcMar>
            <w:shd w:fill="EAF1F8"/>
          </w:tcPr>
          <w:p>
            <w:r>
              <w:rPr>
                <w:sz w:val="17"/>
              </w:rPr>
              <w:t>PROJ-18</w:t>
            </w:r>
          </w:p>
        </w:tc>
        <w:tc>
          <w:tcPr>
            <w:tcW w:type="dxa" w:w="8352"/>
            <w:vAlign w:val="center"/>
            <w:tcMar>
              <w:top w:w="100" w:type="dxa"/>
              <w:start w:w="120" w:type="dxa"/>
              <w:bottom w:w="100" w:type="dxa"/>
              <w:end w:w="120" w:type="dxa"/>
            </w:tcMar>
            <w:shd w:fill="EAF1F8"/>
          </w:tcPr>
          <w:p>
            <w:r>
              <w:rPr>
                <w:sz w:val="17"/>
              </w:rPr>
              <w:t>сохранить версии, хеши и машинный журнал</w:t>
            </w:r>
          </w:p>
        </w:tc>
      </w:tr>
    </w:tbl>
    <w:p/>
    <w:p>
      <w:pPr>
        <w:pStyle w:val="Heading2"/>
        <w:keepNext/>
      </w:pPr>
      <w:r>
        <w:t>126.1. Псевдокод</w:t>
      </w:r>
    </w:p>
    <w:p>
      <w:pPr>
        <w:pStyle w:val="Quote"/>
      </w:pPr>
      <w:r>
        <w:t>INPUT exact obstruction space O_B, representative o, model data A,G, D/Dom</w:t>
        <w:br/>
        <w:t>CHECK o==0 -&gt; ZERO-OBSTRUCTION (do not projectivize)</w:t>
        <w:br/>
        <w:t>CHECK field and allowed scalar group Kx or R_{&gt;0}</w:t>
        <w:br/>
        <w:t>BUILD projective class [o] and chart atlas</w:t>
        <w:br/>
        <w:t>VERIFY homogeneity of rank/orbit/support invariants</w:t>
        <w:br/>
        <w:t>COMPUTE strata and distance-to-horizon</w:t>
        <w:br/>
        <w:t>CHECK provenance, lift torsor, gluing and lambda bridge</w:t>
        <w:br/>
        <w:t>IF any blocker: ABSTAIN</w:t>
        <w:br/>
        <w:t>ELSE IF interval avoids Delta_proj: NO-PROJECTIVE-TYPE-TRANSITION-IN-MODEL</w:t>
        <w:br/>
        <w:t>ELSE: CANDIDATE-PROJECTIVE-TRANSITION</w:t>
        <w:br/>
        <w:t>STORE hashes and information-loss ledger</w:t>
      </w:r>
    </w:p>
    <w:p>
      <w:pPr>
        <w:pStyle w:val="Heading1"/>
        <w:keepNext/>
      </w:pPr>
      <w:r>
        <w:t>127. Главная условная теорема T2-RP-v0.11</w:t>
      </w:r>
    </w:p>
    <w:tbl>
      <w:tblPr>
        <w:tblStyle w:val="TableGrid"/>
        <w:tblW w:type="auto" w:w="0"/>
        <w:jc w:val="center"/>
        <w:tblLook w:firstColumn="1" w:firstRow="1" w:lastColumn="0" w:lastRow="0" w:noHBand="0" w:noVBand="1" w:val="04A0"/>
      </w:tblPr>
      <w:tblGrid>
        <w:gridCol w:w="9752"/>
      </w:tblGrid>
      <w:tr>
        <w:tc>
          <w:tcPr>
            <w:tcW w:type="dxa" w:w="9752"/>
            <w:tcMar>
              <w:top w:w="160" w:type="dxa"/>
              <w:start w:w="180" w:type="dxa"/>
              <w:bottom w:w="160" w:type="dxa"/>
              <w:end w:w="180" w:type="dxa"/>
            </w:tcMar>
            <w:shd w:fill="DCE6F1"/>
          </w:tcPr>
          <w:p>
            <w:r>
              <w:rPr>
                <w:b/>
                <w:color w:val="1F4E79"/>
                <w:sz w:val="21"/>
              </w:rPr>
              <w:t>ТЕОРЕМА 14.8. PROJECTIVE OBSTRUCTION-SAFE PREDICTION</w:t>
            </w:r>
          </w:p>
          <w:p>
            <w:pPr>
              <w:spacing w:after="0"/>
            </w:pPr>
            <w:r>
              <w:rPr>
                <w:sz w:val="19"/>
              </w:rPr>
              <w:t>Пусть задано конечномерное регулярное семейство NAPG-кадров N_t, непрерывный obstruction section o_t, projective atlas, однородные rank/orbit invariants, effective descent, валидные D/Dom и воспроизводимый сертификат PROJ. Если путь не пересекает Δ_proj и остаётся отделённым от нулевой секции и chart poles, то сертифицированный projective obstruction type не изменяется. Следовательно, структурный переход, требующий смены этого типа, невозможен внутри модели. Пересечение горизонта даёт только кандидата.</w:t>
            </w:r>
          </w:p>
        </w:tc>
      </w:tr>
    </w:tbl>
    <w:p/>
    <w:p>
      <w:pPr>
        <w:pStyle w:val="Quote"/>
        <w:jc w:val="center"/>
      </w:pPr>
      <w:r>
        <w:rPr>
          <w:rFonts w:ascii="Cambria Math" w:hAnsi="Cambria Math"/>
          <w:sz w:val="22"/>
        </w:rPr>
        <w:t>P_proj(t)=([o_t], S_rank(t), S_orbit(t), Dom_t, Glue_t).</w:t>
      </w:r>
      <w:r>
        <w:t xml:space="preserve">    (14.19)</w:t>
      </w:r>
    </w:p>
    <w:p>
      <w:pPr>
        <w:pStyle w:val="Quote"/>
        <w:jc w:val="center"/>
      </w:pPr>
      <w:r>
        <w:rPr>
          <w:rFonts w:ascii="Cambria Math" w:hAnsi="Cambria Math"/>
          <w:sz w:val="22"/>
        </w:rPr>
        <w:t>I∩Δ_proj=∅ ⇒ type(P_proj(t))=const on I.</w:t>
      </w:r>
      <w:r>
        <w:t xml:space="preserve">    (14.20)</w:t>
      </w:r>
    </w:p>
    <w:p>
      <w:r>
        <w:t>Теорема является условной и конечномерной. Она не утверждает существование физического времени t, причинного механизма, вероятности перехода или экспериментального эффекта.</w:t>
      </w:r>
    </w:p>
    <w:p>
      <w:pPr>
        <w:pStyle w:val="Heading1"/>
        <w:keepNext/>
      </w:pPr>
      <w:r>
        <w:t>128. Blocker-safe вывод</w:t>
      </w:r>
    </w:p>
    <w:p>
      <w:pPr>
        <w:pStyle w:val="Quote"/>
        <w:jc w:val="center"/>
      </w:pPr>
      <w:r>
        <w:rPr>
          <w:rFonts w:ascii="Cambria Math" w:hAnsi="Cambria Math"/>
          <w:sz w:val="22"/>
        </w:rPr>
        <w:t>Block_proj = B_zero ∪ B_scale ∪ B_sign ∪ B_chart ∪ B_hom ∪ B_glue ∪ B_D ∪ B_Dom ∪ B_lift ∪ B_ind.</w:t>
      </w:r>
      <w:r>
        <w:t xml:space="preserve">    (14.21)</w:t>
      </w:r>
    </w:p>
    <w:tbl>
      <w:tblPr>
        <w:tblStyle w:val="TableGrid"/>
        <w:tblW w:type="auto" w:w="0"/>
        <w:jc w:val="center"/>
        <w:tblLook w:firstColumn="1" w:firstRow="1" w:lastColumn="0" w:lastRow="0" w:noHBand="0" w:noVBand="1" w:val="04A0"/>
      </w:tblPr>
      <w:tblGrid>
        <w:gridCol w:w="3251"/>
        <w:gridCol w:w="3251"/>
        <w:gridCol w:w="3251"/>
      </w:tblGrid>
      <w:tr>
        <w:tc>
          <w:tcPr>
            <w:tcW w:type="dxa" w:w="2880"/>
            <w:shd w:fill="1F4E78"/>
            <w:vAlign w:val="center"/>
            <w:tcMar>
              <w:top w:w="100" w:type="dxa"/>
              <w:start w:w="120" w:type="dxa"/>
              <w:bottom w:w="100" w:type="dxa"/>
              <w:end w:w="120" w:type="dxa"/>
            </w:tcMar>
          </w:tcPr>
          <w:p>
            <w:r>
              <w:rPr>
                <w:b/>
                <w:color w:val="FFFFFF"/>
                <w:sz w:val="18"/>
              </w:rPr>
              <w:t>Выход</w:t>
            </w:r>
          </w:p>
        </w:tc>
        <w:tc>
          <w:tcPr>
            <w:tcW w:type="dxa" w:w="4032"/>
            <w:shd w:fill="1F4E78"/>
            <w:vAlign w:val="center"/>
            <w:tcMar>
              <w:top w:w="100" w:type="dxa"/>
              <w:start w:w="120" w:type="dxa"/>
              <w:bottom w:w="100" w:type="dxa"/>
              <w:end w:w="120" w:type="dxa"/>
            </w:tcMar>
          </w:tcPr>
          <w:p>
            <w:r>
              <w:rPr>
                <w:b/>
                <w:color w:val="FFFFFF"/>
                <w:sz w:val="18"/>
              </w:rPr>
              <w:t>Необходимое условие</w:t>
            </w:r>
          </w:p>
        </w:tc>
        <w:tc>
          <w:tcPr>
            <w:tcW w:type="dxa" w:w="3168"/>
            <w:shd w:fill="1F4E78"/>
            <w:vAlign w:val="center"/>
            <w:tcMar>
              <w:top w:w="100" w:type="dxa"/>
              <w:start w:w="120" w:type="dxa"/>
              <w:bottom w:w="100" w:type="dxa"/>
              <w:end w:w="120" w:type="dxa"/>
            </w:tcMar>
          </w:tcPr>
          <w:p>
            <w:r>
              <w:rPr>
                <w:b/>
                <w:color w:val="FFFFFF"/>
                <w:sz w:val="18"/>
              </w:rPr>
              <w:t>Допустимая интерпретация</w:t>
            </w:r>
          </w:p>
        </w:tc>
      </w:tr>
      <w:tr>
        <w:tc>
          <w:tcPr>
            <w:tcW w:type="dxa" w:w="2880"/>
            <w:vAlign w:val="center"/>
            <w:tcMar>
              <w:top w:w="100" w:type="dxa"/>
              <w:start w:w="120" w:type="dxa"/>
              <w:bottom w:w="100" w:type="dxa"/>
              <w:end w:w="120" w:type="dxa"/>
            </w:tcMar>
          </w:tcPr>
          <w:p>
            <w:r>
              <w:rPr>
                <w:sz w:val="17"/>
              </w:rPr>
              <w:t>NO-PROJECTIVE-TYPE-TRANSITION-IN-MODEL</w:t>
            </w:r>
          </w:p>
        </w:tc>
        <w:tc>
          <w:tcPr>
            <w:tcW w:type="dxa" w:w="4032"/>
            <w:vAlign w:val="center"/>
            <w:tcMar>
              <w:top w:w="100" w:type="dxa"/>
              <w:start w:w="120" w:type="dxa"/>
              <w:bottom w:w="100" w:type="dxa"/>
              <w:end w:w="120" w:type="dxa"/>
            </w:tcMar>
          </w:tcPr>
          <w:p>
            <w:r>
              <w:rPr>
                <w:sz w:val="17"/>
              </w:rPr>
              <w:t>I∩Δ_proj=∅ и blockers=∅</w:t>
            </w:r>
          </w:p>
        </w:tc>
        <w:tc>
          <w:tcPr>
            <w:tcW w:type="dxa" w:w="3168"/>
            <w:vAlign w:val="center"/>
            <w:tcMar>
              <w:top w:w="100" w:type="dxa"/>
              <w:start w:w="120" w:type="dxa"/>
              <w:bottom w:w="100" w:type="dxa"/>
              <w:end w:w="120" w:type="dxa"/>
            </w:tcMar>
          </w:tcPr>
          <w:p>
            <w:r>
              <w:rPr>
                <w:sz w:val="17"/>
              </w:rPr>
              <w:t>отрицательный структурный прогноз</w:t>
            </w:r>
          </w:p>
        </w:tc>
      </w:tr>
      <w:tr>
        <w:tc>
          <w:tcPr>
            <w:tcW w:type="dxa" w:w="2880"/>
            <w:vAlign w:val="center"/>
            <w:tcMar>
              <w:top w:w="100" w:type="dxa"/>
              <w:start w:w="120" w:type="dxa"/>
              <w:bottom w:w="100" w:type="dxa"/>
              <w:end w:w="120" w:type="dxa"/>
            </w:tcMar>
            <w:shd w:fill="EAF1F8"/>
          </w:tcPr>
          <w:p>
            <w:r>
              <w:rPr>
                <w:sz w:val="17"/>
              </w:rPr>
              <w:t>CANDIDATE-PROJECTIVE-TRANSITION</w:t>
            </w:r>
          </w:p>
        </w:tc>
        <w:tc>
          <w:tcPr>
            <w:tcW w:type="dxa" w:w="4032"/>
            <w:vAlign w:val="center"/>
            <w:tcMar>
              <w:top w:w="100" w:type="dxa"/>
              <w:start w:w="120" w:type="dxa"/>
              <w:bottom w:w="100" w:type="dxa"/>
              <w:end w:w="120" w:type="dxa"/>
            </w:tcMar>
            <w:shd w:fill="EAF1F8"/>
          </w:tcPr>
          <w:p>
            <w:r>
              <w:rPr>
                <w:sz w:val="17"/>
              </w:rPr>
              <w:t>I∩Δ_proj≠∅ и blockers=∅</w:t>
            </w:r>
          </w:p>
        </w:tc>
        <w:tc>
          <w:tcPr>
            <w:tcW w:type="dxa" w:w="3168"/>
            <w:vAlign w:val="center"/>
            <w:tcMar>
              <w:top w:w="100" w:type="dxa"/>
              <w:start w:w="120" w:type="dxa"/>
              <w:bottom w:w="100" w:type="dxa"/>
              <w:end w:w="120" w:type="dxa"/>
            </w:tcMar>
            <w:shd w:fill="EAF1F8"/>
          </w:tcPr>
          <w:p>
            <w:r>
              <w:rPr>
                <w:sz w:val="17"/>
              </w:rPr>
              <w:t>точка дальнейшей проверки</w:t>
            </w:r>
          </w:p>
        </w:tc>
      </w:tr>
      <w:tr>
        <w:tc>
          <w:tcPr>
            <w:tcW w:type="dxa" w:w="2880"/>
            <w:vAlign w:val="center"/>
            <w:tcMar>
              <w:top w:w="100" w:type="dxa"/>
              <w:start w:w="120" w:type="dxa"/>
              <w:bottom w:w="100" w:type="dxa"/>
              <w:end w:w="120" w:type="dxa"/>
            </w:tcMar>
          </w:tcPr>
          <w:p>
            <w:r>
              <w:rPr>
                <w:sz w:val="17"/>
              </w:rPr>
              <w:t>ZERO-INTERNAL-OBSTRUCTION</w:t>
            </w:r>
          </w:p>
        </w:tc>
        <w:tc>
          <w:tcPr>
            <w:tcW w:type="dxa" w:w="4032"/>
            <w:vAlign w:val="center"/>
            <w:tcMar>
              <w:top w:w="100" w:type="dxa"/>
              <w:start w:w="120" w:type="dxa"/>
              <w:bottom w:w="100" w:type="dxa"/>
              <w:end w:w="120" w:type="dxa"/>
            </w:tcMar>
          </w:tcPr>
          <w:p>
            <w:r>
              <w:rPr>
                <w:sz w:val="17"/>
              </w:rPr>
              <w:t>o=0 точно</w:t>
            </w:r>
          </w:p>
        </w:tc>
        <w:tc>
          <w:tcPr>
            <w:tcW w:type="dxa" w:w="3168"/>
            <w:vAlign w:val="center"/>
            <w:tcMar>
              <w:top w:w="100" w:type="dxa"/>
              <w:start w:w="120" w:type="dxa"/>
              <w:bottom w:w="100" w:type="dxa"/>
              <w:end w:w="120" w:type="dxa"/>
            </w:tcMar>
          </w:tcPr>
          <w:p>
            <w:r>
              <w:rPr>
                <w:sz w:val="17"/>
              </w:rPr>
              <w:t>исчезновение данного внутреннего класса</w:t>
            </w:r>
          </w:p>
        </w:tc>
      </w:tr>
      <w:tr>
        <w:tc>
          <w:tcPr>
            <w:tcW w:type="dxa" w:w="2880"/>
            <w:vAlign w:val="center"/>
            <w:tcMar>
              <w:top w:w="100" w:type="dxa"/>
              <w:start w:w="120" w:type="dxa"/>
              <w:bottom w:w="100" w:type="dxa"/>
              <w:end w:w="120" w:type="dxa"/>
            </w:tcMar>
            <w:shd w:fill="EAF1F8"/>
          </w:tcPr>
          <w:p>
            <w:r>
              <w:rPr>
                <w:sz w:val="17"/>
              </w:rPr>
              <w:t>ABSTAIN</w:t>
            </w:r>
          </w:p>
        </w:tc>
        <w:tc>
          <w:tcPr>
            <w:tcW w:type="dxa" w:w="4032"/>
            <w:vAlign w:val="center"/>
            <w:tcMar>
              <w:top w:w="100" w:type="dxa"/>
              <w:start w:w="120" w:type="dxa"/>
              <w:bottom w:w="100" w:type="dxa"/>
              <w:end w:w="120" w:type="dxa"/>
            </w:tcMar>
            <w:shd w:fill="EAF1F8"/>
          </w:tcPr>
          <w:p>
            <w:r>
              <w:rPr>
                <w:sz w:val="17"/>
              </w:rPr>
              <w:t>хотя бы один blocker</w:t>
            </w:r>
          </w:p>
        </w:tc>
        <w:tc>
          <w:tcPr>
            <w:tcW w:type="dxa" w:w="3168"/>
            <w:vAlign w:val="center"/>
            <w:tcMar>
              <w:top w:w="100" w:type="dxa"/>
              <w:start w:w="120" w:type="dxa"/>
              <w:bottom w:w="100" w:type="dxa"/>
              <w:end w:w="120" w:type="dxa"/>
            </w:tcMar>
            <w:shd w:fill="EAF1F8"/>
          </w:tcPr>
          <w:p>
            <w:r>
              <w:rPr>
                <w:sz w:val="17"/>
              </w:rPr>
              <w:t>вывод запрещён</w:t>
            </w:r>
          </w:p>
        </w:tc>
      </w:tr>
    </w:tbl>
    <w:p/>
    <w:p>
      <w:pPr>
        <w:pStyle w:val="Heading1"/>
        <w:keepNext/>
      </w:pPr>
      <w:r>
        <w:t>129. Доказательные обязательства T2-PO-126-T2-PO-145</w:t>
      </w:r>
    </w:p>
    <w:tbl>
      <w:tblPr>
        <w:tblStyle w:val="TableGrid"/>
        <w:tblW w:type="auto" w:w="0"/>
        <w:jc w:val="center"/>
        <w:tblLook w:firstColumn="1" w:firstRow="1" w:lastColumn="0" w:lastRow="0" w:noHBand="0" w:noVBand="1" w:val="04A0"/>
      </w:tblPr>
      <w:tblGrid>
        <w:gridCol w:w="3251"/>
        <w:gridCol w:w="3251"/>
        <w:gridCol w:w="3251"/>
      </w:tblGrid>
      <w:tr>
        <w:tc>
          <w:tcPr>
            <w:tcW w:type="dxa" w:w="1656"/>
            <w:shd w:fill="1F4E78"/>
            <w:vAlign w:val="center"/>
            <w:tcMar>
              <w:top w:w="100" w:type="dxa"/>
              <w:start w:w="120" w:type="dxa"/>
              <w:bottom w:w="100" w:type="dxa"/>
              <w:end w:w="120" w:type="dxa"/>
            </w:tcMar>
          </w:tcPr>
          <w:p>
            <w:r>
              <w:rPr>
                <w:b/>
                <w:color w:val="FFFFFF"/>
                <w:sz w:val="18"/>
              </w:rPr>
              <w:t>PO</w:t>
            </w:r>
          </w:p>
        </w:tc>
        <w:tc>
          <w:tcPr>
            <w:tcW w:type="dxa" w:w="6552"/>
            <w:shd w:fill="1F4E78"/>
            <w:vAlign w:val="center"/>
            <w:tcMar>
              <w:top w:w="100" w:type="dxa"/>
              <w:start w:w="120" w:type="dxa"/>
              <w:bottom w:w="100" w:type="dxa"/>
              <w:end w:w="120" w:type="dxa"/>
            </w:tcMar>
          </w:tcPr>
          <w:p>
            <w:r>
              <w:rPr>
                <w:b/>
                <w:color w:val="FFFFFF"/>
                <w:sz w:val="18"/>
              </w:rPr>
              <w:t>Обязательство</w:t>
            </w:r>
          </w:p>
        </w:tc>
        <w:tc>
          <w:tcPr>
            <w:tcW w:type="dxa" w:w="1800"/>
            <w:shd w:fill="1F4E78"/>
            <w:vAlign w:val="center"/>
            <w:tcMar>
              <w:top w:w="100" w:type="dxa"/>
              <w:start w:w="120" w:type="dxa"/>
              <w:bottom w:w="100" w:type="dxa"/>
              <w:end w:w="120" w:type="dxa"/>
            </w:tcMar>
          </w:tcPr>
          <w:p>
            <w:r>
              <w:rPr>
                <w:b/>
                <w:color w:val="FFFFFF"/>
                <w:sz w:val="18"/>
              </w:rPr>
              <w:t>Статус</w:t>
            </w:r>
          </w:p>
        </w:tc>
      </w:tr>
      <w:tr>
        <w:tc>
          <w:tcPr>
            <w:tcW w:type="dxa" w:w="1656"/>
            <w:vAlign w:val="center"/>
            <w:tcMar>
              <w:top w:w="100" w:type="dxa"/>
              <w:start w:w="120" w:type="dxa"/>
              <w:bottom w:w="100" w:type="dxa"/>
              <w:end w:w="120" w:type="dxa"/>
            </w:tcMar>
          </w:tcPr>
          <w:p>
            <w:r>
              <w:rPr>
                <w:sz w:val="17"/>
              </w:rPr>
              <w:t>T2-PO-126</w:t>
            </w:r>
          </w:p>
        </w:tc>
        <w:tc>
          <w:tcPr>
            <w:tcW w:type="dxa" w:w="6552"/>
            <w:vAlign w:val="center"/>
            <w:tcMar>
              <w:top w:w="100" w:type="dxa"/>
              <w:start w:w="120" w:type="dxa"/>
              <w:bottom w:w="100" w:type="dxa"/>
              <w:end w:w="120" w:type="dxa"/>
            </w:tcMar>
          </w:tcPr>
          <w:p>
            <w:r>
              <w:rPr>
                <w:sz w:val="17"/>
              </w:rPr>
              <w:t>корректность P(O_B) на O_B\{0}</w:t>
            </w:r>
          </w:p>
        </w:tc>
        <w:tc>
          <w:tcPr>
            <w:tcW w:type="dxa" w:w="1800"/>
            <w:vAlign w:val="center"/>
            <w:tcMar>
              <w:top w:w="100" w:type="dxa"/>
              <w:start w:w="120" w:type="dxa"/>
              <w:bottom w:w="100" w:type="dxa"/>
              <w:end w:w="120" w:type="dxa"/>
            </w:tcMar>
          </w:tcPr>
          <w:p>
            <w:r>
              <w:rPr>
                <w:sz w:val="17"/>
              </w:rPr>
              <w:t>CLOSED</w:t>
            </w:r>
          </w:p>
        </w:tc>
      </w:tr>
      <w:tr>
        <w:tc>
          <w:tcPr>
            <w:tcW w:type="dxa" w:w="1656"/>
            <w:vAlign w:val="center"/>
            <w:tcMar>
              <w:top w:w="100" w:type="dxa"/>
              <w:start w:w="120" w:type="dxa"/>
              <w:bottom w:w="100" w:type="dxa"/>
              <w:end w:w="120" w:type="dxa"/>
            </w:tcMar>
            <w:shd w:fill="EAF1F8"/>
          </w:tcPr>
          <w:p>
            <w:r>
              <w:rPr>
                <w:sz w:val="17"/>
              </w:rPr>
              <w:t>T2-PO-127</w:t>
            </w:r>
          </w:p>
        </w:tc>
        <w:tc>
          <w:tcPr>
            <w:tcW w:type="dxa" w:w="6552"/>
            <w:vAlign w:val="center"/>
            <w:tcMar>
              <w:top w:w="100" w:type="dxa"/>
              <w:start w:w="120" w:type="dxa"/>
              <w:bottom w:w="100" w:type="dxa"/>
              <w:end w:w="120" w:type="dxa"/>
            </w:tcMar>
            <w:shd w:fill="EAF1F8"/>
          </w:tcPr>
          <w:p>
            <w:r>
              <w:rPr>
                <w:sz w:val="17"/>
              </w:rPr>
              <w:t>частичная функториальность P(f)</w:t>
            </w:r>
          </w:p>
        </w:tc>
        <w:tc>
          <w:tcPr>
            <w:tcW w:type="dxa" w:w="1800"/>
            <w:vAlign w:val="center"/>
            <w:tcMar>
              <w:top w:w="100" w:type="dxa"/>
              <w:start w:w="120" w:type="dxa"/>
              <w:bottom w:w="100" w:type="dxa"/>
              <w:end w:w="120" w:type="dxa"/>
            </w:tcMar>
            <w:shd w:fill="EAF1F8"/>
          </w:tcPr>
          <w:p>
            <w:r>
              <w:rPr>
                <w:sz w:val="17"/>
              </w:rPr>
              <w:t>CLOSED</w:t>
            </w:r>
          </w:p>
        </w:tc>
      </w:tr>
      <w:tr>
        <w:tc>
          <w:tcPr>
            <w:tcW w:type="dxa" w:w="1656"/>
            <w:vAlign w:val="center"/>
            <w:tcMar>
              <w:top w:w="100" w:type="dxa"/>
              <w:start w:w="120" w:type="dxa"/>
              <w:bottom w:w="100" w:type="dxa"/>
              <w:end w:w="120" w:type="dxa"/>
            </w:tcMar>
          </w:tcPr>
          <w:p>
            <w:r>
              <w:rPr>
                <w:sz w:val="17"/>
              </w:rPr>
              <w:t>T2-PO-128</w:t>
            </w:r>
          </w:p>
        </w:tc>
        <w:tc>
          <w:tcPr>
            <w:tcW w:type="dxa" w:w="6552"/>
            <w:vAlign w:val="center"/>
            <w:tcMar>
              <w:top w:w="100" w:type="dxa"/>
              <w:start w:w="120" w:type="dxa"/>
              <w:bottom w:w="100" w:type="dxa"/>
              <w:end w:w="120" w:type="dxa"/>
            </w:tcMar>
          </w:tcPr>
          <w:p>
            <w:r>
              <w:rPr>
                <w:sz w:val="17"/>
              </w:rPr>
              <w:t>no-go естественного выбора представителя</w:t>
            </w:r>
          </w:p>
        </w:tc>
        <w:tc>
          <w:tcPr>
            <w:tcW w:type="dxa" w:w="1800"/>
            <w:vAlign w:val="center"/>
            <w:tcMar>
              <w:top w:w="100" w:type="dxa"/>
              <w:start w:w="120" w:type="dxa"/>
              <w:bottom w:w="100" w:type="dxa"/>
              <w:end w:w="120" w:type="dxa"/>
            </w:tcMar>
          </w:tcPr>
          <w:p>
            <w:r>
              <w:rPr>
                <w:sz w:val="17"/>
              </w:rPr>
              <w:t>CLOSED</w:t>
            </w:r>
          </w:p>
        </w:tc>
      </w:tr>
      <w:tr>
        <w:tc>
          <w:tcPr>
            <w:tcW w:type="dxa" w:w="1656"/>
            <w:vAlign w:val="center"/>
            <w:tcMar>
              <w:top w:w="100" w:type="dxa"/>
              <w:start w:w="120" w:type="dxa"/>
              <w:bottom w:w="100" w:type="dxa"/>
              <w:end w:w="120" w:type="dxa"/>
            </w:tcMar>
            <w:shd w:fill="EAF1F8"/>
          </w:tcPr>
          <w:p>
            <w:r>
              <w:rPr>
                <w:sz w:val="17"/>
              </w:rPr>
              <w:t>T2-PO-129</w:t>
            </w:r>
          </w:p>
        </w:tc>
        <w:tc>
          <w:tcPr>
            <w:tcW w:type="dxa" w:w="6552"/>
            <w:vAlign w:val="center"/>
            <w:tcMar>
              <w:top w:w="100" w:type="dxa"/>
              <w:start w:w="120" w:type="dxa"/>
              <w:bottom w:w="100" w:type="dxa"/>
              <w:end w:w="120" w:type="dxa"/>
            </w:tcMar>
            <w:shd w:fill="EAF1F8"/>
          </w:tcPr>
          <w:p>
            <w:r>
              <w:rPr>
                <w:sz w:val="17"/>
              </w:rPr>
              <w:t>точный information-loss ledger</w:t>
            </w:r>
          </w:p>
        </w:tc>
        <w:tc>
          <w:tcPr>
            <w:tcW w:type="dxa" w:w="1800"/>
            <w:vAlign w:val="center"/>
            <w:tcMar>
              <w:top w:w="100" w:type="dxa"/>
              <w:start w:w="120" w:type="dxa"/>
              <w:bottom w:w="100" w:type="dxa"/>
              <w:end w:w="120" w:type="dxa"/>
            </w:tcMar>
            <w:shd w:fill="EAF1F8"/>
          </w:tcPr>
          <w:p>
            <w:r>
              <w:rPr>
                <w:sz w:val="17"/>
              </w:rPr>
              <w:t>CLOSED</w:t>
            </w:r>
          </w:p>
        </w:tc>
      </w:tr>
      <w:tr>
        <w:tc>
          <w:tcPr>
            <w:tcW w:type="dxa" w:w="1656"/>
            <w:vAlign w:val="center"/>
            <w:tcMar>
              <w:top w:w="100" w:type="dxa"/>
              <w:start w:w="120" w:type="dxa"/>
              <w:bottom w:w="100" w:type="dxa"/>
              <w:end w:w="120" w:type="dxa"/>
            </w:tcMar>
          </w:tcPr>
          <w:p>
            <w:r>
              <w:rPr>
                <w:sz w:val="17"/>
              </w:rPr>
              <w:t>T2-PO-130</w:t>
            </w:r>
          </w:p>
        </w:tc>
        <w:tc>
          <w:tcPr>
            <w:tcW w:type="dxa" w:w="6552"/>
            <w:vAlign w:val="center"/>
            <w:tcMar>
              <w:top w:w="100" w:type="dxa"/>
              <w:start w:w="120" w:type="dxa"/>
              <w:bottom w:w="100" w:type="dxa"/>
              <w:end w:w="120" w:type="dxa"/>
            </w:tcMar>
          </w:tcPr>
          <w:p>
            <w:r>
              <w:rPr>
                <w:sz w:val="17"/>
              </w:rPr>
              <w:t>сферическая/ориентированная модель</w:t>
            </w:r>
          </w:p>
        </w:tc>
        <w:tc>
          <w:tcPr>
            <w:tcW w:type="dxa" w:w="1800"/>
            <w:vAlign w:val="center"/>
            <w:tcMar>
              <w:top w:w="100" w:type="dxa"/>
              <w:start w:w="120" w:type="dxa"/>
              <w:bottom w:w="100" w:type="dxa"/>
              <w:end w:w="120" w:type="dxa"/>
            </w:tcMar>
          </w:tcPr>
          <w:p>
            <w:r>
              <w:rPr>
                <w:sz w:val="17"/>
              </w:rPr>
              <w:t>CLOSED finite-dim</w:t>
            </w:r>
          </w:p>
        </w:tc>
      </w:tr>
      <w:tr>
        <w:tc>
          <w:tcPr>
            <w:tcW w:type="dxa" w:w="1656"/>
            <w:vAlign w:val="center"/>
            <w:tcMar>
              <w:top w:w="100" w:type="dxa"/>
              <w:start w:w="120" w:type="dxa"/>
              <w:bottom w:w="100" w:type="dxa"/>
              <w:end w:w="120" w:type="dxa"/>
            </w:tcMar>
            <w:shd w:fill="EAF1F8"/>
          </w:tcPr>
          <w:p>
            <w:r>
              <w:rPr>
                <w:sz w:val="17"/>
              </w:rPr>
              <w:t>T2-PO-131</w:t>
            </w:r>
          </w:p>
        </w:tc>
        <w:tc>
          <w:tcPr>
            <w:tcW w:type="dxa" w:w="6552"/>
            <w:vAlign w:val="center"/>
            <w:tcMar>
              <w:top w:w="100" w:type="dxa"/>
              <w:start w:w="120" w:type="dxa"/>
              <w:bottom w:w="100" w:type="dxa"/>
              <w:end w:w="120" w:type="dxa"/>
            </w:tcMar>
            <w:shd w:fill="EAF1F8"/>
          </w:tcPr>
          <w:p>
            <w:r>
              <w:rPr>
                <w:sz w:val="17"/>
              </w:rPr>
              <w:t>projective metric stability</w:t>
            </w:r>
          </w:p>
        </w:tc>
        <w:tc>
          <w:tcPr>
            <w:tcW w:type="dxa" w:w="1800"/>
            <w:vAlign w:val="center"/>
            <w:tcMar>
              <w:top w:w="100" w:type="dxa"/>
              <w:start w:w="120" w:type="dxa"/>
              <w:bottom w:w="100" w:type="dxa"/>
              <w:end w:w="120" w:type="dxa"/>
            </w:tcMar>
            <w:shd w:fill="EAF1F8"/>
          </w:tcPr>
          <w:p>
            <w:r>
              <w:rPr>
                <w:sz w:val="17"/>
              </w:rPr>
              <w:t>CLOSED local</w:t>
            </w:r>
          </w:p>
        </w:tc>
      </w:tr>
      <w:tr>
        <w:tc>
          <w:tcPr>
            <w:tcW w:type="dxa" w:w="1656"/>
            <w:vAlign w:val="center"/>
            <w:tcMar>
              <w:top w:w="100" w:type="dxa"/>
              <w:start w:w="120" w:type="dxa"/>
              <w:bottom w:w="100" w:type="dxa"/>
              <w:end w:w="120" w:type="dxa"/>
            </w:tcMar>
          </w:tcPr>
          <w:p>
            <w:r>
              <w:rPr>
                <w:sz w:val="17"/>
              </w:rPr>
              <w:t>T2-PO-132</w:t>
            </w:r>
          </w:p>
        </w:tc>
        <w:tc>
          <w:tcPr>
            <w:tcW w:type="dxa" w:w="6552"/>
            <w:vAlign w:val="center"/>
            <w:tcMar>
              <w:top w:w="100" w:type="dxa"/>
              <w:start w:w="120" w:type="dxa"/>
              <w:bottom w:w="100" w:type="dxa"/>
              <w:end w:w="120" w:type="dxa"/>
            </w:tcMar>
          </w:tcPr>
          <w:p>
            <w:r>
              <w:rPr>
                <w:sz w:val="17"/>
              </w:rPr>
              <w:t>homogeneity criterion для инвариантов</w:t>
            </w:r>
          </w:p>
        </w:tc>
        <w:tc>
          <w:tcPr>
            <w:tcW w:type="dxa" w:w="1800"/>
            <w:vAlign w:val="center"/>
            <w:tcMar>
              <w:top w:w="100" w:type="dxa"/>
              <w:start w:w="120" w:type="dxa"/>
              <w:bottom w:w="100" w:type="dxa"/>
              <w:end w:w="120" w:type="dxa"/>
            </w:tcMar>
          </w:tcPr>
          <w:p>
            <w:r>
              <w:rPr>
                <w:sz w:val="17"/>
              </w:rPr>
              <w:t>CLOSED</w:t>
            </w:r>
          </w:p>
        </w:tc>
      </w:tr>
      <w:tr>
        <w:tc>
          <w:tcPr>
            <w:tcW w:type="dxa" w:w="1656"/>
            <w:vAlign w:val="center"/>
            <w:tcMar>
              <w:top w:w="100" w:type="dxa"/>
              <w:start w:w="120" w:type="dxa"/>
              <w:bottom w:w="100" w:type="dxa"/>
              <w:end w:w="120" w:type="dxa"/>
            </w:tcMar>
            <w:shd w:fill="EAF1F8"/>
          </w:tcPr>
          <w:p>
            <w:r>
              <w:rPr>
                <w:sz w:val="17"/>
              </w:rPr>
              <w:t>T2-PO-133</w:t>
            </w:r>
          </w:p>
        </w:tc>
        <w:tc>
          <w:tcPr>
            <w:tcW w:type="dxa" w:w="6552"/>
            <w:vAlign w:val="center"/>
            <w:tcMar>
              <w:top w:w="100" w:type="dxa"/>
              <w:start w:w="120" w:type="dxa"/>
              <w:bottom w:w="100" w:type="dxa"/>
              <w:end w:w="120" w:type="dxa"/>
            </w:tcMar>
            <w:shd w:fill="EAF1F8"/>
          </w:tcPr>
          <w:p>
            <w:r>
              <w:rPr>
                <w:sz w:val="17"/>
              </w:rPr>
              <w:t>Whitney (a) для rank strata</w:t>
            </w:r>
          </w:p>
        </w:tc>
        <w:tc>
          <w:tcPr>
            <w:tcW w:type="dxa" w:w="1800"/>
            <w:vAlign w:val="center"/>
            <w:tcMar>
              <w:top w:w="100" w:type="dxa"/>
              <w:start w:w="120" w:type="dxa"/>
              <w:bottom w:w="100" w:type="dxa"/>
              <w:end w:w="120" w:type="dxa"/>
            </w:tcMar>
            <w:shd w:fill="EAF1F8"/>
          </w:tcPr>
          <w:p>
            <w:r>
              <w:rPr>
                <w:sz w:val="17"/>
              </w:rPr>
              <w:t>OPEN model</w:t>
            </w:r>
          </w:p>
        </w:tc>
      </w:tr>
      <w:tr>
        <w:tc>
          <w:tcPr>
            <w:tcW w:type="dxa" w:w="1656"/>
            <w:vAlign w:val="center"/>
            <w:tcMar>
              <w:top w:w="100" w:type="dxa"/>
              <w:start w:w="120" w:type="dxa"/>
              <w:bottom w:w="100" w:type="dxa"/>
              <w:end w:w="120" w:type="dxa"/>
            </w:tcMar>
          </w:tcPr>
          <w:p>
            <w:r>
              <w:rPr>
                <w:sz w:val="17"/>
              </w:rPr>
              <w:t>T2-PO-134</w:t>
            </w:r>
          </w:p>
        </w:tc>
        <w:tc>
          <w:tcPr>
            <w:tcW w:type="dxa" w:w="6552"/>
            <w:vAlign w:val="center"/>
            <w:tcMar>
              <w:top w:w="100" w:type="dxa"/>
              <w:start w:w="120" w:type="dxa"/>
              <w:bottom w:w="100" w:type="dxa"/>
              <w:end w:w="120" w:type="dxa"/>
            </w:tcMar>
          </w:tcPr>
          <w:p>
            <w:r>
              <w:rPr>
                <w:sz w:val="17"/>
              </w:rPr>
              <w:t>Whitney (b) для orbit strata</w:t>
            </w:r>
          </w:p>
        </w:tc>
        <w:tc>
          <w:tcPr>
            <w:tcW w:type="dxa" w:w="1800"/>
            <w:vAlign w:val="center"/>
            <w:tcMar>
              <w:top w:w="100" w:type="dxa"/>
              <w:start w:w="120" w:type="dxa"/>
              <w:bottom w:w="100" w:type="dxa"/>
              <w:end w:w="120" w:type="dxa"/>
            </w:tcMar>
          </w:tcPr>
          <w:p>
            <w:r>
              <w:rPr>
                <w:sz w:val="17"/>
              </w:rPr>
              <w:t>OPEN model</w:t>
            </w:r>
          </w:p>
        </w:tc>
      </w:tr>
      <w:tr>
        <w:tc>
          <w:tcPr>
            <w:tcW w:type="dxa" w:w="1656"/>
            <w:vAlign w:val="center"/>
            <w:tcMar>
              <w:top w:w="100" w:type="dxa"/>
              <w:start w:w="120" w:type="dxa"/>
              <w:bottom w:w="100" w:type="dxa"/>
              <w:end w:w="120" w:type="dxa"/>
            </w:tcMar>
            <w:shd w:fill="EAF1F8"/>
          </w:tcPr>
          <w:p>
            <w:r>
              <w:rPr>
                <w:sz w:val="17"/>
              </w:rPr>
              <w:t>T2-PO-135</w:t>
            </w:r>
          </w:p>
        </w:tc>
        <w:tc>
          <w:tcPr>
            <w:tcW w:type="dxa" w:w="6552"/>
            <w:vAlign w:val="center"/>
            <w:tcMar>
              <w:top w:w="100" w:type="dxa"/>
              <w:start w:w="120" w:type="dxa"/>
              <w:bottom w:w="100" w:type="dxa"/>
              <w:end w:w="120" w:type="dxa"/>
            </w:tcMar>
            <w:shd w:fill="EAF1F8"/>
          </w:tcPr>
          <w:p>
            <w:r>
              <w:rPr>
                <w:sz w:val="17"/>
              </w:rPr>
              <w:t>frontier/local finiteness</w:t>
            </w:r>
          </w:p>
        </w:tc>
        <w:tc>
          <w:tcPr>
            <w:tcW w:type="dxa" w:w="1800"/>
            <w:vAlign w:val="center"/>
            <w:tcMar>
              <w:top w:w="100" w:type="dxa"/>
              <w:start w:w="120" w:type="dxa"/>
              <w:bottom w:w="100" w:type="dxa"/>
              <w:end w:w="120" w:type="dxa"/>
            </w:tcMar>
            <w:shd w:fill="EAF1F8"/>
          </w:tcPr>
          <w:p>
            <w:r>
              <w:rPr>
                <w:sz w:val="17"/>
              </w:rPr>
              <w:t>OPEN model</w:t>
            </w:r>
          </w:p>
        </w:tc>
      </w:tr>
      <w:tr>
        <w:tc>
          <w:tcPr>
            <w:tcW w:type="dxa" w:w="1656"/>
            <w:vAlign w:val="center"/>
            <w:tcMar>
              <w:top w:w="100" w:type="dxa"/>
              <w:start w:w="120" w:type="dxa"/>
              <w:bottom w:w="100" w:type="dxa"/>
              <w:end w:w="120" w:type="dxa"/>
            </w:tcMar>
          </w:tcPr>
          <w:p>
            <w:r>
              <w:rPr>
                <w:sz w:val="17"/>
              </w:rPr>
              <w:t>T2-PO-136</w:t>
            </w:r>
          </w:p>
        </w:tc>
        <w:tc>
          <w:tcPr>
            <w:tcW w:type="dxa" w:w="6552"/>
            <w:vAlign w:val="center"/>
            <w:tcMar>
              <w:top w:w="100" w:type="dxa"/>
              <w:start w:w="120" w:type="dxa"/>
              <w:bottom w:w="100" w:type="dxa"/>
              <w:end w:w="120" w:type="dxa"/>
            </w:tcMar>
          </w:tcPr>
          <w:p>
            <w:r>
              <w:rPr>
                <w:sz w:val="17"/>
              </w:rPr>
              <w:t>positive projectivization order cone</w:t>
            </w:r>
          </w:p>
        </w:tc>
        <w:tc>
          <w:tcPr>
            <w:tcW w:type="dxa" w:w="1800"/>
            <w:vAlign w:val="center"/>
            <w:tcMar>
              <w:top w:w="100" w:type="dxa"/>
              <w:start w:w="120" w:type="dxa"/>
              <w:bottom w:w="100" w:type="dxa"/>
              <w:end w:w="120" w:type="dxa"/>
            </w:tcMar>
          </w:tcPr>
          <w:p>
            <w:r>
              <w:rPr>
                <w:sz w:val="17"/>
              </w:rPr>
              <w:t>CLOSED</w:t>
            </w:r>
          </w:p>
        </w:tc>
      </w:tr>
      <w:tr>
        <w:tc>
          <w:tcPr>
            <w:tcW w:type="dxa" w:w="1656"/>
            <w:vAlign w:val="center"/>
            <w:tcMar>
              <w:top w:w="100" w:type="dxa"/>
              <w:start w:w="120" w:type="dxa"/>
              <w:bottom w:w="100" w:type="dxa"/>
              <w:end w:w="120" w:type="dxa"/>
            </w:tcMar>
            <w:shd w:fill="EAF1F8"/>
          </w:tcPr>
          <w:p>
            <w:r>
              <w:rPr>
                <w:sz w:val="17"/>
              </w:rPr>
              <w:t>T2-PO-137</w:t>
            </w:r>
          </w:p>
        </w:tc>
        <w:tc>
          <w:tcPr>
            <w:tcW w:type="dxa" w:w="6552"/>
            <w:vAlign w:val="center"/>
            <w:tcMar>
              <w:top w:w="100" w:type="dxa"/>
              <w:start w:w="120" w:type="dxa"/>
              <w:bottom w:w="100" w:type="dxa"/>
              <w:end w:w="120" w:type="dxa"/>
            </w:tcMar>
            <w:shd w:fill="EAF1F8"/>
          </w:tcPr>
          <w:p>
            <w:r>
              <w:rPr>
                <w:sz w:val="17"/>
              </w:rPr>
              <w:t>Fano local-to-global no-go</w:t>
            </w:r>
          </w:p>
        </w:tc>
        <w:tc>
          <w:tcPr>
            <w:tcW w:type="dxa" w:w="1800"/>
            <w:vAlign w:val="center"/>
            <w:tcMar>
              <w:top w:w="100" w:type="dxa"/>
              <w:start w:w="120" w:type="dxa"/>
              <w:bottom w:w="100" w:type="dxa"/>
              <w:end w:w="120" w:type="dxa"/>
            </w:tcMar>
            <w:shd w:fill="EAF1F8"/>
          </w:tcPr>
          <w:p>
            <w:r>
              <w:rPr>
                <w:sz w:val="17"/>
              </w:rPr>
              <w:t>CLOSED</w:t>
            </w:r>
          </w:p>
        </w:tc>
      </w:tr>
      <w:tr>
        <w:tc>
          <w:tcPr>
            <w:tcW w:type="dxa" w:w="1656"/>
            <w:vAlign w:val="center"/>
            <w:tcMar>
              <w:top w:w="100" w:type="dxa"/>
              <w:start w:w="120" w:type="dxa"/>
              <w:bottom w:w="100" w:type="dxa"/>
              <w:end w:w="120" w:type="dxa"/>
            </w:tcMar>
          </w:tcPr>
          <w:p>
            <w:r>
              <w:rPr>
                <w:sz w:val="17"/>
              </w:rPr>
              <w:t>T2-PO-138</w:t>
            </w:r>
          </w:p>
        </w:tc>
        <w:tc>
          <w:tcPr>
            <w:tcW w:type="dxa" w:w="6552"/>
            <w:vAlign w:val="center"/>
            <w:tcMar>
              <w:top w:w="100" w:type="dxa"/>
              <w:start w:w="120" w:type="dxa"/>
              <w:bottom w:w="100" w:type="dxa"/>
              <w:end w:w="120" w:type="dxa"/>
            </w:tcMar>
          </w:tcPr>
          <w:p>
            <w:r>
              <w:rPr>
                <w:sz w:val="17"/>
              </w:rPr>
              <w:t>effective descent глобального carrier</w:t>
            </w:r>
          </w:p>
        </w:tc>
        <w:tc>
          <w:tcPr>
            <w:tcW w:type="dxa" w:w="1800"/>
            <w:vAlign w:val="center"/>
            <w:tcMar>
              <w:top w:w="100" w:type="dxa"/>
              <w:start w:w="120" w:type="dxa"/>
              <w:bottom w:w="100" w:type="dxa"/>
              <w:end w:w="120" w:type="dxa"/>
            </w:tcMar>
          </w:tcPr>
          <w:p>
            <w:r>
              <w:rPr>
                <w:sz w:val="17"/>
              </w:rPr>
              <w:t>OPEN</w:t>
            </w:r>
          </w:p>
        </w:tc>
      </w:tr>
      <w:tr>
        <w:tc>
          <w:tcPr>
            <w:tcW w:type="dxa" w:w="1656"/>
            <w:vAlign w:val="center"/>
            <w:tcMar>
              <w:top w:w="100" w:type="dxa"/>
              <w:start w:w="120" w:type="dxa"/>
              <w:bottom w:w="100" w:type="dxa"/>
              <w:end w:w="120" w:type="dxa"/>
            </w:tcMar>
            <w:shd w:fill="EAF1F8"/>
          </w:tcPr>
          <w:p>
            <w:r>
              <w:rPr>
                <w:sz w:val="17"/>
              </w:rPr>
              <w:t>T2-PO-139</w:t>
            </w:r>
          </w:p>
        </w:tc>
        <w:tc>
          <w:tcPr>
            <w:tcW w:type="dxa" w:w="6552"/>
            <w:vAlign w:val="center"/>
            <w:tcMar>
              <w:top w:w="100" w:type="dxa"/>
              <w:start w:w="120" w:type="dxa"/>
              <w:bottom w:w="100" w:type="dxa"/>
              <w:end w:w="120" w:type="dxa"/>
            </w:tcMar>
            <w:shd w:fill="EAF1F8"/>
          </w:tcPr>
          <w:p>
            <w:r>
              <w:rPr>
                <w:sz w:val="17"/>
              </w:rPr>
              <w:t>projective horizon construction</w:t>
            </w:r>
          </w:p>
        </w:tc>
        <w:tc>
          <w:tcPr>
            <w:tcW w:type="dxa" w:w="1800"/>
            <w:vAlign w:val="center"/>
            <w:tcMar>
              <w:top w:w="100" w:type="dxa"/>
              <w:start w:w="120" w:type="dxa"/>
              <w:bottom w:w="100" w:type="dxa"/>
              <w:end w:w="120" w:type="dxa"/>
            </w:tcMar>
            <w:shd w:fill="EAF1F8"/>
          </w:tcPr>
          <w:p>
            <w:r>
              <w:rPr>
                <w:sz w:val="17"/>
              </w:rPr>
              <w:t>CLOSED finite family</w:t>
            </w:r>
          </w:p>
        </w:tc>
      </w:tr>
      <w:tr>
        <w:tc>
          <w:tcPr>
            <w:tcW w:type="dxa" w:w="1656"/>
            <w:vAlign w:val="center"/>
            <w:tcMar>
              <w:top w:w="100" w:type="dxa"/>
              <w:start w:w="120" w:type="dxa"/>
              <w:bottom w:w="100" w:type="dxa"/>
              <w:end w:w="120" w:type="dxa"/>
            </w:tcMar>
          </w:tcPr>
          <w:p>
            <w:r>
              <w:rPr>
                <w:sz w:val="17"/>
              </w:rPr>
              <w:t>T2-PO-140</w:t>
            </w:r>
          </w:p>
        </w:tc>
        <w:tc>
          <w:tcPr>
            <w:tcW w:type="dxa" w:w="6552"/>
            <w:vAlign w:val="center"/>
            <w:tcMar>
              <w:top w:w="100" w:type="dxa"/>
              <w:start w:w="120" w:type="dxa"/>
              <w:bottom w:w="100" w:type="dxa"/>
              <w:end w:w="120" w:type="dxa"/>
            </w:tcMar>
          </w:tcPr>
          <w:p>
            <w:r>
              <w:rPr>
                <w:sz w:val="17"/>
              </w:rPr>
              <w:t>profile constancy theorem</w:t>
            </w:r>
          </w:p>
        </w:tc>
        <w:tc>
          <w:tcPr>
            <w:tcW w:type="dxa" w:w="1800"/>
            <w:vAlign w:val="center"/>
            <w:tcMar>
              <w:top w:w="100" w:type="dxa"/>
              <w:start w:w="120" w:type="dxa"/>
              <w:bottom w:w="100" w:type="dxa"/>
              <w:end w:w="120" w:type="dxa"/>
            </w:tcMar>
          </w:tcPr>
          <w:p>
            <w:r>
              <w:rPr>
                <w:sz w:val="17"/>
              </w:rPr>
              <w:t>CLOSED under H1-H8</w:t>
            </w:r>
          </w:p>
        </w:tc>
      </w:tr>
      <w:tr>
        <w:tc>
          <w:tcPr>
            <w:tcW w:type="dxa" w:w="1656"/>
            <w:vAlign w:val="center"/>
            <w:tcMar>
              <w:top w:w="100" w:type="dxa"/>
              <w:start w:w="120" w:type="dxa"/>
              <w:bottom w:w="100" w:type="dxa"/>
              <w:end w:w="120" w:type="dxa"/>
            </w:tcMar>
            <w:shd w:fill="EAF1F8"/>
          </w:tcPr>
          <w:p>
            <w:r>
              <w:rPr>
                <w:sz w:val="17"/>
              </w:rPr>
              <w:t>T2-PO-141</w:t>
            </w:r>
          </w:p>
        </w:tc>
        <w:tc>
          <w:tcPr>
            <w:tcW w:type="dxa" w:w="6552"/>
            <w:vAlign w:val="center"/>
            <w:tcMar>
              <w:top w:w="100" w:type="dxa"/>
              <w:start w:w="120" w:type="dxa"/>
              <w:bottom w:w="100" w:type="dxa"/>
              <w:end w:w="120" w:type="dxa"/>
            </w:tcMar>
            <w:shd w:fill="EAF1F8"/>
          </w:tcPr>
          <w:p>
            <w:r>
              <w:rPr>
                <w:sz w:val="17"/>
              </w:rPr>
              <w:t>канонический χ_λ bridge</w:t>
            </w:r>
          </w:p>
        </w:tc>
        <w:tc>
          <w:tcPr>
            <w:tcW w:type="dxa" w:w="1800"/>
            <w:vAlign w:val="center"/>
            <w:tcMar>
              <w:top w:w="100" w:type="dxa"/>
              <w:start w:w="120" w:type="dxa"/>
              <w:bottom w:w="100" w:type="dxa"/>
              <w:end w:w="120" w:type="dxa"/>
            </w:tcMar>
            <w:shd w:fill="EAF1F8"/>
          </w:tcPr>
          <w:p>
            <w:r>
              <w:rPr>
                <w:sz w:val="17"/>
              </w:rPr>
              <w:t>OPEN</w:t>
            </w:r>
          </w:p>
        </w:tc>
      </w:tr>
      <w:tr>
        <w:tc>
          <w:tcPr>
            <w:tcW w:type="dxa" w:w="1656"/>
            <w:vAlign w:val="center"/>
            <w:tcMar>
              <w:top w:w="100" w:type="dxa"/>
              <w:start w:w="120" w:type="dxa"/>
              <w:bottom w:w="100" w:type="dxa"/>
              <w:end w:w="120" w:type="dxa"/>
            </w:tcMar>
          </w:tcPr>
          <w:p>
            <w:r>
              <w:rPr>
                <w:sz w:val="17"/>
              </w:rPr>
              <w:t>T2-PO-142</w:t>
            </w:r>
          </w:p>
        </w:tc>
        <w:tc>
          <w:tcPr>
            <w:tcW w:type="dxa" w:w="6552"/>
            <w:vAlign w:val="center"/>
            <w:tcMar>
              <w:top w:w="100" w:type="dxa"/>
              <w:start w:w="120" w:type="dxa"/>
              <w:bottom w:w="100" w:type="dxa"/>
              <w:end w:w="120" w:type="dxa"/>
            </w:tcMar>
          </w:tcPr>
          <w:p>
            <w:r>
              <w:rPr>
                <w:sz w:val="17"/>
              </w:rPr>
              <w:t>interval-certified distance to Δ_proj</w:t>
            </w:r>
          </w:p>
        </w:tc>
        <w:tc>
          <w:tcPr>
            <w:tcW w:type="dxa" w:w="1800"/>
            <w:vAlign w:val="center"/>
            <w:tcMar>
              <w:top w:w="100" w:type="dxa"/>
              <w:start w:w="120" w:type="dxa"/>
              <w:bottom w:w="100" w:type="dxa"/>
              <w:end w:w="120" w:type="dxa"/>
            </w:tcMar>
          </w:tcPr>
          <w:p>
            <w:r>
              <w:rPr>
                <w:sz w:val="17"/>
              </w:rPr>
              <w:t>OPEN computation</w:t>
            </w:r>
          </w:p>
        </w:tc>
      </w:tr>
      <w:tr>
        <w:tc>
          <w:tcPr>
            <w:tcW w:type="dxa" w:w="1656"/>
            <w:vAlign w:val="center"/>
            <w:tcMar>
              <w:top w:w="100" w:type="dxa"/>
              <w:start w:w="120" w:type="dxa"/>
              <w:bottom w:w="100" w:type="dxa"/>
              <w:end w:w="120" w:type="dxa"/>
            </w:tcMar>
            <w:shd w:fill="EAF1F8"/>
          </w:tcPr>
          <w:p>
            <w:r>
              <w:rPr>
                <w:sz w:val="17"/>
              </w:rPr>
              <w:t>T2-PO-143</w:t>
            </w:r>
          </w:p>
        </w:tc>
        <w:tc>
          <w:tcPr>
            <w:tcW w:type="dxa" w:w="6552"/>
            <w:vAlign w:val="center"/>
            <w:tcMar>
              <w:top w:w="100" w:type="dxa"/>
              <w:start w:w="120" w:type="dxa"/>
              <w:bottom w:w="100" w:type="dxa"/>
              <w:end w:w="120" w:type="dxa"/>
            </w:tcMar>
            <w:shd w:fill="EAF1F8"/>
          </w:tcPr>
          <w:p>
            <w:r>
              <w:rPr>
                <w:sz w:val="17"/>
              </w:rPr>
              <w:t>Banach projective carrier</w:t>
            </w:r>
          </w:p>
        </w:tc>
        <w:tc>
          <w:tcPr>
            <w:tcW w:type="dxa" w:w="1800"/>
            <w:vAlign w:val="center"/>
            <w:tcMar>
              <w:top w:w="100" w:type="dxa"/>
              <w:start w:w="120" w:type="dxa"/>
              <w:bottom w:w="100" w:type="dxa"/>
              <w:end w:w="120" w:type="dxa"/>
            </w:tcMar>
            <w:shd w:fill="EAF1F8"/>
          </w:tcPr>
          <w:p>
            <w:r>
              <w:rPr>
                <w:sz w:val="17"/>
              </w:rPr>
              <w:t>OPEN</w:t>
            </w:r>
          </w:p>
        </w:tc>
      </w:tr>
      <w:tr>
        <w:tc>
          <w:tcPr>
            <w:tcW w:type="dxa" w:w="1656"/>
            <w:vAlign w:val="center"/>
            <w:tcMar>
              <w:top w:w="100" w:type="dxa"/>
              <w:start w:w="120" w:type="dxa"/>
              <w:bottom w:w="100" w:type="dxa"/>
              <w:end w:w="120" w:type="dxa"/>
            </w:tcMar>
          </w:tcPr>
          <w:p>
            <w:r>
              <w:rPr>
                <w:sz w:val="17"/>
              </w:rPr>
              <w:t>T2-PO-144</w:t>
            </w:r>
          </w:p>
        </w:tc>
        <w:tc>
          <w:tcPr>
            <w:tcW w:type="dxa" w:w="6552"/>
            <w:vAlign w:val="center"/>
            <w:tcMar>
              <w:top w:w="100" w:type="dxa"/>
              <w:start w:w="120" w:type="dxa"/>
              <w:bottom w:w="100" w:type="dxa"/>
              <w:end w:w="120" w:type="dxa"/>
            </w:tcMar>
          </w:tcPr>
          <w:p>
            <w:r>
              <w:rPr>
                <w:sz w:val="17"/>
              </w:rPr>
              <w:t>independent domain run</w:t>
            </w:r>
          </w:p>
        </w:tc>
        <w:tc>
          <w:tcPr>
            <w:tcW w:type="dxa" w:w="1800"/>
            <w:vAlign w:val="center"/>
            <w:tcMar>
              <w:top w:w="100" w:type="dxa"/>
              <w:start w:w="120" w:type="dxa"/>
              <w:bottom w:w="100" w:type="dxa"/>
              <w:end w:w="120" w:type="dxa"/>
            </w:tcMar>
          </w:tcPr>
          <w:p>
            <w:r>
              <w:rPr>
                <w:sz w:val="17"/>
              </w:rPr>
              <w:t>OPEN</w:t>
            </w:r>
          </w:p>
        </w:tc>
      </w:tr>
      <w:tr>
        <w:tc>
          <w:tcPr>
            <w:tcW w:type="dxa" w:w="1656"/>
            <w:vAlign w:val="center"/>
            <w:tcMar>
              <w:top w:w="100" w:type="dxa"/>
              <w:start w:w="120" w:type="dxa"/>
              <w:bottom w:w="100" w:type="dxa"/>
              <w:end w:w="120" w:type="dxa"/>
            </w:tcMar>
            <w:shd w:fill="EAF1F8"/>
          </w:tcPr>
          <w:p>
            <w:r>
              <w:rPr>
                <w:sz w:val="17"/>
              </w:rPr>
              <w:t>T2-PO-145</w:t>
            </w:r>
          </w:p>
        </w:tc>
        <w:tc>
          <w:tcPr>
            <w:tcW w:type="dxa" w:w="6552"/>
            <w:vAlign w:val="center"/>
            <w:tcMar>
              <w:top w:w="100" w:type="dxa"/>
              <w:start w:w="120" w:type="dxa"/>
              <w:bottom w:w="100" w:type="dxa"/>
              <w:end w:w="120" w:type="dxa"/>
            </w:tcMar>
            <w:shd w:fill="EAF1F8"/>
          </w:tcPr>
          <w:p>
            <w:r>
              <w:rPr>
                <w:sz w:val="17"/>
              </w:rPr>
              <w:t>physical reduction</w:t>
            </w:r>
          </w:p>
        </w:tc>
        <w:tc>
          <w:tcPr>
            <w:tcW w:type="dxa" w:w="1800"/>
            <w:vAlign w:val="center"/>
            <w:tcMar>
              <w:top w:w="100" w:type="dxa"/>
              <w:start w:w="120" w:type="dxa"/>
              <w:bottom w:w="100" w:type="dxa"/>
              <w:end w:w="120" w:type="dxa"/>
            </w:tcMar>
            <w:shd w:fill="EAF1F8"/>
          </w:tcPr>
          <w:p>
            <w:r>
              <w:rPr>
                <w:sz w:val="17"/>
              </w:rPr>
              <w:t>OPEN / Volume III</w:t>
            </w:r>
          </w:p>
        </w:tc>
      </w:tr>
    </w:tbl>
    <w:p/>
    <w:p>
      <w:pPr>
        <w:pStyle w:val="Heading1"/>
        <w:keepNext/>
      </w:pPr>
      <w:r>
        <w:t>130. Prior art и граница авторского вклада</w:t>
      </w:r>
    </w:p>
    <w:p>
      <w:r>
        <w:t>Классический слой включает проективизацию векторных пространств, Grassmannian/orbit-type stratifications, projective metrics, конусы, descent и стратифицированные пространства. Эти конструкции не заявляются как новые.</w:t>
      </w:r>
    </w:p>
    <w:p>
      <w:r>
        <w:t>[V0.11-1] Курпишев И. Б. Реперно-проективная архитектура формульных цепочек: PILOT-01. Разделы 5-9: vector obstruction carrier, projectivization и Fano ontological barrier.</w:t>
      </w:r>
    </w:p>
    <w:p>
      <w:r>
        <w:t>[V0.11-2] Hartshorne, R. Algebraic Geometry. Chapter I, projective varieties.</w:t>
      </w:r>
    </w:p>
    <w:p>
      <w:r>
        <w:t>[V0.11-3] Goresky, M.; MacPherson, R. Stratified Morse Theory. Springer, 1988.</w:t>
      </w:r>
    </w:p>
    <w:p>
      <w:r>
        <w:t>[V0.11-4] Whitney, H. Tangents to an analytic variety. Annals of Mathematics 81 (1965).</w:t>
      </w:r>
    </w:p>
    <w:p>
      <w:r>
        <w:t>[V0.11-5] Duistermaat, J. J.; Kolk, J. A. C. Lie Groups. Orbit-type decompositions.</w:t>
      </w:r>
    </w:p>
    <w:p>
      <w:r>
        <w:t>[V0.11-6] Том I v197 RU; Том II T2-RP-v0.1-v0.10.</w:t>
      </w:r>
    </w:p>
    <w:p>
      <w:r>
        <w:t>Граница новизны. Авторская линия Курпишева связывает внутренний obstruction carrier NAPG, D/Dom-дисциплину, Evidence-D, Reper-λ-авторизацию, Fano globalization firewall, projective information-loss ledger и отрицательный предсказательный вывод в едином вычислимом контуре KLT-RBD. Общие теоремы классической проективной и стратификационной геометрии атрибутируются prior art.</w:t>
      </w:r>
    </w:p>
    <w:p>
      <w:pPr>
        <w:pStyle w:val="Heading1"/>
        <w:keepNext/>
      </w:pPr>
      <w:r>
        <w:t>131. Итог главы и контрольная точка T2-RP-v0.11</w:t>
      </w:r>
    </w:p>
    <w:p>
      <w:pPr>
        <w:pStyle w:val="Quote"/>
        <w:jc w:val="center"/>
      </w:pPr>
      <w:r>
        <w:rPr>
          <w:rFonts w:ascii="Cambria Math" w:hAnsi="Cambria Math"/>
          <w:sz w:val="22"/>
        </w:rPr>
        <w:t>truth_layer_promotion=0; checkpoint=T2-RP-v0.11; next=T2-RP-v0.12.</w:t>
      </w:r>
      <w:r>
        <w:t xml:space="preserve">    (14.22)</w:t>
      </w:r>
    </w:p>
    <w:p>
      <w:r>
        <w:t>Глава 14 построила строгую геометрию носителей препятствий и показала предел projectivization: она сохраняет направление ненулевого класса, но не сохраняет нуль, масштаб, знак, происхождение, lift и domain. Предсказательный метод получил projective transition horizon и отрицательную теорему постоянства типа вне горизонта.</w:t>
      </w:r>
    </w:p>
    <w:p>
      <w:pPr>
        <w:pStyle w:val="Lead"/>
      </w:pPr>
      <w:r>
        <w:t>Следующая сборка tom2_v0_12 развивает каноническую главу 15: Hodge decomposition, Laplace-type operators, ellipticity, граничные условия, Fredholm sectors и аналитические оценки препятствий без автоматического переноса конечномерных результатов.</w:t>
      </w:r>
    </w:p>
    <w:p>
      <w:pPr>
        <w:pStyle w:val="Small"/>
      </w:pPr>
      <w:r>
        <w:t>checkpoint=T2-RP-v0.11; source=T2-RP-v0.10; truth_layer_promotion=0; next=T2-RP-v0.12.</w:t>
      </w:r>
    </w:p>
    <w:p>
      <w:pPr>
        <w:pStyle w:val="Heading1"/>
        <w:keepNext/>
      </w:pPr>
      <w:r>
        <w:t>132. Глава 15. Hodge-разложение и аналитический слой NAPG</w:t>
      </w:r>
    </w:p>
    <w:tbl>
      <w:tblPr>
        <w:tblW w:type="auto" w:w="0"/>
        <w:jc w:val="center"/>
        <w:tblLayout w:type="fixed"/>
        <w:tblLook w:firstColumn="1" w:firstRow="1" w:lastColumn="0" w:lastRow="0" w:noHBand="0" w:noVBand="1" w:val="04A0"/>
      </w:tblPr>
      <w:tblGrid>
        <w:gridCol w:w="4876"/>
        <w:gridCol w:w="4876"/>
      </w:tblGrid>
      <w:tr>
        <w:tc>
          <w:tcPr>
            <w:tcW w:type="dxa" w:w="2268"/>
            <w:shd w:fill="17365D"/>
            <w:vAlign w:val="center"/>
            <w:tcMar>
              <w:top w:w="120" w:type="dxa"/>
              <w:start w:w="120" w:type="dxa"/>
              <w:bottom w:w="120" w:type="dxa"/>
              <w:end w:w="120" w:type="dxa"/>
            </w:tcMar>
          </w:tcPr>
          <w:p>
            <w:r>
              <w:rPr>
                <w:rFonts w:ascii="Liberation Sans" w:hAnsi="Liberation Sans"/>
                <w:b/>
                <w:color w:val="FFFFFF"/>
                <w:sz w:val="20"/>
              </w:rPr>
              <w:t>ОНТОЛОГИЯ</w:t>
            </w:r>
          </w:p>
        </w:tc>
        <w:tc>
          <w:tcPr>
            <w:tcW w:type="dxa" w:w="7030"/>
            <w:shd w:fill="EAF0F7"/>
            <w:vAlign w:val="center"/>
            <w:tcMar>
              <w:top w:w="120" w:type="dxa"/>
              <w:start w:w="120" w:type="dxa"/>
              <w:bottom w:w="120" w:type="dxa"/>
              <w:end w:w="120" w:type="dxa"/>
            </w:tcMar>
          </w:tcPr>
          <w:p>
            <w:r>
              <w:rPr>
                <w:rFonts w:ascii="Liberation Serif" w:hAnsi="Liberation Serif"/>
                <w:sz w:val="18"/>
              </w:rPr>
              <w:t>Аналитический объект существует не как формула Δ=dδ+δd, а как оператор вместе с Hilbert-пространствами, плотным доменом, замыканием, сопряжённым оператором и граничными либо интерфейсными условиями. Потеря любого элемента меняет сам объект.</w:t>
            </w:r>
          </w:p>
        </w:tc>
      </w:tr>
      <w:tr>
        <w:tc>
          <w:tcPr>
            <w:tcW w:type="dxa" w:w="2268"/>
            <w:shd w:fill="17365D"/>
            <w:vAlign w:val="center"/>
            <w:tcMar>
              <w:top w:w="120" w:type="dxa"/>
              <w:start w:w="120" w:type="dxa"/>
              <w:bottom w:w="120" w:type="dxa"/>
              <w:end w:w="120" w:type="dxa"/>
            </w:tcMar>
          </w:tcPr>
          <w:p>
            <w:r>
              <w:rPr>
                <w:rFonts w:ascii="Liberation Sans" w:hAnsi="Liberation Sans"/>
                <w:b/>
                <w:color w:val="FFFFFF"/>
                <w:sz w:val="20"/>
              </w:rPr>
              <w:t>ГНОСЕОЛОГИЯ</w:t>
            </w:r>
          </w:p>
        </w:tc>
        <w:tc>
          <w:tcPr>
            <w:tcW w:type="dxa" w:w="7030"/>
            <w:shd w:fill="EAF0F7"/>
            <w:vAlign w:val="center"/>
            <w:tcMar>
              <w:top w:w="120" w:type="dxa"/>
              <w:start w:w="120" w:type="dxa"/>
              <w:bottom w:w="120" w:type="dxa"/>
              <w:end w:w="120" w:type="dxa"/>
            </w:tcMar>
          </w:tcPr>
          <w:p>
            <w:r>
              <w:rPr>
                <w:rFonts w:ascii="Liberation Serif" w:hAnsi="Liberation Serif"/>
                <w:sz w:val="18"/>
              </w:rPr>
              <w:t>Hodge-представитель даёт канонический способ читать когомологический класс только после доказательства замкнутости образов или Fredholm-реализации. До этого гармоническая форма может представлять лишь редуцированную когомологию, а не удобную иллюстрацию полной истины.</w:t>
            </w:r>
          </w:p>
        </w:tc>
      </w:tr>
      <w:tr>
        <w:tc>
          <w:tcPr>
            <w:tcW w:type="dxa" w:w="2268"/>
            <w:shd w:fill="17365D"/>
            <w:vAlign w:val="center"/>
            <w:tcMar>
              <w:top w:w="120" w:type="dxa"/>
              <w:start w:w="120" w:type="dxa"/>
              <w:bottom w:w="120" w:type="dxa"/>
              <w:end w:w="120" w:type="dxa"/>
            </w:tcMar>
          </w:tcPr>
          <w:p>
            <w:r>
              <w:rPr>
                <w:rFonts w:ascii="Liberation Sans" w:hAnsi="Liberation Sans"/>
                <w:b/>
                <w:color w:val="FFFFFF"/>
                <w:sz w:val="20"/>
              </w:rPr>
              <w:t>ФЕНОМЕНОЛОГИЯ</w:t>
            </w:r>
          </w:p>
        </w:tc>
        <w:tc>
          <w:tcPr>
            <w:tcW w:type="dxa" w:w="7030"/>
            <w:shd w:fill="EAF0F7"/>
            <w:vAlign w:val="center"/>
            <w:tcMar>
              <w:top w:w="120" w:type="dxa"/>
              <w:start w:w="120" w:type="dxa"/>
              <w:bottom w:w="120" w:type="dxa"/>
              <w:end w:w="120" w:type="dxa"/>
            </w:tcMar>
          </w:tcPr>
          <w:p>
            <w:r>
              <w:rPr>
                <w:rFonts w:ascii="Liberation Serif" w:hAnsi="Liberation Serif"/>
                <w:sz w:val="18"/>
              </w:rPr>
              <w:t>Наблюдаемая устойчивость проявляется как спектральный зазор: малые возмущения не меняют размерность гармонического сектора, пока ноль отделён от остального спектра. Закрытие зазора воспринимается как кандидат структурного перехода, а не как уже наступившее событие.</w:t>
            </w:r>
          </w:p>
        </w:tc>
      </w:tr>
      <w:tr>
        <w:tc>
          <w:tcPr>
            <w:tcW w:type="dxa" w:w="2268"/>
            <w:shd w:fill="A57516"/>
            <w:vAlign w:val="center"/>
            <w:tcMar>
              <w:top w:w="120" w:type="dxa"/>
              <w:start w:w="120" w:type="dxa"/>
              <w:bottom w:w="120" w:type="dxa"/>
              <w:end w:w="120" w:type="dxa"/>
            </w:tcMar>
          </w:tcPr>
          <w:p>
            <w:r>
              <w:rPr>
                <w:rFonts w:ascii="Liberation Sans" w:hAnsi="Liberation Sans"/>
                <w:b/>
                <w:color w:val="FFFFFF"/>
                <w:sz w:val="20"/>
              </w:rPr>
              <w:t>ГРАНИЦА</w:t>
            </w:r>
          </w:p>
        </w:tc>
        <w:tc>
          <w:tcPr>
            <w:tcW w:type="dxa" w:w="7030"/>
            <w:shd w:fill="F7EDD8"/>
            <w:vAlign w:val="center"/>
            <w:tcMar>
              <w:top w:w="120" w:type="dxa"/>
              <w:start w:w="120" w:type="dxa"/>
              <w:bottom w:w="120" w:type="dxa"/>
              <w:end w:w="120" w:type="dxa"/>
            </w:tcMar>
          </w:tcPr>
          <w:p>
            <w:r>
              <w:rPr>
                <w:rFonts w:ascii="Liberation Serif" w:hAnsi="Liberation Serif"/>
                <w:sz w:val="18"/>
              </w:rPr>
              <w:t>Ни d²=0, ни формальная симметрия, ни компактность отдельных страт сами по себе не дают эллиптичность, самосопряжённость, Fredholm-свойство или Hodge-разложение. Физический смысл не выводится из спектра без отдельного редукционного моста.</w:t>
            </w:r>
          </w:p>
        </w:tc>
      </w:tr>
    </w:tbl>
    <w:p>
      <w:pPr/>
      <w:r>
        <w:t>Цель главы. Построить аналитический слой, в котором внутренние и внешние obstruction classes получают устойчивые гармонические представители, а предсказательная процедура различает три ситуации: устойчивое ненулевое препятствие, аналитический кандидат его исчезновения и отсутствие права на вывод из-за незакрытого домена оператора.</w:t>
      </w:r>
    </w:p>
    <w:p>
      <w:pPr>
        <w:pStyle w:val="Heading2"/>
        <w:keepNext/>
      </w:pPr>
      <w:r>
        <w:t>132.1. Шесть аналитических уровней</w:t>
      </w: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trPr>
        <w:tc>
          <w:tcPr>
            <w:tcW w:type="dxa" w:w="680"/>
            <w:vAlign w:val="center"/>
            <w:tcMar>
              <w:top w:w="90" w:type="dxa"/>
              <w:start w:w="100" w:type="dxa"/>
              <w:bottom w:w="90" w:type="dxa"/>
              <w:end w:w="100" w:type="dxa"/>
            </w:tcMar>
            <w:shd w:fill="17365D"/>
          </w:tcPr>
          <w:p>
            <w:pPr>
              <w:spacing w:after="0" w:line="240" w:lineRule="auto"/>
            </w:pPr>
            <w:r>
              <w:rPr>
                <w:rFonts w:ascii="Liberation Sans" w:hAnsi="Liberation Sans"/>
                <w:b/>
                <w:color w:val="FFFFFF"/>
                <w:sz w:val="16"/>
              </w:rPr>
              <w:t>Уровень</w:t>
            </w:r>
          </w:p>
        </w:tc>
        <w:tc>
          <w:tcPr>
            <w:tcW w:type="dxa" w:w="1871"/>
            <w:vAlign w:val="center"/>
            <w:tcMar>
              <w:top w:w="90" w:type="dxa"/>
              <w:start w:w="100" w:type="dxa"/>
              <w:bottom w:w="90" w:type="dxa"/>
              <w:end w:w="100" w:type="dxa"/>
            </w:tcMar>
            <w:shd w:fill="17365D"/>
          </w:tcPr>
          <w:p>
            <w:pPr>
              <w:spacing w:after="0" w:line="240" w:lineRule="auto"/>
            </w:pPr>
            <w:r>
              <w:rPr>
                <w:rFonts w:ascii="Liberation Sans" w:hAnsi="Liberation Sans"/>
                <w:b/>
                <w:color w:val="FFFFFF"/>
                <w:sz w:val="16"/>
              </w:rPr>
              <w:t>Объект</w:t>
            </w:r>
          </w:p>
        </w:tc>
        <w:tc>
          <w:tcPr>
            <w:tcW w:type="dxa" w:w="3798"/>
            <w:vAlign w:val="center"/>
            <w:tcMar>
              <w:top w:w="90" w:type="dxa"/>
              <w:start w:w="100" w:type="dxa"/>
              <w:bottom w:w="90" w:type="dxa"/>
              <w:end w:w="100" w:type="dxa"/>
            </w:tcMar>
            <w:shd w:fill="17365D"/>
          </w:tcPr>
          <w:p>
            <w:pPr>
              <w:spacing w:after="0" w:line="240" w:lineRule="auto"/>
            </w:pPr>
            <w:r>
              <w:rPr>
                <w:rFonts w:ascii="Liberation Sans" w:hAnsi="Liberation Sans"/>
                <w:b/>
                <w:color w:val="FFFFFF"/>
                <w:sz w:val="16"/>
              </w:rPr>
              <w:t>Минимальный сертификат</w:t>
            </w:r>
          </w:p>
        </w:tc>
        <w:tc>
          <w:tcPr>
            <w:tcW w:type="dxa" w:w="2835"/>
            <w:vAlign w:val="center"/>
            <w:tcMar>
              <w:top w:w="90" w:type="dxa"/>
              <w:start w:w="100" w:type="dxa"/>
              <w:bottom w:w="90" w:type="dxa"/>
              <w:end w:w="100" w:type="dxa"/>
            </w:tcMar>
            <w:shd w:fill="17365D"/>
          </w:tcPr>
          <w:p>
            <w:pPr>
              <w:spacing w:after="0" w:line="240" w:lineRule="auto"/>
            </w:pPr>
            <w:r>
              <w:rPr>
                <w:rFonts w:ascii="Liberation Sans" w:hAnsi="Liberation Sans"/>
                <w:b/>
                <w:color w:val="FFFFFF"/>
                <w:sz w:val="16"/>
              </w:rPr>
              <w:t>Разрешённый вывод</w:t>
            </w:r>
          </w:p>
        </w:tc>
      </w:tr>
      <w:tr>
        <w:tc>
          <w:tcPr>
            <w:tcW w:type="dxa" w:w="680"/>
            <w:vAlign w:val="center"/>
            <w:tcMar>
              <w:top w:w="90" w:type="dxa"/>
              <w:start w:w="100" w:type="dxa"/>
              <w:bottom w:w="90" w:type="dxa"/>
              <w:end w:w="100" w:type="dxa"/>
            </w:tcMar>
          </w:tcPr>
          <w:p>
            <w:pPr>
              <w:spacing w:after="0" w:line="240" w:lineRule="auto"/>
            </w:pPr>
            <w:r>
              <w:rPr>
                <w:rFonts w:ascii="Liberation Sans" w:hAnsi="Liberation Sans"/>
                <w:sz w:val="16"/>
              </w:rPr>
              <w:t>A0</w:t>
            </w:r>
          </w:p>
        </w:tc>
        <w:tc>
          <w:tcPr>
            <w:tcW w:type="dxa" w:w="1871"/>
            <w:vAlign w:val="center"/>
            <w:tcMar>
              <w:top w:w="90" w:type="dxa"/>
              <w:start w:w="100" w:type="dxa"/>
              <w:bottom w:w="90" w:type="dxa"/>
              <w:end w:w="100" w:type="dxa"/>
            </w:tcMar>
          </w:tcPr>
          <w:p>
            <w:pPr>
              <w:spacing w:after="0" w:line="240" w:lineRule="auto"/>
            </w:pPr>
            <w:r>
              <w:rPr>
                <w:rFonts w:ascii="Liberation Sans" w:hAnsi="Liberation Sans"/>
                <w:sz w:val="16"/>
              </w:rPr>
              <w:t>precomplex</w:t>
            </w:r>
          </w:p>
        </w:tc>
        <w:tc>
          <w:tcPr>
            <w:tcW w:type="dxa" w:w="3798"/>
            <w:vAlign w:val="center"/>
            <w:tcMar>
              <w:top w:w="90" w:type="dxa"/>
              <w:start w:w="100" w:type="dxa"/>
              <w:bottom w:w="90" w:type="dxa"/>
              <w:end w:w="100" w:type="dxa"/>
            </w:tcMar>
          </w:tcPr>
          <w:p>
            <w:pPr>
              <w:spacing w:after="0" w:line="240" w:lineRule="auto"/>
            </w:pPr>
            <w:r>
              <w:rPr>
                <w:rFonts w:ascii="Liberation Sans" w:hAnsi="Liberation Sans"/>
                <w:sz w:val="16"/>
              </w:rPr>
              <w:t>заданы пространства и частичные d_k</w:t>
            </w:r>
          </w:p>
        </w:tc>
        <w:tc>
          <w:tcPr>
            <w:tcW w:type="dxa" w:w="2835"/>
            <w:vAlign w:val="center"/>
            <w:tcMar>
              <w:top w:w="90" w:type="dxa"/>
              <w:start w:w="100" w:type="dxa"/>
              <w:bottom w:w="90" w:type="dxa"/>
              <w:end w:w="100" w:type="dxa"/>
            </w:tcMar>
          </w:tcPr>
          <w:p>
            <w:pPr>
              <w:spacing w:after="0" w:line="240" w:lineRule="auto"/>
            </w:pPr>
            <w:r>
              <w:rPr>
                <w:rFonts w:ascii="Liberation Sans" w:hAnsi="Liberation Sans"/>
                <w:sz w:val="16"/>
              </w:rPr>
              <w:t>когомология запрещена</w:t>
            </w:r>
          </w:p>
        </w:tc>
      </w:tr>
      <w:tr>
        <w:tc>
          <w:tcPr>
            <w:tcW w:type="dxa" w:w="680"/>
            <w:vAlign w:val="center"/>
            <w:tcMar>
              <w:top w:w="90" w:type="dxa"/>
              <w:start w:w="100" w:type="dxa"/>
              <w:bottom w:w="90" w:type="dxa"/>
              <w:end w:w="100" w:type="dxa"/>
            </w:tcMar>
          </w:tcPr>
          <w:p>
            <w:pPr>
              <w:spacing w:after="0" w:line="240" w:lineRule="auto"/>
            </w:pPr>
            <w:r>
              <w:rPr>
                <w:rFonts w:ascii="Liberation Sans" w:hAnsi="Liberation Sans"/>
                <w:sz w:val="16"/>
              </w:rPr>
              <w:t>A1</w:t>
            </w:r>
          </w:p>
        </w:tc>
        <w:tc>
          <w:tcPr>
            <w:tcW w:type="dxa" w:w="1871"/>
            <w:vAlign w:val="center"/>
            <w:tcMar>
              <w:top w:w="90" w:type="dxa"/>
              <w:start w:w="100" w:type="dxa"/>
              <w:bottom w:w="90" w:type="dxa"/>
              <w:end w:w="100" w:type="dxa"/>
            </w:tcMar>
          </w:tcPr>
          <w:p>
            <w:pPr>
              <w:spacing w:after="0" w:line="240" w:lineRule="auto"/>
            </w:pPr>
            <w:r>
              <w:rPr>
                <w:rFonts w:ascii="Liberation Sans" w:hAnsi="Liberation Sans"/>
                <w:sz w:val="16"/>
              </w:rPr>
              <w:t>Hilbert-комплекс</w:t>
            </w:r>
          </w:p>
        </w:tc>
        <w:tc>
          <w:tcPr>
            <w:tcW w:type="dxa" w:w="3798"/>
            <w:vAlign w:val="center"/>
            <w:tcMar>
              <w:top w:w="90" w:type="dxa"/>
              <w:start w:w="100" w:type="dxa"/>
              <w:bottom w:w="90" w:type="dxa"/>
              <w:end w:w="100" w:type="dxa"/>
            </w:tcMar>
          </w:tcPr>
          <w:p>
            <w:pPr>
              <w:spacing w:after="0" w:line="240" w:lineRule="auto"/>
            </w:pPr>
            <w:r>
              <w:rPr>
                <w:rFonts w:ascii="Liberation Sans" w:hAnsi="Liberation Sans"/>
                <w:sz w:val="16"/>
              </w:rPr>
              <w:t>d_k замкнуты, плотно определены, d_{k+1}d_k=0</w:t>
            </w:r>
          </w:p>
        </w:tc>
        <w:tc>
          <w:tcPr>
            <w:tcW w:type="dxa" w:w="2835"/>
            <w:vAlign w:val="center"/>
            <w:tcMar>
              <w:top w:w="90" w:type="dxa"/>
              <w:start w:w="100" w:type="dxa"/>
              <w:bottom w:w="90" w:type="dxa"/>
              <w:end w:w="100" w:type="dxa"/>
            </w:tcMar>
          </w:tcPr>
          <w:p>
            <w:pPr>
              <w:spacing w:after="0" w:line="240" w:lineRule="auto"/>
            </w:pPr>
            <w:r>
              <w:rPr>
                <w:rFonts w:ascii="Liberation Sans" w:hAnsi="Liberation Sans"/>
                <w:sz w:val="16"/>
              </w:rPr>
              <w:t>редуцированная Hodge-декомпозиция</w:t>
            </w:r>
          </w:p>
        </w:tc>
      </w:tr>
      <w:tr>
        <w:tc>
          <w:tcPr>
            <w:tcW w:type="dxa" w:w="680"/>
            <w:vAlign w:val="center"/>
            <w:tcMar>
              <w:top w:w="90" w:type="dxa"/>
              <w:start w:w="100" w:type="dxa"/>
              <w:bottom w:w="90" w:type="dxa"/>
              <w:end w:w="100" w:type="dxa"/>
            </w:tcMar>
          </w:tcPr>
          <w:p>
            <w:pPr>
              <w:spacing w:after="0" w:line="240" w:lineRule="auto"/>
            </w:pPr>
            <w:r>
              <w:rPr>
                <w:rFonts w:ascii="Liberation Sans" w:hAnsi="Liberation Sans"/>
                <w:sz w:val="16"/>
              </w:rPr>
              <w:t>A2</w:t>
            </w:r>
          </w:p>
        </w:tc>
        <w:tc>
          <w:tcPr>
            <w:tcW w:type="dxa" w:w="1871"/>
            <w:vAlign w:val="center"/>
            <w:tcMar>
              <w:top w:w="90" w:type="dxa"/>
              <w:start w:w="100" w:type="dxa"/>
              <w:bottom w:w="90" w:type="dxa"/>
              <w:end w:w="100" w:type="dxa"/>
            </w:tcMar>
          </w:tcPr>
          <w:p>
            <w:pPr>
              <w:spacing w:after="0" w:line="240" w:lineRule="auto"/>
            </w:pPr>
            <w:r>
              <w:rPr>
                <w:rFonts w:ascii="Liberation Sans" w:hAnsi="Liberation Sans"/>
                <w:sz w:val="16"/>
              </w:rPr>
              <w:t>closed-range sector</w:t>
            </w:r>
          </w:p>
        </w:tc>
        <w:tc>
          <w:tcPr>
            <w:tcW w:type="dxa" w:w="3798"/>
            <w:vAlign w:val="center"/>
            <w:tcMar>
              <w:top w:w="90" w:type="dxa"/>
              <w:start w:w="100" w:type="dxa"/>
              <w:bottom w:w="90" w:type="dxa"/>
              <w:end w:w="100" w:type="dxa"/>
            </w:tcMar>
          </w:tcPr>
          <w:p>
            <w:pPr>
              <w:spacing w:after="0" w:line="240" w:lineRule="auto"/>
            </w:pPr>
            <w:r>
              <w:rPr>
                <w:rFonts w:ascii="Liberation Sans" w:hAnsi="Liberation Sans"/>
                <w:sz w:val="16"/>
              </w:rPr>
              <w:t>ran d_k и ran d_k* замкнуты</w:t>
            </w:r>
          </w:p>
        </w:tc>
        <w:tc>
          <w:tcPr>
            <w:tcW w:type="dxa" w:w="2835"/>
            <w:vAlign w:val="center"/>
            <w:tcMar>
              <w:top w:w="90" w:type="dxa"/>
              <w:start w:w="100" w:type="dxa"/>
              <w:bottom w:w="90" w:type="dxa"/>
              <w:end w:w="100" w:type="dxa"/>
            </w:tcMar>
          </w:tcPr>
          <w:p>
            <w:pPr>
              <w:spacing w:after="0" w:line="240" w:lineRule="auto"/>
            </w:pPr>
            <w:r>
              <w:rPr>
                <w:rFonts w:ascii="Liberation Sans" w:hAnsi="Liberation Sans"/>
                <w:sz w:val="16"/>
              </w:rPr>
              <w:t>обычная когомология ≅ harmonic space</w:t>
            </w:r>
          </w:p>
        </w:tc>
      </w:tr>
      <w:tr>
        <w:tc>
          <w:tcPr>
            <w:tcW w:type="dxa" w:w="680"/>
            <w:vAlign w:val="center"/>
            <w:tcMar>
              <w:top w:w="90" w:type="dxa"/>
              <w:start w:w="100" w:type="dxa"/>
              <w:bottom w:w="90" w:type="dxa"/>
              <w:end w:w="100" w:type="dxa"/>
            </w:tcMar>
          </w:tcPr>
          <w:p>
            <w:pPr>
              <w:spacing w:after="0" w:line="240" w:lineRule="auto"/>
            </w:pPr>
            <w:r>
              <w:rPr>
                <w:rFonts w:ascii="Liberation Sans" w:hAnsi="Liberation Sans"/>
                <w:sz w:val="16"/>
              </w:rPr>
              <w:t>A3</w:t>
            </w:r>
          </w:p>
        </w:tc>
        <w:tc>
          <w:tcPr>
            <w:tcW w:type="dxa" w:w="1871"/>
            <w:vAlign w:val="center"/>
            <w:tcMar>
              <w:top w:w="90" w:type="dxa"/>
              <w:start w:w="100" w:type="dxa"/>
              <w:bottom w:w="90" w:type="dxa"/>
              <w:end w:w="100" w:type="dxa"/>
            </w:tcMar>
          </w:tcPr>
          <w:p>
            <w:pPr>
              <w:spacing w:after="0" w:line="240" w:lineRule="auto"/>
            </w:pPr>
            <w:r>
              <w:rPr>
                <w:rFonts w:ascii="Liberation Sans" w:hAnsi="Liberation Sans"/>
                <w:sz w:val="16"/>
              </w:rPr>
              <w:t>elliptic realization</w:t>
            </w:r>
          </w:p>
        </w:tc>
        <w:tc>
          <w:tcPr>
            <w:tcW w:type="dxa" w:w="3798"/>
            <w:vAlign w:val="center"/>
            <w:tcMar>
              <w:top w:w="90" w:type="dxa"/>
              <w:start w:w="100" w:type="dxa"/>
              <w:bottom w:w="90" w:type="dxa"/>
              <w:end w:w="100" w:type="dxa"/>
            </w:tcMar>
          </w:tcPr>
          <w:p>
            <w:pPr>
              <w:spacing w:after="0" w:line="240" w:lineRule="auto"/>
            </w:pPr>
            <w:r>
              <w:rPr>
                <w:rFonts w:ascii="Liberation Sans" w:hAnsi="Liberation Sans"/>
                <w:sz w:val="16"/>
              </w:rPr>
              <w:t>точна symbol-sequence при ξ≠0</w:t>
            </w:r>
          </w:p>
        </w:tc>
        <w:tc>
          <w:tcPr>
            <w:tcW w:type="dxa" w:w="2835"/>
            <w:vAlign w:val="center"/>
            <w:tcMar>
              <w:top w:w="90" w:type="dxa"/>
              <w:start w:w="100" w:type="dxa"/>
              <w:bottom w:w="90" w:type="dxa"/>
              <w:end w:w="100" w:type="dxa"/>
            </w:tcMar>
          </w:tcPr>
          <w:p>
            <w:pPr>
              <w:spacing w:after="0" w:line="240" w:lineRule="auto"/>
            </w:pPr>
            <w:r>
              <w:rPr>
                <w:rFonts w:ascii="Liberation Sans" w:hAnsi="Liberation Sans"/>
                <w:sz w:val="16"/>
              </w:rPr>
              <w:t>регулярность и конечномерность на компактной базе</w:t>
            </w:r>
          </w:p>
        </w:tc>
      </w:tr>
      <w:tr>
        <w:tc>
          <w:tcPr>
            <w:tcW w:type="dxa" w:w="680"/>
            <w:vAlign w:val="center"/>
            <w:tcMar>
              <w:top w:w="90" w:type="dxa"/>
              <w:start w:w="100" w:type="dxa"/>
              <w:bottom w:w="90" w:type="dxa"/>
              <w:end w:w="100" w:type="dxa"/>
            </w:tcMar>
          </w:tcPr>
          <w:p>
            <w:pPr>
              <w:spacing w:after="0" w:line="240" w:lineRule="auto"/>
            </w:pPr>
            <w:r>
              <w:rPr>
                <w:rFonts w:ascii="Liberation Sans" w:hAnsi="Liberation Sans"/>
                <w:sz w:val="16"/>
              </w:rPr>
              <w:t>A4</w:t>
            </w:r>
          </w:p>
        </w:tc>
        <w:tc>
          <w:tcPr>
            <w:tcW w:type="dxa" w:w="1871"/>
            <w:vAlign w:val="center"/>
            <w:tcMar>
              <w:top w:w="90" w:type="dxa"/>
              <w:start w:w="100" w:type="dxa"/>
              <w:bottom w:w="90" w:type="dxa"/>
              <w:end w:w="100" w:type="dxa"/>
            </w:tcMar>
          </w:tcPr>
          <w:p>
            <w:pPr>
              <w:spacing w:after="0" w:line="240" w:lineRule="auto"/>
            </w:pPr>
            <w:r>
              <w:rPr>
                <w:rFonts w:ascii="Liberation Sans" w:hAnsi="Liberation Sans"/>
                <w:sz w:val="16"/>
              </w:rPr>
              <w:t>boundary/Fredholm sector</w:t>
            </w:r>
          </w:p>
        </w:tc>
        <w:tc>
          <w:tcPr>
            <w:tcW w:type="dxa" w:w="3798"/>
            <w:vAlign w:val="center"/>
            <w:tcMar>
              <w:top w:w="90" w:type="dxa"/>
              <w:start w:w="100" w:type="dxa"/>
              <w:bottom w:w="90" w:type="dxa"/>
              <w:end w:w="100" w:type="dxa"/>
            </w:tcMar>
          </w:tcPr>
          <w:p>
            <w:pPr>
              <w:spacing w:after="0" w:line="240" w:lineRule="auto"/>
            </w:pPr>
            <w:r>
              <w:rPr>
                <w:rFonts w:ascii="Liberation Sans" w:hAnsi="Liberation Sans"/>
                <w:sz w:val="16"/>
              </w:rPr>
              <w:t>эллиптические BC, closed range, finite kernel/cokernel</w:t>
            </w:r>
          </w:p>
        </w:tc>
        <w:tc>
          <w:tcPr>
            <w:tcW w:type="dxa" w:w="2835"/>
            <w:vAlign w:val="center"/>
            <w:tcMar>
              <w:top w:w="90" w:type="dxa"/>
              <w:start w:w="100" w:type="dxa"/>
              <w:bottom w:w="90" w:type="dxa"/>
              <w:end w:w="100" w:type="dxa"/>
            </w:tcMar>
          </w:tcPr>
          <w:p>
            <w:pPr>
              <w:spacing w:after="0" w:line="240" w:lineRule="auto"/>
            </w:pPr>
            <w:r>
              <w:rPr>
                <w:rFonts w:ascii="Liberation Sans" w:hAnsi="Liberation Sans"/>
                <w:sz w:val="16"/>
              </w:rPr>
              <w:t>индекс, Green operator, спектральный контроль</w:t>
            </w:r>
          </w:p>
        </w:tc>
      </w:tr>
      <w:tr>
        <w:tc>
          <w:tcPr>
            <w:tcW w:type="dxa" w:w="680"/>
            <w:vAlign w:val="center"/>
            <w:tcMar>
              <w:top w:w="90" w:type="dxa"/>
              <w:start w:w="100" w:type="dxa"/>
              <w:bottom w:w="90" w:type="dxa"/>
              <w:end w:w="100" w:type="dxa"/>
            </w:tcMar>
          </w:tcPr>
          <w:p>
            <w:pPr>
              <w:spacing w:after="0" w:line="240" w:lineRule="auto"/>
            </w:pPr>
            <w:r>
              <w:rPr>
                <w:rFonts w:ascii="Liberation Sans" w:hAnsi="Liberation Sans"/>
                <w:sz w:val="16"/>
              </w:rPr>
              <w:t>A5</w:t>
            </w:r>
          </w:p>
        </w:tc>
        <w:tc>
          <w:tcPr>
            <w:tcW w:type="dxa" w:w="1871"/>
            <w:vAlign w:val="center"/>
            <w:tcMar>
              <w:top w:w="90" w:type="dxa"/>
              <w:start w:w="100" w:type="dxa"/>
              <w:bottom w:w="90" w:type="dxa"/>
              <w:end w:w="100" w:type="dxa"/>
            </w:tcMar>
          </w:tcPr>
          <w:p>
            <w:pPr>
              <w:spacing w:after="0" w:line="240" w:lineRule="auto"/>
            </w:pPr>
            <w:r>
              <w:rPr>
                <w:rFonts w:ascii="Liberation Sans" w:hAnsi="Liberation Sans"/>
                <w:sz w:val="16"/>
              </w:rPr>
              <w:t>predictive analytic sector</w:t>
            </w:r>
          </w:p>
        </w:tc>
        <w:tc>
          <w:tcPr>
            <w:tcW w:type="dxa" w:w="3798"/>
            <w:vAlign w:val="center"/>
            <w:tcMar>
              <w:top w:w="90" w:type="dxa"/>
              <w:start w:w="100" w:type="dxa"/>
              <w:bottom w:w="90" w:type="dxa"/>
              <w:end w:w="100" w:type="dxa"/>
            </w:tcMar>
          </w:tcPr>
          <w:p>
            <w:pPr>
              <w:spacing w:after="0" w:line="240" w:lineRule="auto"/>
            </w:pPr>
            <w:r>
              <w:rPr>
                <w:rFonts w:ascii="Liberation Sans" w:hAnsi="Liberation Sans"/>
                <w:sz w:val="16"/>
              </w:rPr>
              <w:t>uniform gap, D/Dom, bridge, hashes</w:t>
            </w:r>
          </w:p>
        </w:tc>
        <w:tc>
          <w:tcPr>
            <w:tcW w:type="dxa" w:w="2835"/>
            <w:vAlign w:val="center"/>
            <w:tcMar>
              <w:top w:w="90" w:type="dxa"/>
              <w:start w:w="100" w:type="dxa"/>
              <w:bottom w:w="90" w:type="dxa"/>
              <w:end w:w="100" w:type="dxa"/>
            </w:tcMar>
          </w:tcPr>
          <w:p>
            <w:pPr>
              <w:spacing w:after="0" w:line="240" w:lineRule="auto"/>
            </w:pPr>
            <w:r>
              <w:rPr>
                <w:rFonts w:ascii="Liberation Sans" w:hAnsi="Liberation Sans"/>
                <w:sz w:val="16"/>
              </w:rPr>
              <w:t>отрицательный прогноз либо candidate-transition</w:t>
            </w:r>
          </w:p>
        </w:tc>
      </w:tr>
    </w:tbl>
    <w:p>
      <w:pPr>
        <w:pStyle w:val="Heading1"/>
        <w:keepNext/>
      </w:pPr>
      <w:r>
        <w:t>133. Hilbert-комплекс NAPG</w:t>
      </w:r>
    </w:p>
    <w:p>
      <w:pPr>
        <w:pStyle w:val="Heading2"/>
        <w:keepNext/>
      </w:pPr>
      <w:r>
        <w:t>133.1. Замкнутые дифференциалы</w:t>
      </w:r>
    </w:p>
    <w:p>
      <w:pPr/>
      <w:r>
        <w:t>Определение 15.1 (Hilbert-комплекс). [CL/DEF] Hilbert-комплексом называется семейство Hilbert-пространств H^k и плотно определённых замкнутых операторов</w:t>
      </w:r>
    </w:p>
    <w:p>
      <w:pPr>
        <w:pStyle w:val="Quote"/>
        <w:spacing w:before="60" w:after="100"/>
        <w:jc w:val="center"/>
      </w:pPr>
      <w:r>
        <w:rPr>
          <w:rFonts w:ascii="Liberation Serif" w:hAnsi="Liberation Serif"/>
          <w:i w:val="0"/>
          <w:sz w:val="21"/>
        </w:rPr>
        <w:t>d_k : D(d_k) ⊂ H^k → H^{k+1},    ran d_k ⊂ ker d_{k+1}.                                  (15.1)</w:t>
      </w:r>
    </w:p>
    <w:p>
      <w:pPr/>
      <w:r>
        <w:t>В NAPG пространство H^k может быть L²-завершением внутренних форм, внешнего E-комплекса либо прямой суммы стратовых пространств. Условие ran d_k⊂ker d_{k+1} является операторной формой d²=0 и включает требование, что композиция определена на соответствующем домене.</w:t>
      </w:r>
    </w:p>
    <w:p>
      <w:pPr/>
      <w:r>
        <w:t>Определение 15.2 (цикл, граница и две когомологии). [CL/DEF]</w:t>
      </w:r>
    </w:p>
    <w:p>
      <w:pPr>
        <w:pStyle w:val="Quote"/>
        <w:spacing w:before="60" w:after="100"/>
        <w:jc w:val="center"/>
      </w:pPr>
      <w:r>
        <w:rPr>
          <w:rFonts w:ascii="Liberation Serif" w:hAnsi="Liberation Serif"/>
          <w:i w:val="0"/>
          <w:sz w:val="21"/>
        </w:rPr>
        <w:t>Z^k = ker d_k,    B^k = ran d_{k-1},    H^k = Z^k/B^k,    H̄^k = Z^k/closure(B^k).        (15.2)</w:t>
      </w:r>
    </w:p>
    <w:p>
      <w:pPr/>
      <w:r>
        <w:t>Обычная когомология может быть нехаусдорфовой, если B^k не замкнуто. Редуцированная когомология всегда факторизует по замкнутому подпространству. Поэтому аналитический слой Тома II использует H̄^k до предъявления closed-range certificate.</w:t>
      </w:r>
    </w:p>
    <w:p>
      <w:pPr/>
      <w:r>
        <w:t>Лемма 15.1 (замыкание и adjoint). [CL/THM] Для плотно определённого замкнутого d_k существует замкнутый сопряжённый оператор d_k*, а ортогональные соотношения имеют вид</w:t>
      </w:r>
    </w:p>
    <w:p>
      <w:pPr>
        <w:pStyle w:val="Quote"/>
        <w:spacing w:before="60" w:after="100"/>
        <w:jc w:val="center"/>
      </w:pPr>
      <w:r>
        <w:rPr>
          <w:rFonts w:ascii="Liberation Serif" w:hAnsi="Liberation Serif"/>
          <w:i w:val="0"/>
          <w:sz w:val="21"/>
        </w:rPr>
        <w:t>(ran d_k)⊥ = ker d_k*,    closure(ran d_k*) = (ker d_k)⊥.                               (15.3)</w:t>
      </w:r>
    </w:p>
    <w:p>
      <w:pPr/>
      <w:r>
        <w:t>Эти равенства являются функционально-аналитической основой Hodge-разложения. Они не требуют неассоциативного произведения и потому относятся к классическому слою.</w:t>
      </w:r>
    </w:p>
    <w:p>
      <w:pPr>
        <w:pStyle w:val="Heading2"/>
        <w:keepNext/>
      </w:pPr>
      <w:r>
        <w:t>133.2. Hodge-Laplacian как оператор с доменом</w:t>
      </w:r>
    </w:p>
    <w:p>
      <w:pPr/>
      <w:r>
        <w:t>Определение 15.3. [CL/DEF] В степени k вводится оператор</w:t>
      </w:r>
    </w:p>
    <w:p>
      <w:pPr>
        <w:pStyle w:val="Quote"/>
        <w:spacing w:before="60" w:after="100"/>
        <w:jc w:val="center"/>
      </w:pPr>
      <w:r>
        <w:rPr>
          <w:rFonts w:ascii="Liberation Serif" w:hAnsi="Liberation Serif"/>
          <w:i w:val="0"/>
          <w:sz w:val="21"/>
        </w:rPr>
        <w:t>Δ_k = d_{k-1} d_{k-1}* + d_k* d_k,                                                    (15.4)</w:t>
      </w:r>
    </w:p>
    <w:p>
      <w:pPr/>
      <w:r>
        <w:t>с доменом</w:t>
      </w:r>
    </w:p>
    <w:p>
      <w:pPr>
        <w:pStyle w:val="Quote"/>
        <w:spacing w:before="60" w:after="100"/>
        <w:jc w:val="center"/>
      </w:pPr>
      <w:r>
        <w:rPr>
          <w:rFonts w:ascii="Liberation Serif" w:hAnsi="Liberation Serif"/>
          <w:i w:val="0"/>
          <w:sz w:val="21"/>
        </w:rPr>
        <w:t>D(Δ_k)={u∈D(d_k)∩D(d_{k-1}*): d_ku∈D(d_k*), d_{k-1}*u∈D(d_{k-1})}.                (15.5)</w:t>
      </w:r>
    </w:p>
    <w:p>
      <w:pPr/>
      <w:r>
        <w:t>Формула (15.4) без (15.5) задаёт лишь формальное выражение. В граничных и сингулярных задачах разные домены порождают разные замкнутые, самосопряжённые или несамосопряжённые реализации одного и того же дифференциального выражения.</w:t>
      </w:r>
    </w:p>
    <w:p>
      <w:pPr/>
      <w:r>
        <w:t>Определение 15.4 (гармонический сектор). [CL/DEF]</w:t>
      </w:r>
    </w:p>
    <w:p>
      <w:pPr>
        <w:pStyle w:val="Quote"/>
        <w:spacing w:before="60" w:after="100"/>
        <w:jc w:val="center"/>
      </w:pPr>
      <w:r>
        <w:rPr>
          <w:rFonts w:ascii="Liberation Serif" w:hAnsi="Liberation Serif"/>
          <w:i w:val="0"/>
          <w:sz w:val="21"/>
        </w:rPr>
        <w:t>𝓗^k = ker d_k ∩ ker d_{k-1}* = ker Δ_k.                                               (15.6)</w:t>
      </w:r>
    </w:p>
    <w:p>
      <w:pPr/>
      <w:r>
        <w:t>Равенство с ker Δ_k следует из энергетического тождества</w:t>
      </w:r>
    </w:p>
    <w:p>
      <w:pPr>
        <w:pStyle w:val="Quote"/>
        <w:spacing w:before="60" w:after="100"/>
        <w:jc w:val="center"/>
      </w:pPr>
      <w:r>
        <w:rPr>
          <w:rFonts w:ascii="Liberation Serif" w:hAnsi="Liberation Serif"/>
          <w:i w:val="0"/>
          <w:sz w:val="21"/>
        </w:rPr>
        <w:t>⟨Δ_ku,u⟩ = ||d_ku||² + ||d_{k-1}*u||².                                                (15.7)</w:t>
      </w:r>
    </w:p>
    <w:p>
      <w:pPr/>
      <w:r>
        <w:t>Тождество требует, чтобы u принадлежал операторному домену; интегрирование по частям не должно оставлять неконтролируемый граничный член.</w:t>
      </w:r>
    </w:p>
    <w:p>
      <w:pPr>
        <w:pStyle w:val="Heading1"/>
        <w:keepNext/>
      </w:pPr>
      <w:r>
        <w:t>134. Слабое и сильное Hodge-разложение</w:t>
      </w:r>
    </w:p>
    <w:p>
      <w:pPr/>
      <w:r>
        <w:t>Теорема 15.2 (слабое Hodge-разложение Hilbert-комплекса). [CL/THM] Для каждого k существует ортогональное разложение</w:t>
      </w:r>
    </w:p>
    <w:p>
      <w:pPr>
        <w:pStyle w:val="Quote"/>
        <w:spacing w:before="60" w:after="100"/>
        <w:jc w:val="center"/>
      </w:pPr>
      <w:r>
        <w:rPr>
          <w:rFonts w:ascii="Liberation Serif" w:hAnsi="Liberation Serif"/>
          <w:i w:val="0"/>
          <w:sz w:val="21"/>
        </w:rPr>
        <w:t>H^k = closure(ran d_{k-1}) ⊕ 𝓗^k ⊕ closure(ran d_k*).                                  (15.8)</w:t>
      </w:r>
    </w:p>
    <w:p>
      <w:pPr/>
      <w:r>
        <w:t>Следовательно, каноническое отображение 𝓗^k→H̄^k является изометрическим изоморфизмом. Для обычной когомологии H^k то же утверждение верно при замкнутости ran d_{k-1}.</w:t>
      </w:r>
    </w:p>
    <w:p>
      <w:pPr>
        <w:spacing w:before="80" w:after="40"/>
        <w:jc w:val="center"/>
      </w:pPr>
      <w:r>
        <w:drawing>
          <wp:inline xmlns:a="http://schemas.openxmlformats.org/drawingml/2006/main" xmlns:pic="http://schemas.openxmlformats.org/drawingml/2006/picture">
            <wp:extent cx="5616000" cy="2932829"/>
            <wp:docPr id="36" name="Picture 36"/>
            <wp:cNvGraphicFramePr>
              <a:graphicFrameLocks noChangeAspect="1"/>
            </wp:cNvGraphicFramePr>
            <a:graphic>
              <a:graphicData uri="http://schemas.openxmlformats.org/drawingml/2006/picture">
                <pic:pic>
                  <pic:nvPicPr>
                    <pic:cNvPr id="0" name="hodge_split.png"/>
                    <pic:cNvPicPr/>
                  </pic:nvPicPr>
                  <pic:blipFill>
                    <a:blip r:embed="rId65"/>
                    <a:stretch>
                      <a:fillRect/>
                    </a:stretch>
                  </pic:blipFill>
                  <pic:spPr>
                    <a:xfrm>
                      <a:off x="0" y="0"/>
                      <a:ext cx="5616000" cy="2932829"/>
                    </a:xfrm>
                    <a:prstGeom prst="rect"/>
                  </pic:spPr>
                </pic:pic>
              </a:graphicData>
            </a:graphic>
          </wp:inline>
        </w:drawing>
      </w:r>
    </w:p>
    <w:p>
      <w:pPr>
        <w:pStyle w:val="Caption"/>
        <w:keepNext/>
        <w:jc w:val="center"/>
      </w:pPr>
      <w:r>
        <w:t>Рисунок 15.1. Hilbert-комплекс и слабое Hodge-разложение; переход к обычной когомологии требует closed-range certificate. Собственная схема Тома II.</w:t>
      </w:r>
    </w:p>
    <w:p>
      <w:pPr/>
      <w:r>
        <w:t>Теорема 15.3 (сильное разложение). [CL/THM] Следующие условия эквивалентны в фиксированной степени:</w:t>
      </w:r>
    </w:p>
    <w:p>
      <w:pPr>
        <w:pStyle w:val="ListBullet"/>
        <w:spacing w:after="40"/>
      </w:pPr>
      <w:r>
        <w:t>ran d_{k-1} и ran d_k* замкнуты;</w:t>
      </w:r>
    </w:p>
    <w:p>
      <w:pPr>
        <w:pStyle w:val="ListBullet"/>
        <w:spacing w:after="40"/>
      </w:pPr>
      <w:r>
        <w:t>H^k = ran d_{k-1} ⊕ 𝓗^k ⊕ ran d_k*;</w:t>
      </w:r>
    </w:p>
    <w:p>
      <w:pPr>
        <w:pStyle w:val="ListBullet"/>
        <w:spacing w:after="40"/>
      </w:pPr>
      <w:r>
        <w:t>существует C_k&gt;0, для которого ||u||≤C_k(||d_ku||+||d_{k-1}*u||) на D(d_k)∩D(d_{k-1}*)∩(𝓗^k)⊥;</w:t>
      </w:r>
    </w:p>
    <w:p>
      <w:pPr>
        <w:pStyle w:val="ListBullet"/>
        <w:spacing w:after="40"/>
      </w:pPr>
      <w:r>
        <w:t>ноль изолирован в спектре Δ_k на (𝓗^k)⊥.</w:t>
      </w:r>
    </w:p>
    <w:p>
      <w:pPr/>
      <w:r>
        <w:t>Последний пункт понимается в самосопряжённой неотрицательной реализации. В общем замкнутом Hilbert-комплексе спектральная формулировка требует отдельного self-adjoint certificate.</w:t>
      </w:r>
    </w:p>
    <w:p>
      <w:pPr>
        <w:pStyle w:val="Quote"/>
        <w:spacing w:before="60" w:after="100"/>
        <w:jc w:val="center"/>
      </w:pPr>
      <w:r>
        <w:rPr>
          <w:rFonts w:ascii="Liberation Serif" w:hAnsi="Liberation Serif"/>
          <w:i w:val="0"/>
          <w:sz w:val="21"/>
        </w:rPr>
        <w:t>γ_k := inf( spectrum(Δ_k) \ {0} ) &gt; 0.                                               (15.9)</w:t>
      </w:r>
    </w:p>
    <w:p>
      <w:pPr/>
      <w:r>
        <w:t>Число γ_k называется спектральным зазором. Его обратная величина контролирует норму Green-оператора и чувствительность аналитического восстановления.</w:t>
      </w:r>
    </w:p>
    <w:p>
      <w:pPr>
        <w:pStyle w:val="Heading2"/>
        <w:keepNext/>
      </w:pPr>
      <w:r>
        <w:t>134.1. Green-оператор и минимальный примитив</w:t>
      </w:r>
    </w:p>
    <w:p>
      <w:pPr/>
      <w:r>
        <w:t>При γ_k&gt;0 определяется ограниченный Green-оператор</w:t>
      </w:r>
    </w:p>
    <w:p>
      <w:pPr>
        <w:pStyle w:val="Quote"/>
        <w:spacing w:before="60" w:after="100"/>
        <w:jc w:val="center"/>
      </w:pPr>
      <w:r>
        <w:rPr>
          <w:rFonts w:ascii="Liberation Serif" w:hAnsi="Liberation Serif"/>
          <w:i w:val="0"/>
          <w:sz w:val="21"/>
        </w:rPr>
        <w:t>G_k = (Δ_k |_{(𝓗^k)⊥})^{-1}(I-P_{𝓗^k}),    ||G_k|| ≤ 1/γ_k.                            (15.10)</w:t>
      </w:r>
    </w:p>
    <w:p>
      <w:pPr/>
      <w:r>
        <w:t>Для замкнутого q∈Z^k Hodge-разложение принимает форму</w:t>
      </w:r>
    </w:p>
    <w:p>
      <w:pPr>
        <w:pStyle w:val="Quote"/>
        <w:spacing w:before="60" w:after="100"/>
        <w:jc w:val="center"/>
      </w:pPr>
      <w:r>
        <w:rPr>
          <w:rFonts w:ascii="Liberation Serif" w:hAnsi="Liberation Serif"/>
          <w:i w:val="0"/>
          <w:sz w:val="21"/>
        </w:rPr>
        <w:t>q = d_{k-1}a_min + h,    h=P_{𝓗^k}q,    a_min=d_{k-1}*G_kq.                            (15.11)</w:t>
      </w:r>
    </w:p>
    <w:p>
      <w:pPr/>
      <w:r>
        <w:t>Отсюда следует оценка</w:t>
      </w:r>
    </w:p>
    <w:p>
      <w:pPr>
        <w:pStyle w:val="Quote"/>
        <w:spacing w:before="60" w:after="100"/>
        <w:jc w:val="center"/>
      </w:pPr>
      <w:r>
        <w:rPr>
          <w:rFonts w:ascii="Liberation Serif" w:hAnsi="Liberation Serif"/>
          <w:i w:val="0"/>
          <w:sz w:val="21"/>
        </w:rPr>
        <w:t>||a_min|| ≤ γ_k^{-1/2} ||q-P_{𝓗^k}q||.                                               (15.12)</w:t>
      </w:r>
    </w:p>
    <w:p>
      <w:pPr/>
      <w:r>
        <w:t>Малый зазор делает примитив плохо обусловленным даже при нулевом гармоническом препятствии. Поэтому «класс исчез» и «разрешение устойчиво вычисляется» являются разными статусами.</w:t>
      </w:r>
    </w:p>
    <w:p>
      <w:pPr>
        <w:pStyle w:val="Heading1"/>
        <w:keepNext/>
      </w:pPr>
      <w:r>
        <w:t>135. Эллиптические комплексы и операторы лапласовского типа</w:t>
      </w:r>
    </w:p>
    <w:p>
      <w:pPr>
        <w:pStyle w:val="Heading2"/>
        <w:keepNext/>
      </w:pPr>
      <w:r>
        <w:t>135.1. Principal symbol и точность</w:t>
      </w:r>
    </w:p>
    <w:p>
      <w:pPr/>
      <w:r>
        <w:t>Пусть E^k→M - конечномерные векторные расслоения над гладкой стратой M, а d_k - дифференциальные операторы первого порядка. Их последовательность называется эллиптическим комплексом, если для каждого x∈M и каждого ξ∈T_x*M\{0} символическая последовательность точна:</w:t>
      </w:r>
    </w:p>
    <w:p>
      <w:pPr>
        <w:pStyle w:val="Quote"/>
        <w:spacing w:before="60" w:after="100"/>
        <w:jc w:val="center"/>
      </w:pPr>
      <w:r>
        <w:rPr>
          <w:rFonts w:ascii="Liberation Serif" w:hAnsi="Liberation Serif"/>
          <w:i w:val="0"/>
          <w:sz w:val="21"/>
        </w:rPr>
        <w:t>0 → E_x^0 --σ(d_0)(x,ξ)→ E_x^1 → ... → E_x^N → 0.                                  (15.13)</w:t>
      </w:r>
    </w:p>
    <w:p>
      <w:pPr/>
      <w:r>
        <w:t>Теорема 15.4 (эллиптичность Hodge-Laplacian). [CL/THM] Для эллиптического комплекса principal symbol оператора Δ_k положительно определён и равен</w:t>
      </w:r>
    </w:p>
    <w:p>
      <w:pPr>
        <w:pStyle w:val="Quote"/>
        <w:spacing w:before="60" w:after="100"/>
        <w:jc w:val="center"/>
      </w:pPr>
      <w:r>
        <w:rPr>
          <w:rFonts w:ascii="Liberation Serif" w:hAnsi="Liberation Serif"/>
          <w:i w:val="0"/>
          <w:sz w:val="21"/>
        </w:rPr>
        <w:t>σ_2(Δ_k)(x,ξ)=σ(d_{k-1})σ(d_{k-1})* + σ(d_k)*σ(d_k),    ξ≠0.                         (15.14)</w:t>
      </w:r>
    </w:p>
    <w:p>
      <w:pPr/>
      <w:r>
        <w:t>На компактном многообразии без края это ведёт к elliptic regularity, конечномерности гармонического пространства и дискретному спектру после выбора стандартной L²-реализации.</w:t>
      </w:r>
    </w:p>
    <w:p>
      <w:pPr/>
      <w:r>
        <w:t>Определение 15.5 (оператор лапласовского типа). [CL/DEF] Дифференциальный оператор второго порядка L называется Laplace-type, если</w:t>
      </w:r>
    </w:p>
    <w:p>
      <w:pPr>
        <w:pStyle w:val="Quote"/>
        <w:spacing w:before="60" w:after="100"/>
        <w:jc w:val="center"/>
      </w:pPr>
      <w:r>
        <w:rPr>
          <w:rFonts w:ascii="Liberation Serif" w:hAnsi="Liberation Serif"/>
          <w:i w:val="0"/>
          <w:sz w:val="21"/>
        </w:rPr>
        <w:t>σ_2(L)(x,ξ)=|ξ|_g² Id.                                                                  (15.15)</w:t>
      </w:r>
    </w:p>
    <w:p>
      <w:pPr/>
      <w:r>
        <w:t>Не всякий Hodge-Laplacian NAPG автоматически имеет этот символ. Требуется проверка метрики, главных частей d и δ, а также интерфейсных условий. Неассоциативность внутреннего произведения влияет на lower-order terms либо на сами коэффициенты d только при явно заданном мосте.</w:t>
      </w:r>
    </w:p>
    <w:p>
      <w:pPr/>
      <w:r>
        <w:t>Контртеорема 15.5 (d²=0 не влечёт эллиптичность). [THM] На бесконечномерном Hilbert-пространстве можно положить d=0. Тогда d²=0, но Δ=0 имеет бесконечномерное ядро, не является Fredholm и не создаёт спектрального зазора. Следовательно, nilpotency является когомологическим, а не эллиптическим сертификатом.</w:t>
      </w:r>
    </w:p>
    <w:p>
      <w:pPr>
        <w:pStyle w:val="Heading1"/>
        <w:keepNext/>
      </w:pPr>
      <w:r>
        <w:t>136. Граничные и интерфейсные условия</w:t>
      </w:r>
    </w:p>
    <w:p>
      <w:pPr/>
      <w:r>
        <w:t>На компактной гладкой базе с краем формальный оператор становится аналитическим объектом только после задания operator domain. Для de Rham-комплекса обозначим через tω тангенциальный след i*ω, а через nω нормальный след i*(ι_νω), где ν - единичная внешняя нормаль.</w:t>
      </w: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trPr>
        <w:tc>
          <w:tcPr>
            <w:tcW w:type="dxa" w:w="1417"/>
            <w:vAlign w:val="center"/>
            <w:tcMar>
              <w:top w:w="90" w:type="dxa"/>
              <w:start w:w="100" w:type="dxa"/>
              <w:bottom w:w="90" w:type="dxa"/>
              <w:end w:w="100" w:type="dxa"/>
            </w:tcMar>
            <w:shd w:fill="17365D"/>
          </w:tcPr>
          <w:p>
            <w:pPr>
              <w:spacing w:after="0" w:line="240" w:lineRule="auto"/>
            </w:pPr>
            <w:r>
              <w:rPr>
                <w:rFonts w:ascii="Liberation Sans" w:hAnsi="Liberation Sans"/>
                <w:b/>
                <w:color w:val="FFFFFF"/>
                <w:sz w:val="16"/>
              </w:rPr>
              <w:t>Режим</w:t>
            </w:r>
          </w:p>
        </w:tc>
        <w:tc>
          <w:tcPr>
            <w:tcW w:type="dxa" w:w="2324"/>
            <w:vAlign w:val="center"/>
            <w:tcMar>
              <w:top w:w="90" w:type="dxa"/>
              <w:start w:w="100" w:type="dxa"/>
              <w:bottom w:w="90" w:type="dxa"/>
              <w:end w:w="100" w:type="dxa"/>
            </w:tcMar>
            <w:shd w:fill="17365D"/>
          </w:tcPr>
          <w:p>
            <w:pPr>
              <w:spacing w:after="0" w:line="240" w:lineRule="auto"/>
            </w:pPr>
            <w:r>
              <w:rPr>
                <w:rFonts w:ascii="Liberation Sans" w:hAnsi="Liberation Sans"/>
                <w:b/>
                <w:color w:val="FFFFFF"/>
                <w:sz w:val="16"/>
              </w:rPr>
              <w:t>Условия для ω</w:t>
            </w:r>
          </w:p>
        </w:tc>
        <w:tc>
          <w:tcPr>
            <w:tcW w:type="dxa" w:w="2438"/>
            <w:vAlign w:val="center"/>
            <w:tcMar>
              <w:top w:w="90" w:type="dxa"/>
              <w:start w:w="100" w:type="dxa"/>
              <w:bottom w:w="90" w:type="dxa"/>
              <w:end w:w="100" w:type="dxa"/>
            </w:tcMar>
            <w:shd w:fill="17365D"/>
          </w:tcPr>
          <w:p>
            <w:pPr>
              <w:spacing w:after="0" w:line="240" w:lineRule="auto"/>
            </w:pPr>
            <w:r>
              <w:rPr>
                <w:rFonts w:ascii="Liberation Sans" w:hAnsi="Liberation Sans"/>
                <w:b/>
                <w:color w:val="FFFFFF"/>
                <w:sz w:val="16"/>
              </w:rPr>
              <w:t>Когомологический тип</w:t>
            </w:r>
          </w:p>
        </w:tc>
        <w:tc>
          <w:tcPr>
            <w:tcW w:type="dxa" w:w="3005"/>
            <w:vAlign w:val="center"/>
            <w:tcMar>
              <w:top w:w="90" w:type="dxa"/>
              <w:start w:w="100" w:type="dxa"/>
              <w:bottom w:w="90" w:type="dxa"/>
              <w:end w:w="100" w:type="dxa"/>
            </w:tcMar>
            <w:shd w:fill="17365D"/>
          </w:tcPr>
          <w:p>
            <w:pPr>
              <w:spacing w:after="0" w:line="240" w:lineRule="auto"/>
            </w:pPr>
            <w:r>
              <w:rPr>
                <w:rFonts w:ascii="Liberation Sans" w:hAnsi="Liberation Sans"/>
                <w:b/>
                <w:color w:val="FFFFFF"/>
                <w:sz w:val="16"/>
              </w:rPr>
              <w:t>Статус в NAPG</w:t>
            </w:r>
          </w:p>
        </w:tc>
      </w:tr>
      <w:tr>
        <w:tc>
          <w:tcPr>
            <w:tcW w:type="dxa" w:w="1417"/>
            <w:vAlign w:val="center"/>
            <w:tcMar>
              <w:top w:w="90" w:type="dxa"/>
              <w:start w:w="100" w:type="dxa"/>
              <w:bottom w:w="90" w:type="dxa"/>
              <w:end w:w="100" w:type="dxa"/>
            </w:tcMar>
          </w:tcPr>
          <w:p>
            <w:pPr>
              <w:spacing w:after="0" w:line="240" w:lineRule="auto"/>
            </w:pPr>
            <w:r>
              <w:rPr>
                <w:rFonts w:ascii="Liberation Sans" w:hAnsi="Liberation Sans"/>
                <w:sz w:val="16"/>
              </w:rPr>
              <w:t>relative</w:t>
            </w:r>
          </w:p>
        </w:tc>
        <w:tc>
          <w:tcPr>
            <w:tcW w:type="dxa" w:w="2324"/>
            <w:vAlign w:val="center"/>
            <w:tcMar>
              <w:top w:w="90" w:type="dxa"/>
              <w:start w:w="100" w:type="dxa"/>
              <w:bottom w:w="90" w:type="dxa"/>
              <w:end w:w="100" w:type="dxa"/>
            </w:tcMar>
          </w:tcPr>
          <w:p>
            <w:pPr>
              <w:spacing w:after="0" w:line="240" w:lineRule="auto"/>
            </w:pPr>
            <w:r>
              <w:rPr>
                <w:rFonts w:ascii="Liberation Sans" w:hAnsi="Liberation Sans"/>
                <w:sz w:val="16"/>
              </w:rPr>
              <w:t>tω=0,  tδω=0</w:t>
            </w:r>
          </w:p>
        </w:tc>
        <w:tc>
          <w:tcPr>
            <w:tcW w:type="dxa" w:w="2438"/>
            <w:vAlign w:val="center"/>
            <w:tcMar>
              <w:top w:w="90" w:type="dxa"/>
              <w:start w:w="100" w:type="dxa"/>
              <w:bottom w:w="90" w:type="dxa"/>
              <w:end w:w="100" w:type="dxa"/>
            </w:tcMar>
          </w:tcPr>
          <w:p>
            <w:pPr>
              <w:spacing w:after="0" w:line="240" w:lineRule="auto"/>
            </w:pPr>
            <w:r>
              <w:rPr>
                <w:rFonts w:ascii="Liberation Sans" w:hAnsi="Liberation Sans"/>
                <w:sz w:val="16"/>
              </w:rPr>
              <w:t>относительная когомология</w:t>
            </w:r>
          </w:p>
        </w:tc>
        <w:tc>
          <w:tcPr>
            <w:tcW w:type="dxa" w:w="3005"/>
            <w:vAlign w:val="center"/>
            <w:tcMar>
              <w:top w:w="90" w:type="dxa"/>
              <w:start w:w="100" w:type="dxa"/>
              <w:bottom w:w="90" w:type="dxa"/>
              <w:end w:w="100" w:type="dxa"/>
            </w:tcMar>
          </w:tcPr>
          <w:p>
            <w:pPr>
              <w:spacing w:after="0" w:line="240" w:lineRule="auto"/>
            </w:pPr>
            <w:r>
              <w:rPr>
                <w:rFonts w:ascii="Liberation Sans" w:hAnsi="Liberation Sans"/>
                <w:sz w:val="16"/>
              </w:rPr>
              <w:t>допустим после проверки trace spaces</w:t>
            </w:r>
          </w:p>
        </w:tc>
      </w:tr>
      <w:tr>
        <w:tc>
          <w:tcPr>
            <w:tcW w:type="dxa" w:w="1417"/>
            <w:vAlign w:val="center"/>
            <w:tcMar>
              <w:top w:w="90" w:type="dxa"/>
              <w:start w:w="100" w:type="dxa"/>
              <w:bottom w:w="90" w:type="dxa"/>
              <w:end w:w="100" w:type="dxa"/>
            </w:tcMar>
          </w:tcPr>
          <w:p>
            <w:pPr>
              <w:spacing w:after="0" w:line="240" w:lineRule="auto"/>
            </w:pPr>
            <w:r>
              <w:rPr>
                <w:rFonts w:ascii="Liberation Sans" w:hAnsi="Liberation Sans"/>
                <w:sz w:val="16"/>
              </w:rPr>
              <w:t>absolute</w:t>
            </w:r>
          </w:p>
        </w:tc>
        <w:tc>
          <w:tcPr>
            <w:tcW w:type="dxa" w:w="2324"/>
            <w:vAlign w:val="center"/>
            <w:tcMar>
              <w:top w:w="90" w:type="dxa"/>
              <w:start w:w="100" w:type="dxa"/>
              <w:bottom w:w="90" w:type="dxa"/>
              <w:end w:w="100" w:type="dxa"/>
            </w:tcMar>
          </w:tcPr>
          <w:p>
            <w:pPr>
              <w:spacing w:after="0" w:line="240" w:lineRule="auto"/>
            </w:pPr>
            <w:r>
              <w:rPr>
                <w:rFonts w:ascii="Liberation Sans" w:hAnsi="Liberation Sans"/>
                <w:sz w:val="16"/>
              </w:rPr>
              <w:t>nω=0,  ndω=0</w:t>
            </w:r>
          </w:p>
        </w:tc>
        <w:tc>
          <w:tcPr>
            <w:tcW w:type="dxa" w:w="2438"/>
            <w:vAlign w:val="center"/>
            <w:tcMar>
              <w:top w:w="90" w:type="dxa"/>
              <w:start w:w="100" w:type="dxa"/>
              <w:bottom w:w="90" w:type="dxa"/>
              <w:end w:w="100" w:type="dxa"/>
            </w:tcMar>
          </w:tcPr>
          <w:p>
            <w:pPr>
              <w:spacing w:after="0" w:line="240" w:lineRule="auto"/>
            </w:pPr>
            <w:r>
              <w:rPr>
                <w:rFonts w:ascii="Liberation Sans" w:hAnsi="Liberation Sans"/>
                <w:sz w:val="16"/>
              </w:rPr>
              <w:t>абсолютная когомология</w:t>
            </w:r>
          </w:p>
        </w:tc>
        <w:tc>
          <w:tcPr>
            <w:tcW w:type="dxa" w:w="3005"/>
            <w:vAlign w:val="center"/>
            <w:tcMar>
              <w:top w:w="90" w:type="dxa"/>
              <w:start w:w="100" w:type="dxa"/>
              <w:bottom w:w="90" w:type="dxa"/>
              <w:end w:w="100" w:type="dxa"/>
            </w:tcMar>
          </w:tcPr>
          <w:p>
            <w:pPr>
              <w:spacing w:after="0" w:line="240" w:lineRule="auto"/>
            </w:pPr>
            <w:r>
              <w:rPr>
                <w:rFonts w:ascii="Liberation Sans" w:hAnsi="Liberation Sans"/>
                <w:sz w:val="16"/>
              </w:rPr>
              <w:t>допустим после проверки Green formula</w:t>
            </w:r>
          </w:p>
        </w:tc>
      </w:tr>
      <w:tr>
        <w:tc>
          <w:tcPr>
            <w:tcW w:type="dxa" w:w="1417"/>
            <w:vAlign w:val="center"/>
            <w:tcMar>
              <w:top w:w="90" w:type="dxa"/>
              <w:start w:w="100" w:type="dxa"/>
              <w:bottom w:w="90" w:type="dxa"/>
              <w:end w:w="100" w:type="dxa"/>
            </w:tcMar>
          </w:tcPr>
          <w:p>
            <w:pPr>
              <w:spacing w:after="0" w:line="240" w:lineRule="auto"/>
            </w:pPr>
            <w:r>
              <w:rPr>
                <w:rFonts w:ascii="Liberation Sans" w:hAnsi="Liberation Sans"/>
                <w:sz w:val="16"/>
              </w:rPr>
              <w:t>general elliptic B</w:t>
            </w:r>
          </w:p>
        </w:tc>
        <w:tc>
          <w:tcPr>
            <w:tcW w:type="dxa" w:w="2324"/>
            <w:vAlign w:val="center"/>
            <w:tcMar>
              <w:top w:w="90" w:type="dxa"/>
              <w:start w:w="100" w:type="dxa"/>
              <w:bottom w:w="90" w:type="dxa"/>
              <w:end w:w="100" w:type="dxa"/>
            </w:tcMar>
          </w:tcPr>
          <w:p>
            <w:pPr>
              <w:spacing w:after="0" w:line="240" w:lineRule="auto"/>
            </w:pPr>
            <w:r>
              <w:rPr>
                <w:rFonts w:ascii="Liberation Sans" w:hAnsi="Liberation Sans"/>
                <w:sz w:val="16"/>
              </w:rPr>
              <w:t>Bγ(ω)=0 + complementing condition</w:t>
            </w:r>
          </w:p>
        </w:tc>
        <w:tc>
          <w:tcPr>
            <w:tcW w:type="dxa" w:w="2438"/>
            <w:vAlign w:val="center"/>
            <w:tcMar>
              <w:top w:w="90" w:type="dxa"/>
              <w:start w:w="100" w:type="dxa"/>
              <w:bottom w:w="90" w:type="dxa"/>
              <w:end w:w="100" w:type="dxa"/>
            </w:tcMar>
          </w:tcPr>
          <w:p>
            <w:pPr>
              <w:spacing w:after="0" w:line="240" w:lineRule="auto"/>
            </w:pPr>
            <w:r>
              <w:rPr>
                <w:rFonts w:ascii="Liberation Sans" w:hAnsi="Liberation Sans"/>
                <w:sz w:val="16"/>
              </w:rPr>
              <w:t>зависит от B</w:t>
            </w:r>
          </w:p>
        </w:tc>
        <w:tc>
          <w:tcPr>
            <w:tcW w:type="dxa" w:w="3005"/>
            <w:vAlign w:val="center"/>
            <w:tcMar>
              <w:top w:w="90" w:type="dxa"/>
              <w:start w:w="100" w:type="dxa"/>
              <w:bottom w:w="90" w:type="dxa"/>
              <w:end w:w="100" w:type="dxa"/>
            </w:tcMar>
          </w:tcPr>
          <w:p>
            <w:pPr>
              <w:spacing w:after="0" w:line="240" w:lineRule="auto"/>
            </w:pPr>
            <w:r>
              <w:rPr>
                <w:rFonts w:ascii="Liberation Sans" w:hAnsi="Liberation Sans"/>
                <w:sz w:val="16"/>
              </w:rPr>
              <w:t>COND: нужны self-adjoint/Fredholm certificates</w:t>
            </w:r>
          </w:p>
        </w:tc>
      </w:tr>
    </w:tbl>
    <w:p>
      <w:pPr/>
      <w:r>
        <w:t>Теорема 15.6 (граничный firewall). [CL/COND] Для гладкого компактного M с гладкой границей absolute и relative реализации Hodge-Laplacian являются эллиптическими самосопряжёнными задачами при стандартных соглашениях. Для общего NAPG-оператора этот вывод разрешён только после проверки:</w:t>
      </w:r>
    </w:p>
    <w:p>
      <w:pPr>
        <w:pStyle w:val="ListBullet"/>
        <w:spacing w:after="40"/>
      </w:pPr>
      <w:r>
        <w:t>Green formula и корректных trace spaces;</w:t>
      </w:r>
    </w:p>
    <w:p>
      <w:pPr>
        <w:pStyle w:val="ListBullet"/>
        <w:spacing w:after="40"/>
      </w:pPr>
      <w:r>
        <w:t>эллиптичности interior symbol;</w:t>
      </w:r>
    </w:p>
    <w:p>
      <w:pPr>
        <w:pStyle w:val="ListBullet"/>
        <w:spacing w:after="40"/>
      </w:pPr>
      <w:r>
        <w:t>условия Лопатинского-Шапиро либо эквивалентного elliptic boundary condition;</w:t>
      </w:r>
    </w:p>
    <w:p>
      <w:pPr>
        <w:pStyle w:val="ListBullet"/>
        <w:spacing w:after="40"/>
      </w:pPr>
      <w:r>
        <w:t>симметрии или self-adjoint extension, если используется спектральная теорема;</w:t>
      </w:r>
    </w:p>
    <w:p>
      <w:pPr>
        <w:pStyle w:val="ListBullet"/>
        <w:spacing w:after="40"/>
      </w:pPr>
      <w:r>
        <w:t>совместимости граничного домена с d²=0 и с градуировкой.</w:t>
      </w:r>
    </w:p>
    <w:p>
      <w:pPr>
        <w:spacing w:before="80" w:after="40"/>
        <w:jc w:val="center"/>
      </w:pPr>
      <w:r>
        <w:drawing>
          <wp:inline xmlns:a="http://schemas.openxmlformats.org/drawingml/2006/main" xmlns:pic="http://schemas.openxmlformats.org/drawingml/2006/picture">
            <wp:extent cx="5652000" cy="2996570"/>
            <wp:docPr id="37" name="Picture 37"/>
            <wp:cNvGraphicFramePr>
              <a:graphicFrameLocks noChangeAspect="1"/>
            </wp:cNvGraphicFramePr>
            <a:graphic>
              <a:graphicData uri="http://schemas.openxmlformats.org/drawingml/2006/picture">
                <pic:pic>
                  <pic:nvPicPr>
                    <pic:cNvPr id="0" name="boundary_firewall.png"/>
                    <pic:cNvPicPr/>
                  </pic:nvPicPr>
                  <pic:blipFill>
                    <a:blip r:embed="rId66"/>
                    <a:stretch>
                      <a:fillRect/>
                    </a:stretch>
                  </pic:blipFill>
                  <pic:spPr>
                    <a:xfrm>
                      <a:off x="0" y="0"/>
                      <a:ext cx="5652000" cy="2996570"/>
                    </a:xfrm>
                    <a:prstGeom prst="rect"/>
                  </pic:spPr>
                </pic:pic>
              </a:graphicData>
            </a:graphic>
          </wp:inline>
        </w:drawing>
      </w:r>
    </w:p>
    <w:p>
      <w:pPr>
        <w:pStyle w:val="Caption"/>
        <w:keepNext/>
        <w:jc w:val="center"/>
      </w:pPr>
      <w:r>
        <w:t>Рисунок 15.2. Граничный аналитический firewall: principal symbol, operator domain и elliptic boundary condition проверяются раздельно. Собственная схема Тома II.</w:t>
      </w:r>
    </w:p>
    <w:p>
      <w:pPr/>
      <w:r>
        <w:t>Контртеорема 15.7 (формальная симметрия не равна самосопряжённости). [THM] Дифференциальное выражение -d²/dx² на интервале формально симметрично, но без граничного домена не определяет единственный самосопряжённый оператор. Dirichlet, Neumann, Robin и смешанные реализации имеют разные спектры. Следовательно, спектральная сигнатура без BC-ID не является воспроизводимой.</w:t>
      </w:r>
    </w:p>
    <w:p>
      <w:pPr>
        <w:pStyle w:val="Heading1"/>
        <w:keepNext/>
      </w:pPr>
      <w:r>
        <w:t>137. Стратифицированная Hodge-реализация NAPG</w:t>
      </w:r>
    </w:p>
    <w:p>
      <w:pPr/>
      <w:r>
        <w:t>Пусть X=⊔_α S_α - конечная стратифицированная база. На каждой страте задан Hilbert-комплекс H_α^• и Hodge-оператор. Предварительное пространство имеет вид</w:t>
      </w:r>
    </w:p>
    <w:p>
      <w:pPr>
        <w:pStyle w:val="Quote"/>
        <w:spacing w:before="60" w:after="100"/>
        <w:jc w:val="center"/>
      </w:pPr>
      <w:r>
        <w:rPr>
          <w:rFonts w:ascii="Liberation Serif" w:hAnsi="Liberation Serif"/>
          <w:i w:val="0"/>
          <w:sz w:val="21"/>
        </w:rPr>
        <w:t>H_str^k = direct_sum_α L²Ω^k(S_α,E_α).                                                 (15.16)</w:t>
      </w:r>
    </w:p>
    <w:p>
      <w:pPr/>
      <w:r>
        <w:t>Определение 15.6 (interface domain). [DEF-A/COND] Глобальный домен D_int(d) состоит из наборов u=(u_α), удовлетворяющих стратовым Sobolev-условиям и системе transmission equations</w:t>
      </w:r>
    </w:p>
    <w:p>
      <w:pPr>
        <w:pStyle w:val="Quote"/>
        <w:spacing w:before="60" w:after="100"/>
        <w:jc w:val="center"/>
      </w:pPr>
      <w:r>
        <w:rPr>
          <w:rFonts w:ascii="Liberation Serif" w:hAnsi="Liberation Serif"/>
          <w:i w:val="0"/>
          <w:sz w:val="21"/>
        </w:rPr>
        <w:t>T_{αβ}^+ u_α = T_{αβ}^- u_β    на каждой допустимой incidence interface.             (15.17)</w:t>
      </w:r>
    </w:p>
    <w:p>
      <w:pPr/>
      <w:r>
        <w:t>Карты T_{αβ} являются частью данных и включают следы, ориентацию, вес меры, Hodge-совместимость и D/Dom. Без них прямая сумма страт создаёт ложные независимые гармонические моды.</w:t>
      </w:r>
    </w:p>
    <w:p>
      <w:pPr/>
      <w:r>
        <w:t>Условный пакет STR-HDG состоит из:</w:t>
      </w:r>
    </w:p>
    <w:p>
      <w:pPr>
        <w:pStyle w:val="ListBullet"/>
        <w:spacing w:after="40"/>
      </w:pPr>
      <w:r>
        <w:t>стратовой эллиптичности и uniform control главных символов;</w:t>
      </w:r>
    </w:p>
    <w:p>
      <w:pPr>
        <w:pStyle w:val="ListBullet"/>
        <w:spacing w:after="40"/>
      </w:pPr>
      <w:r>
        <w:t>ideal boundary conditions около сингулярных ссылок или конусов;</w:t>
      </w:r>
    </w:p>
    <w:p>
      <w:pPr>
        <w:pStyle w:val="ListBullet"/>
        <w:spacing w:after="40"/>
      </w:pPr>
      <w:r>
        <w:t>замкнутости total differential и его adjoint;</w:t>
      </w:r>
    </w:p>
    <w:p>
      <w:pPr>
        <w:pStyle w:val="ListBullet"/>
        <w:spacing w:after="40"/>
      </w:pPr>
      <w:r>
        <w:t>compact embedding либо иного механизма Fredholmness;</w:t>
      </w:r>
    </w:p>
    <w:p>
      <w:pPr>
        <w:pStyle w:val="ListBullet"/>
        <w:spacing w:after="40"/>
      </w:pPr>
      <w:r>
        <w:t>согласованности transmission maps с descent data главы 7;</w:t>
      </w:r>
    </w:p>
    <w:p>
      <w:pPr>
        <w:pStyle w:val="ListBullet"/>
        <w:spacing w:after="40"/>
      </w:pPr>
      <w:r>
        <w:t>явной проверки, какую intersection/L²-cohomology реализует выбранный домен.</w:t>
      </w:r>
    </w:p>
    <w:p>
      <w:pPr/>
      <w:r>
        <w:t>Результаты Cheeger-type Hodge theory показывают, что на стратифицированных псевдомногообразиях выбор ideal boundary conditions является содержательной частью теории. Том II не переносит их автоматически на любую NAPG-стратификацию; это остаётся proof obligation T2-PO-164-T2-PO-166.</w:t>
      </w:r>
    </w:p>
    <w:p>
      <w:pPr>
        <w:pStyle w:val="Heading1"/>
        <w:keepNext/>
      </w:pPr>
      <w:r>
        <w:t>138. Fredholm-секторы и индекс</w:t>
      </w:r>
    </w:p>
    <w:p>
      <w:pPr/>
      <w:r>
        <w:t>Определение 15.7. [CL/DEF] Замкнутый оператор T:D(T)⊂H_0→H_1 называется Fredholm, если ran T замкнут, dim ker T&lt;∞ и dim coker T&lt;∞. Его индекс равен</w:t>
      </w:r>
    </w:p>
    <w:p>
      <w:pPr>
        <w:pStyle w:val="Quote"/>
        <w:spacing w:before="60" w:after="100"/>
        <w:jc w:val="center"/>
      </w:pPr>
      <w:r>
        <w:rPr>
          <w:rFonts w:ascii="Liberation Serif" w:hAnsi="Liberation Serif"/>
          <w:i w:val="0"/>
          <w:sz w:val="21"/>
        </w:rPr>
        <w:t>ind T = dim ker T - dim coker T.                                                        (15.18)</w:t>
      </w:r>
    </w:p>
    <w:p>
      <w:pPr/>
      <w:r>
        <w:t>Для Z₂-градуированного Hodge-Dirac оператора D_H=d+δ вводится</w:t>
      </w:r>
    </w:p>
    <w:p>
      <w:pPr>
        <w:pStyle w:val="Quote"/>
        <w:spacing w:before="60" w:after="100"/>
        <w:jc w:val="center"/>
      </w:pPr>
      <w:r>
        <w:rPr>
          <w:rFonts w:ascii="Liberation Serif" w:hAnsi="Liberation Serif"/>
          <w:i w:val="0"/>
          <w:sz w:val="21"/>
        </w:rPr>
        <w:t>D_H^+ : H^{even} → H^{odd},    ind D_H^+ = sum_k (-1)^k dim H^k.                       (15.19)</w:t>
      </w:r>
    </w:p>
    <w:p>
      <w:pPr/>
      <w:r>
        <w:t>Равенство с эйлеровой характеристикой требует Fredholm-комплекса. В некомпактной или сингулярной задаче оно не выводится из формальной записи d+δ.</w:t>
      </w:r>
    </w:p>
    <w:p>
      <w:pPr/>
      <w:r>
        <w:t>Теорема 15.8 (стабильность индекса). [CL/THM] Индекс локально постоянен в непрерывном семействе Fredholm-операторов. Поэтому изменение ind D_H^+ возможно только при выходе из Fredholm-сектора: потере closed range, уходе ядра или коядра в бесконечность либо разрушении домена.</w:t>
      </w:r>
    </w:p>
    <w:p>
      <w:pPr/>
      <w:r>
        <w:t>Определение 15.8 (compact-resolvent sector). [CL/DEF] Самосопряжённая реализация Δ имеет компактный резольвент, если (Δ+I)^{-1} компактен. Тогда спектр дискретен, собственные значения имеют конечную кратность и стремятся к +∞. Наличие компактного резольвента является сильнее Fredholmness в фиксированной степени.</w:t>
      </w:r>
    </w:p>
    <w:p>
      <w:pPr>
        <w:pStyle w:val="Heading1"/>
        <w:keepNext/>
      </w:pPr>
      <w:r>
        <w:t>139. Гармоническая аналитика препятствий</w:t>
      </w:r>
    </w:p>
    <w:p>
      <w:pPr>
        <w:pStyle w:val="Heading2"/>
        <w:keepNext/>
      </w:pPr>
      <w:r>
        <w:t>139.1. Harmonic obstruction norm</w:t>
      </w:r>
    </w:p>
    <w:p>
      <w:pPr/>
      <w:r>
        <w:t>Пусть q∈Z^3(E) представляет внешний класс Π_E(o) главы 13, а выбранная реализация E^• удовлетворяет closed-range Hodge package. Определим</w:t>
      </w:r>
    </w:p>
    <w:p>
      <w:pPr>
        <w:pStyle w:val="Quote"/>
        <w:spacing w:before="60" w:after="100"/>
        <w:jc w:val="center"/>
      </w:pPr>
      <w:r>
        <w:rPr>
          <w:rFonts w:ascii="Liberation Serif" w:hAnsi="Liberation Serif"/>
          <w:i w:val="0"/>
          <w:sz w:val="21"/>
        </w:rPr>
        <w:t>h_E(o)=P_{𝓗_E^3}q,    η_H(o)=||h_E(o)||.                                               (15.20)</w:t>
      </w:r>
    </w:p>
    <w:p>
      <w:pPr/>
      <w:r>
        <w:t>Теорема 15.9 (точная аналитическая детекция). [THM/COND] При closed range величина η_H не зависит от представителя q и удовлетворяет</w:t>
      </w:r>
    </w:p>
    <w:p>
      <w:pPr>
        <w:pStyle w:val="Quote"/>
        <w:spacing w:before="60" w:after="100"/>
        <w:jc w:val="center"/>
      </w:pPr>
      <w:r>
        <w:rPr>
          <w:rFonts w:ascii="Liberation Serif" w:hAnsi="Liberation Serif"/>
          <w:i w:val="0"/>
          <w:sz w:val="21"/>
        </w:rPr>
        <w:t>η_H(o) = dist(q, ran d_E²),    η_H(o)=0 ⇔ Π_E(o)=0.                                   (15.21)</w:t>
      </w:r>
    </w:p>
    <w:p>
      <w:pPr/>
      <w:r>
        <w:t>Если Π_E faithful, ноль η_H эквивалентен нулю внутреннего класса o. Без инъективности внешний harmonic zero не исключает Blind_E.</w:t>
      </w:r>
    </w:p>
    <w:p>
      <w:pPr/>
      <w:r>
        <w:t>Определение 15.9 (analytic conditioning ledger). [DEF-A]</w:t>
      </w:r>
    </w:p>
    <w:p>
      <w:pPr>
        <w:pStyle w:val="Quote"/>
        <w:spacing w:before="60" w:after="100"/>
        <w:jc w:val="center"/>
      </w:pPr>
      <w:r>
        <w:rPr>
          <w:rFonts w:ascii="Liberation Serif" w:hAnsi="Liberation Serif"/>
          <w:i w:val="0"/>
          <w:sz w:val="21"/>
        </w:rPr>
        <w:t>Cond_H = (γ_3^{-1}, ||G_3||, ||P_H||, trace_constant, interface_constant).             (15.22)</w:t>
      </w:r>
    </w:p>
    <w:p>
      <w:pPr/>
      <w:r>
        <w:t>В самосопряжённой ортогональной модели ||P_H||=1, однако остальные величины могут расходиться при приближении к переходному горизонту. Пороговый прогноз без Cond_H запрещён.</w:t>
      </w:r>
    </w:p>
    <w:p>
      <w:pPr/>
      <w:r>
        <w:t>Теорема 15.10 (устойчивое ненулевое препятствие). [THM/COMP] Пусть на компактном параметрическом интервале I реализации Δ_{3,t} norm-resolvent continuous, harmonic rank постоянен, γ_3(t)≥g_0&gt;0, а q_t непрерывен. Тогда spectral projector</w:t>
      </w:r>
    </w:p>
    <w:p>
      <w:pPr>
        <w:pStyle w:val="Quote"/>
        <w:spacing w:before="60" w:after="100"/>
        <w:jc w:val="center"/>
      </w:pPr>
      <w:r>
        <w:rPr>
          <w:rFonts w:ascii="Liberation Serif" w:hAnsi="Liberation Serif"/>
          <w:i w:val="0"/>
          <w:sz w:val="21"/>
        </w:rPr>
        <w:t>P_t = (2πi)^{-1} contour_integral_Γ (z-Δ_{3,t})^{-1} dz                            (15.23)</w:t>
      </w:r>
    </w:p>
    <w:p>
      <w:pPr/>
      <w:r>
        <w:t>зависит непрерывно от t. Если η_H(t)≥ε_H&gt;0 на I, класс Π_{E,t}(o_t) не может исчезнуть на I. Это даёт отрицательный прогноз для переходов, требующих снятия данного внешнего препятствия.</w:t>
      </w:r>
    </w:p>
    <w:p>
      <w:pPr/>
      <w:r>
        <w:t>Следствие 15.10.1. Если η_H(t_0)=0 и uniform gap сохраняется, то в окрестности t_0 harmonic class остаётся малым, но точный ноль в соседних точках не следует без дополнительной структурной симметрии. Численная близость к нулю не является доказательством exactness.</w:t>
      </w:r>
    </w:p>
    <w:p>
      <w:pPr>
        <w:pStyle w:val="Heading1"/>
        <w:keepNext/>
      </w:pPr>
      <w:r>
        <w:t>140. Hodge-Fredholm переходный горизонт</w:t>
      </w:r>
    </w:p>
    <w:p>
      <w:pPr>
        <w:pStyle w:val="Quote"/>
        <w:spacing w:before="60" w:after="100"/>
        <w:jc w:val="center"/>
      </w:pPr>
      <w:r>
        <w:rPr>
          <w:rFonts w:ascii="Liberation Serif" w:hAnsi="Liberation Serif"/>
          <w:i w:val="0"/>
          <w:sz w:val="21"/>
        </w:rPr>
        <w:t>Δ_HF = Δ_{d²} ∪ Δ_{dom} ∪ Δ_{ell} ∪ Δ_{BC} ∪ Δ_{range} ∪ Δ_{gap} ∪ Δ_{harm} ∪ Δ_{int} ∪ Δ_D ∪ Δ_Dom ∪ Δ_{glue}.    (15.24)</w:t>
      </w:r>
    </w:p>
    <w:p>
      <w:pPr/>
      <w:r>
        <w:t>Компоненты означают соответственно: нарушение комплекса; смену operator domain; потерю ellipticity; дефект boundary condition; незамкнутость образа; закрытие spectral gap; изменение harmonic rank; разрушение transmission data; повреждение Evidence-D, Dom или descent.</w:t>
      </w:r>
    </w:p>
    <w:p>
      <w:pPr>
        <w:spacing w:before="80" w:after="40"/>
        <w:jc w:val="center"/>
      </w:pPr>
      <w:r>
        <w:drawing>
          <wp:inline xmlns:a="http://schemas.openxmlformats.org/drawingml/2006/main" xmlns:pic="http://schemas.openxmlformats.org/drawingml/2006/picture">
            <wp:extent cx="5652000" cy="3373629"/>
            <wp:docPr id="38" name="Picture 38"/>
            <wp:cNvGraphicFramePr>
              <a:graphicFrameLocks noChangeAspect="1"/>
            </wp:cNvGraphicFramePr>
            <a:graphic>
              <a:graphicData uri="http://schemas.openxmlformats.org/drawingml/2006/picture">
                <pic:pic>
                  <pic:nvPicPr>
                    <pic:cNvPr id="0" name="hf_horizon.png"/>
                    <pic:cNvPicPr/>
                  </pic:nvPicPr>
                  <pic:blipFill>
                    <a:blip r:embed="rId67"/>
                    <a:stretch>
                      <a:fillRect/>
                    </a:stretch>
                  </pic:blipFill>
                  <pic:spPr>
                    <a:xfrm>
                      <a:off x="0" y="0"/>
                      <a:ext cx="5652000" cy="3373629"/>
                    </a:xfrm>
                    <a:prstGeom prst="rect"/>
                  </pic:spPr>
                </pic:pic>
              </a:graphicData>
            </a:graphic>
          </wp:inline>
        </w:drawing>
      </w:r>
    </w:p>
    <w:p>
      <w:pPr>
        <w:pStyle w:val="Caption"/>
        <w:keepNext/>
        <w:jc w:val="center"/>
      </w:pPr>
      <w:r>
        <w:t>Рисунок 15.3. Hodge-Fredholm переходный горизонт и трёхзначный аналитический вывод. Собственная схема Тома II.</w:t>
      </w:r>
    </w:p>
    <w:p>
      <w:pPr/>
      <w:r>
        <w:t>Теорема 15.11 (необходимость пересечения аналитического горизонта). [THM/COND] В norm-resolvent continuous семействе Fredholm Hodge-реализаций с uniform gap, постоянным доменом и закрытыми D/Dom-условиями профиль</w:t>
      </w:r>
    </w:p>
    <w:p>
      <w:pPr>
        <w:pStyle w:val="Quote"/>
        <w:spacing w:before="60" w:after="100"/>
        <w:jc w:val="center"/>
      </w:pPr>
      <w:r>
        <w:rPr>
          <w:rFonts w:ascii="Liberation Serif" w:hAnsi="Liberation Serif"/>
          <w:i w:val="0"/>
          <w:sz w:val="21"/>
        </w:rPr>
        <w:t>P_HF(t)=(ind D_H,t^+, dim 𝓗_t^k, γ_k(t), η_H(t), ||G_k(t)||, BC_t, Interface_t, λ_t)   (15.25)</w:t>
      </w:r>
    </w:p>
    <w:p>
      <w:pPr/>
      <w:r>
        <w:t>локально устойчив по дискретным компонентам и непрерывен по численным компонентам. Изменение индекса, harmonic rank или сертифицированного boundary/interface type требует пересечения Δ_HF.</w:t>
      </w:r>
    </w:p>
    <w:p>
      <w:pPr/>
      <w:r>
        <w:t>Отрицательный прогноз главы имеет форму</w:t>
      </w:r>
    </w:p>
    <w:p>
      <w:pPr>
        <w:pStyle w:val="Quote"/>
        <w:spacing w:before="60" w:after="100"/>
        <w:jc w:val="center"/>
      </w:pPr>
      <w:r>
        <w:rPr>
          <w:rFonts w:ascii="Liberation Serif" w:hAnsi="Liberation Serif"/>
          <w:i w:val="0"/>
          <w:sz w:val="21"/>
        </w:rPr>
        <w:t>I ∩ Δ_HF = empty and η_H(t)≥ε_H  ⇒  removal of this obstruction is impossible in model. (15.26)</w:t>
      </w:r>
    </w:p>
    <w:p>
      <w:pPr/>
      <w:r>
        <w:t>Пересечение Δ_HF означает CANDIDATE-TRANSITION. Оно не доказывает существование nonlinear lift, глобального сечения, причинного механизма, вероятности либо физического события.</w:t>
      </w:r>
    </w:p>
    <w:p>
      <w:pPr>
        <w:pStyle w:val="Heading1"/>
        <w:keepNext/>
      </w:pPr>
      <w:r>
        <w:t>141. Hodge-слой и проективно-гармонический Reper</w:t>
      </w:r>
    </w:p>
    <w:p>
      <w:pPr/>
      <w:r>
        <w:t>Гармонический представитель h_E(o) живёт в конечномерном либо Fredholm-контролируемом пространстве 𝓗_E^3. Reper-кросс-соотношение живёт на четвёрке точек P¹. Между ними нет канонического отображения. Для связи требуется отдельный функциональный пакет</w:t>
      </w:r>
    </w:p>
    <w:p>
      <w:pPr>
        <w:pStyle w:val="Quote"/>
        <w:spacing w:before="60" w:after="100"/>
        <w:jc w:val="center"/>
      </w:pPr>
      <w:r>
        <w:rPr>
          <w:rFonts w:ascii="Liberation Serif" w:hAnsi="Liberation Serif"/>
          <w:i w:val="0"/>
          <w:sz w:val="21"/>
        </w:rPr>
        <w:t>χ_H = (R_H,I_H,U_H,D_H): P(𝓗_E^3) ⇢ (P¹)^4,    λ_H=cr(U_H,I_H;R_H,D_H).             (15.27)</w:t>
      </w:r>
    </w:p>
    <w:p>
      <w:pPr/>
      <w:r>
        <w:t>Карта определена только на ненулевых классах вне полюсов и после проверки однородности функционалов. Нулевой harmonic obstruction не projectivizes; это согласуется с zero-loss no-go главы 14.</w:t>
      </w:r>
    </w:p>
    <w:p>
      <w:pPr/>
      <w:r>
        <w:t>Определение 15.10 (Hodge-Reper certificate). [DEF-A]</w:t>
      </w:r>
    </w:p>
    <w:p>
      <w:pPr>
        <w:pStyle w:val="Quote"/>
        <w:spacing w:before="60" w:after="100"/>
        <w:jc w:val="center"/>
      </w:pPr>
      <w:r>
        <w:rPr>
          <w:rFonts w:ascii="Liberation Serif" w:hAnsi="Liberation Serif"/>
          <w:i w:val="0"/>
          <w:sz w:val="21"/>
        </w:rPr>
        <w:t>Cert_HF=(COMPLEX, DOMAIN, SYMBOL, BC, INTERFACE, FREDHOLM, GAP, HARM, BRIDGE, D, DOM, λ, HASH).   (15.28)</w:t>
      </w:r>
    </w:p>
    <w:p>
      <w:pPr/>
      <w:r>
        <w:t>Положительный структурный кандидат допускается только при наличии всех полей сертификата. Пропуск одного поля переводит вывод в ABSTAIN, а не в «почти доказано».</w:t>
      </w:r>
    </w:p>
    <w:p>
      <w:pPr>
        <w:pStyle w:val="Heading1"/>
        <w:keepNext/>
      </w:pPr>
      <w:r>
        <w:t>142. Главная условная теорема T2-RP-v0.12</w:t>
      </w:r>
    </w:p>
    <w:p>
      <w:pPr/>
      <w:r>
        <w:t>Теорема 15.12 (Hodge-Fredholm-safe predictive theorem). [COND] Пусть семейство NAPG-кадров N_t снабжено внешними комплексами E_t и реализациями Hodge-Laplacian, для которых:</w:t>
      </w:r>
    </w:p>
    <w:p>
      <w:pPr>
        <w:pStyle w:val="ListNumber"/>
        <w:spacing w:after="40"/>
      </w:pPr>
      <w:r>
        <w:t>E_t является Hilbert-комплексом и d_t²=0 на общем типизированном домене;</w:t>
      </w:r>
    </w:p>
    <w:p>
      <w:pPr>
        <w:pStyle w:val="ListNumber"/>
        <w:spacing w:after="40"/>
      </w:pPr>
      <w:r>
        <w:t>на каждой гладкой страте symbol-sequence эллиптична;</w:t>
      </w:r>
    </w:p>
    <w:p>
      <w:pPr>
        <w:pStyle w:val="ListNumber"/>
        <w:spacing w:after="40"/>
      </w:pPr>
      <w:r>
        <w:t>граничные и transmission conditions образуют замкнутую Fredholm-реализацию;</w:t>
      </w:r>
    </w:p>
    <w:p>
      <w:pPr>
        <w:pStyle w:val="ListNumber"/>
        <w:spacing w:after="40"/>
      </w:pPr>
      <w:r>
        <w:t>семейство непрерывно в norm-resolvent либо эквивалентно контролируемом смысле;</w:t>
      </w:r>
    </w:p>
    <w:p>
      <w:pPr>
        <w:pStyle w:val="ListNumber"/>
        <w:spacing w:after="40"/>
      </w:pPr>
      <w:r>
        <w:t>положительный спектр отделён от нуля uniform gap g_0&gt;0;</w:t>
      </w:r>
    </w:p>
    <w:p>
      <w:pPr>
        <w:pStyle w:val="ListNumber"/>
        <w:spacing w:after="40"/>
      </w:pPr>
      <w:r>
        <w:t>ранги harmonic spaces постоянны на исследуемом интервале;</w:t>
      </w:r>
    </w:p>
    <w:p>
      <w:pPr>
        <w:pStyle w:val="ListNumber"/>
        <w:spacing w:after="40"/>
      </w:pPr>
      <w:r>
        <w:t>внешний мост Π_E корректен; обратная ветвь используется только при B6;</w:t>
      </w:r>
    </w:p>
    <w:p>
      <w:pPr>
        <w:pStyle w:val="ListNumber"/>
        <w:spacing w:after="40"/>
      </w:pPr>
      <w:r>
        <w:t>гармонический obstruction section q_t и Evidence-D непрерывны;</w:t>
      </w:r>
    </w:p>
    <w:p>
      <w:pPr>
        <w:pStyle w:val="ListNumber"/>
        <w:spacing w:after="40"/>
      </w:pPr>
      <w:r>
        <w:t>D/Dom, projective charts и globalization data неизменны;</w:t>
      </w:r>
    </w:p>
    <w:p>
      <w:pPr>
        <w:pStyle w:val="ListNumber"/>
        <w:spacing w:after="40"/>
      </w:pPr>
      <w:r>
        <w:t>Hodge-Reper bridge χ_H типизирован и не пересекает полюсный локус;</w:t>
      </w:r>
    </w:p>
    <w:p>
      <w:pPr>
        <w:pStyle w:val="ListNumber"/>
        <w:spacing w:after="40"/>
      </w:pPr>
      <w:r>
        <w:t>предыдущие tangent, holonomy, differential, external и projective blockers закрыты;</w:t>
      </w:r>
    </w:p>
    <w:p>
      <w:pPr>
        <w:pStyle w:val="ListNumber"/>
        <w:spacing w:after="40"/>
      </w:pPr>
      <w:r>
        <w:t>сертификат HOD-AN воспроизводим по зафиксированным данным и хешам.</w:t>
      </w:r>
    </w:p>
    <w:p>
      <w:pPr/>
      <w:r>
        <w:t>Тогда вне Δ_HF индекс, harmonic rank и сертифицированный аналитический тип постоянны. Если η_H(t)≥ε_H&gt;0, исчезновение данного внешнего препятствия невозможно. Если η_H(t)=0, это означает лишь снятие данного линейно-когомологического препятствия; существование полной NAPG-деформации, глобального решения и доменного события остаётся отдельной задачей.</w:t>
      </w:r>
    </w:p>
    <w:p>
      <w:pPr/>
      <w:r>
        <w:t>Доказательство. Постоянство Fredholm index следует из открытости Fredholm-сектора; постоянство harmonic rank и непрерывность spectral projector - из uniform isolation нулевого спектрального кластера; (15.21) переводит ненулевую гармоническую норму в ненулевой внешний класс. Остальные утверждения следуют из firewall-условий B1-B8 и предыдущих глав. Теорема не создаёт физическую динамику и потому сохраняет статус COND.</w:t>
      </w:r>
    </w:p>
    <w:p>
      <w:pPr>
        <w:pStyle w:val="Heading1"/>
        <w:keepNext/>
      </w:pPr>
      <w:r>
        <w:t>143. Blocker-safe аналитический вывод</w:t>
      </w:r>
    </w:p>
    <w:p>
      <w:pPr>
        <w:pStyle w:val="Quote"/>
        <w:spacing w:before="60" w:after="100"/>
        <w:jc w:val="center"/>
      </w:pPr>
      <w:r>
        <w:rPr>
          <w:rFonts w:ascii="Liberation Serif" w:hAnsi="Liberation Serif"/>
          <w:i w:val="0"/>
          <w:sz w:val="21"/>
        </w:rPr>
        <w:t>Block_HF = B_complex ∪ B_domain ∪ B_symbol ∪ B_BC ∪ B_interface ∪ B_range ∪ B_gap ∪ B_bridge ∪ B_D ∪ B_Dom ∪ B_glue ∪ B_ind.   (15.29)</w:t>
      </w:r>
    </w:p>
    <w:tbl>
      <w:tblPr>
        <w:tblW w:type="auto" w:w="0"/>
        <w:jc w:val="center"/>
        <w:tblLayout w:type="fixed"/>
        <w:tblLook w:firstColumn="1" w:firstRow="1" w:lastColumn="0" w:lastRow="0" w:noHBand="0" w:noVBand="1" w:val="04A0"/>
      </w:tblPr>
      <w:tblGrid>
        <w:gridCol w:w="3251"/>
        <w:gridCol w:w="3251"/>
        <w:gridCol w:w="3251"/>
      </w:tblGrid>
      <w:tr>
        <w:trPr>
          <w:tblHeader w:val="true"/>
        </w:trPr>
        <w:tc>
          <w:tcPr>
            <w:tcW w:type="dxa" w:w="2438"/>
            <w:vAlign w:val="center"/>
            <w:tcMar>
              <w:top w:w="90" w:type="dxa"/>
              <w:start w:w="100" w:type="dxa"/>
              <w:bottom w:w="90" w:type="dxa"/>
              <w:end w:w="100" w:type="dxa"/>
            </w:tcMar>
            <w:shd w:fill="17365D"/>
          </w:tcPr>
          <w:p>
            <w:pPr>
              <w:spacing w:after="0" w:line="240" w:lineRule="auto"/>
            </w:pPr>
            <w:r>
              <w:rPr>
                <w:rFonts w:ascii="Liberation Sans" w:hAnsi="Liberation Sans"/>
                <w:b/>
                <w:color w:val="FFFFFF"/>
                <w:sz w:val="16"/>
              </w:rPr>
              <w:t>Вывод</w:t>
            </w:r>
          </w:p>
        </w:tc>
        <w:tc>
          <w:tcPr>
            <w:tcW w:type="dxa" w:w="3458"/>
            <w:vAlign w:val="center"/>
            <w:tcMar>
              <w:top w:w="90" w:type="dxa"/>
              <w:start w:w="100" w:type="dxa"/>
              <w:bottom w:w="90" w:type="dxa"/>
              <w:end w:w="100" w:type="dxa"/>
            </w:tcMar>
            <w:shd w:fill="17365D"/>
          </w:tcPr>
          <w:p>
            <w:pPr>
              <w:spacing w:after="0" w:line="240" w:lineRule="auto"/>
            </w:pPr>
            <w:r>
              <w:rPr>
                <w:rFonts w:ascii="Liberation Sans" w:hAnsi="Liberation Sans"/>
                <w:b/>
                <w:color w:val="FFFFFF"/>
                <w:sz w:val="16"/>
              </w:rPr>
              <w:t>Необходимое условие</w:t>
            </w:r>
          </w:p>
        </w:tc>
        <w:tc>
          <w:tcPr>
            <w:tcW w:type="dxa" w:w="3288"/>
            <w:vAlign w:val="center"/>
            <w:tcMar>
              <w:top w:w="90" w:type="dxa"/>
              <w:start w:w="100" w:type="dxa"/>
              <w:bottom w:w="90" w:type="dxa"/>
              <w:end w:w="100" w:type="dxa"/>
            </w:tcMar>
            <w:shd w:fill="17365D"/>
          </w:tcPr>
          <w:p>
            <w:pPr>
              <w:spacing w:after="0" w:line="240" w:lineRule="auto"/>
            </w:pPr>
            <w:r>
              <w:rPr>
                <w:rFonts w:ascii="Liberation Sans" w:hAnsi="Liberation Sans"/>
                <w:b/>
                <w:color w:val="FFFFFF"/>
                <w:sz w:val="16"/>
              </w:rPr>
              <w:t>Запрещённая интерпретация</w:t>
            </w:r>
          </w:p>
        </w:tc>
      </w:tr>
      <w:tr>
        <w:tc>
          <w:tcPr>
            <w:tcW w:type="dxa" w:w="2438"/>
            <w:vAlign w:val="center"/>
            <w:tcMar>
              <w:top w:w="90" w:type="dxa"/>
              <w:start w:w="100" w:type="dxa"/>
              <w:bottom w:w="90" w:type="dxa"/>
              <w:end w:w="100" w:type="dxa"/>
            </w:tcMar>
          </w:tcPr>
          <w:p>
            <w:pPr>
              <w:spacing w:after="0" w:line="240" w:lineRule="auto"/>
            </w:pPr>
            <w:r>
              <w:rPr>
                <w:rFonts w:ascii="Liberation Sans" w:hAnsi="Liberation Sans"/>
                <w:sz w:val="16"/>
              </w:rPr>
              <w:t>NO-OBSTRUCTION-REMOVAL-IN-MODEL</w:t>
            </w:r>
          </w:p>
        </w:tc>
        <w:tc>
          <w:tcPr>
            <w:tcW w:type="dxa" w:w="3458"/>
            <w:vAlign w:val="center"/>
            <w:tcMar>
              <w:top w:w="90" w:type="dxa"/>
              <w:start w:w="100" w:type="dxa"/>
              <w:bottom w:w="90" w:type="dxa"/>
              <w:end w:w="100" w:type="dxa"/>
            </w:tcMar>
          </w:tcPr>
          <w:p>
            <w:pPr>
              <w:spacing w:after="0" w:line="240" w:lineRule="auto"/>
            </w:pPr>
            <w:r>
              <w:rPr>
                <w:rFonts w:ascii="Liberation Sans" w:hAnsi="Liberation Sans"/>
                <w:sz w:val="16"/>
              </w:rPr>
              <w:t>Block_HF=empty и η_H≥ε_H</w:t>
            </w:r>
          </w:p>
        </w:tc>
        <w:tc>
          <w:tcPr>
            <w:tcW w:type="dxa" w:w="3288"/>
            <w:vAlign w:val="center"/>
            <w:tcMar>
              <w:top w:w="90" w:type="dxa"/>
              <w:start w:w="100" w:type="dxa"/>
              <w:bottom w:w="90" w:type="dxa"/>
              <w:end w:w="100" w:type="dxa"/>
            </w:tcMar>
          </w:tcPr>
          <w:p>
            <w:pPr>
              <w:spacing w:after="0" w:line="240" w:lineRule="auto"/>
            </w:pPr>
            <w:r>
              <w:rPr>
                <w:rFonts w:ascii="Liberation Sans" w:hAnsi="Liberation Sans"/>
                <w:sz w:val="16"/>
              </w:rPr>
              <w:t>не означает невозможность иных типов перехода</w:t>
            </w:r>
          </w:p>
        </w:tc>
      </w:tr>
      <w:tr>
        <w:tc>
          <w:tcPr>
            <w:tcW w:type="dxa" w:w="2438"/>
            <w:vAlign w:val="center"/>
            <w:tcMar>
              <w:top w:w="90" w:type="dxa"/>
              <w:start w:w="100" w:type="dxa"/>
              <w:bottom w:w="90" w:type="dxa"/>
              <w:end w:w="100" w:type="dxa"/>
            </w:tcMar>
          </w:tcPr>
          <w:p>
            <w:pPr>
              <w:spacing w:after="0" w:line="240" w:lineRule="auto"/>
            </w:pPr>
            <w:r>
              <w:rPr>
                <w:rFonts w:ascii="Liberation Sans" w:hAnsi="Liberation Sans"/>
                <w:sz w:val="16"/>
              </w:rPr>
              <w:t>CANDIDATE-ANALYTIC-TRANSITION</w:t>
            </w:r>
          </w:p>
        </w:tc>
        <w:tc>
          <w:tcPr>
            <w:tcW w:type="dxa" w:w="3458"/>
            <w:vAlign w:val="center"/>
            <w:tcMar>
              <w:top w:w="90" w:type="dxa"/>
              <w:start w:w="100" w:type="dxa"/>
              <w:bottom w:w="90" w:type="dxa"/>
              <w:end w:w="100" w:type="dxa"/>
            </w:tcMar>
          </w:tcPr>
          <w:p>
            <w:pPr>
              <w:spacing w:after="0" w:line="240" w:lineRule="auto"/>
            </w:pPr>
            <w:r>
              <w:rPr>
                <w:rFonts w:ascii="Liberation Sans" w:hAnsi="Liberation Sans"/>
                <w:sz w:val="16"/>
              </w:rPr>
              <w:t>интервал встречает Δ_HF и сертификат не разрушен</w:t>
            </w:r>
          </w:p>
        </w:tc>
        <w:tc>
          <w:tcPr>
            <w:tcW w:type="dxa" w:w="3288"/>
            <w:vAlign w:val="center"/>
            <w:tcMar>
              <w:top w:w="90" w:type="dxa"/>
              <w:start w:w="100" w:type="dxa"/>
              <w:bottom w:w="90" w:type="dxa"/>
              <w:end w:w="100" w:type="dxa"/>
            </w:tcMar>
          </w:tcPr>
          <w:p>
            <w:pPr>
              <w:spacing w:after="0" w:line="240" w:lineRule="auto"/>
            </w:pPr>
            <w:r>
              <w:rPr>
                <w:rFonts w:ascii="Liberation Sans" w:hAnsi="Liberation Sans"/>
                <w:sz w:val="16"/>
              </w:rPr>
              <w:t>не означает наступление события</w:t>
            </w:r>
          </w:p>
        </w:tc>
      </w:tr>
      <w:tr>
        <w:tc>
          <w:tcPr>
            <w:tcW w:type="dxa" w:w="2438"/>
            <w:vAlign w:val="center"/>
            <w:tcMar>
              <w:top w:w="90" w:type="dxa"/>
              <w:start w:w="100" w:type="dxa"/>
              <w:bottom w:w="90" w:type="dxa"/>
              <w:end w:w="100" w:type="dxa"/>
            </w:tcMar>
          </w:tcPr>
          <w:p>
            <w:pPr>
              <w:spacing w:after="0" w:line="240" w:lineRule="auto"/>
            </w:pPr>
            <w:r>
              <w:rPr>
                <w:rFonts w:ascii="Liberation Sans" w:hAnsi="Liberation Sans"/>
                <w:sz w:val="16"/>
              </w:rPr>
              <w:t>ABSTAIN</w:t>
            </w:r>
          </w:p>
        </w:tc>
        <w:tc>
          <w:tcPr>
            <w:tcW w:type="dxa" w:w="3458"/>
            <w:vAlign w:val="center"/>
            <w:tcMar>
              <w:top w:w="90" w:type="dxa"/>
              <w:start w:w="100" w:type="dxa"/>
              <w:bottom w:w="90" w:type="dxa"/>
              <w:end w:w="100" w:type="dxa"/>
            </w:tcMar>
          </w:tcPr>
          <w:p>
            <w:pPr>
              <w:spacing w:after="0" w:line="240" w:lineRule="auto"/>
            </w:pPr>
            <w:r>
              <w:rPr>
                <w:rFonts w:ascii="Liberation Sans" w:hAnsi="Liberation Sans"/>
                <w:sz w:val="16"/>
              </w:rPr>
              <w:t>есть blocker либо нет uniform numerical margin</w:t>
            </w:r>
          </w:p>
        </w:tc>
        <w:tc>
          <w:tcPr>
            <w:tcW w:type="dxa" w:w="3288"/>
            <w:vAlign w:val="center"/>
            <w:tcMar>
              <w:top w:w="90" w:type="dxa"/>
              <w:start w:w="100" w:type="dxa"/>
              <w:bottom w:w="90" w:type="dxa"/>
              <w:end w:w="100" w:type="dxa"/>
            </w:tcMar>
          </w:tcPr>
          <w:p>
            <w:pPr>
              <w:spacing w:after="0" w:line="240" w:lineRule="auto"/>
            </w:pPr>
            <w:r>
              <w:rPr>
                <w:rFonts w:ascii="Liberation Sans" w:hAnsi="Liberation Sans"/>
                <w:sz w:val="16"/>
              </w:rPr>
              <w:t>не заменяется экспертным оптимизмом</w:t>
            </w:r>
          </w:p>
        </w:tc>
      </w:tr>
    </w:tbl>
    <w:p>
      <w:pPr>
        <w:pStyle w:val="Heading1"/>
        <w:keepNext/>
      </w:pPr>
      <w:r>
        <w:t>144. Контрпримеры и разделяющие модели</w:t>
      </w:r>
    </w:p>
    <w:p>
      <w:pPr/>
      <w:r>
        <w:t>Контртеорема 15.13. [THM] Каждая из следующих импликаций неверна без дополнительных гипотез:</w:t>
      </w:r>
    </w:p>
    <w:p>
      <w:pPr>
        <w:pStyle w:val="ListBullet"/>
        <w:spacing w:after="40"/>
      </w:pPr>
      <w:r>
        <w:t>d²=0 ⇒ комплекс эллиптичен;</w:t>
      </w:r>
    </w:p>
    <w:p>
      <w:pPr>
        <w:pStyle w:val="ListBullet"/>
        <w:spacing w:after="40"/>
      </w:pPr>
      <w:r>
        <w:t>формальная симметрия Δ ⇒ выбранная реализация самосопряжённа;</w:t>
      </w:r>
    </w:p>
    <w:p>
      <w:pPr>
        <w:pStyle w:val="ListBullet"/>
        <w:spacing w:after="40"/>
      </w:pPr>
      <w:r>
        <w:t>dim 𝓗^k постоянно ⇒ конкретный harmonic obstruction не может обратиться в нуль;</w:t>
      </w:r>
    </w:p>
    <w:p>
      <w:pPr>
        <w:pStyle w:val="ListBullet"/>
        <w:spacing w:after="40"/>
      </w:pPr>
      <w:r>
        <w:t>η_H мало ⇒ класс точно нулевой;</w:t>
      </w:r>
    </w:p>
    <w:p>
      <w:pPr>
        <w:pStyle w:val="ListBullet"/>
        <w:spacing w:after="40"/>
      </w:pPr>
      <w:r>
        <w:t>η_H=0 ⇒ существует nonlinear NAPG-lift;</w:t>
      </w:r>
    </w:p>
    <w:p>
      <w:pPr>
        <w:pStyle w:val="ListBullet"/>
        <w:spacing w:after="40"/>
      </w:pPr>
      <w:r>
        <w:t>Fredholmness на каждой страте ⇒ total stratified operator Fredholm без transmission conditions;</w:t>
      </w:r>
    </w:p>
    <w:p>
      <w:pPr>
        <w:pStyle w:val="ListBullet"/>
        <w:spacing w:after="40"/>
      </w:pPr>
      <w:r>
        <w:t>ненулевой spectral flow ⇒ физический переход;</w:t>
      </w:r>
    </w:p>
    <w:p>
      <w:pPr>
        <w:pStyle w:val="ListBullet"/>
        <w:spacing w:after="40"/>
      </w:pPr>
      <w:r>
        <w:t>неассоциативность ⊙ ⇒ ненулевая principal-symbol curvature.</w:t>
      </w:r>
    </w:p>
    <w:p>
      <w:pPr/>
      <w:r>
        <w:t>Модель A: d=0 на бесконечномерном H. Имеем d²=0 и Δ=0, но dim ker Δ=∞ и Fredholmness отсутствует.</w:t>
      </w:r>
    </w:p>
    <w:p>
      <w:pPr/>
      <w:r>
        <w:t>Модель B: -d²/dx² на [0,1]. Одно формальное выражение с Dirichlet и Neumann доменами имеет разные нулевые моды и спектры.</w:t>
      </w:r>
    </w:p>
    <w:p>
      <w:pPr/>
      <w:r>
        <w:t>Модель C: Δ_t=diag(t²,1,2,3,...) на ℓ². При t≠0 ядро нулевое, при t=0 возникает одномерная harmonic mode; переход сопровождается закрытием gap.</w:t>
      </w:r>
    </w:p>
    <w:p>
      <w:pPr/>
      <w:r>
        <w:t>Модель D: q_t=t h в фиксированном одномерном 𝓗. Размерность harmonic space постоянна, но конкретный класс проходит через ноль при t=0. Значит, Betti number не заменяет tracking section.</w:t>
      </w:r>
    </w:p>
    <w:p>
      <w:pPr/>
      <w:r>
        <w:t>Модель E: семейство матриц Ψ_ε=diag(1,ε). Остаток может быть нулевым, но минимальный lift растёт как ε^{-1}; exactness не равна численной устойчивости.</w:t>
      </w:r>
    </w:p>
    <w:p>
      <w:pPr/>
      <w:r>
        <w:t>Модель F: прямая сумма двух страт без interface equations имеет две независимые константные harmonic modes. После условия совпадения следов остаётся одна. Стратовые Betti numbers не складываются автоматически.</w:t>
      </w:r>
    </w:p>
    <w:p>
      <w:pPr>
        <w:pStyle w:val="Heading1"/>
        <w:keepNext/>
      </w:pPr>
      <w:r>
        <w:t>145. Вычислительный сертификат HOD-AN v0.12</w:t>
      </w:r>
    </w:p>
    <w:p>
      <w:pPr>
        <w:pStyle w:val="Heading2"/>
        <w:keepNext/>
      </w:pPr>
      <w:r>
        <w:t>145.1. Псевдокод</w:t>
      </w:r>
    </w:p>
    <w:p>
      <w:pPr>
        <w:pStyle w:val="Quote"/>
      </w:pPr>
      <w:r>
        <w:t>INPUT graded Hilbert data, differential d, metric/Hodge data, boundary and interface domains, obstruction q, Reper D/Dom</w:t>
        <w:br/>
        <w:t>CHECK dense_domain(d), closed_operator(d), composition_defined(d,d), d^2=0</w:t>
        <w:br/>
        <w:t>BUILD adjoints and Laplacians with explicit domains</w:t>
        <w:br/>
        <w:t>CHECK principal_symbol_exactness for every nonzero cotangent direction</w:t>
        <w:br/>
        <w:t>CHECK boundary/interface ellipticity and self-adjoint or Fredholm realization</w:t>
        <w:br/>
        <w:t>COMPUTE kernel, cokernel, index, harmonic projector, positive spectral gap</w:t>
        <w:br/>
        <w:t>COMPUTE eta_H=norm(P_H q), Green bound and conditioning ledger</w:t>
        <w:br/>
        <w:t>CHECK external bridge Pi_E and faithful flag for reverse detection</w:t>
        <w:br/>
        <w:t>CHECK Reper bridge chi_H, lambda domain, Evidence-D and globalization</w:t>
        <w:br/>
        <w:t>IF any blocker: ABSTAIN</w:t>
        <w:br/>
        <w:t>ELSE IF eta_H &gt;= epsilon and path avoids Delta_HF: NO-OBSTRUCTION-REMOVAL-IN-MODEL</w:t>
        <w:br/>
        <w:t>ELSE IF path meets Delta_HF with certified margins: CANDIDATE-ANALYTIC-TRANSITION</w:t>
        <w:br/>
        <w:t>ELSE: ABSTAIN</w:t>
        <w:br/>
        <w:t>EMIT matrices/operators, domains, spectra, residuals, hashes, proof-obligation statuses</w:t>
      </w:r>
    </w:p>
    <w:p>
      <w:pPr/>
      <w:r>
        <w:t>Минимальный пакет HOD-01-HOD-20:</w:t>
      </w:r>
    </w:p>
    <w:p>
      <w:pPr>
        <w:pStyle w:val="ListBullet"/>
        <w:spacing w:after="40"/>
      </w:pPr>
      <w:r>
        <w:t>HOD-01 spaces and grading; HOD-02 exact operator domains; HOD-03 d² test;</w:t>
      </w:r>
    </w:p>
    <w:p>
      <w:pPr>
        <w:pStyle w:val="ListBullet"/>
        <w:spacing w:after="40"/>
      </w:pPr>
      <w:r>
        <w:t>HOD-04 adjoint-domain test; HOD-05 principal-symbol rank test; HOD-06 ellipticity certificate;</w:t>
      </w:r>
    </w:p>
    <w:p>
      <w:pPr>
        <w:pStyle w:val="ListBullet"/>
        <w:spacing w:after="40"/>
      </w:pPr>
      <w:r>
        <w:t>HOD-07 boundary traces; HOD-08 complementing condition; HOD-09 interface compatibility;</w:t>
      </w:r>
    </w:p>
    <w:p>
      <w:pPr>
        <w:pStyle w:val="ListBullet"/>
        <w:spacing w:after="40"/>
      </w:pPr>
      <w:r>
        <w:t>HOD-10 Fredholm kernel/cokernel; HOD-11 index; HOD-12 compact-resolvent flag;</w:t>
      </w:r>
    </w:p>
    <w:p>
      <w:pPr>
        <w:pStyle w:val="ListBullet"/>
        <w:spacing w:after="40"/>
      </w:pPr>
      <w:r>
        <w:t>HOD-13 harmonic basis; HOD-14 spectral gap with interval enclosure; HOD-15 Green norm bound;</w:t>
      </w:r>
    </w:p>
    <w:p>
      <w:pPr>
        <w:pStyle w:val="ListBullet"/>
        <w:spacing w:after="40"/>
      </w:pPr>
      <w:r>
        <w:t>HOD-16 η_H and exact residual; HOD-17 Π_E compatibility; HOD-18 χ_H and λ-domain;</w:t>
      </w:r>
    </w:p>
    <w:p>
      <w:pPr>
        <w:pStyle w:val="ListBullet"/>
        <w:spacing w:after="40"/>
      </w:pPr>
      <w:r>
        <w:t>HOD-19 blocker-safe verdict; HOD-20 source, environment and artifact hashes.</w:t>
      </w:r>
    </w:p>
    <w:p>
      <w:pPr>
        <w:pStyle w:val="Heading1"/>
        <w:keepNext/>
      </w:pPr>
      <w:r>
        <w:t>146. Доказательные обязательства T2-PO-146-T2-PO-170</w:t>
      </w: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trPr>
        <w:tc>
          <w:tcPr>
            <w:tcW w:type="dxa" w:w="1247"/>
            <w:vAlign w:val="center"/>
            <w:tcMar>
              <w:top w:w="90" w:type="dxa"/>
              <w:start w:w="100" w:type="dxa"/>
              <w:bottom w:w="90" w:type="dxa"/>
              <w:end w:w="100" w:type="dxa"/>
            </w:tcMar>
            <w:shd w:fill="17365D"/>
          </w:tcPr>
          <w:p>
            <w:pPr>
              <w:spacing w:after="0" w:line="240" w:lineRule="auto"/>
            </w:pPr>
            <w:r>
              <w:rPr>
                <w:rFonts w:ascii="Liberation Sans" w:hAnsi="Liberation Sans"/>
                <w:b/>
                <w:color w:val="FFFFFF"/>
                <w:sz w:val="15"/>
              </w:rPr>
              <w:t>PO</w:t>
            </w:r>
          </w:p>
        </w:tc>
        <w:tc>
          <w:tcPr>
            <w:tcW w:type="dxa" w:w="3402"/>
            <w:vAlign w:val="center"/>
            <w:tcMar>
              <w:top w:w="90" w:type="dxa"/>
              <w:start w:w="100" w:type="dxa"/>
              <w:bottom w:w="90" w:type="dxa"/>
              <w:end w:w="100" w:type="dxa"/>
            </w:tcMar>
            <w:shd w:fill="17365D"/>
          </w:tcPr>
          <w:p>
            <w:pPr>
              <w:spacing w:after="0" w:line="240" w:lineRule="auto"/>
            </w:pPr>
            <w:r>
              <w:rPr>
                <w:rFonts w:ascii="Liberation Sans" w:hAnsi="Liberation Sans"/>
                <w:b/>
                <w:color w:val="FFFFFF"/>
                <w:sz w:val="15"/>
              </w:rPr>
              <w:t>Обязательство</w:t>
            </w:r>
          </w:p>
        </w:tc>
        <w:tc>
          <w:tcPr>
            <w:tcW w:type="dxa" w:w="1417"/>
            <w:vAlign w:val="center"/>
            <w:tcMar>
              <w:top w:w="90" w:type="dxa"/>
              <w:start w:w="100" w:type="dxa"/>
              <w:bottom w:w="90" w:type="dxa"/>
              <w:end w:w="100" w:type="dxa"/>
            </w:tcMar>
            <w:shd w:fill="17365D"/>
          </w:tcPr>
          <w:p>
            <w:pPr>
              <w:spacing w:after="0" w:line="240" w:lineRule="auto"/>
            </w:pPr>
            <w:r>
              <w:rPr>
                <w:rFonts w:ascii="Liberation Sans" w:hAnsi="Liberation Sans"/>
                <w:b/>
                <w:color w:val="FFFFFF"/>
                <w:sz w:val="15"/>
              </w:rPr>
              <w:t>Статус</w:t>
            </w:r>
          </w:p>
        </w:tc>
        <w:tc>
          <w:tcPr>
            <w:tcW w:type="dxa" w:w="3118"/>
            <w:vAlign w:val="center"/>
            <w:tcMar>
              <w:top w:w="90" w:type="dxa"/>
              <w:start w:w="100" w:type="dxa"/>
              <w:bottom w:w="90" w:type="dxa"/>
              <w:end w:w="100" w:type="dxa"/>
            </w:tcMar>
            <w:shd w:fill="17365D"/>
          </w:tcPr>
          <w:p>
            <w:pPr>
              <w:spacing w:after="0" w:line="240" w:lineRule="auto"/>
            </w:pPr>
            <w:r>
              <w:rPr>
                <w:rFonts w:ascii="Liberation Sans" w:hAnsi="Liberation Sans"/>
                <w:b/>
                <w:color w:val="FFFFFF"/>
                <w:sz w:val="15"/>
              </w:rPr>
              <w:t>Условие закрытия / результат</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T2-PO-146</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Hilbert-complex domains and closedness</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CLOSED</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операторная спецификация (15.1)</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T2-PO-147</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weak Hodge decomposition</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CLOSED/CL</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теорема Hilbert-комплекса</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T2-PO-148</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strong Hodge decomposition</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CLOSED/COND</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closed-range hypothesis</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T2-PO-149</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harmonic = reduced cohomology</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CLOSED/CL</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ортогональное разложение</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T2-PO-150</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ordinary cohomology = harmonic</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CLOSED/COND</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ran d closed</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T2-PO-151</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Poincare estimate and spectral gap</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CLOSED/COND</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self-adjoint closed-range sector</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T2-PO-152</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Green operator and lift estimate</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CLOSED/COND</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uniform gap</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T2-PO-153</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elliptic symbol theorem</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CLOSED/CL</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exact symbol sequence</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T2-PO-154</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Laplace-type identification</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OPEN/COND</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model-specific principal symbol</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T2-PO-155</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absolute/relative boundary realization</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CLOSED/CL</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smooth compact boundary</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T2-PO-156</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general NAPG boundary Fredholmness</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OPEN</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Lopatinski-Shapiro / APS data</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T2-PO-157</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stratified interface domain</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OPEN/COND</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transmission maps required</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T2-PO-158</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Fredholm index constancy</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CLOSED/CL</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continuous Fredholm family</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T2-PO-159</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compact resolvent on NAPG strata</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OPEN/COND</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compactness and ideal BC</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T2-PO-160</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harmonic residual formula</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CLOSED/COND</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closed range</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T2-PO-161</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spectral projector stability</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CLOSED/COND</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norm-resolvent continuity and gap</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T2-PO-162</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analytic obstruction bundle</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COND</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constant harmonic rank</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T2-PO-163</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Hodge-Reper bridge chi_H</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OPEN</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homogeneous functionals and pole audit</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T2-PO-164</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Cheeger-type singular Hodge sector</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OPEN</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stratified pseudomanifold hypotheses</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T2-PO-165</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mezzoperversity / ideal BC choice</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OPEN</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domain classification</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T2-PO-166</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uniform interval spectral certification</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OPEN/COMP</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validated eigensolver</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T2-PO-167</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compatibility with Pi_E and Blind_E</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COND</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B1-B6</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T2-PO-168</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compatibility with beta_Ass</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OPEN</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separate chain bridge</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T2-PO-169</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independent domain run</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OPEN</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no EXT-RUN supplied</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T2-PO-170</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Hodge-Fredholm predictive theorem</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COND</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H1-H12 and certificate HOD-AN</w:t>
            </w:r>
          </w:p>
        </w:tc>
      </w:tr>
    </w:tbl>
    <w:p>
      <w:pPr>
        <w:pStyle w:val="Heading1"/>
        <w:keepNext/>
      </w:pPr>
      <w:r>
        <w:t>147. Prior art и граница авторского вклада</w:t>
      </w:r>
    </w:p>
    <w:p>
      <w:pPr/>
      <w:r>
        <w:t>Классический аналитический слой включает harmonic fields, Hilbert-комплексы, Hodge decomposition, elliptic complexes, Fredholm index, boundary estimates и perturbation theory. Эти конструкции не заявляются как новые. Авторская линия Курпишева состоит в их типизированном соединении с NAPG 3.0, внутренним C_min, внешним E-мостом, projective obstruction carrier, D/Dom-дисциплиной и blocker-safe предсказательным горизонтом.</w:t>
      </w:r>
    </w:p>
    <w:p>
      <w:pPr/>
      <w:r>
        <w:t>[V0.12-1] Kodaira, K. Harmonic Fields in Riemannian Manifolds (Generalized Potential Theory). Annals of Mathematics 50(3), 587-665 (1949). DOI 10.2307/1969552.</w:t>
      </w:r>
    </w:p>
    <w:p>
      <w:pPr/>
      <w:r>
        <w:t>[V0.12-2] Gaffney, M. P. Hilbert Space Methods in the Theory of Harmonic Integrals. Transactions of the AMS 78(2), 426-444 (1955). DOI 10.1090/S0002-9947-1955-0068888-1.</w:t>
      </w:r>
    </w:p>
    <w:p>
      <w:pPr/>
      <w:r>
        <w:t>[V0.12-3] Brüning, J.; Lesch, M. Hilbert Complexes. Journal of Functional Analysis 108(1), 88-132 (1992). DOI 10.1016/0022-1236(92)90147-B.</w:t>
      </w:r>
    </w:p>
    <w:p>
      <w:pPr/>
      <w:r>
        <w:t>[V0.12-4] Atiyah, M. F.; Singer, I. M. The Index of Elliptic Operators I. Annals of Mathematics 87(3), 484-530 (1968). DOI 10.2307/1970715.</w:t>
      </w:r>
    </w:p>
    <w:p>
      <w:pPr/>
      <w:r>
        <w:t>[V0.12-5] Agmon, S.; Douglis, A.; Nirenberg, L. Estimates Near the Boundary for Solutions of Elliptic PDE Satisfying General Boundary Conditions I. CPAM 12(4), 623-727 (1959). DOI 10.1002/cpa.3160120405.</w:t>
      </w:r>
    </w:p>
    <w:p>
      <w:pPr/>
      <w:r>
        <w:t>[V0.12-6] Kato, T. Perturbation Theory for Linear Operators. 2nd ed., Springer, 1995. DOI 10.1007/978-3-642-66282-9.</w:t>
      </w:r>
    </w:p>
    <w:p>
      <w:pPr/>
      <w:r>
        <w:t>[V0.12-7] Cheeger, J. On the Hodge Theory of Riemannian Pseudomanifolds. Proc. Sympos. Pure Math. 36, 91-146 (1980).</w:t>
      </w:r>
    </w:p>
    <w:p>
      <w:pPr/>
      <w:r>
        <w:t>[V0.12-8] Bär, C.; Ballmann, W. Boundary Value Problems for Elliptic Differential Operators of First Order. Surveys in Differential Geometry 17, 1-78 (2012). DOI 10.4310/SDG.2012.v17.n1.a1.</w:t>
      </w:r>
    </w:p>
    <w:p>
      <w:pPr/>
      <w:r>
        <w:t>[V0.12-9] Kurpishev, I. B. Том I v197 RU; Том II T2-RP-v0.1-v0.11.</w:t>
      </w:r>
    </w:p>
    <w:p>
      <w:pPr/>
      <w:r>
        <w:t>Граница новизны. Нельзя называть авторским открытием Hodge decomposition, ellipticity, Fredholm index или спектральную perturbation theory. Авторским является конкретный KLT-RBD/NAPG-контракт, в котором аналитический сертификат связывается с obstruction carriers, проективно-гармонической авторизацией, Evidence-D и трёхзначным выводом NO-TRANSITION / CANDIDATE / ABSTAIN.</w:t>
      </w:r>
    </w:p>
    <w:p>
      <w:pPr>
        <w:pStyle w:val="Heading1"/>
        <w:keepNext/>
      </w:pPr>
      <w:r>
        <w:t>148. Итог главы и контрольная точка T2-RP-v0.12</w:t>
      </w:r>
    </w:p>
    <w:p>
      <w:pPr>
        <w:pStyle w:val="Quote"/>
        <w:spacing w:before="60" w:after="100"/>
        <w:jc w:val="center"/>
      </w:pPr>
      <w:r>
        <w:rPr>
          <w:rFonts w:ascii="Liberation Serif" w:hAnsi="Liberation Serif"/>
          <w:i w:val="0"/>
          <w:sz w:val="21"/>
        </w:rPr>
        <w:t>truth_layer_promotion=0; checkpoint=T2-RP-v0.12; next=T2-RP-v0.13.                  (15.30)</w:t>
      </w:r>
    </w:p>
    <w:p>
      <w:pPr/>
      <w:r>
        <w:t>Глава 15 построила аналитический слой NAPG: от замкнутого Hilbert-комплекса и operator domains до Hodge decomposition, elliptic/Fredholm realization, boundary/interface firewall, spectral gap и harmonic obstruction norm. Главный отрицательный результат состоит в том, что устойчиво ненулевой гармонический класс, отделённый от нуля uniform margin, не может исчезнуть внутри сертифицированной модели без пересечения Hodge-Fredholm горизонта.</w:t>
      </w:r>
    </w:p>
    <w:p>
      <w:pPr>
        <w:pStyle w:val="Lead"/>
      </w:pPr>
      <w:r>
        <w:t>Следующая сборка tom2_v0_13 развивает каноническую главу 16: деформационные функторы, moduli и derived tangent structures, miniversal families, Kuranishi maps, высшие obstruction classes и связь с уже построенным аналитическим Green-оператором.</w:t>
      </w:r>
    </w:p>
    <w:p>
      <w:pPr>
        <w:pStyle w:val="Small"/>
      </w:pPr>
      <w:r>
        <w:t>checkpoint=T2-RP-v0.12; source=T2-RP-v0.11; truth_layer_promotion=0; next=T2-RP-v0.13.</w:t>
      </w:r>
    </w:p>
    <w:p>
      <w:r>
        <w:br w:type="page"/>
      </w:r>
    </w:p>
    <w:p>
      <w:pPr>
        <w:pStyle w:val="Heading1"/>
        <w:keepNext/>
      </w:pPr>
      <w:r>
        <w:t>149. Глава 16. Деформационные функторы, пространства модулей и отображение Кураниши</w:t>
      </w:r>
    </w:p>
    <w:p>
      <w:pPr>
        <w:pStyle w:val="Lead"/>
        <w:spacing w:after="100"/>
      </w:pPr>
      <w:r>
        <w:t>Глава переводит локальную деформационную теорию NAPG из языка отдельных касательных направлений в язык функторов на артиевых базах, группоидов деформаций и локальных модульных объектов. Основная задача состоит в том, чтобы определить, когда формальный tangent class действительно принадлежит miniversal family, какие высшие препятствия мешают продолжению и как Hodge-Green слой v0.12 строит конечномерную Kuranishi reduction без подмены локального модульного germ физическим прогнозом.</w:t>
      </w:r>
    </w:p>
    <w:tbl>
      <w:tblPr>
        <w:tblStyle w:val="TableGrid"/>
        <w:tblW w:type="auto" w:w="0"/>
        <w:jc w:val="center"/>
        <w:tblLook w:firstColumn="1" w:firstRow="1" w:lastColumn="0" w:lastRow="0" w:noHBand="0" w:noVBand="1" w:val="04A0"/>
      </w:tblPr>
      <w:tblGrid>
        <w:gridCol w:w="2376"/>
        <w:gridCol w:w="7488"/>
      </w:tblGrid>
      <w:tr>
        <w:tc>
          <w:tcPr>
            <w:tcW w:type="dxa" w:w="4876"/>
            <w:vAlign w:val="center"/>
            <w:tcMar>
              <w:top w:w="90" w:type="dxa"/>
              <w:start w:w="110" w:type="dxa"/>
              <w:bottom w:w="90" w:type="dxa"/>
              <w:end w:w="110" w:type="dxa"/>
            </w:tcMar>
            <w:shd w:fill="173b63"/>
          </w:tcPr>
          <w:p>
            <w:pPr>
              <w:jc w:val="center"/>
            </w:pPr>
            <w:r/>
            <w:r>
              <w:rPr>
                <w:b/>
                <w:color w:val="FFFFFF"/>
                <w:sz w:val="20"/>
              </w:rPr>
              <w:t>ОНТОЛОГИЯ</w:t>
            </w:r>
          </w:p>
        </w:tc>
        <w:tc>
          <w:tcPr>
            <w:tcW w:type="dxa" w:w="4876"/>
            <w:vAlign w:val="center"/>
            <w:tcMar>
              <w:top w:w="90" w:type="dxa"/>
              <w:start w:w="110" w:type="dxa"/>
              <w:bottom w:w="90" w:type="dxa"/>
              <w:end w:w="110" w:type="dxa"/>
            </w:tcMar>
            <w:shd w:fill="eef3f8"/>
          </w:tcPr>
          <w:p>
            <w:pPr>
              <w:jc w:val="left"/>
            </w:pPr>
            <w:r/>
            <w:r>
              <w:rPr>
                <w:b w:val="0"/>
                <w:sz w:val="20"/>
              </w:rPr>
              <w:t>Модульный объект описывает не одну структуру, а пространство допустимых способов её изменения с учётом эквивалентностей и автоморфизмов. Его точкой является деформация вместе с происхождением, а не просто набор коэффициентов.</w:t>
            </w:r>
          </w:p>
        </w:tc>
      </w:tr>
      <w:tr>
        <w:tc>
          <w:tcPr>
            <w:tcW w:type="dxa" w:w="4876"/>
            <w:vAlign w:val="center"/>
            <w:tcMar>
              <w:top w:w="90" w:type="dxa"/>
              <w:start w:w="110" w:type="dxa"/>
              <w:bottom w:w="90" w:type="dxa"/>
              <w:end w:w="110" w:type="dxa"/>
            </w:tcMar>
            <w:shd w:fill="173b63"/>
          </w:tcPr>
          <w:p>
            <w:pPr>
              <w:jc w:val="center"/>
            </w:pPr>
            <w:r/>
            <w:r>
              <w:rPr>
                <w:b/>
                <w:color w:val="FFFFFF"/>
                <w:sz w:val="20"/>
              </w:rPr>
              <w:t>ГНОСЕОЛОГИЯ</w:t>
            </w:r>
          </w:p>
        </w:tc>
        <w:tc>
          <w:tcPr>
            <w:tcW w:type="dxa" w:w="4876"/>
            <w:vAlign w:val="center"/>
            <w:tcMar>
              <w:top w:w="90" w:type="dxa"/>
              <w:start w:w="110" w:type="dxa"/>
              <w:bottom w:w="90" w:type="dxa"/>
              <w:end w:w="110" w:type="dxa"/>
            </w:tcMar>
            <w:shd w:fill="eef3f8"/>
          </w:tcPr>
          <w:p>
            <w:pPr>
              <w:jc w:val="left"/>
            </w:pPr>
            <w:r/>
            <w:r>
              <w:rPr>
                <w:b w:val="0"/>
                <w:sz w:val="20"/>
              </w:rPr>
              <w:t>Касательная когомология сообщает только первый порядок. Знание локального будущего требует lifting over small extensions, obstruction classes, сходимости формальной серии и сохранения D/Dom.</w:t>
            </w:r>
          </w:p>
        </w:tc>
      </w:tr>
      <w:tr>
        <w:tc>
          <w:tcPr>
            <w:tcW w:type="dxa" w:w="4876"/>
            <w:vAlign w:val="center"/>
            <w:tcMar>
              <w:top w:w="90" w:type="dxa"/>
              <w:start w:w="110" w:type="dxa"/>
              <w:bottom w:w="90" w:type="dxa"/>
              <w:end w:w="110" w:type="dxa"/>
            </w:tcMar>
            <w:shd w:fill="173b63"/>
          </w:tcPr>
          <w:p>
            <w:pPr>
              <w:jc w:val="center"/>
            </w:pPr>
            <w:r/>
            <w:r>
              <w:rPr>
                <w:b/>
                <w:color w:val="FFFFFF"/>
                <w:sz w:val="20"/>
              </w:rPr>
              <w:t>ФЕНОМЕНОЛОГИЯ</w:t>
            </w:r>
          </w:p>
        </w:tc>
        <w:tc>
          <w:tcPr>
            <w:tcW w:type="dxa" w:w="4876"/>
            <w:vAlign w:val="center"/>
            <w:tcMar>
              <w:top w:w="90" w:type="dxa"/>
              <w:start w:w="110" w:type="dxa"/>
              <w:bottom w:w="90" w:type="dxa"/>
              <w:end w:w="110" w:type="dxa"/>
            </w:tcMar>
            <w:shd w:fill="eef3f8"/>
          </w:tcPr>
          <w:p>
            <w:pPr>
              <w:jc w:val="left"/>
            </w:pPr>
            <w:r/>
            <w:r>
              <w:rPr>
                <w:b w:val="0"/>
                <w:sz w:val="20"/>
              </w:rPr>
              <w:t>Наблюдаемая ветвь семейства возникает как путь в нулевом локусе Kuranishi map. Сингулярность этого локуса выражает конкуренцию допустимых способов продолжения, но не является сама по себе физической катастрофой.</w:t>
            </w:r>
          </w:p>
        </w:tc>
      </w:tr>
      <w:tr>
        <w:tc>
          <w:tcPr>
            <w:tcW w:type="dxa" w:w="4876"/>
            <w:vAlign w:val="center"/>
            <w:tcMar>
              <w:top w:w="90" w:type="dxa"/>
              <w:start w:w="110" w:type="dxa"/>
              <w:bottom w:w="90" w:type="dxa"/>
              <w:end w:w="110" w:type="dxa"/>
            </w:tcMar>
            <w:shd w:fill="a77618"/>
          </w:tcPr>
          <w:p>
            <w:pPr>
              <w:jc w:val="center"/>
            </w:pPr>
            <w:r/>
            <w:r>
              <w:rPr>
                <w:b/>
                <w:color w:val="FFFFFF"/>
                <w:sz w:val="20"/>
              </w:rPr>
              <w:t>ГРАНИЦА</w:t>
            </w:r>
          </w:p>
        </w:tc>
        <w:tc>
          <w:tcPr>
            <w:tcW w:type="dxa" w:w="4876"/>
            <w:vAlign w:val="center"/>
            <w:tcMar>
              <w:top w:w="90" w:type="dxa"/>
              <w:start w:w="110" w:type="dxa"/>
              <w:bottom w:w="90" w:type="dxa"/>
              <w:end w:w="110" w:type="dxa"/>
            </w:tcMar>
            <w:shd w:fill="f8efd9"/>
          </w:tcPr>
          <w:p>
            <w:pPr>
              <w:jc w:val="left"/>
            </w:pPr>
            <w:r/>
            <w:r>
              <w:rPr>
                <w:b w:val="0"/>
                <w:sz w:val="20"/>
              </w:rPr>
              <w:t>Schlessinger hull, DGLA/L_infinity control, Kuranishi map и derived formal moduli применяются только при явно перечисленных гипотезах. Для общей NAPG-операции controlling algebra пока является отдельным доказательным обязательством.</w:t>
            </w:r>
          </w:p>
        </w:tc>
      </w:tr>
    </w:tbl>
    <w:p>
      <w:pPr>
        <w:pStyle w:val="Heading1"/>
        <w:keepNext/>
      </w:pPr>
      <w:r>
        <w:t>150. Категория артиевых баз и деформационный функтор</w:t>
      </w:r>
    </w:p>
    <w:p>
      <w:pPr>
        <w:spacing w:after="100"/>
      </w:pPr>
      <w:r>
        <w:t>Пусть K - поле характеристики 0, если не оговорено иное. Обозначим через Art_K категорию локальных артиевых K-алгебр A с полем вычетов K и морфизмами, индуцирующими тождество на K. Максимальный идеал обозначается m_A; он нильпотентен.</w:t>
      </w:r>
    </w:p>
    <w:p>
      <w:pPr>
        <w:pStyle w:val="Quote"/>
        <w:spacing w:before="80" w:after="120"/>
        <w:jc w:val="center"/>
      </w:pPr>
      <w:r>
        <w:t>Art_K = { (A,m_A) : A/m_A ≅ K,  m_A^N=0 для некоторого N }.                       (16.1)</w:t>
      </w:r>
    </w:p>
    <w:p>
      <w:pPr>
        <w:spacing w:after="100"/>
      </w:pPr>
      <w:r>
        <w:t>Определение 16.1 (NAPG deformation groupoid). Для фиксированного кадра N деформационный группоид Def_N(A) состоит из NAPG-структур N_A над A, редукция которых по A→K изоморфна N, и изоморфизмов над A, тождественных на специальном слое. При забывании автоморфизмов возникает set-valued functor π_0Def_N, но именно группоид хранит стабилизаторы.</w:t>
      </w:r>
    </w:p>
    <w:p>
      <w:pPr>
        <w:pStyle w:val="Quote"/>
        <w:spacing w:before="80" w:after="120"/>
        <w:jc w:val="center"/>
      </w:pPr>
      <w:r>
        <w:t>Def_N : Art_K → Gpd,      F_N = π_0 Def_N : Art_K → Set.                     (16.2)</w:t>
      </w:r>
    </w:p>
    <w:p>
      <w:pPr>
        <w:spacing w:after="100"/>
      </w:pPr>
      <w:r>
        <w:t>Функториальность означает, что morphism A→B задаёт base change N_A⊗_A B. Для частичных операций дополнительно требуется, чтобы Dom_⊙, Evidence-D, градуировка и выбранные obstruction carriers переносились совместимо.</w:t>
      </w:r>
    </w:p>
    <w:p>
      <w:pPr>
        <w:jc w:val="center"/>
      </w:pPr>
      <w:r>
        <w:drawing>
          <wp:inline xmlns:a="http://schemas.openxmlformats.org/drawingml/2006/main" xmlns:pic="http://schemas.openxmlformats.org/drawingml/2006/picture">
            <wp:extent cx="6035040" cy="2833845"/>
            <wp:docPr id="39" name="Picture 39"/>
            <wp:cNvGraphicFramePr>
              <a:graphicFrameLocks noChangeAspect="1"/>
            </wp:cNvGraphicFramePr>
            <a:graphic>
              <a:graphicData uri="http://schemas.openxmlformats.org/drawingml/2006/picture">
                <pic:pic>
                  <pic:nvPicPr>
                    <pic:cNvPr id="0" name="fig16_1.png"/>
                    <pic:cNvPicPr/>
                  </pic:nvPicPr>
                  <pic:blipFill>
                    <a:blip r:embed="rId68"/>
                    <a:stretch>
                      <a:fillRect/>
                    </a:stretch>
                  </pic:blipFill>
                  <pic:spPr>
                    <a:xfrm>
                      <a:off x="0" y="0"/>
                      <a:ext cx="6035040" cy="2833845"/>
                    </a:xfrm>
                    <a:prstGeom prst="rect"/>
                  </pic:spPr>
                </pic:pic>
              </a:graphicData>
            </a:graphic>
          </wp:inline>
        </w:drawing>
      </w:r>
    </w:p>
    <w:p>
      <w:pPr>
        <w:pStyle w:val="Caption"/>
        <w:keepNext/>
        <w:jc w:val="center"/>
      </w:pPr>
      <w:r>
        <w:t>Рисунок 16.1. Деформационный функтор NAPG и три уровня локального модульного объекта. Собственная схема Тома II.</w:t>
      </w:r>
    </w:p>
    <w:p>
      <w:pPr>
        <w:pStyle w:val="Heading1"/>
        <w:keepNext/>
      </w:pPr>
      <w:r>
        <w:t>151. Малые расширения и локальная задача подъёма</w:t>
      </w:r>
    </w:p>
    <w:p>
      <w:pPr>
        <w:spacing w:after="100"/>
      </w:pPr>
      <w:r>
        <w:t>Малым расширением называется сюръекция A′→A в Art_K с ядром I, для которого m_{A′}I=0. Тогда I является конечномерным K-векторным пространством, а задача подъёма деформации ξ_A состоит в построении ξ_{A′}, редуцирующейся к ξ_A.</w:t>
      </w:r>
    </w:p>
    <w:p>
      <w:pPr>
        <w:pStyle w:val="Quote"/>
        <w:spacing w:before="80" w:after="120"/>
        <w:jc w:val="center"/>
      </w:pPr>
      <w:r>
        <w:t>0 → I → A′ → A → 0,       m_{A′} I = 0.                                      (16.3)</w:t>
      </w:r>
    </w:p>
    <w:p>
      <w:pPr>
        <w:spacing w:after="100"/>
      </w:pPr>
      <w:r>
        <w:t>Определение 16.2 (полная линейная obstruction theory). Тройка пространств (H_N^1,H_N^2,H_N^3) задаёт полную локальную obstruction theory, если для каждого малого расширения и ξ_A существуют:</w:t>
      </w:r>
    </w:p>
    <w:p>
      <w:pPr>
        <w:pStyle w:val="ListBullet"/>
      </w:pPr>
      <w:r>
        <w:t>класс препятствия ob(ξ_A,A′)∈H_N^3⊗I, функториальный по morphisms малых расширений;</w:t>
      </w:r>
    </w:p>
    <w:p>
      <w:pPr>
        <w:pStyle w:val="ListBullet"/>
      </w:pPr>
      <w:r>
        <w:t>эквивалентность ob=0 тогда и только тогда, когда lift существует;</w:t>
      </w:r>
    </w:p>
    <w:p>
      <w:pPr>
        <w:pStyle w:val="ListBullet"/>
      </w:pPr>
      <w:r>
        <w:t>при ob=0 множество классов lifts является торсором над H_N^2⊗I;</w:t>
      </w:r>
    </w:p>
    <w:p>
      <w:pPr>
        <w:pStyle w:val="ListBullet"/>
      </w:pPr>
      <w:r>
        <w:t>группа инфинитезимальных автоморфизмов каждого lift содержит естественное действие H_N^1⊗I, а при полноте совпадает с ним.</w:t>
      </w:r>
    </w:p>
    <w:p>
      <w:pPr>
        <w:spacing w:after="100"/>
      </w:pPr>
      <w:r>
        <w:t>Эта схема не выводится из одного комплекса автоматически. Она является контрактом, который должен быть доказан либо получен из controlling L_infinity algebra.</w:t>
      </w:r>
    </w:p>
    <w:p>
      <w:pPr>
        <w:pStyle w:val="Heading1"/>
        <w:keepNext/>
      </w:pPr>
      <w:r>
        <w:t>152. Условия Шлессингера и существование hull</w:t>
      </w:r>
    </w:p>
    <w:p>
      <w:pPr>
        <w:spacing w:after="100"/>
      </w:pPr>
      <w:r>
        <w:t>Для set-valued functor F с F(K)=* рассмотрим каноническую карту для диаграммы A′→A←A″:</w:t>
      </w:r>
    </w:p>
    <w:p>
      <w:pPr>
        <w:pStyle w:val="Quote"/>
        <w:spacing w:before="80" w:after="120"/>
        <w:jc w:val="center"/>
      </w:pPr>
      <w:r>
        <w:t>F(A′×_A A″) → F(A′) ×_{F(A)} F(A″).                                           (16.4)</w:t>
      </w:r>
    </w:p>
    <w:tbl>
      <w:tblPr>
        <w:tblStyle w:val="TableGrid"/>
        <w:tblW w:type="auto" w:w="0"/>
        <w:jc w:val="center"/>
        <w:tblLook w:firstColumn="1" w:firstRow="1" w:lastColumn="0" w:lastRow="0" w:noHBand="0" w:noVBand="1" w:val="04A0"/>
      </w:tblPr>
      <w:tblGrid>
        <w:gridCol w:w="3251"/>
        <w:gridCol w:w="3251"/>
        <w:gridCol w:w="3251"/>
      </w:tblGrid>
      <w:tr>
        <w:trPr>
          <w:tblHeader w:val="true"/>
        </w:trPr>
        <w:tc>
          <w:tcPr>
            <w:tcW w:type="dxa" w:w="1440"/>
            <w:vAlign w:val="center"/>
            <w:tcMar>
              <w:top w:w="90" w:type="dxa"/>
              <w:start w:w="110" w:type="dxa"/>
              <w:bottom w:w="90" w:type="dxa"/>
              <w:end w:w="110" w:type="dxa"/>
            </w:tcMar>
            <w:shd w:fill="173b63"/>
          </w:tcPr>
          <w:p>
            <w:pPr>
              <w:jc w:val="center"/>
            </w:pPr>
            <w:r/>
            <w:r>
              <w:rPr>
                <w:b/>
                <w:color w:val="FFFFFF"/>
                <w:sz w:val="18"/>
              </w:rPr>
              <w:t>Условие</w:t>
            </w:r>
          </w:p>
        </w:tc>
        <w:tc>
          <w:tcPr>
            <w:tcW w:type="dxa" w:w="5184"/>
            <w:vAlign w:val="center"/>
            <w:tcMar>
              <w:top w:w="90" w:type="dxa"/>
              <w:start w:w="110" w:type="dxa"/>
              <w:bottom w:w="90" w:type="dxa"/>
              <w:end w:w="110" w:type="dxa"/>
            </w:tcMar>
            <w:shd w:fill="173b63"/>
          </w:tcPr>
          <w:p>
            <w:pPr>
              <w:jc w:val="center"/>
            </w:pPr>
            <w:r/>
            <w:r>
              <w:rPr>
                <w:b/>
                <w:color w:val="FFFFFF"/>
                <w:sz w:val="18"/>
              </w:rPr>
              <w:t>Точная роль</w:t>
            </w:r>
          </w:p>
        </w:tc>
        <w:tc>
          <w:tcPr>
            <w:tcW w:type="dxa" w:w="2304"/>
            <w:vAlign w:val="center"/>
            <w:tcMar>
              <w:top w:w="90" w:type="dxa"/>
              <w:start w:w="110" w:type="dxa"/>
              <w:bottom w:w="90" w:type="dxa"/>
              <w:end w:w="110" w:type="dxa"/>
            </w:tcMar>
            <w:shd w:fill="173b63"/>
          </w:tcPr>
          <w:p>
            <w:pPr>
              <w:jc w:val="center"/>
            </w:pPr>
            <w:r/>
            <w:r>
              <w:rPr>
                <w:b/>
                <w:color w:val="FFFFFF"/>
                <w:sz w:val="18"/>
              </w:rPr>
              <w:t>Статус для NAPG</w:t>
            </w:r>
          </w:p>
        </w:tc>
      </w:tr>
      <w:tr>
        <w:tc>
          <w:tcPr>
            <w:tcW w:type="dxa" w:w="1440"/>
            <w:vAlign w:val="center"/>
            <w:tcMar>
              <w:top w:w="90" w:type="dxa"/>
              <w:start w:w="110" w:type="dxa"/>
              <w:bottom w:w="90" w:type="dxa"/>
              <w:end w:w="110" w:type="dxa"/>
            </w:tcMar>
          </w:tcPr>
          <w:p>
            <w:pPr>
              <w:jc w:val="center"/>
            </w:pPr>
            <w:r/>
            <w:r>
              <w:rPr>
                <w:b w:val="0"/>
                <w:sz w:val="16"/>
              </w:rPr>
              <w:t>H1</w:t>
            </w:r>
          </w:p>
        </w:tc>
        <w:tc>
          <w:tcPr>
            <w:tcW w:type="dxa" w:w="5184"/>
            <w:vAlign w:val="center"/>
            <w:tcMar>
              <w:top w:w="90" w:type="dxa"/>
              <w:start w:w="110" w:type="dxa"/>
              <w:bottom w:w="90" w:type="dxa"/>
              <w:end w:w="110" w:type="dxa"/>
            </w:tcMar>
          </w:tcPr>
          <w:p>
            <w:pPr>
              <w:jc w:val="left"/>
            </w:pPr>
            <w:r/>
            <w:r>
              <w:rPr>
                <w:b w:val="0"/>
                <w:sz w:val="16"/>
              </w:rPr>
              <w:t>Карта (16.4) сюръективна, когда A″→A является малым расширением.</w:t>
            </w:r>
          </w:p>
        </w:tc>
        <w:tc>
          <w:tcPr>
            <w:tcW w:type="dxa" w:w="2304"/>
            <w:vAlign w:val="center"/>
            <w:tcMar>
              <w:top w:w="90" w:type="dxa"/>
              <w:start w:w="110" w:type="dxa"/>
              <w:bottom w:w="90" w:type="dxa"/>
              <w:end w:w="110" w:type="dxa"/>
            </w:tcMar>
          </w:tcPr>
          <w:p>
            <w:pPr>
              <w:jc w:val="center"/>
            </w:pPr>
            <w:r/>
            <w:r>
              <w:rPr>
                <w:b w:val="0"/>
                <w:sz w:val="16"/>
              </w:rPr>
              <w:t>OPEN/CTRL</w:t>
            </w:r>
          </w:p>
        </w:tc>
      </w:tr>
      <w:tr>
        <w:tc>
          <w:tcPr>
            <w:tcW w:type="dxa" w:w="1440"/>
            <w:vAlign w:val="center"/>
            <w:tcMar>
              <w:top w:w="90" w:type="dxa"/>
              <w:start w:w="110" w:type="dxa"/>
              <w:bottom w:w="90" w:type="dxa"/>
              <w:end w:w="110" w:type="dxa"/>
            </w:tcMar>
          </w:tcPr>
          <w:p>
            <w:pPr>
              <w:jc w:val="center"/>
            </w:pPr>
            <w:r/>
            <w:r>
              <w:rPr>
                <w:b w:val="0"/>
                <w:sz w:val="16"/>
              </w:rPr>
              <w:t>H2</w:t>
            </w:r>
          </w:p>
        </w:tc>
        <w:tc>
          <w:tcPr>
            <w:tcW w:type="dxa" w:w="5184"/>
            <w:vAlign w:val="center"/>
            <w:tcMar>
              <w:top w:w="90" w:type="dxa"/>
              <w:start w:w="110" w:type="dxa"/>
              <w:bottom w:w="90" w:type="dxa"/>
              <w:end w:w="110" w:type="dxa"/>
            </w:tcMar>
          </w:tcPr>
          <w:p>
            <w:pPr>
              <w:jc w:val="left"/>
            </w:pPr>
            <w:r/>
            <w:r>
              <w:rPr>
                <w:b w:val="0"/>
                <w:sz w:val="16"/>
              </w:rPr>
              <w:t>Карта (16.4) биективна при A=K и A″=K[ε]/(ε²).</w:t>
            </w:r>
          </w:p>
        </w:tc>
        <w:tc>
          <w:tcPr>
            <w:tcW w:type="dxa" w:w="2304"/>
            <w:vAlign w:val="center"/>
            <w:tcMar>
              <w:top w:w="90" w:type="dxa"/>
              <w:start w:w="110" w:type="dxa"/>
              <w:bottom w:w="90" w:type="dxa"/>
              <w:end w:w="110" w:type="dxa"/>
            </w:tcMar>
          </w:tcPr>
          <w:p>
            <w:pPr>
              <w:jc w:val="center"/>
            </w:pPr>
            <w:r/>
            <w:r>
              <w:rPr>
                <w:b w:val="0"/>
                <w:sz w:val="16"/>
              </w:rPr>
              <w:t>OPEN/CTRL</w:t>
            </w:r>
          </w:p>
        </w:tc>
      </w:tr>
      <w:tr>
        <w:tc>
          <w:tcPr>
            <w:tcW w:type="dxa" w:w="1440"/>
            <w:vAlign w:val="center"/>
            <w:tcMar>
              <w:top w:w="90" w:type="dxa"/>
              <w:start w:w="110" w:type="dxa"/>
              <w:bottom w:w="90" w:type="dxa"/>
              <w:end w:w="110" w:type="dxa"/>
            </w:tcMar>
          </w:tcPr>
          <w:p>
            <w:pPr>
              <w:jc w:val="center"/>
            </w:pPr>
            <w:r/>
            <w:r>
              <w:rPr>
                <w:b w:val="0"/>
                <w:sz w:val="16"/>
              </w:rPr>
              <w:t>H3</w:t>
            </w:r>
          </w:p>
        </w:tc>
        <w:tc>
          <w:tcPr>
            <w:tcW w:type="dxa" w:w="5184"/>
            <w:vAlign w:val="center"/>
            <w:tcMar>
              <w:top w:w="90" w:type="dxa"/>
              <w:start w:w="110" w:type="dxa"/>
              <w:bottom w:w="90" w:type="dxa"/>
              <w:end w:w="110" w:type="dxa"/>
            </w:tcMar>
          </w:tcPr>
          <w:p>
            <w:pPr>
              <w:jc w:val="left"/>
            </w:pPr>
            <w:r/>
            <w:r>
              <w:rPr>
                <w:b w:val="0"/>
                <w:sz w:val="16"/>
              </w:rPr>
              <w:t>Касательное пространство t_F=F(K[ε]) конечномерно.</w:t>
            </w:r>
          </w:p>
        </w:tc>
        <w:tc>
          <w:tcPr>
            <w:tcW w:type="dxa" w:w="2304"/>
            <w:vAlign w:val="center"/>
            <w:tcMar>
              <w:top w:w="90" w:type="dxa"/>
              <w:start w:w="110" w:type="dxa"/>
              <w:bottom w:w="90" w:type="dxa"/>
              <w:end w:w="110" w:type="dxa"/>
            </w:tcMar>
          </w:tcPr>
          <w:p>
            <w:pPr>
              <w:jc w:val="center"/>
            </w:pPr>
            <w:r/>
            <w:r>
              <w:rPr>
                <w:b w:val="0"/>
                <w:sz w:val="16"/>
              </w:rPr>
              <w:t>COND-FD</w:t>
            </w:r>
          </w:p>
        </w:tc>
      </w:tr>
      <w:tr>
        <w:tc>
          <w:tcPr>
            <w:tcW w:type="dxa" w:w="1440"/>
            <w:vAlign w:val="center"/>
            <w:tcMar>
              <w:top w:w="90" w:type="dxa"/>
              <w:start w:w="110" w:type="dxa"/>
              <w:bottom w:w="90" w:type="dxa"/>
              <w:end w:w="110" w:type="dxa"/>
            </w:tcMar>
          </w:tcPr>
          <w:p>
            <w:pPr>
              <w:jc w:val="center"/>
            </w:pPr>
            <w:r/>
            <w:r>
              <w:rPr>
                <w:b w:val="0"/>
                <w:sz w:val="16"/>
              </w:rPr>
              <w:t>H4</w:t>
            </w:r>
          </w:p>
        </w:tc>
        <w:tc>
          <w:tcPr>
            <w:tcW w:type="dxa" w:w="5184"/>
            <w:vAlign w:val="center"/>
            <w:tcMar>
              <w:top w:w="90" w:type="dxa"/>
              <w:start w:w="110" w:type="dxa"/>
              <w:bottom w:w="90" w:type="dxa"/>
              <w:end w:w="110" w:type="dxa"/>
            </w:tcMar>
          </w:tcPr>
          <w:p>
            <w:pPr>
              <w:jc w:val="left"/>
            </w:pPr>
            <w:r/>
            <w:r>
              <w:rPr>
                <w:b w:val="0"/>
                <w:sz w:val="16"/>
              </w:rPr>
              <w:t>Карта (16.4) биективна для A′=A″ и малого расширения A′→A.</w:t>
            </w:r>
          </w:p>
        </w:tc>
        <w:tc>
          <w:tcPr>
            <w:tcW w:type="dxa" w:w="2304"/>
            <w:vAlign w:val="center"/>
            <w:tcMar>
              <w:top w:w="90" w:type="dxa"/>
              <w:start w:w="110" w:type="dxa"/>
              <w:bottom w:w="90" w:type="dxa"/>
              <w:end w:w="110" w:type="dxa"/>
            </w:tcMar>
          </w:tcPr>
          <w:p>
            <w:pPr>
              <w:jc w:val="center"/>
            </w:pPr>
            <w:r/>
            <w:r>
              <w:rPr>
                <w:b w:val="0"/>
                <w:sz w:val="16"/>
              </w:rPr>
              <w:t>OPEN/PROREP</w:t>
            </w:r>
          </w:p>
        </w:tc>
      </w:tr>
    </w:tbl>
    <w:p>
      <w:pPr>
        <w:spacing w:after="100"/>
      </w:pPr>
      <w:r>
        <w:t>Теорема 16.3 (Schlessinger package, применённый условно). Если F удовлетворяет H1-H3, то F имеет hull: существует complete local K-algebra R и smooth natural transformation h_R→F, индуцирующая изоморфизм tangent spaces. Если дополнительно выполнено H4, F prorepresentable. Для groupoid-valued задач эти условия требуют стековой или derived модификации.</w:t>
      </w:r>
    </w:p>
    <w:p>
      <w:pPr>
        <w:spacing w:after="100"/>
      </w:pPr>
      <w:r>
        <w:t>В NAPG конечномерность tangent space следует только в конечномерном или Fredholm-редуцированном секторе. Поэтому H3 не переносится на произвольную бесконечномерную модель без дополнительных compactness и gauge-fixing гипотез.</w:t>
      </w:r>
    </w:p>
    <w:p>
      <w:pPr>
        <w:pStyle w:val="Heading1"/>
        <w:keepNext/>
      </w:pPr>
      <w:r>
        <w:t>153. Versal, miniversal и universal: запрет терминологической подмены</w:t>
      </w:r>
    </w:p>
    <w:p>
      <w:pPr>
        <w:spacing w:after="100"/>
      </w:pPr>
      <w:r>
        <w:t>Пусть (S,0) - формальный или аналитический germ, а N_S - семейство деформаций. Оно называется versal, если всякая малая деформация индуцируется из него после некоторого base map. Оно miniversal, если дополнительно дифференциал base map единственен в первом порядке и dim T_0S минимальна. Universal family требует единственности самого base map.</w:t>
      </w:r>
    </w:p>
    <w:p>
      <w:pPr>
        <w:pStyle w:val="Quote"/>
        <w:spacing w:before="80" w:after="120"/>
        <w:jc w:val="center"/>
      </w:pPr>
      <w:r>
        <w:t>universal ⇒ miniversal ⇒ versal,      обратные импликации неверны.            (16.5)</w:t>
      </w:r>
    </w:p>
    <w:p>
      <w:pPr>
        <w:spacing w:after="100"/>
      </w:pPr>
      <w:r>
        <w:t>Наличие нетривиальных автоморфизмов обычно разрушает универсальность, не разрушая miniversality. Поэтому локальный модульный объект NAPG следует хранить как группоид или stack germ, а не только как множество точек.</w:t>
      </w:r>
    </w:p>
    <w:p>
      <w:pPr>
        <w:pStyle w:val="Heading1"/>
        <w:keepNext/>
      </w:pPr>
      <w:r>
        <w:t>154. Трёхчленный деформационный комплекс и derived tangent</w:t>
      </w:r>
    </w:p>
    <w:p>
      <w:pPr>
        <w:spacing w:after="100"/>
      </w:pPr>
      <w:r>
        <w:t>Используется комплекс, согласованный с предыдущими главами:</w:t>
      </w:r>
    </w:p>
    <w:p>
      <w:pPr>
        <w:pStyle w:val="Quote"/>
        <w:spacing w:before="80" w:after="120"/>
        <w:jc w:val="center"/>
      </w:pPr>
      <w:r>
        <w:t>C_N^1 ─d_N^1→ C_N^2 ─d_N^2→ C_N^3,       d_N^2 d_N^1 = 0.                    (16.6)</w:t>
      </w:r>
    </w:p>
    <w:p>
      <w:pPr>
        <w:spacing w:after="100"/>
      </w:pPr>
      <w:r>
        <w:t>Его когомологии имеют проектную интерпретацию:</w:t>
      </w:r>
    </w:p>
    <w:p>
      <w:pPr>
        <w:pStyle w:val="Quote"/>
        <w:spacing w:before="80" w:after="120"/>
        <w:jc w:val="center"/>
      </w:pPr>
      <w:r>
        <w:t>H_N^1 = infinitesimal automorphisms,   H_N^2 = tangent classes,   H_N^3 = primary obstructions.  (16.7)</w:t>
      </w:r>
    </w:p>
    <w:p>
      <w:pPr>
        <w:spacing w:after="100"/>
      </w:pPr>
      <w:r>
        <w:t>Для сопоставления с derived geometry вводится controlling shift g_N=C_N[1], то есть g_N^j=C_N^{j+1}. Тогда derived tangent complex определяется как T_N^der=g_N[1], и</w:t>
      </w:r>
    </w:p>
    <w:p>
      <w:pPr>
        <w:pStyle w:val="Quote"/>
        <w:spacing w:before="80" w:after="120"/>
        <w:jc w:val="center"/>
      </w:pPr>
      <w:r>
        <w:t>H^{-1}(T_N^der)=H_N^1,   H^0(T_N^der)=H_N^2,   H^1(T_N^der)=H_N^3.             (16.8)</w:t>
      </w:r>
    </w:p>
    <w:p>
      <w:pPr>
        <w:spacing w:after="100"/>
      </w:pPr>
      <w:r>
        <w:t>Отрицательные степени хранят stabilizer directions, нулевая степень - деформации, положительные - препятствия. Coarse tangent space H_N^2 теряет H_N^1 и потому не является полной локальной моделью moduli problem.</w:t>
      </w:r>
    </w:p>
    <w:p>
      <w:pPr>
        <w:pStyle w:val="Heading1"/>
        <w:keepNext/>
      </w:pPr>
      <w:r>
        <w:t>155. Контролирующая L_infinity-гипотеза</w:t>
      </w:r>
    </w:p>
    <w:p>
      <w:pPr>
        <w:spacing w:after="100"/>
      </w:pPr>
      <w:r>
        <w:t>Гипотеза CTRL-16.1. Для выбранного класса NAPG-структур существует полная фильтрованная L_infinity-алгебра</w:t>
      </w:r>
    </w:p>
    <w:p>
      <w:pPr>
        <w:pStyle w:val="Quote"/>
        <w:spacing w:before="80" w:after="120"/>
        <w:jc w:val="center"/>
      </w:pPr>
      <w:r>
        <w:t>g_N=(g_N,l_1,l_2,l_3,...)                                                     (16.9)</w:t>
      </w:r>
    </w:p>
    <w:p>
      <w:pPr>
        <w:spacing w:after="100"/>
      </w:pPr>
      <w:r>
        <w:t>и естественная эквивалентность группоидов Def_N(A) с Maurer-Cartan groupoid g_N⊗m_A для всех A∈Art_K. Полнота фильтрации обеспечивает конечность каждой MC-суммы на артиевой базе.</w:t>
      </w:r>
    </w:p>
    <w:p>
      <w:pPr>
        <w:pStyle w:val="Quote"/>
        <w:spacing w:before="80" w:after="120"/>
        <w:jc w:val="center"/>
      </w:pPr>
      <w:r>
        <w:t>MC_N(A)={α∈g_N^1⊗m_A : Σ_{n≥1}(1/n!) l_n(α,...,α)=0 }.                         (16.10)</w:t>
      </w:r>
    </w:p>
    <w:p>
      <w:pPr>
        <w:spacing w:after="100"/>
      </w:pPr>
      <w:r>
        <w:t>В проектной нумерации g_N^1=C_N^2, поэтому MC-параметр является вариацией бинарной операции или полного NAPG-кадра. Gauge action задаётся degree-zero частью g_N^0=C_N^1. Для общей частичной операции ⊙ существование такой g_N не предполагается без доказательства: оно включено в T2-PO-176.</w:t>
      </w:r>
    </w:p>
    <w:p>
      <w:pPr>
        <w:pStyle w:val="Heading1"/>
        <w:keepNext/>
      </w:pPr>
      <w:r>
        <w:t>156. Lifting theorem из Maurer-Cartan equation</w:t>
      </w:r>
    </w:p>
    <w:p>
      <w:pPr>
        <w:spacing w:after="100"/>
      </w:pPr>
      <w:r>
        <w:t>Теорема 16.4 (малое расширение, условная форма). Пусть CTRL-16.1 выполнена, A′→A - малое расширение с ядром I, а α_A∈MC_N(A). Выберем lift α̃∈g_N^1⊗m_{A′}. Его curvature</w:t>
      </w:r>
    </w:p>
    <w:p>
      <w:pPr>
        <w:pStyle w:val="Quote"/>
        <w:spacing w:before="80" w:after="120"/>
        <w:jc w:val="center"/>
      </w:pPr>
      <w:r>
        <w:t>F(α̃)=Σ_{n≥1}(1/n!)l_n(α̃^n) ∈ g_N^2⊗I                                  (16.11)</w:t>
      </w:r>
    </w:p>
    <w:p>
      <w:pPr>
        <w:spacing w:after="100"/>
      </w:pPr>
      <w:r>
        <w:t>является l_1-циклом, а его класс в H^2(g_N)⊗I=H_N^3⊗I не зависит от выбранного lift. Он равен obstruction class. Класс исчезает тогда и только тогда, когда α_A допускает MC-lift; множество lifts modulo gauge является торсором над H^1(g_N)⊗I=H_N^2⊗I.</w:t>
      </w:r>
    </w:p>
    <w:p>
      <w:pPr>
        <w:spacing w:after="100"/>
      </w:pPr>
      <w:r>
        <w:t>Доказательство использует L_infinity identities и условие m_{A′}I=0, уничтожающее нелинейные члены, содержащие поправку дважды. Это стандартный механизм, но его перенос на NAPG зависит от CTRL-16.1.</w:t>
      </w:r>
    </w:p>
    <w:p>
      <w:pPr>
        <w:pStyle w:val="Heading1"/>
        <w:keepNext/>
      </w:pPr>
      <w:r>
        <w:t>157. Hodge-Green contraction data</w:t>
      </w:r>
    </w:p>
    <w:p>
      <w:pPr>
        <w:spacing w:after="100"/>
      </w:pPr>
      <w:r>
        <w:t>Глава 15 построила Green-оператор для Fredholm Hodge-реализации. Для controlling complex требуется совместимый contraction datum</w:t>
      </w:r>
    </w:p>
    <w:p>
      <w:pPr>
        <w:pStyle w:val="Quote"/>
        <w:spacing w:before="80" w:after="120"/>
        <w:jc w:val="center"/>
      </w:pPr>
      <w:r>
        <w:t>(H(g_N),0) ─i→ (g_N,l_1) ─p→ (H(g_N),0),     id-ip=l_1h+hl_1.                 (16.12)</w:t>
      </w:r>
    </w:p>
    <w:p>
      <w:pPr>
        <w:spacing w:after="100"/>
      </w:pPr>
      <w:r>
        <w:t>В Hodge gauge выбираются</w:t>
      </w:r>
    </w:p>
    <w:p>
      <w:pPr>
        <w:pStyle w:val="Quote"/>
        <w:spacing w:before="80" w:after="120"/>
        <w:jc w:val="center"/>
      </w:pPr>
      <w:r>
        <w:t>p=P_H,      i=harmonic inclusion,      h=l_1^* G.                              (16.13)</w:t>
      </w:r>
    </w:p>
    <w:p>
      <w:pPr>
        <w:spacing w:after="100"/>
      </w:pPr>
      <w:r>
        <w:t>Равенство (16.12) следует из Hodge decomposition при closed range и корректных domains. Однако для использования в L_infinity-рекурсии нужны дополнительные условия: h должен сохранять фильтрацию и допустимые NAPG-секторы; bracket maps должны быть определены на образах h; multilinear estimates должны обеспечивать сходимость.</w:t>
      </w:r>
    </w:p>
    <w:p>
      <w:pPr>
        <w:jc w:val="center"/>
      </w:pPr>
      <w:r>
        <w:drawing>
          <wp:inline xmlns:a="http://schemas.openxmlformats.org/drawingml/2006/main" xmlns:pic="http://schemas.openxmlformats.org/drawingml/2006/picture">
            <wp:extent cx="6035040" cy="3440507"/>
            <wp:docPr id="40" name="Picture 40"/>
            <wp:cNvGraphicFramePr>
              <a:graphicFrameLocks noChangeAspect="1"/>
            </wp:cNvGraphicFramePr>
            <a:graphic>
              <a:graphicData uri="http://schemas.openxmlformats.org/drawingml/2006/picture">
                <pic:pic>
                  <pic:nvPicPr>
                    <pic:cNvPr id="0" name="fig16_2.png"/>
                    <pic:cNvPicPr/>
                  </pic:nvPicPr>
                  <pic:blipFill>
                    <a:blip r:embed="rId69"/>
                    <a:stretch>
                      <a:fillRect/>
                    </a:stretch>
                  </pic:blipFill>
                  <pic:spPr>
                    <a:xfrm>
                      <a:off x="0" y="0"/>
                      <a:ext cx="6035040" cy="3440507"/>
                    </a:xfrm>
                    <a:prstGeom prst="rect"/>
                  </pic:spPr>
                </pic:pic>
              </a:graphicData>
            </a:graphic>
          </wp:inline>
        </w:drawing>
      </w:r>
    </w:p>
    <w:p>
      <w:pPr>
        <w:pStyle w:val="Caption"/>
        <w:keepNext/>
        <w:jc w:val="center"/>
      </w:pPr>
      <w:r>
        <w:t>Рисунок 16.2. Hodge-Green contraction и построение отображения Кураниши. Собственная схема Тома II.</w:t>
      </w:r>
    </w:p>
    <w:p>
      <w:pPr>
        <w:pStyle w:val="Heading1"/>
        <w:keepNext/>
      </w:pPr>
      <w:r>
        <w:t>158. Рекурсия Кураниши</w:t>
      </w:r>
    </w:p>
    <w:p>
      <w:pPr>
        <w:spacing w:after="100"/>
      </w:pPr>
      <w:r>
        <w:t>Обозначим нелинейную часть Maurer-Cartan оператора</w:t>
      </w:r>
    </w:p>
    <w:p>
      <w:pPr>
        <w:pStyle w:val="Quote"/>
        <w:spacing w:before="80" w:after="120"/>
        <w:jc w:val="center"/>
      </w:pPr>
      <w:r>
        <w:t>N(α)=Σ_{n≥2}(1/n!)l_n(α^n).                                                    (16.14)</w:t>
      </w:r>
    </w:p>
    <w:p>
      <w:pPr>
        <w:spacing w:after="100"/>
      </w:pPr>
      <w:r>
        <w:t>Для x∈H^1(g_N)=H_N^2 ищется gauge-fixed solution α(x) уравнения</w:t>
      </w:r>
    </w:p>
    <w:p>
      <w:pPr>
        <w:pStyle w:val="Quote"/>
        <w:spacing w:before="80" w:after="120"/>
        <w:jc w:val="center"/>
      </w:pPr>
      <w:r>
        <w:t>α(x)=i(x)-hN(α(x)),        hα(x)=0.                                             (16.15)</w:t>
      </w:r>
    </w:p>
    <w:p>
      <w:pPr>
        <w:spacing w:after="100"/>
      </w:pPr>
      <w:r>
        <w:t>Отображение Кураниши определяется как гармоническая часть остатка:</w:t>
      </w:r>
    </w:p>
    <w:p>
      <w:pPr>
        <w:pStyle w:val="Quote"/>
        <w:spacing w:before="80" w:after="120"/>
        <w:jc w:val="center"/>
      </w:pPr>
      <w:r>
        <w:t>K_N(x)=pN(α(x)) ∈ H^2(g_N)=H_N^3.                                              (16.16)</w:t>
      </w:r>
    </w:p>
    <w:p>
      <w:pPr>
        <w:spacing w:after="100"/>
      </w:pPr>
      <w:r>
        <w:t>Теорема 16.5 (Kuranishi reduction, условная аналитическая форма). Если N аналитично на шаре, h ограничен и отображение α↦i(x)-hN(α) является сжатием равномерно для ||x||&lt;r_K, то (16.15) имеет единственное решение. Это решение удовлетворяет полной MC equation тогда и только тогда, когда K_N(x)=0.</w:t>
      </w:r>
    </w:p>
    <w:p>
      <w:pPr>
        <w:spacing w:after="100"/>
      </w:pPr>
      <w:r>
        <w:t>Итак, local miniversal base задаётся нулевым локусом K_N, но только внутри радиуса сходимости и выбранного Hodge gauge.</w:t>
      </w:r>
    </w:p>
    <w:p>
      <w:pPr>
        <w:pStyle w:val="Heading1"/>
        <w:keepNext/>
      </w:pPr>
      <w:r>
        <w:t>159. Явная оценка радиуса сходимости</w:t>
      </w:r>
    </w:p>
    <w:p>
      <w:pPr>
        <w:spacing w:after="100"/>
      </w:pPr>
      <w:r>
        <w:t>Пусть на шаре ||α||≤R выполнено</w:t>
      </w:r>
    </w:p>
    <w:p>
      <w:pPr>
        <w:pStyle w:val="Quote"/>
        <w:spacing w:before="80" w:after="120"/>
        <w:jc w:val="center"/>
      </w:pPr>
      <w:r>
        <w:t>||N(α)-N(β)|| ≤ L_R ||α-β||,      ||h|| L_R &lt; 1.                               (16.17)</w:t>
      </w:r>
    </w:p>
    <w:p>
      <w:pPr>
        <w:spacing w:after="100"/>
      </w:pPr>
      <w:r>
        <w:t>Если ||i(x)||+||h||·||N(0)||≤R(1-||h||L_R), то contraction mapping theorem даёт существование и единственность α(x). В типичном MC-секторе N(0)=0, поэтому достаточно</w:t>
      </w:r>
    </w:p>
    <w:p>
      <w:pPr>
        <w:pStyle w:val="Quote"/>
        <w:spacing w:before="80" w:after="120"/>
        <w:jc w:val="center"/>
      </w:pPr>
      <w:r>
        <w:t>||x|| ≤ R(1-||h||L_R)/||i||.                                                   (16.18)</w:t>
      </w:r>
    </w:p>
    <w:p>
      <w:pPr>
        <w:spacing w:after="100"/>
      </w:pPr>
      <w:r>
        <w:t>Определение 16.6 (Kuranishi conditioning margin).</w:t>
      </w:r>
    </w:p>
    <w:p>
      <w:pPr>
        <w:pStyle w:val="Quote"/>
        <w:spacing w:before="80" w:after="120"/>
        <w:jc w:val="center"/>
      </w:pPr>
      <w:r>
        <w:t>m_K(R)=1-||h||L_R.                                                               (16.19)</w:t>
      </w:r>
    </w:p>
    <w:p>
      <w:pPr>
        <w:spacing w:after="100"/>
      </w:pPr>
      <w:r>
        <w:t>При m_K≤0 аналитическая редукция не сертифицирована. При малом положительном m_K решение существует, но чувствительно к ошибкам. Это связывает Kuranishi construction с spectral gap главы 15, поскольку ||h|| обычно контролируется ||G||≤γ^{-1}.</w:t>
      </w:r>
    </w:p>
    <w:p>
      <w:pPr>
        <w:pStyle w:val="Heading1"/>
        <w:keepNext/>
      </w:pPr>
      <w:r>
        <w:t>160. Taylor-слои и высшие obstruction classes</w:t>
      </w:r>
    </w:p>
    <w:p>
      <w:pPr>
        <w:spacing w:after="100"/>
      </w:pPr>
      <w:r>
        <w:t>После homotopy transfer пространство H(g_N) получает минимальную L_infinity-структуру κ_n. В принятой симметрической convention первые компоненты Kuranishi map имеют вид</w:t>
      </w:r>
    </w:p>
    <w:p>
      <w:pPr>
        <w:pStyle w:val="Quote"/>
        <w:spacing w:before="80" w:after="120"/>
        <w:jc w:val="center"/>
      </w:pPr>
      <w:r>
        <w:t>K_N(x)=κ_2(x,x)+κ_3(x,x,x)+κ_4(x,x,x,x)+...                                   (16.20)</w:t>
      </w:r>
    </w:p>
    <w:p>
      <w:pPr>
        <w:pStyle w:val="Quote"/>
        <w:spacing w:before="80" w:after="120"/>
        <w:jc w:val="center"/>
      </w:pPr>
      <w:r>
        <w:t>κ_2(x,x)=1/2·p l_2(ix,ix).                                                       (16.21)</w:t>
      </w:r>
    </w:p>
    <w:p>
      <w:pPr>
        <w:pStyle w:val="Quote"/>
        <w:spacing w:before="80" w:after="120"/>
        <w:jc w:val="center"/>
      </w:pPr>
      <w:r>
        <w:t>κ_3(x,x,x)=1/6·p l_3(ix,ix,ix)-1/2·p l_2(ix,h l_2(ix,ix)).                      (16.22)</w:t>
      </w:r>
    </w:p>
    <w:p>
      <w:pPr>
        <w:spacing w:after="100"/>
      </w:pPr>
      <w:r>
        <w:t>Знаки и коэффициенты (16.22) относятся к зафиксированной suspension convention. При иной convention формула должна быть пересчитана, а не перенесена по зрительному сходству.</w:t>
      </w:r>
    </w:p>
    <w:p>
      <w:pPr>
        <w:spacing w:after="100"/>
      </w:pPr>
      <w:r>
        <w:t>Определение 16.7. Порядок первого ненулевого препятствия</w:t>
      </w:r>
    </w:p>
    <w:p>
      <w:pPr>
        <w:pStyle w:val="Quote"/>
        <w:spacing w:before="80" w:after="120"/>
        <w:jc w:val="center"/>
      </w:pPr>
      <w:r>
        <w:t>ν_K(x)=min{n≥2: κ_n(x,...,x)≠0},   ν_K=∞ если все члены исчезают.                (16.23)</w:t>
      </w:r>
    </w:p>
    <w:p>
      <w:pPr>
        <w:spacing w:after="100"/>
      </w:pPr>
      <w:r>
        <w:t>Исчезновение κ_2 не устраняет κ_3 и последующие классы. Поэтому нулевой primary obstruction является только входом в tower of higher obstructions.</w:t>
      </w:r>
    </w:p>
    <w:p>
      <w:pPr>
        <w:pStyle w:val="Heading1"/>
        <w:keepNext/>
      </w:pPr>
      <w:r>
        <w:t>161. Miniversal base и формальное локальное кольцо</w:t>
      </w:r>
    </w:p>
    <w:p>
      <w:pPr>
        <w:spacing w:after="100"/>
      </w:pPr>
      <w:r>
        <w:t>Пусть dim H_N^2=m и dim H_N^3=q. После выбора базисов K_N имеет компоненты K_1,...,K_q в K[[t_1,...,t_m]]. Формальная miniversal base определяется кольцом</w:t>
      </w:r>
    </w:p>
    <w:p>
      <w:pPr>
        <w:pStyle w:val="Quote"/>
        <w:spacing w:before="80" w:after="120"/>
        <w:jc w:val="center"/>
      </w:pPr>
      <w:r>
        <w:t>R_N^min = K[[t_1,...,t_m]]/(K_1,...,K_q).                                      (16.24)</w:t>
      </w:r>
    </w:p>
    <w:p>
      <w:pPr>
        <w:spacing w:after="100"/>
      </w:pPr>
      <w:r>
        <w:t>Её Zariski tangent space равно H_N^2, потому что dK_N(0)=0 для минимальной L_infinity-модели. Наличие q уравнений не означает codimension q: компоненты могут быть зависимы, иметь общие множители или задавать nonreduced germ.</w:t>
      </w:r>
    </w:p>
    <w:p>
      <w:pPr>
        <w:spacing w:after="100"/>
      </w:pPr>
      <w:r>
        <w:t>Miniversal base определена неканонически: выбор Hodge splitting, координат и gauge меняет K_N, хотя при корректных hypotheses формальные germs эквивалентны. Сравнивать следует right-equivalence class или соответствующий formal moduli problem, а не буквальные коэффициенты одной формулы.</w:t>
      </w:r>
    </w:p>
    <w:p>
      <w:pPr>
        <w:pStyle w:val="Heading1"/>
        <w:keepNext/>
      </w:pPr>
      <w:r>
        <w:t>162. Формальная гладкость, жёсткость и unobstructedness</w:t>
      </w:r>
    </w:p>
    <w:tbl>
      <w:tblPr>
        <w:tblStyle w:val="TableGrid"/>
        <w:tblW w:type="auto" w:w="0"/>
        <w:jc w:val="center"/>
        <w:tblLook w:firstColumn="1" w:firstRow="1" w:lastColumn="0" w:lastRow="0" w:noHBand="0" w:noVBand="1" w:val="04A0"/>
      </w:tblPr>
      <w:tblGrid>
        <w:gridCol w:w="3251"/>
        <w:gridCol w:w="3251"/>
        <w:gridCol w:w="3251"/>
      </w:tblGrid>
      <w:tr>
        <w:trPr>
          <w:tblHeader w:val="true"/>
        </w:trPr>
        <w:tc>
          <w:tcPr>
            <w:tcW w:type="dxa" w:w="1800"/>
            <w:vAlign w:val="center"/>
            <w:tcMar>
              <w:top w:w="90" w:type="dxa"/>
              <w:start w:w="110" w:type="dxa"/>
              <w:bottom w:w="90" w:type="dxa"/>
              <w:end w:w="110" w:type="dxa"/>
            </w:tcMar>
            <w:shd w:fill="173b63"/>
          </w:tcPr>
          <w:p>
            <w:pPr>
              <w:jc w:val="center"/>
            </w:pPr>
            <w:r/>
            <w:r>
              <w:rPr>
                <w:b/>
                <w:color w:val="FFFFFF"/>
                <w:sz w:val="18"/>
              </w:rPr>
              <w:t>Свойство</w:t>
            </w:r>
          </w:p>
        </w:tc>
        <w:tc>
          <w:tcPr>
            <w:tcW w:type="dxa" w:w="3384"/>
            <w:vAlign w:val="center"/>
            <w:tcMar>
              <w:top w:w="90" w:type="dxa"/>
              <w:start w:w="110" w:type="dxa"/>
              <w:bottom w:w="90" w:type="dxa"/>
              <w:end w:w="110" w:type="dxa"/>
            </w:tcMar>
            <w:shd w:fill="173b63"/>
          </w:tcPr>
          <w:p>
            <w:pPr>
              <w:jc w:val="center"/>
            </w:pPr>
            <w:r/>
            <w:r>
              <w:rPr>
                <w:b/>
                <w:color w:val="FFFFFF"/>
                <w:sz w:val="18"/>
              </w:rPr>
              <w:t>Условие</w:t>
            </w:r>
          </w:p>
        </w:tc>
        <w:tc>
          <w:tcPr>
            <w:tcW w:type="dxa" w:w="3816"/>
            <w:vAlign w:val="center"/>
            <w:tcMar>
              <w:top w:w="90" w:type="dxa"/>
              <w:start w:w="110" w:type="dxa"/>
              <w:bottom w:w="90" w:type="dxa"/>
              <w:end w:w="110" w:type="dxa"/>
            </w:tcMar>
            <w:shd w:fill="173b63"/>
          </w:tcPr>
          <w:p>
            <w:pPr>
              <w:jc w:val="center"/>
            </w:pPr>
            <w:r/>
            <w:r>
              <w:rPr>
                <w:b/>
                <w:color w:val="FFFFFF"/>
                <w:sz w:val="18"/>
              </w:rPr>
              <w:t>Точный вывод</w:t>
            </w:r>
          </w:p>
        </w:tc>
      </w:tr>
      <w:tr>
        <w:tc>
          <w:tcPr>
            <w:tcW w:type="dxa" w:w="1800"/>
            <w:vAlign w:val="center"/>
            <w:tcMar>
              <w:top w:w="90" w:type="dxa"/>
              <w:start w:w="110" w:type="dxa"/>
              <w:bottom w:w="90" w:type="dxa"/>
              <w:end w:w="110" w:type="dxa"/>
            </w:tcMar>
          </w:tcPr>
          <w:p>
            <w:pPr>
              <w:jc w:val="center"/>
            </w:pPr>
            <w:r/>
            <w:r>
              <w:rPr>
                <w:b w:val="0"/>
                <w:sz w:val="16"/>
              </w:rPr>
              <w:t>Infinitesimal rigidity</w:t>
            </w:r>
          </w:p>
        </w:tc>
        <w:tc>
          <w:tcPr>
            <w:tcW w:type="dxa" w:w="3384"/>
            <w:vAlign w:val="center"/>
            <w:tcMar>
              <w:top w:w="90" w:type="dxa"/>
              <w:start w:w="110" w:type="dxa"/>
              <w:bottom w:w="90" w:type="dxa"/>
              <w:end w:w="110" w:type="dxa"/>
            </w:tcMar>
          </w:tcPr>
          <w:p>
            <w:pPr>
              <w:jc w:val="left"/>
            </w:pPr>
            <w:r/>
            <w:r>
              <w:rPr>
                <w:b w:val="0"/>
                <w:sz w:val="16"/>
              </w:rPr>
              <w:t>H_N^2=0</w:t>
            </w:r>
          </w:p>
        </w:tc>
        <w:tc>
          <w:tcPr>
            <w:tcW w:type="dxa" w:w="3816"/>
            <w:vAlign w:val="center"/>
            <w:tcMar>
              <w:top w:w="90" w:type="dxa"/>
              <w:start w:w="110" w:type="dxa"/>
              <w:bottom w:w="90" w:type="dxa"/>
              <w:end w:w="110" w:type="dxa"/>
            </w:tcMar>
          </w:tcPr>
          <w:p>
            <w:pPr>
              <w:jc w:val="center"/>
            </w:pPr>
            <w:r/>
            <w:r>
              <w:rPr>
                <w:b w:val="0"/>
                <w:sz w:val="16"/>
              </w:rPr>
              <w:t>Нет нетривиальных деформаций первого порядка; при полной obstruction theory functor формально локально тривиален.</w:t>
            </w:r>
          </w:p>
        </w:tc>
      </w:tr>
      <w:tr>
        <w:tc>
          <w:tcPr>
            <w:tcW w:type="dxa" w:w="1800"/>
            <w:vAlign w:val="center"/>
            <w:tcMar>
              <w:top w:w="90" w:type="dxa"/>
              <w:start w:w="110" w:type="dxa"/>
              <w:bottom w:w="90" w:type="dxa"/>
              <w:end w:w="110" w:type="dxa"/>
            </w:tcMar>
          </w:tcPr>
          <w:p>
            <w:pPr>
              <w:jc w:val="center"/>
            </w:pPr>
            <w:r/>
            <w:r>
              <w:rPr>
                <w:b w:val="0"/>
                <w:sz w:val="16"/>
              </w:rPr>
              <w:t>Unobstructedness</w:t>
            </w:r>
          </w:p>
        </w:tc>
        <w:tc>
          <w:tcPr>
            <w:tcW w:type="dxa" w:w="3384"/>
            <w:vAlign w:val="center"/>
            <w:tcMar>
              <w:top w:w="90" w:type="dxa"/>
              <w:start w:w="110" w:type="dxa"/>
              <w:bottom w:w="90" w:type="dxa"/>
              <w:end w:w="110" w:type="dxa"/>
            </w:tcMar>
          </w:tcPr>
          <w:p>
            <w:pPr>
              <w:jc w:val="left"/>
            </w:pPr>
            <w:r/>
            <w:r>
              <w:rPr>
                <w:b w:val="0"/>
                <w:sz w:val="16"/>
              </w:rPr>
              <w:t>K_N≡0 либо H_N^3=0 при complete control</w:t>
            </w:r>
          </w:p>
        </w:tc>
        <w:tc>
          <w:tcPr>
            <w:tcW w:type="dxa" w:w="3816"/>
            <w:vAlign w:val="center"/>
            <w:tcMar>
              <w:top w:w="90" w:type="dxa"/>
              <w:start w:w="110" w:type="dxa"/>
              <w:bottom w:w="90" w:type="dxa"/>
              <w:end w:w="110" w:type="dxa"/>
            </w:tcMar>
          </w:tcPr>
          <w:p>
            <w:pPr>
              <w:jc w:val="center"/>
            </w:pPr>
            <w:r/>
            <w:r>
              <w:rPr>
                <w:b w:val="0"/>
                <w:sz w:val="16"/>
              </w:rPr>
              <w:t>Miniversal base гладкая формальной размерности dim H_N^2.</w:t>
            </w:r>
          </w:p>
        </w:tc>
      </w:tr>
      <w:tr>
        <w:tc>
          <w:tcPr>
            <w:tcW w:type="dxa" w:w="1800"/>
            <w:vAlign w:val="center"/>
            <w:tcMar>
              <w:top w:w="90" w:type="dxa"/>
              <w:start w:w="110" w:type="dxa"/>
              <w:bottom w:w="90" w:type="dxa"/>
              <w:end w:w="110" w:type="dxa"/>
            </w:tcMar>
          </w:tcPr>
          <w:p>
            <w:pPr>
              <w:jc w:val="center"/>
            </w:pPr>
            <w:r/>
            <w:r>
              <w:rPr>
                <w:b w:val="0"/>
                <w:sz w:val="16"/>
              </w:rPr>
              <w:t>No automorphisms</w:t>
            </w:r>
          </w:p>
        </w:tc>
        <w:tc>
          <w:tcPr>
            <w:tcW w:type="dxa" w:w="3384"/>
            <w:vAlign w:val="center"/>
            <w:tcMar>
              <w:top w:w="90" w:type="dxa"/>
              <w:start w:w="110" w:type="dxa"/>
              <w:bottom w:w="90" w:type="dxa"/>
              <w:end w:w="110" w:type="dxa"/>
            </w:tcMar>
          </w:tcPr>
          <w:p>
            <w:pPr>
              <w:jc w:val="left"/>
            </w:pPr>
            <w:r/>
            <w:r>
              <w:rPr>
                <w:b w:val="0"/>
                <w:sz w:val="16"/>
              </w:rPr>
              <w:t>H_N^1=0</w:t>
            </w:r>
          </w:p>
        </w:tc>
        <w:tc>
          <w:tcPr>
            <w:tcW w:type="dxa" w:w="3816"/>
            <w:vAlign w:val="center"/>
            <w:tcMar>
              <w:top w:w="90" w:type="dxa"/>
              <w:start w:w="110" w:type="dxa"/>
              <w:bottom w:w="90" w:type="dxa"/>
              <w:end w:w="110" w:type="dxa"/>
            </w:tcMar>
          </w:tcPr>
          <w:p>
            <w:pPr>
              <w:jc w:val="center"/>
            </w:pPr>
            <w:r/>
            <w:r>
              <w:rPr>
                <w:b w:val="0"/>
                <w:sz w:val="16"/>
              </w:rPr>
              <w:t>Повышает шанс universality/prorepresentability, но не заменяет H4.</w:t>
            </w:r>
          </w:p>
        </w:tc>
      </w:tr>
      <w:tr>
        <w:tc>
          <w:tcPr>
            <w:tcW w:type="dxa" w:w="1800"/>
            <w:vAlign w:val="center"/>
            <w:tcMar>
              <w:top w:w="90" w:type="dxa"/>
              <w:start w:w="110" w:type="dxa"/>
              <w:bottom w:w="90" w:type="dxa"/>
              <w:end w:w="110" w:type="dxa"/>
            </w:tcMar>
          </w:tcPr>
          <w:p>
            <w:pPr>
              <w:jc w:val="center"/>
            </w:pPr>
            <w:r/>
            <w:r>
              <w:rPr>
                <w:b w:val="0"/>
                <w:sz w:val="16"/>
              </w:rPr>
              <w:t>Quadratic germ</w:t>
            </w:r>
          </w:p>
        </w:tc>
        <w:tc>
          <w:tcPr>
            <w:tcW w:type="dxa" w:w="3384"/>
            <w:vAlign w:val="center"/>
            <w:tcMar>
              <w:top w:w="90" w:type="dxa"/>
              <w:start w:w="110" w:type="dxa"/>
              <w:bottom w:w="90" w:type="dxa"/>
              <w:end w:w="110" w:type="dxa"/>
            </w:tcMar>
          </w:tcPr>
          <w:p>
            <w:pPr>
              <w:jc w:val="left"/>
            </w:pPr>
            <w:r/>
            <w:r>
              <w:rPr>
                <w:b w:val="0"/>
                <w:sz w:val="16"/>
              </w:rPr>
              <w:t>κ_n=0 для n≥3 после equivalence</w:t>
            </w:r>
          </w:p>
        </w:tc>
        <w:tc>
          <w:tcPr>
            <w:tcW w:type="dxa" w:w="3816"/>
            <w:vAlign w:val="center"/>
            <w:tcMar>
              <w:top w:w="90" w:type="dxa"/>
              <w:start w:w="110" w:type="dxa"/>
              <w:bottom w:w="90" w:type="dxa"/>
              <w:end w:w="110" w:type="dxa"/>
            </w:tcMar>
          </w:tcPr>
          <w:p>
            <w:pPr>
              <w:jc w:val="center"/>
            </w:pPr>
            <w:r/>
            <w:r>
              <w:rPr>
                <w:b w:val="0"/>
                <w:sz w:val="16"/>
              </w:rPr>
              <w:t>Base задаётся quadratic cone κ_2(x,x)=0.</w:t>
            </w:r>
          </w:p>
        </w:tc>
      </w:tr>
      <w:tr>
        <w:tc>
          <w:tcPr>
            <w:tcW w:type="dxa" w:w="1800"/>
            <w:vAlign w:val="center"/>
            <w:tcMar>
              <w:top w:w="90" w:type="dxa"/>
              <w:start w:w="110" w:type="dxa"/>
              <w:bottom w:w="90" w:type="dxa"/>
              <w:end w:w="110" w:type="dxa"/>
            </w:tcMar>
          </w:tcPr>
          <w:p>
            <w:pPr>
              <w:jc w:val="center"/>
            </w:pPr>
            <w:r/>
            <w:r>
              <w:rPr>
                <w:b w:val="0"/>
                <w:sz w:val="16"/>
              </w:rPr>
              <w:t>Formal smoothness</w:t>
            </w:r>
          </w:p>
        </w:tc>
        <w:tc>
          <w:tcPr>
            <w:tcW w:type="dxa" w:w="3384"/>
            <w:vAlign w:val="center"/>
            <w:tcMar>
              <w:top w:w="90" w:type="dxa"/>
              <w:start w:w="110" w:type="dxa"/>
              <w:bottom w:w="90" w:type="dxa"/>
              <w:end w:w="110" w:type="dxa"/>
            </w:tcMar>
          </w:tcPr>
          <w:p>
            <w:pPr>
              <w:jc w:val="left"/>
            </w:pPr>
            <w:r/>
            <w:r>
              <w:rPr>
                <w:b w:val="0"/>
                <w:sz w:val="16"/>
              </w:rPr>
              <w:t>все lifts по малым расширениям существуют</w:t>
            </w:r>
          </w:p>
        </w:tc>
        <w:tc>
          <w:tcPr>
            <w:tcW w:type="dxa" w:w="3816"/>
            <w:vAlign w:val="center"/>
            <w:tcMar>
              <w:top w:w="90" w:type="dxa"/>
              <w:start w:w="110" w:type="dxa"/>
              <w:bottom w:w="90" w:type="dxa"/>
              <w:end w:w="110" w:type="dxa"/>
            </w:tcMar>
          </w:tcPr>
          <w:p>
            <w:pPr>
              <w:jc w:val="center"/>
            </w:pPr>
            <w:r/>
            <w:r>
              <w:rPr>
                <w:b w:val="0"/>
                <w:sz w:val="16"/>
              </w:rPr>
              <w:t>Не гарантирует convergence аналитической family без Artin/Kuranishi-type theorem.</w:t>
            </w:r>
          </w:p>
        </w:tc>
      </w:tr>
    </w:tbl>
    <w:p>
      <w:pPr>
        <w:spacing w:after="100"/>
      </w:pPr>
      <w:r>
        <w:t>Теорема Goldman-Millson о quadratic singularities в специальных Kähler-ситуациях не означает, что всякая NAPG-moduli problem квадратична. Для такого вывода требуется formality или эквивалентная редукция controlling DGLA.</w:t>
      </w:r>
    </w:p>
    <w:p>
      <w:pPr>
        <w:pStyle w:val="Heading1"/>
        <w:keepNext/>
      </w:pPr>
      <w:r>
        <w:t>163. Derived formal moduli и граница применения</w:t>
      </w:r>
    </w:p>
    <w:p>
      <w:pPr>
        <w:spacing w:after="100"/>
      </w:pPr>
      <w:r>
        <w:t>В характеристике 0 formal moduli problems при стандартных axioms эквивалентны подходящим dg Lie или L_infinity-алгебрам. В этой корреспонденции derived tangent complex хранит не только tangent space, но и автоморфизмы и obstruction directions.</w:t>
      </w:r>
    </w:p>
    <w:p>
      <w:pPr>
        <w:pStyle w:val="Quote"/>
        <w:spacing w:before="80" w:after="120"/>
        <w:jc w:val="center"/>
      </w:pPr>
      <w:r>
        <w:t>FormalModuli_K  ≃  dgLie_K   (при char K=0 и соответствующих homotopical hypotheses). (16.25)</w:t>
      </w:r>
    </w:p>
    <w:p>
      <w:pPr>
        <w:spacing w:after="100"/>
      </w:pPr>
      <w:r>
        <w:t>Для NAPG это является не готовой теоремой, а шаблоном построения. Требуется определить derived category объектов, weak equivalences, nilcomplete functor, infinitesimal cohesiveness и совместимость partial Dom-data. До закрытия этих пунктов термин derived NAPG moduli используется со статусом COND.</w:t>
      </w:r>
    </w:p>
    <w:p>
      <w:pPr>
        <w:pStyle w:val="Heading1"/>
        <w:keepNext/>
      </w:pPr>
      <w:r>
        <w:t>164. Stack versus coarse moduli: stabilizer no-go</w:t>
      </w:r>
    </w:p>
    <w:p>
      <w:pPr>
        <w:spacing w:after="100"/>
      </w:pPr>
      <w:r>
        <w:t>Пусть ξ - деформация с группой автоморфизмов Aut(ξ). Переход от groupoid Def_N(A) к множеству π_0Def_N(A) забывает Aut(ξ) и его деформации. Поэтому две задачи с одинаковыми coarse points могут иметь разные derived tangent complexes.</w:t>
      </w:r>
    </w:p>
    <w:p>
      <w:pPr>
        <w:pStyle w:val="Quote"/>
        <w:spacing w:before="80" w:after="120"/>
        <w:jc w:val="center"/>
      </w:pPr>
      <w:r>
        <w:t>π_0Def_N не определяет H^{-1}(T_N^der).                                       (16.26)</w:t>
      </w:r>
    </w:p>
    <w:p>
      <w:pPr>
        <w:spacing w:after="100"/>
      </w:pPr>
      <w:r>
        <w:t>Контртеорема 16.8. Нельзя восстановить локальный stack germ по одному coarse moduli germ без stabilizer data. В частности, quotient singularity и обычное сингулярное пространство могут иметь совпадающее множество точек, но различные isotropy и deformation theory.</w:t>
      </w:r>
    </w:p>
    <w:p>
      <w:pPr>
        <w:pStyle w:val="Heading1"/>
        <w:keepNext/>
      </w:pPr>
      <w:r>
        <w:t>165. Стратификация локального модульного пространства</w:t>
      </w:r>
    </w:p>
    <w:p>
      <w:pPr>
        <w:spacing w:after="100"/>
      </w:pPr>
      <w:r>
        <w:t>Локальная miniversal base S_N=K_N^{-1}(0) стратифицируется по invariants: размерности stabilizer, рангу Hessian/leading obstruction, типу orbit, multiplicity, Hilbert-Samuel function и projective obstruction direction.</w:t>
      </w:r>
    </w:p>
    <w:p>
      <w:pPr>
        <w:pStyle w:val="Quote"/>
        <w:spacing w:before="80" w:after="120"/>
        <w:jc w:val="center"/>
      </w:pPr>
      <w:r>
        <w:t>S_N = ⨆_α S_{N,α},      P_mod(x)=(dim H^1,dim H^2,dim H^3,ν_K,HS_x,dim Aut_x,[K_lead]).  (16.27)</w:t>
      </w:r>
    </w:p>
    <w:p>
      <w:pPr>
        <w:spacing w:after="100"/>
      </w:pPr>
      <w:r>
        <w:t>Whitney regularity, existence of finite stratification и local triviality не предполагаются автоматически. Для вычислительного слоя допускается конечная semialgebraic/analytic stratification только после проверки применимого theorem package.</w:t>
      </w:r>
    </w:p>
    <w:p>
      <w:pPr>
        <w:pStyle w:val="Heading1"/>
        <w:keepNext/>
      </w:pPr>
      <w:r>
        <w:t>166. Модульный переходный горизонт предсказательного метода</w:t>
      </w:r>
    </w:p>
    <w:p>
      <w:pPr>
        <w:pStyle w:val="Quote"/>
        <w:spacing w:before="80" w:after="120"/>
        <w:jc w:val="center"/>
      </w:pPr>
      <w:r>
        <w:t>Δ_mod = Δ_HF ∪ Δ_ctrl ∪ Δ_Sch ∪ Δ_aut ∪ Δ_tan ∪ Δ_obs ∪ Δ_Kur ∪ Δ_conv ∪ Δ_orb ∪ Δ_D ∪ Δ_Dom ∪ Δ_glue.   (16.28)</w:t>
      </w:r>
    </w:p>
    <w:p>
      <w:pPr>
        <w:spacing w:after="100"/>
      </w:pPr>
      <w:r>
        <w:t>Компоненты фиксируют соответственно: потерю Hodge-Fredholm условий; разрушение controlling algebra; отказ Schlessinger conditions; jump stabilizer; изменение tangent/obstruction ranks; смену Kuranishi germ; потерю convergence margin; orbit/stratum transition; повреждение Evidence-D, domain или descent.</w:t>
      </w:r>
    </w:p>
    <w:p>
      <w:pPr>
        <w:spacing w:after="100"/>
      </w:pPr>
      <w:r>
        <w:t>Для конкретного tangent candidate x_t определяется Kuranishi residual</w:t>
      </w:r>
    </w:p>
    <w:p>
      <w:pPr>
        <w:pStyle w:val="Quote"/>
        <w:spacing w:before="80" w:after="120"/>
        <w:jc w:val="center"/>
      </w:pPr>
      <w:r>
        <w:t>η_K(t)=||K_{N_t}(x_t)||.                                                        (16.29)</w:t>
      </w:r>
    </w:p>
    <w:p>
      <w:pPr>
        <w:spacing w:after="100"/>
      </w:pPr>
      <w:r>
        <w:t>Если η_K≥ε_K&gt;0 на интервале, соответствующий класс не интегрируется в local MC-family. Если η_K=0, получается только локальный candidate-lift; глобализация, внешний E-мост, λ-шлюз и независимая проверка остаются отдельными.</w:t>
      </w:r>
    </w:p>
    <w:p>
      <w:pPr>
        <w:jc w:val="center"/>
      </w:pPr>
      <w:r>
        <w:drawing>
          <wp:inline xmlns:a="http://schemas.openxmlformats.org/drawingml/2006/main" xmlns:pic="http://schemas.openxmlformats.org/drawingml/2006/picture">
            <wp:extent cx="6035040" cy="3440507"/>
            <wp:docPr id="41" name="Picture 41"/>
            <wp:cNvGraphicFramePr>
              <a:graphicFrameLocks noChangeAspect="1"/>
            </wp:cNvGraphicFramePr>
            <a:graphic>
              <a:graphicData uri="http://schemas.openxmlformats.org/drawingml/2006/picture">
                <pic:pic>
                  <pic:nvPicPr>
                    <pic:cNvPr id="0" name="fig16_3.png"/>
                    <pic:cNvPicPr/>
                  </pic:nvPicPr>
                  <pic:blipFill>
                    <a:blip r:embed="rId70"/>
                    <a:stretch>
                      <a:fillRect/>
                    </a:stretch>
                  </pic:blipFill>
                  <pic:spPr>
                    <a:xfrm>
                      <a:off x="0" y="0"/>
                      <a:ext cx="6035040" cy="3440507"/>
                    </a:xfrm>
                    <a:prstGeom prst="rect"/>
                  </pic:spPr>
                </pic:pic>
              </a:graphicData>
            </a:graphic>
          </wp:inline>
        </w:drawing>
      </w:r>
    </w:p>
    <w:p>
      <w:pPr>
        <w:pStyle w:val="Caption"/>
        <w:keepNext/>
        <w:jc w:val="center"/>
      </w:pPr>
      <w:r>
        <w:t>Рисунок 16.3. Модульный переходный горизонт и blocker-safe вывод. Собственная схема Тома II.</w:t>
      </w:r>
    </w:p>
    <w:p>
      <w:pPr>
        <w:pStyle w:val="Heading1"/>
        <w:keepNext/>
      </w:pPr>
      <w:r>
        <w:t>167. Сертифицированная тривиализация семейства moduli problems</w:t>
      </w:r>
    </w:p>
    <w:p>
      <w:pPr>
        <w:spacing w:after="100"/>
      </w:pPr>
      <w:r>
        <w:t>Простого постоянства размерностей H_N^i недостаточно для постоянства moduli germ. Поэтому вводится сильный сертификат ModTriv(I), содержащий:</w:t>
      </w:r>
    </w:p>
    <w:p>
      <w:pPr>
        <w:pStyle w:val="ListBullet"/>
      </w:pPr>
      <w:r>
        <w:t>идентификации graded Hilbert spaces и domains вдоль I;</w:t>
      </w:r>
    </w:p>
    <w:p>
      <w:pPr>
        <w:pStyle w:val="ListBullet"/>
      </w:pPr>
      <w:r>
        <w:t>filtered L_infinity-isomorphisms controlling algebras, непрерывные по параметру;</w:t>
      </w:r>
    </w:p>
    <w:p>
      <w:pPr>
        <w:pStyle w:val="ListBullet"/>
      </w:pPr>
      <w:r>
        <w:t>совместимые Hodge contractions (p_t,i_t,h_t) с uniform bounds;</w:t>
      </w:r>
    </w:p>
    <w:p>
      <w:pPr>
        <w:pStyle w:val="ListBullet"/>
      </w:pPr>
      <w:r>
        <w:t>right-equivalence K_t = B_t∘K_{t0}∘A_t^{-1} для локальных аналитических координат;</w:t>
      </w:r>
    </w:p>
    <w:p>
      <w:pPr>
        <w:pStyle w:val="ListBullet"/>
      </w:pPr>
      <w:r>
        <w:t>сохранение stabilizer groupoids, D/Dom, charts и globalization data;</w:t>
      </w:r>
    </w:p>
    <w:p>
      <w:pPr>
        <w:pStyle w:val="ListBullet"/>
      </w:pPr>
      <w:r>
        <w:t>равномерный Kuranishi radius и separation from Δ_mod.</w:t>
      </w:r>
    </w:p>
    <w:p>
      <w:pPr>
        <w:spacing w:after="100"/>
      </w:pPr>
      <w:r>
        <w:t>Только такой сертификат разрешает переносить отрицательный прогноз между параметрами. Постоянные Betti numbers без ModTriv(I) этого не обеспечивают.</w:t>
      </w:r>
    </w:p>
    <w:p>
      <w:pPr>
        <w:pStyle w:val="Heading1"/>
        <w:keepNext/>
      </w:pPr>
      <w:r>
        <w:t>168. Главная условная теорема T2-RP-v0.13</w:t>
      </w:r>
    </w:p>
    <w:p>
      <w:pPr>
        <w:spacing w:after="100"/>
      </w:pPr>
      <w:r>
        <w:t>Теорема 16.9 (Moduli-Kuranishi-safe predictive theorem). [COND] Пусть семейство N_t на компактном интервале I удовлетворяет:</w:t>
      </w:r>
    </w:p>
    <w:p>
      <w:pPr>
        <w:pStyle w:val="ListNumber"/>
      </w:pPr>
      <w:r>
        <w:t>существует complete filtered controlling L_infinity-algebra g_t для каждой N_t;</w:t>
      </w:r>
    </w:p>
    <w:p>
      <w:pPr>
        <w:pStyle w:val="ListNumber"/>
      </w:pPr>
      <w:r>
        <w:t>выполнены H1-H3 Шлессингера и существует miniversal hull;</w:t>
      </w:r>
    </w:p>
    <w:p>
      <w:pPr>
        <w:pStyle w:val="ListNumber"/>
      </w:pPr>
      <w:r>
        <w:t>Hodge-Green contractions корректны и имеют uniform spectral/convergence margins;</w:t>
      </w:r>
    </w:p>
    <w:p>
      <w:pPr>
        <w:pStyle w:val="ListNumber"/>
      </w:pPr>
      <w:r>
        <w:t>задан сертификат ModTriv(I) и I∩Δ_mod=∅;</w:t>
      </w:r>
    </w:p>
    <w:p>
      <w:pPr>
        <w:pStyle w:val="ListNumber"/>
      </w:pPr>
      <w:r>
        <w:t>candidate section x_t∈H_{N_t}^2 непрерывен и сохраняет Evidence-D/Dom;</w:t>
      </w:r>
    </w:p>
    <w:p>
      <w:pPr>
        <w:pStyle w:val="ListNumber"/>
      </w:pPr>
      <w:r>
        <w:t>все предыдущие tangent, differential, external, projective и global blockers закрыты.</w:t>
      </w:r>
    </w:p>
    <w:p>
      <w:pPr>
        <w:spacing w:after="100"/>
      </w:pPr>
      <w:r>
        <w:t>Тогда локальный moduli type и order profile ν_K постоянны в сертифицированной тривиализации. Если</w:t>
      </w:r>
    </w:p>
    <w:p>
      <w:pPr>
        <w:pStyle w:val="Quote"/>
        <w:spacing w:before="80" w:after="120"/>
        <w:jc w:val="center"/>
      </w:pPr>
      <w:r>
        <w:t>η_K(t)=||K_t(x_t)|| ≥ ε_K &gt; 0  для всех t∈I,                                 (16.30)</w:t>
      </w:r>
    </w:p>
    <w:p>
      <w:pPr>
        <w:spacing w:after="100"/>
      </w:pPr>
      <w:r>
        <w:t>то ни один x_t не интегрируется в MC-deformation в пределах указанного Kuranishi neighborhood. Следовательно, структурный переход, требующий именно этой ветви, невозможен внутри модели.</w:t>
      </w:r>
    </w:p>
    <w:p>
      <w:pPr>
        <w:spacing w:after="100"/>
      </w:pPr>
      <w:r>
        <w:t>Если η_K(t)=0, существует локальный formal/analytic candidate-lift при остальных гипотезах, но теорема не утверждает его глобальность, уникальность, устойчивость вне радиуса, физическую реализацию или вероятность события.</w:t>
      </w:r>
    </w:p>
    <w:p>
      <w:pPr>
        <w:pStyle w:val="Heading1"/>
        <w:keepNext/>
      </w:pPr>
      <w:r>
        <w:t>169. Blocker-safe вывод главы</w:t>
      </w:r>
    </w:p>
    <w:p>
      <w:pPr>
        <w:pStyle w:val="Quote"/>
        <w:spacing w:before="80" w:after="120"/>
        <w:jc w:val="center"/>
      </w:pPr>
      <w:r>
        <w:t>Block_mod = B_ctrl ∪ B_Sch ∪ B_HF ∪ B_gauge ∪ B_conv ∪ B_Kur ∪ B_aut ∪ B_stack ∪ B_D ∪ B_Dom ∪ B_glue ∪ B_ind. (16.31)</w:t>
      </w:r>
    </w:p>
    <w:tbl>
      <w:tblPr>
        <w:tblStyle w:val="TableGrid"/>
        <w:tblW w:type="auto" w:w="0"/>
        <w:jc w:val="center"/>
        <w:tblLook w:firstColumn="1" w:firstRow="1" w:lastColumn="0" w:lastRow="0" w:noHBand="0" w:noVBand="1" w:val="04A0"/>
      </w:tblPr>
      <w:tblGrid>
        <w:gridCol w:w="3251"/>
        <w:gridCol w:w="3251"/>
        <w:gridCol w:w="3251"/>
      </w:tblGrid>
      <w:tr>
        <w:trPr>
          <w:tblHeader w:val="true"/>
        </w:trPr>
        <w:tc>
          <w:tcPr>
            <w:tcW w:type="dxa" w:w="3168"/>
            <w:vAlign w:val="center"/>
            <w:tcMar>
              <w:top w:w="90" w:type="dxa"/>
              <w:start w:w="110" w:type="dxa"/>
              <w:bottom w:w="90" w:type="dxa"/>
              <w:end w:w="110" w:type="dxa"/>
            </w:tcMar>
            <w:shd w:fill="173b63"/>
          </w:tcPr>
          <w:p>
            <w:pPr>
              <w:jc w:val="center"/>
            </w:pPr>
            <w:r/>
            <w:r>
              <w:rPr>
                <w:b/>
                <w:color w:val="FFFFFF"/>
                <w:sz w:val="18"/>
              </w:rPr>
              <w:t>Условие</w:t>
            </w:r>
          </w:p>
        </w:tc>
        <w:tc>
          <w:tcPr>
            <w:tcW w:type="dxa" w:w="2304"/>
            <w:vAlign w:val="center"/>
            <w:tcMar>
              <w:top w:w="90" w:type="dxa"/>
              <w:start w:w="110" w:type="dxa"/>
              <w:bottom w:w="90" w:type="dxa"/>
              <w:end w:w="110" w:type="dxa"/>
            </w:tcMar>
            <w:shd w:fill="173b63"/>
          </w:tcPr>
          <w:p>
            <w:pPr>
              <w:jc w:val="center"/>
            </w:pPr>
            <w:r/>
            <w:r>
              <w:rPr>
                <w:b/>
                <w:color w:val="FFFFFF"/>
                <w:sz w:val="18"/>
              </w:rPr>
              <w:t>Вердикт</w:t>
            </w:r>
          </w:p>
        </w:tc>
        <w:tc>
          <w:tcPr>
            <w:tcW w:type="dxa" w:w="3600"/>
            <w:vAlign w:val="center"/>
            <w:tcMar>
              <w:top w:w="90" w:type="dxa"/>
              <w:start w:w="110" w:type="dxa"/>
              <w:bottom w:w="90" w:type="dxa"/>
              <w:end w:w="110" w:type="dxa"/>
            </w:tcMar>
            <w:shd w:fill="173b63"/>
          </w:tcPr>
          <w:p>
            <w:pPr>
              <w:jc w:val="center"/>
            </w:pPr>
            <w:r/>
            <w:r>
              <w:rPr>
                <w:b/>
                <w:color w:val="FFFFFF"/>
                <w:sz w:val="18"/>
              </w:rPr>
              <w:t>Смысл</w:t>
            </w:r>
          </w:p>
        </w:tc>
      </w:tr>
      <w:tr>
        <w:tc>
          <w:tcPr>
            <w:tcW w:type="dxa" w:w="3168"/>
            <w:vAlign w:val="center"/>
            <w:tcMar>
              <w:top w:w="90" w:type="dxa"/>
              <w:start w:w="110" w:type="dxa"/>
              <w:bottom w:w="90" w:type="dxa"/>
              <w:end w:w="110" w:type="dxa"/>
            </w:tcMar>
          </w:tcPr>
          <w:p>
            <w:pPr>
              <w:jc w:val="center"/>
            </w:pPr>
            <w:r/>
            <w:r>
              <w:rPr>
                <w:b w:val="0"/>
                <w:sz w:val="17"/>
              </w:rPr>
              <w:t>η_K≥ε_K, Block_mod=∅</w:t>
            </w:r>
          </w:p>
        </w:tc>
        <w:tc>
          <w:tcPr>
            <w:tcW w:type="dxa" w:w="2304"/>
            <w:vAlign w:val="center"/>
            <w:tcMar>
              <w:top w:w="90" w:type="dxa"/>
              <w:start w:w="110" w:type="dxa"/>
              <w:bottom w:w="90" w:type="dxa"/>
              <w:end w:w="110" w:type="dxa"/>
            </w:tcMar>
          </w:tcPr>
          <w:p>
            <w:pPr>
              <w:jc w:val="left"/>
            </w:pPr>
            <w:r/>
            <w:r>
              <w:rPr>
                <w:b w:val="0"/>
                <w:sz w:val="17"/>
              </w:rPr>
              <w:t>NO-LIFT-IN-MODEL</w:t>
            </w:r>
          </w:p>
        </w:tc>
        <w:tc>
          <w:tcPr>
            <w:tcW w:type="dxa" w:w="3600"/>
            <w:vAlign w:val="center"/>
            <w:tcMar>
              <w:top w:w="90" w:type="dxa"/>
              <w:start w:w="110" w:type="dxa"/>
              <w:bottom w:w="90" w:type="dxa"/>
              <w:end w:w="110" w:type="dxa"/>
            </w:tcMar>
          </w:tcPr>
          <w:p>
            <w:pPr>
              <w:jc w:val="center"/>
            </w:pPr>
            <w:r/>
            <w:r>
              <w:rPr>
                <w:b w:val="0"/>
                <w:sz w:val="17"/>
              </w:rPr>
              <w:t>Класс не принадлежит локальному нулевому локусу Kuranishi map.</w:t>
            </w:r>
          </w:p>
        </w:tc>
      </w:tr>
      <w:tr>
        <w:tc>
          <w:tcPr>
            <w:tcW w:type="dxa" w:w="3168"/>
            <w:vAlign w:val="center"/>
            <w:tcMar>
              <w:top w:w="90" w:type="dxa"/>
              <w:start w:w="110" w:type="dxa"/>
              <w:bottom w:w="90" w:type="dxa"/>
              <w:end w:w="110" w:type="dxa"/>
            </w:tcMar>
          </w:tcPr>
          <w:p>
            <w:pPr>
              <w:jc w:val="center"/>
            </w:pPr>
            <w:r/>
            <w:r>
              <w:rPr>
                <w:b w:val="0"/>
                <w:sz w:val="17"/>
              </w:rPr>
              <w:t>η_K=0, Cert_mod полный</w:t>
            </w:r>
          </w:p>
        </w:tc>
        <w:tc>
          <w:tcPr>
            <w:tcW w:type="dxa" w:w="2304"/>
            <w:vAlign w:val="center"/>
            <w:tcMar>
              <w:top w:w="90" w:type="dxa"/>
              <w:start w:w="110" w:type="dxa"/>
              <w:bottom w:w="90" w:type="dxa"/>
              <w:end w:w="110" w:type="dxa"/>
            </w:tcMar>
          </w:tcPr>
          <w:p>
            <w:pPr>
              <w:jc w:val="left"/>
            </w:pPr>
            <w:r/>
            <w:r>
              <w:rPr>
                <w:b w:val="0"/>
                <w:sz w:val="17"/>
              </w:rPr>
              <w:t>CANDIDATE-LIFT</w:t>
            </w:r>
          </w:p>
        </w:tc>
        <w:tc>
          <w:tcPr>
            <w:tcW w:type="dxa" w:w="3600"/>
            <w:vAlign w:val="center"/>
            <w:tcMar>
              <w:top w:w="90" w:type="dxa"/>
              <w:start w:w="110" w:type="dxa"/>
              <w:bottom w:w="90" w:type="dxa"/>
              <w:end w:w="110" w:type="dxa"/>
            </w:tcMar>
          </w:tcPr>
          <w:p>
            <w:pPr>
              <w:jc w:val="center"/>
            </w:pPr>
            <w:r/>
            <w:r>
              <w:rPr>
                <w:b w:val="0"/>
                <w:sz w:val="17"/>
              </w:rPr>
              <w:t>Локальный интегрируемый кандидат; дальнейшие мосты ещё нужны.</w:t>
            </w:r>
          </w:p>
        </w:tc>
      </w:tr>
      <w:tr>
        <w:tc>
          <w:tcPr>
            <w:tcW w:type="dxa" w:w="3168"/>
            <w:vAlign w:val="center"/>
            <w:tcMar>
              <w:top w:w="90" w:type="dxa"/>
              <w:start w:w="110" w:type="dxa"/>
              <w:bottom w:w="90" w:type="dxa"/>
              <w:end w:w="110" w:type="dxa"/>
            </w:tcMar>
          </w:tcPr>
          <w:p>
            <w:pPr>
              <w:jc w:val="center"/>
            </w:pPr>
            <w:r/>
            <w:r>
              <w:rPr>
                <w:b w:val="0"/>
                <w:sz w:val="17"/>
              </w:rPr>
              <w:t>любой blocker ненулевой</w:t>
            </w:r>
          </w:p>
        </w:tc>
        <w:tc>
          <w:tcPr>
            <w:tcW w:type="dxa" w:w="2304"/>
            <w:vAlign w:val="center"/>
            <w:tcMar>
              <w:top w:w="90" w:type="dxa"/>
              <w:start w:w="110" w:type="dxa"/>
              <w:bottom w:w="90" w:type="dxa"/>
              <w:end w:w="110" w:type="dxa"/>
            </w:tcMar>
          </w:tcPr>
          <w:p>
            <w:pPr>
              <w:jc w:val="left"/>
            </w:pPr>
            <w:r/>
            <w:r>
              <w:rPr>
                <w:b w:val="0"/>
                <w:sz w:val="17"/>
              </w:rPr>
              <w:t>ABSTAIN</w:t>
            </w:r>
          </w:p>
        </w:tc>
        <w:tc>
          <w:tcPr>
            <w:tcW w:type="dxa" w:w="3600"/>
            <w:vAlign w:val="center"/>
            <w:tcMar>
              <w:top w:w="90" w:type="dxa"/>
              <w:start w:w="110" w:type="dxa"/>
              <w:bottom w:w="90" w:type="dxa"/>
              <w:end w:w="110" w:type="dxa"/>
            </w:tcMar>
          </w:tcPr>
          <w:p>
            <w:pPr>
              <w:jc w:val="center"/>
            </w:pPr>
            <w:r/>
            <w:r>
              <w:rPr>
                <w:b w:val="0"/>
                <w:sz w:val="17"/>
              </w:rPr>
              <w:t>Доказательная цепь недостаточна или плохо обусловлена.</w:t>
            </w:r>
          </w:p>
        </w:tc>
      </w:tr>
    </w:tbl>
    <w:p>
      <w:pPr>
        <w:pStyle w:val="Heading1"/>
        <w:keepNext/>
      </w:pPr>
      <w:r>
        <w:t>170. Контрпримеры и разделяющие модели</w:t>
      </w:r>
    </w:p>
    <w:p>
      <w:pPr>
        <w:pStyle w:val="ListBullet"/>
      </w:pPr>
      <w:r>
        <w:t>Тangent без lift: functor с ненулевым H^2_N и квадратичным K(x)=x² имеет все first-order directions, но only x=0 интегрируется.</w:t>
      </w:r>
    </w:p>
    <w:p>
      <w:pPr>
        <w:pStyle w:val="ListBullet"/>
      </w:pPr>
      <w:r>
        <w:t>Primary obstruction zero, higher obstruction nonzero: κ_2=0 и κ_3(x,x,x)≠0.</w:t>
      </w:r>
    </w:p>
    <w:p>
      <w:pPr>
        <w:pStyle w:val="ListBullet"/>
      </w:pPr>
      <w:r>
        <w:t>Miniversal не universal: наличие H^1_N≠0 создаёт несколько base maps, связанные автоморфизмами.</w:t>
      </w:r>
    </w:p>
    <w:p>
      <w:pPr>
        <w:pStyle w:val="ListBullet"/>
      </w:pPr>
      <w:r>
        <w:t>Одинаковые dim H^i, разные germs: K_1(x,y)=xy и K_2(x,y)=x²+y³ имеют одинаковые ambient tangent/obstruction dimensions, но различные singularity types.</w:t>
      </w:r>
    </w:p>
    <w:p>
      <w:pPr>
        <w:pStyle w:val="ListBullet"/>
      </w:pPr>
      <w:r>
        <w:t>Формальное без аналитического: формальная серия может не иметь положительного радиуса сходимости без analytic estimates.</w:t>
      </w:r>
    </w:p>
    <w:p>
      <w:pPr>
        <w:pStyle w:val="ListBullet"/>
      </w:pPr>
      <w:r>
        <w:t>Green dependence: разные метрики дают разные representatives и Kuranishi maps, хотя корректные germs могут быть equivalent.</w:t>
      </w:r>
    </w:p>
    <w:p>
      <w:pPr>
        <w:pStyle w:val="ListBullet"/>
      </w:pPr>
      <w:r>
        <w:t>Coarse-space blindness: quotient [A¹/{±1}] и его coarse A¹ имеют разные stabilizer data.</w:t>
      </w:r>
    </w:p>
    <w:p>
      <w:pPr>
        <w:pStyle w:val="ListBullet"/>
      </w:pPr>
      <w:r>
        <w:t>Нуль K не физическое событие: статическая алгебраическая family может иметь гладкую miniversal base без времени, причинности и наблюдаемой.</w:t>
      </w:r>
    </w:p>
    <w:p>
      <w:pPr>
        <w:spacing w:after="100"/>
      </w:pPr>
      <w:r>
        <w:t>Эти модели запрещают цепочку «tangent → deformation → event» без lift, convergence, globalization и domain evidence.</w:t>
      </w:r>
    </w:p>
    <w:p>
      <w:pPr>
        <w:pStyle w:val="Heading1"/>
        <w:keepNext/>
      </w:pPr>
      <w:r>
        <w:t>171. Вычислительный сертификат MOD-KUR v0.13</w:t>
      </w:r>
    </w:p>
    <w:p>
      <w:pPr>
        <w:spacing w:after="100"/>
      </w:pPr>
      <w:r>
        <w:t>Минимальный воспроизводимый пакет MOD-01-MOD-24:</w:t>
      </w:r>
    </w:p>
    <w:p>
      <w:pPr>
        <w:pStyle w:val="ListBullet"/>
      </w:pPr>
      <w:r>
        <w:t>MOD-01 Art_K/base specification; MOD-02 object and morphism schemas; MOD-03 gauge groupoid;</w:t>
      </w:r>
    </w:p>
    <w:p>
      <w:pPr>
        <w:pStyle w:val="ListBullet"/>
      </w:pPr>
      <w:r>
        <w:t>MOD-04 complex d¹,d²; MOD-05 exact d²d¹ test; MOD-06 H¹,H²,H³ bases;</w:t>
      </w:r>
    </w:p>
    <w:p>
      <w:pPr>
        <w:pStyle w:val="ListBullet"/>
      </w:pPr>
      <w:r>
        <w:t>MOD-07 small-extension generator; MOD-08 obstruction-class independence; MOD-09 lift torsor test;</w:t>
      </w:r>
    </w:p>
    <w:p>
      <w:pPr>
        <w:pStyle w:val="ListBullet"/>
      </w:pPr>
      <w:r>
        <w:t>MOD-10 Schlessinger H1; MOD-11 H2; MOD-12 H3 finite-dimensionality; MOD-13 H4/prorepresentability flag;</w:t>
      </w:r>
    </w:p>
    <w:p>
      <w:pPr>
        <w:pStyle w:val="ListBullet"/>
      </w:pPr>
      <w:r>
        <w:t>MOD-14 controlling L_infinity identities; MOD-15 MC equation; MOD-16 gauge invariance;</w:t>
      </w:r>
    </w:p>
    <w:p>
      <w:pPr>
        <w:pStyle w:val="ListBullet"/>
      </w:pPr>
      <w:r>
        <w:t>MOD-17 Hodge contraction identity; MOD-18 Green norm and spectral margin; MOD-19 fixed-point contraction;</w:t>
      </w:r>
    </w:p>
    <w:p>
      <w:pPr>
        <w:pStyle w:val="ListBullet"/>
      </w:pPr>
      <w:r>
        <w:t>MOD-20 Kuranishi Taylor coefficients; MOD-21 zero-locus and local algebra; MOD-22 stabilizer/orbit strata;</w:t>
      </w:r>
    </w:p>
    <w:p>
      <w:pPr>
        <w:pStyle w:val="ListBullet"/>
      </w:pPr>
      <w:r>
        <w:t>MOD-23 blocker-safe verdict; MOD-24 sources, code, environment and artifact hashes.</w:t>
      </w:r>
    </w:p>
    <w:p>
      <w:pPr>
        <w:pStyle w:val="Heading2"/>
        <w:keepNext/>
      </w:pPr>
      <w:r>
        <w:t>171.1. Псевдокод</w:t>
      </w:r>
    </w:p>
    <w:p>
      <w:pPr>
        <w:pStyle w:val="Quote"/>
        <w:spacing w:before="80" w:after="120"/>
        <w:jc w:val="center"/>
      </w:pPr>
      <w:r>
        <w:t>INPUT NAPG frame N, controlling data g, Artin bases, Hodge-Green package, candidate x, D/Dom</w:t>
        <w:br/>
        <w:t>CHECK l_infinity_identities; compute H1,H2,H3; test small extensions and Schlessinger maps</w:t>
        <w:br/>
        <w:t>BUILD contraction (p,i,h); verify id-ip=l1h+hl1 and uniform bounds</w:t>
        <w:br/>
        <w:t>SOLVE alpha=i(x)-hN(alpha); COMPUTE K(x)=pN(alpha) with interval enclosure</w:t>
        <w:br/>
        <w:t>IF blockers != empty: ABSTAIN</w:t>
        <w:br/>
        <w:t>ELSE IF lower_bound(||K(x)||)&gt;0: NO-LIFT-IN-MODEL</w:t>
        <w:br/>
        <w:t>ELSE IF K(x)=0 exactly and all certificates pass: CANDIDATE-LIFT</w:t>
        <w:br/>
        <w:t>STORE proof objects, choices, hashes and rollback checkpoint.                                  (16.32)</w:t>
      </w:r>
    </w:p>
    <w:p>
      <w:pPr>
        <w:pStyle w:val="Heading1"/>
        <w:keepNext/>
      </w:pPr>
      <w:r>
        <w:t>172. Доказательные обязательства T2-PO-171-T2-PO-196</w:t>
      </w:r>
    </w:p>
    <w:tbl>
      <w:tblPr>
        <w:tblStyle w:val="TableGrid"/>
        <w:tblW w:type="auto" w:w="0"/>
        <w:jc w:val="center"/>
        <w:tblLook w:firstColumn="1" w:firstRow="1" w:lastColumn="0" w:lastRow="0" w:noHBand="0" w:noVBand="1" w:val="04A0"/>
      </w:tblPr>
      <w:tblGrid>
        <w:gridCol w:w="2438"/>
        <w:gridCol w:w="2438"/>
        <w:gridCol w:w="2438"/>
        <w:gridCol w:w="2438"/>
      </w:tblGrid>
      <w:tr>
        <w:trPr>
          <w:tblHeader w:val="true"/>
        </w:trPr>
        <w:tc>
          <w:tcPr>
            <w:tcW w:type="dxa" w:w="1440"/>
            <w:vAlign w:val="center"/>
            <w:tcMar>
              <w:top w:w="90" w:type="dxa"/>
              <w:start w:w="110" w:type="dxa"/>
              <w:bottom w:w="90" w:type="dxa"/>
              <w:end w:w="110" w:type="dxa"/>
            </w:tcMar>
            <w:shd w:fill="173b63"/>
          </w:tcPr>
          <w:p>
            <w:pPr>
              <w:jc w:val="center"/>
            </w:pPr>
            <w:r/>
            <w:r>
              <w:rPr>
                <w:b/>
                <w:color w:val="FFFFFF"/>
                <w:sz w:val="18"/>
              </w:rPr>
              <w:t>ID</w:t>
            </w:r>
          </w:p>
        </w:tc>
        <w:tc>
          <w:tcPr>
            <w:tcW w:type="dxa" w:w="4464"/>
            <w:vAlign w:val="center"/>
            <w:tcMar>
              <w:top w:w="90" w:type="dxa"/>
              <w:start w:w="110" w:type="dxa"/>
              <w:bottom w:w="90" w:type="dxa"/>
              <w:end w:w="110" w:type="dxa"/>
            </w:tcMar>
            <w:shd w:fill="173b63"/>
          </w:tcPr>
          <w:p>
            <w:pPr>
              <w:jc w:val="center"/>
            </w:pPr>
            <w:r/>
            <w:r>
              <w:rPr>
                <w:b/>
                <w:color w:val="FFFFFF"/>
                <w:sz w:val="18"/>
              </w:rPr>
              <w:t>Обязательство</w:t>
            </w:r>
          </w:p>
        </w:tc>
        <w:tc>
          <w:tcPr>
            <w:tcW w:type="dxa" w:w="1584"/>
            <w:vAlign w:val="center"/>
            <w:tcMar>
              <w:top w:w="90" w:type="dxa"/>
              <w:start w:w="110" w:type="dxa"/>
              <w:bottom w:w="90" w:type="dxa"/>
              <w:end w:w="110" w:type="dxa"/>
            </w:tcMar>
            <w:shd w:fill="173b63"/>
          </w:tcPr>
          <w:p>
            <w:pPr>
              <w:jc w:val="center"/>
            </w:pPr>
            <w:r/>
            <w:r>
              <w:rPr>
                <w:b/>
                <w:color w:val="FFFFFF"/>
                <w:sz w:val="18"/>
              </w:rPr>
              <w:t>Статус</w:t>
            </w:r>
          </w:p>
        </w:tc>
        <w:tc>
          <w:tcPr>
            <w:tcW w:type="dxa" w:w="2448"/>
            <w:vAlign w:val="center"/>
            <w:tcMar>
              <w:top w:w="90" w:type="dxa"/>
              <w:start w:w="110" w:type="dxa"/>
              <w:bottom w:w="90" w:type="dxa"/>
              <w:end w:w="110" w:type="dxa"/>
            </w:tcMar>
            <w:shd w:fill="173b63"/>
          </w:tcPr>
          <w:p>
            <w:pPr>
              <w:jc w:val="center"/>
            </w:pPr>
            <w:r/>
            <w:r>
              <w:rPr>
                <w:b/>
                <w:color w:val="FFFFFF"/>
                <w:sz w:val="18"/>
              </w:rPr>
              <w:t>Условие закрытия</w:t>
            </w:r>
          </w:p>
        </w:tc>
      </w:tr>
      <w:tr>
        <w:tc>
          <w:tcPr>
            <w:tcW w:type="dxa" w:w="1440"/>
            <w:vAlign w:val="center"/>
            <w:tcMar>
              <w:top w:w="90" w:type="dxa"/>
              <w:start w:w="110" w:type="dxa"/>
              <w:bottom w:w="90" w:type="dxa"/>
              <w:end w:w="110" w:type="dxa"/>
            </w:tcMar>
          </w:tcPr>
          <w:p>
            <w:pPr>
              <w:jc w:val="center"/>
            </w:pPr>
            <w:r/>
            <w:r>
              <w:rPr>
                <w:b w:val="0"/>
                <w:sz w:val="15"/>
              </w:rPr>
              <w:t>T2-PO-171</w:t>
            </w:r>
          </w:p>
        </w:tc>
        <w:tc>
          <w:tcPr>
            <w:tcW w:type="dxa" w:w="4464"/>
            <w:vAlign w:val="center"/>
            <w:tcMar>
              <w:top w:w="90" w:type="dxa"/>
              <w:start w:w="110" w:type="dxa"/>
              <w:bottom w:w="90" w:type="dxa"/>
              <w:end w:w="110" w:type="dxa"/>
            </w:tcMar>
          </w:tcPr>
          <w:p>
            <w:pPr>
              <w:jc w:val="left"/>
            </w:pPr>
            <w:r/>
            <w:r>
              <w:rPr>
                <w:b w:val="0"/>
                <w:sz w:val="15"/>
              </w:rPr>
              <w:t>Определить Art_K и base-change для частичных NAPG-операций.</w:t>
            </w:r>
          </w:p>
        </w:tc>
        <w:tc>
          <w:tcPr>
            <w:tcW w:type="dxa" w:w="1584"/>
            <w:vAlign w:val="center"/>
            <w:tcMar>
              <w:top w:w="90" w:type="dxa"/>
              <w:start w:w="110" w:type="dxa"/>
              <w:bottom w:w="90" w:type="dxa"/>
              <w:end w:w="110" w:type="dxa"/>
            </w:tcMar>
          </w:tcPr>
          <w:p>
            <w:pPr>
              <w:jc w:val="center"/>
            </w:pPr>
            <w:r/>
            <w:r>
              <w:rPr>
                <w:b w:val="0"/>
                <w:sz w:val="15"/>
              </w:rPr>
              <w:t>CLOSED-FD</w:t>
            </w:r>
          </w:p>
        </w:tc>
        <w:tc>
          <w:tcPr>
            <w:tcW w:type="dxa" w:w="2448"/>
            <w:vAlign w:val="center"/>
            <w:tcMar>
              <w:top w:w="90" w:type="dxa"/>
              <w:start w:w="110" w:type="dxa"/>
              <w:bottom w:w="90" w:type="dxa"/>
              <w:end w:w="110" w:type="dxa"/>
            </w:tcMar>
          </w:tcPr>
          <w:p>
            <w:pPr>
              <w:jc w:val="left"/>
            </w:pPr>
            <w:r/>
            <w:r>
              <w:rPr>
                <w:b w:val="0"/>
                <w:sz w:val="15"/>
              </w:rPr>
              <w:t>Конечномерный типизированный сектор.</w:t>
            </w:r>
          </w:p>
        </w:tc>
      </w:tr>
      <w:tr>
        <w:tc>
          <w:tcPr>
            <w:tcW w:type="dxa" w:w="1440"/>
            <w:vAlign w:val="center"/>
            <w:tcMar>
              <w:top w:w="90" w:type="dxa"/>
              <w:start w:w="110" w:type="dxa"/>
              <w:bottom w:w="90" w:type="dxa"/>
              <w:end w:w="110" w:type="dxa"/>
            </w:tcMar>
          </w:tcPr>
          <w:p>
            <w:pPr>
              <w:jc w:val="center"/>
            </w:pPr>
            <w:r/>
            <w:r>
              <w:rPr>
                <w:b w:val="0"/>
                <w:sz w:val="15"/>
              </w:rPr>
              <w:t>T2-PO-172</w:t>
            </w:r>
          </w:p>
        </w:tc>
        <w:tc>
          <w:tcPr>
            <w:tcW w:type="dxa" w:w="4464"/>
            <w:vAlign w:val="center"/>
            <w:tcMar>
              <w:top w:w="90" w:type="dxa"/>
              <w:start w:w="110" w:type="dxa"/>
              <w:bottom w:w="90" w:type="dxa"/>
              <w:end w:w="110" w:type="dxa"/>
            </w:tcMar>
          </w:tcPr>
          <w:p>
            <w:pPr>
              <w:jc w:val="left"/>
            </w:pPr>
            <w:r/>
            <w:r>
              <w:rPr>
                <w:b w:val="0"/>
                <w:sz w:val="15"/>
              </w:rPr>
              <w:t>Построить groupoid-valued Def_N, сохраняющий D/Dom.</w:t>
            </w:r>
          </w:p>
        </w:tc>
        <w:tc>
          <w:tcPr>
            <w:tcW w:type="dxa" w:w="1584"/>
            <w:vAlign w:val="center"/>
            <w:tcMar>
              <w:top w:w="90" w:type="dxa"/>
              <w:start w:w="110" w:type="dxa"/>
              <w:bottom w:w="90" w:type="dxa"/>
              <w:end w:w="110" w:type="dxa"/>
            </w:tcMar>
          </w:tcPr>
          <w:p>
            <w:pPr>
              <w:jc w:val="center"/>
            </w:pPr>
            <w:r/>
            <w:r>
              <w:rPr>
                <w:b w:val="0"/>
                <w:sz w:val="15"/>
              </w:rPr>
              <w:t>COND</w:t>
            </w:r>
          </w:p>
        </w:tc>
        <w:tc>
          <w:tcPr>
            <w:tcW w:type="dxa" w:w="2448"/>
            <w:vAlign w:val="center"/>
            <w:tcMar>
              <w:top w:w="90" w:type="dxa"/>
              <w:start w:w="110" w:type="dxa"/>
              <w:bottom w:w="90" w:type="dxa"/>
              <w:end w:w="110" w:type="dxa"/>
            </w:tcMar>
          </w:tcPr>
          <w:p>
            <w:pPr>
              <w:jc w:val="left"/>
            </w:pPr>
            <w:r/>
            <w:r>
              <w:rPr>
                <w:b w:val="0"/>
                <w:sz w:val="15"/>
              </w:rPr>
              <w:t>Нужна полная morphism specification.</w:t>
            </w:r>
          </w:p>
        </w:tc>
      </w:tr>
      <w:tr>
        <w:tc>
          <w:tcPr>
            <w:tcW w:type="dxa" w:w="1440"/>
            <w:vAlign w:val="center"/>
            <w:tcMar>
              <w:top w:w="90" w:type="dxa"/>
              <w:start w:w="110" w:type="dxa"/>
              <w:bottom w:w="90" w:type="dxa"/>
              <w:end w:w="110" w:type="dxa"/>
            </w:tcMar>
          </w:tcPr>
          <w:p>
            <w:pPr>
              <w:jc w:val="center"/>
            </w:pPr>
            <w:r/>
            <w:r>
              <w:rPr>
                <w:b w:val="0"/>
                <w:sz w:val="15"/>
              </w:rPr>
              <w:t>T2-PO-173</w:t>
            </w:r>
          </w:p>
        </w:tc>
        <w:tc>
          <w:tcPr>
            <w:tcW w:type="dxa" w:w="4464"/>
            <w:vAlign w:val="center"/>
            <w:tcMar>
              <w:top w:w="90" w:type="dxa"/>
              <w:start w:w="110" w:type="dxa"/>
              <w:bottom w:w="90" w:type="dxa"/>
              <w:end w:w="110" w:type="dxa"/>
            </w:tcMar>
          </w:tcPr>
          <w:p>
            <w:pPr>
              <w:jc w:val="left"/>
            </w:pPr>
            <w:r/>
            <w:r>
              <w:rPr>
                <w:b w:val="0"/>
                <w:sz w:val="15"/>
              </w:rPr>
              <w:t>Доказать small-extension obstruction class.</w:t>
            </w:r>
          </w:p>
        </w:tc>
        <w:tc>
          <w:tcPr>
            <w:tcW w:type="dxa" w:w="1584"/>
            <w:vAlign w:val="center"/>
            <w:tcMar>
              <w:top w:w="90" w:type="dxa"/>
              <w:start w:w="110" w:type="dxa"/>
              <w:bottom w:w="90" w:type="dxa"/>
              <w:end w:w="110" w:type="dxa"/>
            </w:tcMar>
          </w:tcPr>
          <w:p>
            <w:pPr>
              <w:jc w:val="center"/>
            </w:pPr>
            <w:r/>
            <w:r>
              <w:rPr>
                <w:b w:val="0"/>
                <w:sz w:val="15"/>
              </w:rPr>
              <w:t>COND</w:t>
            </w:r>
          </w:p>
        </w:tc>
        <w:tc>
          <w:tcPr>
            <w:tcW w:type="dxa" w:w="2448"/>
            <w:vAlign w:val="center"/>
            <w:tcMar>
              <w:top w:w="90" w:type="dxa"/>
              <w:start w:w="110" w:type="dxa"/>
              <w:bottom w:w="90" w:type="dxa"/>
              <w:end w:w="110" w:type="dxa"/>
            </w:tcMar>
          </w:tcPr>
          <w:p>
            <w:pPr>
              <w:jc w:val="left"/>
            </w:pPr>
            <w:r/>
            <w:r>
              <w:rPr>
                <w:b w:val="0"/>
                <w:sz w:val="15"/>
              </w:rPr>
              <w:t>Следует из CTRL-16.1.</w:t>
            </w:r>
          </w:p>
        </w:tc>
      </w:tr>
      <w:tr>
        <w:tc>
          <w:tcPr>
            <w:tcW w:type="dxa" w:w="1440"/>
            <w:vAlign w:val="center"/>
            <w:tcMar>
              <w:top w:w="90" w:type="dxa"/>
              <w:start w:w="110" w:type="dxa"/>
              <w:bottom w:w="90" w:type="dxa"/>
              <w:end w:w="110" w:type="dxa"/>
            </w:tcMar>
          </w:tcPr>
          <w:p>
            <w:pPr>
              <w:jc w:val="center"/>
            </w:pPr>
            <w:r/>
            <w:r>
              <w:rPr>
                <w:b w:val="0"/>
                <w:sz w:val="15"/>
              </w:rPr>
              <w:t>T2-PO-174</w:t>
            </w:r>
          </w:p>
        </w:tc>
        <w:tc>
          <w:tcPr>
            <w:tcW w:type="dxa" w:w="4464"/>
            <w:vAlign w:val="center"/>
            <w:tcMar>
              <w:top w:w="90" w:type="dxa"/>
              <w:start w:w="110" w:type="dxa"/>
              <w:bottom w:w="90" w:type="dxa"/>
              <w:end w:w="110" w:type="dxa"/>
            </w:tcMar>
          </w:tcPr>
          <w:p>
            <w:pPr>
              <w:jc w:val="left"/>
            </w:pPr>
            <w:r/>
            <w:r>
              <w:rPr>
                <w:b w:val="0"/>
                <w:sz w:val="15"/>
              </w:rPr>
              <w:t>Доказать lift torsor H_N^2⊗I.</w:t>
            </w:r>
          </w:p>
        </w:tc>
        <w:tc>
          <w:tcPr>
            <w:tcW w:type="dxa" w:w="1584"/>
            <w:vAlign w:val="center"/>
            <w:tcMar>
              <w:top w:w="90" w:type="dxa"/>
              <w:start w:w="110" w:type="dxa"/>
              <w:bottom w:w="90" w:type="dxa"/>
              <w:end w:w="110" w:type="dxa"/>
            </w:tcMar>
          </w:tcPr>
          <w:p>
            <w:pPr>
              <w:jc w:val="center"/>
            </w:pPr>
            <w:r/>
            <w:r>
              <w:rPr>
                <w:b w:val="0"/>
                <w:sz w:val="15"/>
              </w:rPr>
              <w:t>COND</w:t>
            </w:r>
          </w:p>
        </w:tc>
        <w:tc>
          <w:tcPr>
            <w:tcW w:type="dxa" w:w="2448"/>
            <w:vAlign w:val="center"/>
            <w:tcMar>
              <w:top w:w="90" w:type="dxa"/>
              <w:start w:w="110" w:type="dxa"/>
              <w:bottom w:w="90" w:type="dxa"/>
              <w:end w:w="110" w:type="dxa"/>
            </w:tcMar>
          </w:tcPr>
          <w:p>
            <w:pPr>
              <w:jc w:val="left"/>
            </w:pPr>
            <w:r/>
            <w:r>
              <w:rPr>
                <w:b w:val="0"/>
                <w:sz w:val="15"/>
              </w:rPr>
              <w:t>Полная obstruction theory.</w:t>
            </w:r>
          </w:p>
        </w:tc>
      </w:tr>
      <w:tr>
        <w:tc>
          <w:tcPr>
            <w:tcW w:type="dxa" w:w="1440"/>
            <w:vAlign w:val="center"/>
            <w:tcMar>
              <w:top w:w="90" w:type="dxa"/>
              <w:start w:w="110" w:type="dxa"/>
              <w:bottom w:w="90" w:type="dxa"/>
              <w:end w:w="110" w:type="dxa"/>
            </w:tcMar>
          </w:tcPr>
          <w:p>
            <w:pPr>
              <w:jc w:val="center"/>
            </w:pPr>
            <w:r/>
            <w:r>
              <w:rPr>
                <w:b w:val="0"/>
                <w:sz w:val="15"/>
              </w:rPr>
              <w:t>T2-PO-175</w:t>
            </w:r>
          </w:p>
        </w:tc>
        <w:tc>
          <w:tcPr>
            <w:tcW w:type="dxa" w:w="4464"/>
            <w:vAlign w:val="center"/>
            <w:tcMar>
              <w:top w:w="90" w:type="dxa"/>
              <w:start w:w="110" w:type="dxa"/>
              <w:bottom w:w="90" w:type="dxa"/>
              <w:end w:w="110" w:type="dxa"/>
            </w:tcMar>
          </w:tcPr>
          <w:p>
            <w:pPr>
              <w:jc w:val="left"/>
            </w:pPr>
            <w:r/>
            <w:r>
              <w:rPr>
                <w:b w:val="0"/>
                <w:sz w:val="15"/>
              </w:rPr>
              <w:t>Идентифицировать infinitesimal automorphisms с H_N^1.</w:t>
            </w:r>
          </w:p>
        </w:tc>
        <w:tc>
          <w:tcPr>
            <w:tcW w:type="dxa" w:w="1584"/>
            <w:vAlign w:val="center"/>
            <w:tcMar>
              <w:top w:w="90" w:type="dxa"/>
              <w:start w:w="110" w:type="dxa"/>
              <w:bottom w:w="90" w:type="dxa"/>
              <w:end w:w="110" w:type="dxa"/>
            </w:tcMar>
          </w:tcPr>
          <w:p>
            <w:pPr>
              <w:jc w:val="center"/>
            </w:pPr>
            <w:r/>
            <w:r>
              <w:rPr>
                <w:b w:val="0"/>
                <w:sz w:val="15"/>
              </w:rPr>
              <w:t>COND</w:t>
            </w:r>
          </w:p>
        </w:tc>
        <w:tc>
          <w:tcPr>
            <w:tcW w:type="dxa" w:w="2448"/>
            <w:vAlign w:val="center"/>
            <w:tcMar>
              <w:top w:w="90" w:type="dxa"/>
              <w:start w:w="110" w:type="dxa"/>
              <w:bottom w:w="90" w:type="dxa"/>
              <w:end w:w="110" w:type="dxa"/>
            </w:tcMar>
          </w:tcPr>
          <w:p>
            <w:pPr>
              <w:jc w:val="left"/>
            </w:pPr>
            <w:r/>
            <w:r>
              <w:rPr>
                <w:b w:val="0"/>
                <w:sz w:val="15"/>
              </w:rPr>
              <w:t>Gauge completeness.</w:t>
            </w:r>
          </w:p>
        </w:tc>
      </w:tr>
      <w:tr>
        <w:tc>
          <w:tcPr>
            <w:tcW w:type="dxa" w:w="1440"/>
            <w:vAlign w:val="center"/>
            <w:tcMar>
              <w:top w:w="90" w:type="dxa"/>
              <w:start w:w="110" w:type="dxa"/>
              <w:bottom w:w="90" w:type="dxa"/>
              <w:end w:w="110" w:type="dxa"/>
            </w:tcMar>
          </w:tcPr>
          <w:p>
            <w:pPr>
              <w:jc w:val="center"/>
            </w:pPr>
            <w:r/>
            <w:r>
              <w:rPr>
                <w:b w:val="0"/>
                <w:sz w:val="15"/>
              </w:rPr>
              <w:t>T2-PO-176</w:t>
            </w:r>
          </w:p>
        </w:tc>
        <w:tc>
          <w:tcPr>
            <w:tcW w:type="dxa" w:w="4464"/>
            <w:vAlign w:val="center"/>
            <w:tcMar>
              <w:top w:w="90" w:type="dxa"/>
              <w:start w:w="110" w:type="dxa"/>
              <w:bottom w:w="90" w:type="dxa"/>
              <w:end w:w="110" w:type="dxa"/>
            </w:tcMar>
          </w:tcPr>
          <w:p>
            <w:pPr>
              <w:jc w:val="left"/>
            </w:pPr>
            <w:r/>
            <w:r>
              <w:rPr>
                <w:b w:val="0"/>
                <w:sz w:val="15"/>
              </w:rPr>
              <w:t>Построить controlling filtered L_infinity algebra NAPG.</w:t>
            </w:r>
          </w:p>
        </w:tc>
        <w:tc>
          <w:tcPr>
            <w:tcW w:type="dxa" w:w="1584"/>
            <w:vAlign w:val="center"/>
            <w:tcMar>
              <w:top w:w="90" w:type="dxa"/>
              <w:start w:w="110" w:type="dxa"/>
              <w:bottom w:w="90" w:type="dxa"/>
              <w:end w:w="110" w:type="dxa"/>
            </w:tcMar>
          </w:tcPr>
          <w:p>
            <w:pPr>
              <w:jc w:val="center"/>
            </w:pPr>
            <w:r/>
            <w:r>
              <w:rPr>
                <w:b w:val="0"/>
                <w:sz w:val="15"/>
              </w:rPr>
              <w:t>OPEN</w:t>
            </w:r>
          </w:p>
        </w:tc>
        <w:tc>
          <w:tcPr>
            <w:tcW w:type="dxa" w:w="2448"/>
            <w:vAlign w:val="center"/>
            <w:tcMar>
              <w:top w:w="90" w:type="dxa"/>
              <w:start w:w="110" w:type="dxa"/>
              <w:bottom w:w="90" w:type="dxa"/>
              <w:end w:w="110" w:type="dxa"/>
            </w:tcMar>
          </w:tcPr>
          <w:p>
            <w:pPr>
              <w:jc w:val="left"/>
            </w:pPr>
            <w:r/>
            <w:r>
              <w:rPr>
                <w:b w:val="0"/>
                <w:sz w:val="15"/>
              </w:rPr>
              <w:t>Главный алгебраический blocker.</w:t>
            </w:r>
          </w:p>
        </w:tc>
      </w:tr>
      <w:tr>
        <w:tc>
          <w:tcPr>
            <w:tcW w:type="dxa" w:w="1440"/>
            <w:vAlign w:val="center"/>
            <w:tcMar>
              <w:top w:w="90" w:type="dxa"/>
              <w:start w:w="110" w:type="dxa"/>
              <w:bottom w:w="90" w:type="dxa"/>
              <w:end w:w="110" w:type="dxa"/>
            </w:tcMar>
          </w:tcPr>
          <w:p>
            <w:pPr>
              <w:jc w:val="center"/>
            </w:pPr>
            <w:r/>
            <w:r>
              <w:rPr>
                <w:b w:val="0"/>
                <w:sz w:val="15"/>
              </w:rPr>
              <w:t>T2-PO-177</w:t>
            </w:r>
          </w:p>
        </w:tc>
        <w:tc>
          <w:tcPr>
            <w:tcW w:type="dxa" w:w="4464"/>
            <w:vAlign w:val="center"/>
            <w:tcMar>
              <w:top w:w="90" w:type="dxa"/>
              <w:start w:w="110" w:type="dxa"/>
              <w:bottom w:w="90" w:type="dxa"/>
              <w:end w:w="110" w:type="dxa"/>
            </w:tcMar>
          </w:tcPr>
          <w:p>
            <w:pPr>
              <w:jc w:val="left"/>
            </w:pPr>
            <w:r/>
            <w:r>
              <w:rPr>
                <w:b w:val="0"/>
                <w:sz w:val="15"/>
              </w:rPr>
              <w:t>Проверить Schlessinger H1.</w:t>
            </w:r>
          </w:p>
        </w:tc>
        <w:tc>
          <w:tcPr>
            <w:tcW w:type="dxa" w:w="1584"/>
            <w:vAlign w:val="center"/>
            <w:tcMar>
              <w:top w:w="90" w:type="dxa"/>
              <w:start w:w="110" w:type="dxa"/>
              <w:bottom w:w="90" w:type="dxa"/>
              <w:end w:w="110" w:type="dxa"/>
            </w:tcMar>
          </w:tcPr>
          <w:p>
            <w:pPr>
              <w:jc w:val="center"/>
            </w:pPr>
            <w:r/>
            <w:r>
              <w:rPr>
                <w:b w:val="0"/>
                <w:sz w:val="15"/>
              </w:rPr>
              <w:t>OPEN</w:t>
            </w:r>
          </w:p>
        </w:tc>
        <w:tc>
          <w:tcPr>
            <w:tcW w:type="dxa" w:w="2448"/>
            <w:vAlign w:val="center"/>
            <w:tcMar>
              <w:top w:w="90" w:type="dxa"/>
              <w:start w:w="110" w:type="dxa"/>
              <w:bottom w:w="90" w:type="dxa"/>
              <w:end w:w="110" w:type="dxa"/>
            </w:tcMar>
          </w:tcPr>
          <w:p>
            <w:pPr>
              <w:jc w:val="left"/>
            </w:pPr>
            <w:r/>
            <w:r>
              <w:rPr>
                <w:b w:val="0"/>
                <w:sz w:val="15"/>
              </w:rPr>
              <w:t>Fiber-product lifting.</w:t>
            </w:r>
          </w:p>
        </w:tc>
      </w:tr>
      <w:tr>
        <w:tc>
          <w:tcPr>
            <w:tcW w:type="dxa" w:w="1440"/>
            <w:vAlign w:val="center"/>
            <w:tcMar>
              <w:top w:w="90" w:type="dxa"/>
              <w:start w:w="110" w:type="dxa"/>
              <w:bottom w:w="90" w:type="dxa"/>
              <w:end w:w="110" w:type="dxa"/>
            </w:tcMar>
          </w:tcPr>
          <w:p>
            <w:pPr>
              <w:jc w:val="center"/>
            </w:pPr>
            <w:r/>
            <w:r>
              <w:rPr>
                <w:b w:val="0"/>
                <w:sz w:val="15"/>
              </w:rPr>
              <w:t>T2-PO-178</w:t>
            </w:r>
          </w:p>
        </w:tc>
        <w:tc>
          <w:tcPr>
            <w:tcW w:type="dxa" w:w="4464"/>
            <w:vAlign w:val="center"/>
            <w:tcMar>
              <w:top w:w="90" w:type="dxa"/>
              <w:start w:w="110" w:type="dxa"/>
              <w:bottom w:w="90" w:type="dxa"/>
              <w:end w:w="110" w:type="dxa"/>
            </w:tcMar>
          </w:tcPr>
          <w:p>
            <w:pPr>
              <w:jc w:val="left"/>
            </w:pPr>
            <w:r/>
            <w:r>
              <w:rPr>
                <w:b w:val="0"/>
                <w:sz w:val="15"/>
              </w:rPr>
              <w:t>Проверить Schlessinger H2.</w:t>
            </w:r>
          </w:p>
        </w:tc>
        <w:tc>
          <w:tcPr>
            <w:tcW w:type="dxa" w:w="1584"/>
            <w:vAlign w:val="center"/>
            <w:tcMar>
              <w:top w:w="90" w:type="dxa"/>
              <w:start w:w="110" w:type="dxa"/>
              <w:bottom w:w="90" w:type="dxa"/>
              <w:end w:w="110" w:type="dxa"/>
            </w:tcMar>
          </w:tcPr>
          <w:p>
            <w:pPr>
              <w:jc w:val="center"/>
            </w:pPr>
            <w:r/>
            <w:r>
              <w:rPr>
                <w:b w:val="0"/>
                <w:sz w:val="15"/>
              </w:rPr>
              <w:t>OPEN</w:t>
            </w:r>
          </w:p>
        </w:tc>
        <w:tc>
          <w:tcPr>
            <w:tcW w:type="dxa" w:w="2448"/>
            <w:vAlign w:val="center"/>
            <w:tcMar>
              <w:top w:w="90" w:type="dxa"/>
              <w:start w:w="110" w:type="dxa"/>
              <w:bottom w:w="90" w:type="dxa"/>
              <w:end w:w="110" w:type="dxa"/>
            </w:tcMar>
          </w:tcPr>
          <w:p>
            <w:pPr>
              <w:jc w:val="left"/>
            </w:pPr>
            <w:r/>
            <w:r>
              <w:rPr>
                <w:b w:val="0"/>
                <w:sz w:val="15"/>
              </w:rPr>
              <w:t>Dual-number compatibility.</w:t>
            </w:r>
          </w:p>
        </w:tc>
      </w:tr>
      <w:tr>
        <w:tc>
          <w:tcPr>
            <w:tcW w:type="dxa" w:w="1440"/>
            <w:vAlign w:val="center"/>
            <w:tcMar>
              <w:top w:w="90" w:type="dxa"/>
              <w:start w:w="110" w:type="dxa"/>
              <w:bottom w:w="90" w:type="dxa"/>
              <w:end w:w="110" w:type="dxa"/>
            </w:tcMar>
          </w:tcPr>
          <w:p>
            <w:pPr>
              <w:jc w:val="center"/>
            </w:pPr>
            <w:r/>
            <w:r>
              <w:rPr>
                <w:b w:val="0"/>
                <w:sz w:val="15"/>
              </w:rPr>
              <w:t>T2-PO-179</w:t>
            </w:r>
          </w:p>
        </w:tc>
        <w:tc>
          <w:tcPr>
            <w:tcW w:type="dxa" w:w="4464"/>
            <w:vAlign w:val="center"/>
            <w:tcMar>
              <w:top w:w="90" w:type="dxa"/>
              <w:start w:w="110" w:type="dxa"/>
              <w:bottom w:w="90" w:type="dxa"/>
              <w:end w:w="110" w:type="dxa"/>
            </w:tcMar>
          </w:tcPr>
          <w:p>
            <w:pPr>
              <w:jc w:val="left"/>
            </w:pPr>
            <w:r/>
            <w:r>
              <w:rPr>
                <w:b w:val="0"/>
                <w:sz w:val="15"/>
              </w:rPr>
              <w:t>Доказать H3 finite tangent.</w:t>
            </w:r>
          </w:p>
        </w:tc>
        <w:tc>
          <w:tcPr>
            <w:tcW w:type="dxa" w:w="1584"/>
            <w:vAlign w:val="center"/>
            <w:tcMar>
              <w:top w:w="90" w:type="dxa"/>
              <w:start w:w="110" w:type="dxa"/>
              <w:bottom w:w="90" w:type="dxa"/>
              <w:end w:w="110" w:type="dxa"/>
            </w:tcMar>
          </w:tcPr>
          <w:p>
            <w:pPr>
              <w:jc w:val="center"/>
            </w:pPr>
            <w:r/>
            <w:r>
              <w:rPr>
                <w:b w:val="0"/>
                <w:sz w:val="15"/>
              </w:rPr>
              <w:t>COND-FD</w:t>
            </w:r>
          </w:p>
        </w:tc>
        <w:tc>
          <w:tcPr>
            <w:tcW w:type="dxa" w:w="2448"/>
            <w:vAlign w:val="center"/>
            <w:tcMar>
              <w:top w:w="90" w:type="dxa"/>
              <w:start w:w="110" w:type="dxa"/>
              <w:bottom w:w="90" w:type="dxa"/>
              <w:end w:w="110" w:type="dxa"/>
            </w:tcMar>
          </w:tcPr>
          <w:p>
            <w:pPr>
              <w:jc w:val="left"/>
            </w:pPr>
            <w:r/>
            <w:r>
              <w:rPr>
                <w:b w:val="0"/>
                <w:sz w:val="15"/>
              </w:rPr>
              <w:t>Fredholm/finite sector.</w:t>
            </w:r>
          </w:p>
        </w:tc>
      </w:tr>
      <w:tr>
        <w:tc>
          <w:tcPr>
            <w:tcW w:type="dxa" w:w="1440"/>
            <w:vAlign w:val="center"/>
            <w:tcMar>
              <w:top w:w="90" w:type="dxa"/>
              <w:start w:w="110" w:type="dxa"/>
              <w:bottom w:w="90" w:type="dxa"/>
              <w:end w:w="110" w:type="dxa"/>
            </w:tcMar>
          </w:tcPr>
          <w:p>
            <w:pPr>
              <w:jc w:val="center"/>
            </w:pPr>
            <w:r/>
            <w:r>
              <w:rPr>
                <w:b w:val="0"/>
                <w:sz w:val="15"/>
              </w:rPr>
              <w:t>T2-PO-180</w:t>
            </w:r>
          </w:p>
        </w:tc>
        <w:tc>
          <w:tcPr>
            <w:tcW w:type="dxa" w:w="4464"/>
            <w:vAlign w:val="center"/>
            <w:tcMar>
              <w:top w:w="90" w:type="dxa"/>
              <w:start w:w="110" w:type="dxa"/>
              <w:bottom w:w="90" w:type="dxa"/>
              <w:end w:w="110" w:type="dxa"/>
            </w:tcMar>
          </w:tcPr>
          <w:p>
            <w:pPr>
              <w:jc w:val="left"/>
            </w:pPr>
            <w:r/>
            <w:r>
              <w:rPr>
                <w:b w:val="0"/>
                <w:sz w:val="15"/>
              </w:rPr>
              <w:t>Проверить H4 или явно отказаться от universality.</w:t>
            </w:r>
          </w:p>
        </w:tc>
        <w:tc>
          <w:tcPr>
            <w:tcW w:type="dxa" w:w="1584"/>
            <w:vAlign w:val="center"/>
            <w:tcMar>
              <w:top w:w="90" w:type="dxa"/>
              <w:start w:w="110" w:type="dxa"/>
              <w:bottom w:w="90" w:type="dxa"/>
              <w:end w:w="110" w:type="dxa"/>
            </w:tcMar>
          </w:tcPr>
          <w:p>
            <w:pPr>
              <w:jc w:val="center"/>
            </w:pPr>
            <w:r/>
            <w:r>
              <w:rPr>
                <w:b w:val="0"/>
                <w:sz w:val="15"/>
              </w:rPr>
              <w:t>OPEN</w:t>
            </w:r>
          </w:p>
        </w:tc>
        <w:tc>
          <w:tcPr>
            <w:tcW w:type="dxa" w:w="2448"/>
            <w:vAlign w:val="center"/>
            <w:tcMar>
              <w:top w:w="90" w:type="dxa"/>
              <w:start w:w="110" w:type="dxa"/>
              <w:bottom w:w="90" w:type="dxa"/>
              <w:end w:w="110" w:type="dxa"/>
            </w:tcMar>
          </w:tcPr>
          <w:p>
            <w:pPr>
              <w:jc w:val="left"/>
            </w:pPr>
            <w:r/>
            <w:r>
              <w:rPr>
                <w:b w:val="0"/>
                <w:sz w:val="15"/>
              </w:rPr>
              <w:t>Automorphism-sensitive.</w:t>
            </w:r>
          </w:p>
        </w:tc>
      </w:tr>
      <w:tr>
        <w:tc>
          <w:tcPr>
            <w:tcW w:type="dxa" w:w="1440"/>
            <w:vAlign w:val="center"/>
            <w:tcMar>
              <w:top w:w="90" w:type="dxa"/>
              <w:start w:w="110" w:type="dxa"/>
              <w:bottom w:w="90" w:type="dxa"/>
              <w:end w:w="110" w:type="dxa"/>
            </w:tcMar>
          </w:tcPr>
          <w:p>
            <w:pPr>
              <w:jc w:val="center"/>
            </w:pPr>
            <w:r/>
            <w:r>
              <w:rPr>
                <w:b w:val="0"/>
                <w:sz w:val="15"/>
              </w:rPr>
              <w:t>T2-PO-181</w:t>
            </w:r>
          </w:p>
        </w:tc>
        <w:tc>
          <w:tcPr>
            <w:tcW w:type="dxa" w:w="4464"/>
            <w:vAlign w:val="center"/>
            <w:tcMar>
              <w:top w:w="90" w:type="dxa"/>
              <w:start w:w="110" w:type="dxa"/>
              <w:bottom w:w="90" w:type="dxa"/>
              <w:end w:w="110" w:type="dxa"/>
            </w:tcMar>
          </w:tcPr>
          <w:p>
            <w:pPr>
              <w:jc w:val="left"/>
            </w:pPr>
            <w:r/>
            <w:r>
              <w:rPr>
                <w:b w:val="0"/>
                <w:sz w:val="15"/>
              </w:rPr>
              <w:t>Согласовать shift g=C[1] и derived tangent degrees.</w:t>
            </w:r>
          </w:p>
        </w:tc>
        <w:tc>
          <w:tcPr>
            <w:tcW w:type="dxa" w:w="1584"/>
            <w:vAlign w:val="center"/>
            <w:tcMar>
              <w:top w:w="90" w:type="dxa"/>
              <w:start w:w="110" w:type="dxa"/>
              <w:bottom w:w="90" w:type="dxa"/>
              <w:end w:w="110" w:type="dxa"/>
            </w:tcMar>
          </w:tcPr>
          <w:p>
            <w:pPr>
              <w:jc w:val="center"/>
            </w:pPr>
            <w:r/>
            <w:r>
              <w:rPr>
                <w:b w:val="0"/>
                <w:sz w:val="15"/>
              </w:rPr>
              <w:t>CLOSED</w:t>
            </w:r>
          </w:p>
        </w:tc>
        <w:tc>
          <w:tcPr>
            <w:tcW w:type="dxa" w:w="2448"/>
            <w:vAlign w:val="center"/>
            <w:tcMar>
              <w:top w:w="90" w:type="dxa"/>
              <w:start w:w="110" w:type="dxa"/>
              <w:bottom w:w="90" w:type="dxa"/>
              <w:end w:w="110" w:type="dxa"/>
            </w:tcMar>
          </w:tcPr>
          <w:p>
            <w:pPr>
              <w:jc w:val="left"/>
            </w:pPr>
            <w:r/>
            <w:r>
              <w:rPr>
                <w:b w:val="0"/>
                <w:sz w:val="15"/>
              </w:rPr>
              <w:t>Фиксированная convention.</w:t>
            </w:r>
          </w:p>
        </w:tc>
      </w:tr>
      <w:tr>
        <w:tc>
          <w:tcPr>
            <w:tcW w:type="dxa" w:w="1440"/>
            <w:vAlign w:val="center"/>
            <w:tcMar>
              <w:top w:w="90" w:type="dxa"/>
              <w:start w:w="110" w:type="dxa"/>
              <w:bottom w:w="90" w:type="dxa"/>
              <w:end w:w="110" w:type="dxa"/>
            </w:tcMar>
          </w:tcPr>
          <w:p>
            <w:pPr>
              <w:jc w:val="center"/>
            </w:pPr>
            <w:r/>
            <w:r>
              <w:rPr>
                <w:b w:val="0"/>
                <w:sz w:val="15"/>
              </w:rPr>
              <w:t>T2-PO-182</w:t>
            </w:r>
          </w:p>
        </w:tc>
        <w:tc>
          <w:tcPr>
            <w:tcW w:type="dxa" w:w="4464"/>
            <w:vAlign w:val="center"/>
            <w:tcMar>
              <w:top w:w="90" w:type="dxa"/>
              <w:start w:w="110" w:type="dxa"/>
              <w:bottom w:w="90" w:type="dxa"/>
              <w:end w:w="110" w:type="dxa"/>
            </w:tcMar>
          </w:tcPr>
          <w:p>
            <w:pPr>
              <w:jc w:val="left"/>
            </w:pPr>
            <w:r/>
            <w:r>
              <w:rPr>
                <w:b w:val="0"/>
                <w:sz w:val="15"/>
              </w:rPr>
              <w:t>Доказать совместимость bracket maps с domains.</w:t>
            </w:r>
          </w:p>
        </w:tc>
        <w:tc>
          <w:tcPr>
            <w:tcW w:type="dxa" w:w="1584"/>
            <w:vAlign w:val="center"/>
            <w:tcMar>
              <w:top w:w="90" w:type="dxa"/>
              <w:start w:w="110" w:type="dxa"/>
              <w:bottom w:w="90" w:type="dxa"/>
              <w:end w:w="110" w:type="dxa"/>
            </w:tcMar>
          </w:tcPr>
          <w:p>
            <w:pPr>
              <w:jc w:val="center"/>
            </w:pPr>
            <w:r/>
            <w:r>
              <w:rPr>
                <w:b w:val="0"/>
                <w:sz w:val="15"/>
              </w:rPr>
              <w:t>OPEN</w:t>
            </w:r>
          </w:p>
        </w:tc>
        <w:tc>
          <w:tcPr>
            <w:tcW w:type="dxa" w:w="2448"/>
            <w:vAlign w:val="center"/>
            <w:tcMar>
              <w:top w:w="90" w:type="dxa"/>
              <w:start w:w="110" w:type="dxa"/>
              <w:bottom w:w="90" w:type="dxa"/>
              <w:end w:w="110" w:type="dxa"/>
            </w:tcMar>
          </w:tcPr>
          <w:p>
            <w:pPr>
              <w:jc w:val="left"/>
            </w:pPr>
            <w:r/>
            <w:r>
              <w:rPr>
                <w:b w:val="0"/>
                <w:sz w:val="15"/>
              </w:rPr>
              <w:t>Unbounded/partial maps.</w:t>
            </w:r>
          </w:p>
        </w:tc>
      </w:tr>
      <w:tr>
        <w:tc>
          <w:tcPr>
            <w:tcW w:type="dxa" w:w="1440"/>
            <w:vAlign w:val="center"/>
            <w:tcMar>
              <w:top w:w="90" w:type="dxa"/>
              <w:start w:w="110" w:type="dxa"/>
              <w:bottom w:w="90" w:type="dxa"/>
              <w:end w:w="110" w:type="dxa"/>
            </w:tcMar>
          </w:tcPr>
          <w:p>
            <w:pPr>
              <w:jc w:val="center"/>
            </w:pPr>
            <w:r/>
            <w:r>
              <w:rPr>
                <w:b w:val="0"/>
                <w:sz w:val="15"/>
              </w:rPr>
              <w:t>T2-PO-183</w:t>
            </w:r>
          </w:p>
        </w:tc>
        <w:tc>
          <w:tcPr>
            <w:tcW w:type="dxa" w:w="4464"/>
            <w:vAlign w:val="center"/>
            <w:tcMar>
              <w:top w:w="90" w:type="dxa"/>
              <w:start w:w="110" w:type="dxa"/>
              <w:bottom w:w="90" w:type="dxa"/>
              <w:end w:w="110" w:type="dxa"/>
            </w:tcMar>
          </w:tcPr>
          <w:p>
            <w:pPr>
              <w:jc w:val="left"/>
            </w:pPr>
            <w:r/>
            <w:r>
              <w:rPr>
                <w:b w:val="0"/>
                <w:sz w:val="15"/>
              </w:rPr>
              <w:t>Построить Hodge contraction p,i,h.</w:t>
            </w:r>
          </w:p>
        </w:tc>
        <w:tc>
          <w:tcPr>
            <w:tcW w:type="dxa" w:w="1584"/>
            <w:vAlign w:val="center"/>
            <w:tcMar>
              <w:top w:w="90" w:type="dxa"/>
              <w:start w:w="110" w:type="dxa"/>
              <w:bottom w:w="90" w:type="dxa"/>
              <w:end w:w="110" w:type="dxa"/>
            </w:tcMar>
          </w:tcPr>
          <w:p>
            <w:pPr>
              <w:jc w:val="center"/>
            </w:pPr>
            <w:r/>
            <w:r>
              <w:rPr>
                <w:b w:val="0"/>
                <w:sz w:val="15"/>
              </w:rPr>
              <w:t>COND-HF</w:t>
            </w:r>
          </w:p>
        </w:tc>
        <w:tc>
          <w:tcPr>
            <w:tcW w:type="dxa" w:w="2448"/>
            <w:vAlign w:val="center"/>
            <w:tcMar>
              <w:top w:w="90" w:type="dxa"/>
              <w:start w:w="110" w:type="dxa"/>
              <w:bottom w:w="90" w:type="dxa"/>
              <w:end w:w="110" w:type="dxa"/>
            </w:tcMar>
          </w:tcPr>
          <w:p>
            <w:pPr>
              <w:jc w:val="left"/>
            </w:pPr>
            <w:r/>
            <w:r>
              <w:rPr>
                <w:b w:val="0"/>
                <w:sz w:val="15"/>
              </w:rPr>
              <w:t>Опирается на v0.12.</w:t>
            </w:r>
          </w:p>
        </w:tc>
      </w:tr>
      <w:tr>
        <w:tc>
          <w:tcPr>
            <w:tcW w:type="dxa" w:w="1440"/>
            <w:vAlign w:val="center"/>
            <w:tcMar>
              <w:top w:w="90" w:type="dxa"/>
              <w:start w:w="110" w:type="dxa"/>
              <w:bottom w:w="90" w:type="dxa"/>
              <w:end w:w="110" w:type="dxa"/>
            </w:tcMar>
          </w:tcPr>
          <w:p>
            <w:pPr>
              <w:jc w:val="center"/>
            </w:pPr>
            <w:r/>
            <w:r>
              <w:rPr>
                <w:b w:val="0"/>
                <w:sz w:val="15"/>
              </w:rPr>
              <w:t>T2-PO-184</w:t>
            </w:r>
          </w:p>
        </w:tc>
        <w:tc>
          <w:tcPr>
            <w:tcW w:type="dxa" w:w="4464"/>
            <w:vAlign w:val="center"/>
            <w:tcMar>
              <w:top w:w="90" w:type="dxa"/>
              <w:start w:w="110" w:type="dxa"/>
              <w:bottom w:w="90" w:type="dxa"/>
              <w:end w:w="110" w:type="dxa"/>
            </w:tcMar>
          </w:tcPr>
          <w:p>
            <w:pPr>
              <w:jc w:val="left"/>
            </w:pPr>
            <w:r/>
            <w:r>
              <w:rPr>
                <w:b w:val="0"/>
                <w:sz w:val="15"/>
              </w:rPr>
              <w:t>Доказать homotopy-transfer convergence.</w:t>
            </w:r>
          </w:p>
        </w:tc>
        <w:tc>
          <w:tcPr>
            <w:tcW w:type="dxa" w:w="1584"/>
            <w:vAlign w:val="center"/>
            <w:tcMar>
              <w:top w:w="90" w:type="dxa"/>
              <w:start w:w="110" w:type="dxa"/>
              <w:bottom w:w="90" w:type="dxa"/>
              <w:end w:w="110" w:type="dxa"/>
            </w:tcMar>
          </w:tcPr>
          <w:p>
            <w:pPr>
              <w:jc w:val="center"/>
            </w:pPr>
            <w:r/>
            <w:r>
              <w:rPr>
                <w:b w:val="0"/>
                <w:sz w:val="15"/>
              </w:rPr>
              <w:t>OPEN</w:t>
            </w:r>
          </w:p>
        </w:tc>
        <w:tc>
          <w:tcPr>
            <w:tcW w:type="dxa" w:w="2448"/>
            <w:vAlign w:val="center"/>
            <w:tcMar>
              <w:top w:w="90" w:type="dxa"/>
              <w:start w:w="110" w:type="dxa"/>
              <w:bottom w:w="90" w:type="dxa"/>
              <w:end w:w="110" w:type="dxa"/>
            </w:tcMar>
          </w:tcPr>
          <w:p>
            <w:pPr>
              <w:jc w:val="left"/>
            </w:pPr>
            <w:r/>
            <w:r>
              <w:rPr>
                <w:b w:val="0"/>
                <w:sz w:val="15"/>
              </w:rPr>
              <w:t>Uniform multilinear estimates.</w:t>
            </w:r>
          </w:p>
        </w:tc>
      </w:tr>
      <w:tr>
        <w:tc>
          <w:tcPr>
            <w:tcW w:type="dxa" w:w="1440"/>
            <w:vAlign w:val="center"/>
            <w:tcMar>
              <w:top w:w="90" w:type="dxa"/>
              <w:start w:w="110" w:type="dxa"/>
              <w:bottom w:w="90" w:type="dxa"/>
              <w:end w:w="110" w:type="dxa"/>
            </w:tcMar>
          </w:tcPr>
          <w:p>
            <w:pPr>
              <w:jc w:val="center"/>
            </w:pPr>
            <w:r/>
            <w:r>
              <w:rPr>
                <w:b w:val="0"/>
                <w:sz w:val="15"/>
              </w:rPr>
              <w:t>T2-PO-185</w:t>
            </w:r>
          </w:p>
        </w:tc>
        <w:tc>
          <w:tcPr>
            <w:tcW w:type="dxa" w:w="4464"/>
            <w:vAlign w:val="center"/>
            <w:tcMar>
              <w:top w:w="90" w:type="dxa"/>
              <w:start w:w="110" w:type="dxa"/>
              <w:bottom w:w="90" w:type="dxa"/>
              <w:end w:w="110" w:type="dxa"/>
            </w:tcMar>
          </w:tcPr>
          <w:p>
            <w:pPr>
              <w:jc w:val="left"/>
            </w:pPr>
            <w:r/>
            <w:r>
              <w:rPr>
                <w:b w:val="0"/>
                <w:sz w:val="15"/>
              </w:rPr>
              <w:t>Построить Kuranishi recursion.</w:t>
            </w:r>
          </w:p>
        </w:tc>
        <w:tc>
          <w:tcPr>
            <w:tcW w:type="dxa" w:w="1584"/>
            <w:vAlign w:val="center"/>
            <w:tcMar>
              <w:top w:w="90" w:type="dxa"/>
              <w:start w:w="110" w:type="dxa"/>
              <w:bottom w:w="90" w:type="dxa"/>
              <w:end w:w="110" w:type="dxa"/>
            </w:tcMar>
          </w:tcPr>
          <w:p>
            <w:pPr>
              <w:jc w:val="center"/>
            </w:pPr>
            <w:r/>
            <w:r>
              <w:rPr>
                <w:b w:val="0"/>
                <w:sz w:val="15"/>
              </w:rPr>
              <w:t>COND</w:t>
            </w:r>
          </w:p>
        </w:tc>
        <w:tc>
          <w:tcPr>
            <w:tcW w:type="dxa" w:w="2448"/>
            <w:vAlign w:val="center"/>
            <w:tcMar>
              <w:top w:w="90" w:type="dxa"/>
              <w:start w:w="110" w:type="dxa"/>
              <w:bottom w:w="90" w:type="dxa"/>
              <w:end w:w="110" w:type="dxa"/>
            </w:tcMar>
          </w:tcPr>
          <w:p>
            <w:pPr>
              <w:jc w:val="left"/>
            </w:pPr>
            <w:r/>
            <w:r>
              <w:rPr>
                <w:b w:val="0"/>
                <w:sz w:val="15"/>
              </w:rPr>
              <w:t>Contraction margin m_K&gt;0.</w:t>
            </w:r>
          </w:p>
        </w:tc>
      </w:tr>
      <w:tr>
        <w:tc>
          <w:tcPr>
            <w:tcW w:type="dxa" w:w="1440"/>
            <w:vAlign w:val="center"/>
            <w:tcMar>
              <w:top w:w="90" w:type="dxa"/>
              <w:start w:w="110" w:type="dxa"/>
              <w:bottom w:w="90" w:type="dxa"/>
              <w:end w:w="110" w:type="dxa"/>
            </w:tcMar>
          </w:tcPr>
          <w:p>
            <w:pPr>
              <w:jc w:val="center"/>
            </w:pPr>
            <w:r/>
            <w:r>
              <w:rPr>
                <w:b w:val="0"/>
                <w:sz w:val="15"/>
              </w:rPr>
              <w:t>T2-PO-186</w:t>
            </w:r>
          </w:p>
        </w:tc>
        <w:tc>
          <w:tcPr>
            <w:tcW w:type="dxa" w:w="4464"/>
            <w:vAlign w:val="center"/>
            <w:tcMar>
              <w:top w:w="90" w:type="dxa"/>
              <w:start w:w="110" w:type="dxa"/>
              <w:bottom w:w="90" w:type="dxa"/>
              <w:end w:w="110" w:type="dxa"/>
            </w:tcMar>
          </w:tcPr>
          <w:p>
            <w:pPr>
              <w:jc w:val="left"/>
            </w:pPr>
            <w:r/>
            <w:r>
              <w:rPr>
                <w:b w:val="0"/>
                <w:sz w:val="15"/>
              </w:rPr>
              <w:t>Доказать MC iff K=0 в выбранной окрестности.</w:t>
            </w:r>
          </w:p>
        </w:tc>
        <w:tc>
          <w:tcPr>
            <w:tcW w:type="dxa" w:w="1584"/>
            <w:vAlign w:val="center"/>
            <w:tcMar>
              <w:top w:w="90" w:type="dxa"/>
              <w:start w:w="110" w:type="dxa"/>
              <w:bottom w:w="90" w:type="dxa"/>
              <w:end w:w="110" w:type="dxa"/>
            </w:tcMar>
          </w:tcPr>
          <w:p>
            <w:pPr>
              <w:jc w:val="center"/>
            </w:pPr>
            <w:r/>
            <w:r>
              <w:rPr>
                <w:b w:val="0"/>
                <w:sz w:val="15"/>
              </w:rPr>
              <w:t>COND</w:t>
            </w:r>
          </w:p>
        </w:tc>
        <w:tc>
          <w:tcPr>
            <w:tcW w:type="dxa" w:w="2448"/>
            <w:vAlign w:val="center"/>
            <w:tcMar>
              <w:top w:w="90" w:type="dxa"/>
              <w:start w:w="110" w:type="dxa"/>
              <w:bottom w:w="90" w:type="dxa"/>
              <w:end w:w="110" w:type="dxa"/>
            </w:tcMar>
          </w:tcPr>
          <w:p>
            <w:pPr>
              <w:jc w:val="left"/>
            </w:pPr>
            <w:r/>
            <w:r>
              <w:rPr>
                <w:b w:val="0"/>
                <w:sz w:val="15"/>
              </w:rPr>
              <w:t>Gauge and convergence.</w:t>
            </w:r>
          </w:p>
        </w:tc>
      </w:tr>
      <w:tr>
        <w:tc>
          <w:tcPr>
            <w:tcW w:type="dxa" w:w="1440"/>
            <w:vAlign w:val="center"/>
            <w:tcMar>
              <w:top w:w="90" w:type="dxa"/>
              <w:start w:w="110" w:type="dxa"/>
              <w:bottom w:w="90" w:type="dxa"/>
              <w:end w:w="110" w:type="dxa"/>
            </w:tcMar>
          </w:tcPr>
          <w:p>
            <w:pPr>
              <w:jc w:val="center"/>
            </w:pPr>
            <w:r/>
            <w:r>
              <w:rPr>
                <w:b w:val="0"/>
                <w:sz w:val="15"/>
              </w:rPr>
              <w:t>T2-PO-187</w:t>
            </w:r>
          </w:p>
        </w:tc>
        <w:tc>
          <w:tcPr>
            <w:tcW w:type="dxa" w:w="4464"/>
            <w:vAlign w:val="center"/>
            <w:tcMar>
              <w:top w:w="90" w:type="dxa"/>
              <w:start w:w="110" w:type="dxa"/>
              <w:bottom w:w="90" w:type="dxa"/>
              <w:end w:w="110" w:type="dxa"/>
            </w:tcMar>
          </w:tcPr>
          <w:p>
            <w:pPr>
              <w:jc w:val="left"/>
            </w:pPr>
            <w:r/>
            <w:r>
              <w:rPr>
                <w:b w:val="0"/>
                <w:sz w:val="15"/>
              </w:rPr>
              <w:t>Вычислить κ_2,κ_3 на модели A_2.</w:t>
            </w:r>
          </w:p>
        </w:tc>
        <w:tc>
          <w:tcPr>
            <w:tcW w:type="dxa" w:w="1584"/>
            <w:vAlign w:val="center"/>
            <w:tcMar>
              <w:top w:w="90" w:type="dxa"/>
              <w:start w:w="110" w:type="dxa"/>
              <w:bottom w:w="90" w:type="dxa"/>
              <w:end w:w="110" w:type="dxa"/>
            </w:tcMar>
          </w:tcPr>
          <w:p>
            <w:pPr>
              <w:jc w:val="center"/>
            </w:pPr>
            <w:r/>
            <w:r>
              <w:rPr>
                <w:b w:val="0"/>
                <w:sz w:val="15"/>
              </w:rPr>
              <w:t>OPEN-COMP</w:t>
            </w:r>
          </w:p>
        </w:tc>
        <w:tc>
          <w:tcPr>
            <w:tcW w:type="dxa" w:w="2448"/>
            <w:vAlign w:val="center"/>
            <w:tcMar>
              <w:top w:w="90" w:type="dxa"/>
              <w:start w:w="110" w:type="dxa"/>
              <w:bottom w:w="90" w:type="dxa"/>
              <w:end w:w="110" w:type="dxa"/>
            </w:tcMar>
          </w:tcPr>
          <w:p>
            <w:pPr>
              <w:jc w:val="left"/>
            </w:pPr>
            <w:r/>
            <w:r>
              <w:rPr>
                <w:b w:val="0"/>
                <w:sz w:val="15"/>
              </w:rPr>
              <w:t>Нужны structural constants.</w:t>
            </w:r>
          </w:p>
        </w:tc>
      </w:tr>
      <w:tr>
        <w:tc>
          <w:tcPr>
            <w:tcW w:type="dxa" w:w="1440"/>
            <w:vAlign w:val="center"/>
            <w:tcMar>
              <w:top w:w="90" w:type="dxa"/>
              <w:start w:w="110" w:type="dxa"/>
              <w:bottom w:w="90" w:type="dxa"/>
              <w:end w:w="110" w:type="dxa"/>
            </w:tcMar>
          </w:tcPr>
          <w:p>
            <w:pPr>
              <w:jc w:val="center"/>
            </w:pPr>
            <w:r/>
            <w:r>
              <w:rPr>
                <w:b w:val="0"/>
                <w:sz w:val="15"/>
              </w:rPr>
              <w:t>T2-PO-188</w:t>
            </w:r>
          </w:p>
        </w:tc>
        <w:tc>
          <w:tcPr>
            <w:tcW w:type="dxa" w:w="4464"/>
            <w:vAlign w:val="center"/>
            <w:tcMar>
              <w:top w:w="90" w:type="dxa"/>
              <w:start w:w="110" w:type="dxa"/>
              <w:bottom w:w="90" w:type="dxa"/>
              <w:end w:w="110" w:type="dxa"/>
            </w:tcMar>
          </w:tcPr>
          <w:p>
            <w:pPr>
              <w:jc w:val="left"/>
            </w:pPr>
            <w:r/>
            <w:r>
              <w:rPr>
                <w:b w:val="0"/>
                <w:sz w:val="15"/>
              </w:rPr>
              <w:t>Построить miniversal local algebra.</w:t>
            </w:r>
          </w:p>
        </w:tc>
        <w:tc>
          <w:tcPr>
            <w:tcW w:type="dxa" w:w="1584"/>
            <w:vAlign w:val="center"/>
            <w:tcMar>
              <w:top w:w="90" w:type="dxa"/>
              <w:start w:w="110" w:type="dxa"/>
              <w:bottom w:w="90" w:type="dxa"/>
              <w:end w:w="110" w:type="dxa"/>
            </w:tcMar>
          </w:tcPr>
          <w:p>
            <w:pPr>
              <w:jc w:val="center"/>
            </w:pPr>
            <w:r/>
            <w:r>
              <w:rPr>
                <w:b w:val="0"/>
                <w:sz w:val="15"/>
              </w:rPr>
              <w:t>COND</w:t>
            </w:r>
          </w:p>
        </w:tc>
        <w:tc>
          <w:tcPr>
            <w:tcW w:type="dxa" w:w="2448"/>
            <w:vAlign w:val="center"/>
            <w:tcMar>
              <w:top w:w="90" w:type="dxa"/>
              <w:start w:w="110" w:type="dxa"/>
              <w:bottom w:w="90" w:type="dxa"/>
              <w:end w:w="110" w:type="dxa"/>
            </w:tcMar>
          </w:tcPr>
          <w:p>
            <w:pPr>
              <w:jc w:val="left"/>
            </w:pPr>
            <w:r/>
            <w:r>
              <w:rPr>
                <w:b w:val="0"/>
                <w:sz w:val="15"/>
              </w:rPr>
              <w:t>После T2-PO-176/185.</w:t>
            </w:r>
          </w:p>
        </w:tc>
      </w:tr>
      <w:tr>
        <w:tc>
          <w:tcPr>
            <w:tcW w:type="dxa" w:w="1440"/>
            <w:vAlign w:val="center"/>
            <w:tcMar>
              <w:top w:w="90" w:type="dxa"/>
              <w:start w:w="110" w:type="dxa"/>
              <w:bottom w:w="90" w:type="dxa"/>
              <w:end w:w="110" w:type="dxa"/>
            </w:tcMar>
          </w:tcPr>
          <w:p>
            <w:pPr>
              <w:jc w:val="center"/>
            </w:pPr>
            <w:r/>
            <w:r>
              <w:rPr>
                <w:b w:val="0"/>
                <w:sz w:val="15"/>
              </w:rPr>
              <w:t>T2-PO-189</w:t>
            </w:r>
          </w:p>
        </w:tc>
        <w:tc>
          <w:tcPr>
            <w:tcW w:type="dxa" w:w="4464"/>
            <w:vAlign w:val="center"/>
            <w:tcMar>
              <w:top w:w="90" w:type="dxa"/>
              <w:start w:w="110" w:type="dxa"/>
              <w:bottom w:w="90" w:type="dxa"/>
              <w:end w:w="110" w:type="dxa"/>
            </w:tcMar>
          </w:tcPr>
          <w:p>
            <w:pPr>
              <w:jc w:val="left"/>
            </w:pPr>
            <w:r/>
            <w:r>
              <w:rPr>
                <w:b w:val="0"/>
                <w:sz w:val="15"/>
              </w:rPr>
              <w:t>Доказать independence до right-equivalence.</w:t>
            </w:r>
          </w:p>
        </w:tc>
        <w:tc>
          <w:tcPr>
            <w:tcW w:type="dxa" w:w="1584"/>
            <w:vAlign w:val="center"/>
            <w:tcMar>
              <w:top w:w="90" w:type="dxa"/>
              <w:start w:w="110" w:type="dxa"/>
              <w:bottom w:w="90" w:type="dxa"/>
              <w:end w:w="110" w:type="dxa"/>
            </w:tcMar>
          </w:tcPr>
          <w:p>
            <w:pPr>
              <w:jc w:val="center"/>
            </w:pPr>
            <w:r/>
            <w:r>
              <w:rPr>
                <w:b w:val="0"/>
                <w:sz w:val="15"/>
              </w:rPr>
              <w:t>OPEN</w:t>
            </w:r>
          </w:p>
        </w:tc>
        <w:tc>
          <w:tcPr>
            <w:tcW w:type="dxa" w:w="2448"/>
            <w:vAlign w:val="center"/>
            <w:tcMar>
              <w:top w:w="90" w:type="dxa"/>
              <w:start w:w="110" w:type="dxa"/>
              <w:bottom w:w="90" w:type="dxa"/>
              <w:end w:w="110" w:type="dxa"/>
            </w:tcMar>
          </w:tcPr>
          <w:p>
            <w:pPr>
              <w:jc w:val="left"/>
            </w:pPr>
            <w:r/>
            <w:r>
              <w:rPr>
                <w:b w:val="0"/>
                <w:sz w:val="15"/>
              </w:rPr>
              <w:t>Смена metric/splitting.</w:t>
            </w:r>
          </w:p>
        </w:tc>
      </w:tr>
      <w:tr>
        <w:tc>
          <w:tcPr>
            <w:tcW w:type="dxa" w:w="1440"/>
            <w:vAlign w:val="center"/>
            <w:tcMar>
              <w:top w:w="90" w:type="dxa"/>
              <w:start w:w="110" w:type="dxa"/>
              <w:bottom w:w="90" w:type="dxa"/>
              <w:end w:w="110" w:type="dxa"/>
            </w:tcMar>
          </w:tcPr>
          <w:p>
            <w:pPr>
              <w:jc w:val="center"/>
            </w:pPr>
            <w:r/>
            <w:r>
              <w:rPr>
                <w:b w:val="0"/>
                <w:sz w:val="15"/>
              </w:rPr>
              <w:t>T2-PO-190</w:t>
            </w:r>
          </w:p>
        </w:tc>
        <w:tc>
          <w:tcPr>
            <w:tcW w:type="dxa" w:w="4464"/>
            <w:vAlign w:val="center"/>
            <w:tcMar>
              <w:top w:w="90" w:type="dxa"/>
              <w:start w:w="110" w:type="dxa"/>
              <w:bottom w:w="90" w:type="dxa"/>
              <w:end w:w="110" w:type="dxa"/>
            </w:tcMar>
          </w:tcPr>
          <w:p>
            <w:pPr>
              <w:jc w:val="left"/>
            </w:pPr>
            <w:r/>
            <w:r>
              <w:rPr>
                <w:b w:val="0"/>
                <w:sz w:val="15"/>
              </w:rPr>
              <w:t>Классифицировать stabilizer strata.</w:t>
            </w:r>
          </w:p>
        </w:tc>
        <w:tc>
          <w:tcPr>
            <w:tcW w:type="dxa" w:w="1584"/>
            <w:vAlign w:val="center"/>
            <w:tcMar>
              <w:top w:w="90" w:type="dxa"/>
              <w:start w:w="110" w:type="dxa"/>
              <w:bottom w:w="90" w:type="dxa"/>
              <w:end w:w="110" w:type="dxa"/>
            </w:tcMar>
          </w:tcPr>
          <w:p>
            <w:pPr>
              <w:jc w:val="center"/>
            </w:pPr>
            <w:r/>
            <w:r>
              <w:rPr>
                <w:b w:val="0"/>
                <w:sz w:val="15"/>
              </w:rPr>
              <w:t>OPEN</w:t>
            </w:r>
          </w:p>
        </w:tc>
        <w:tc>
          <w:tcPr>
            <w:tcW w:type="dxa" w:w="2448"/>
            <w:vAlign w:val="center"/>
            <w:tcMar>
              <w:top w:w="90" w:type="dxa"/>
              <w:start w:w="110" w:type="dxa"/>
              <w:bottom w:w="90" w:type="dxa"/>
              <w:end w:w="110" w:type="dxa"/>
            </w:tcMar>
          </w:tcPr>
          <w:p>
            <w:pPr>
              <w:jc w:val="left"/>
            </w:pPr>
            <w:r/>
            <w:r>
              <w:rPr>
                <w:b w:val="0"/>
                <w:sz w:val="15"/>
              </w:rPr>
              <w:t>Stack-level data.</w:t>
            </w:r>
          </w:p>
        </w:tc>
      </w:tr>
      <w:tr>
        <w:tc>
          <w:tcPr>
            <w:tcW w:type="dxa" w:w="1440"/>
            <w:vAlign w:val="center"/>
            <w:tcMar>
              <w:top w:w="90" w:type="dxa"/>
              <w:start w:w="110" w:type="dxa"/>
              <w:bottom w:w="90" w:type="dxa"/>
              <w:end w:w="110" w:type="dxa"/>
            </w:tcMar>
          </w:tcPr>
          <w:p>
            <w:pPr>
              <w:jc w:val="center"/>
            </w:pPr>
            <w:r/>
            <w:r>
              <w:rPr>
                <w:b w:val="0"/>
                <w:sz w:val="15"/>
              </w:rPr>
              <w:t>T2-PO-191</w:t>
            </w:r>
          </w:p>
        </w:tc>
        <w:tc>
          <w:tcPr>
            <w:tcW w:type="dxa" w:w="4464"/>
            <w:vAlign w:val="center"/>
            <w:tcMar>
              <w:top w:w="90" w:type="dxa"/>
              <w:start w:w="110" w:type="dxa"/>
              <w:bottom w:w="90" w:type="dxa"/>
              <w:end w:w="110" w:type="dxa"/>
            </w:tcMar>
          </w:tcPr>
          <w:p>
            <w:pPr>
              <w:jc w:val="left"/>
            </w:pPr>
            <w:r/>
            <w:r>
              <w:rPr>
                <w:b w:val="0"/>
                <w:sz w:val="15"/>
              </w:rPr>
              <w:t>Определить derived formal NAPG problem.</w:t>
            </w:r>
          </w:p>
        </w:tc>
        <w:tc>
          <w:tcPr>
            <w:tcW w:type="dxa" w:w="1584"/>
            <w:vAlign w:val="center"/>
            <w:tcMar>
              <w:top w:w="90" w:type="dxa"/>
              <w:start w:w="110" w:type="dxa"/>
              <w:bottom w:w="90" w:type="dxa"/>
              <w:end w:w="110" w:type="dxa"/>
            </w:tcMar>
          </w:tcPr>
          <w:p>
            <w:pPr>
              <w:jc w:val="center"/>
            </w:pPr>
            <w:r/>
            <w:r>
              <w:rPr>
                <w:b w:val="0"/>
                <w:sz w:val="15"/>
              </w:rPr>
              <w:t>OPEN</w:t>
            </w:r>
          </w:p>
        </w:tc>
        <w:tc>
          <w:tcPr>
            <w:tcW w:type="dxa" w:w="2448"/>
            <w:vAlign w:val="center"/>
            <w:tcMar>
              <w:top w:w="90" w:type="dxa"/>
              <w:start w:w="110" w:type="dxa"/>
              <w:bottom w:w="90" w:type="dxa"/>
              <w:end w:w="110" w:type="dxa"/>
            </w:tcMar>
          </w:tcPr>
          <w:p>
            <w:pPr>
              <w:jc w:val="left"/>
            </w:pPr>
            <w:r/>
            <w:r>
              <w:rPr>
                <w:b w:val="0"/>
                <w:sz w:val="15"/>
              </w:rPr>
              <w:t>Nilcomplete/infinitesimal cohesive.</w:t>
            </w:r>
          </w:p>
        </w:tc>
      </w:tr>
      <w:tr>
        <w:tc>
          <w:tcPr>
            <w:tcW w:type="dxa" w:w="1440"/>
            <w:vAlign w:val="center"/>
            <w:tcMar>
              <w:top w:w="90" w:type="dxa"/>
              <w:start w:w="110" w:type="dxa"/>
              <w:bottom w:w="90" w:type="dxa"/>
              <w:end w:w="110" w:type="dxa"/>
            </w:tcMar>
          </w:tcPr>
          <w:p>
            <w:pPr>
              <w:jc w:val="center"/>
            </w:pPr>
            <w:r/>
            <w:r>
              <w:rPr>
                <w:b w:val="0"/>
                <w:sz w:val="15"/>
              </w:rPr>
              <w:t>T2-PO-192</w:t>
            </w:r>
          </w:p>
        </w:tc>
        <w:tc>
          <w:tcPr>
            <w:tcW w:type="dxa" w:w="4464"/>
            <w:vAlign w:val="center"/>
            <w:tcMar>
              <w:top w:w="90" w:type="dxa"/>
              <w:start w:w="110" w:type="dxa"/>
              <w:bottom w:w="90" w:type="dxa"/>
              <w:end w:w="110" w:type="dxa"/>
            </w:tcMar>
          </w:tcPr>
          <w:p>
            <w:pPr>
              <w:jc w:val="left"/>
            </w:pPr>
            <w:r/>
            <w:r>
              <w:rPr>
                <w:b w:val="0"/>
                <w:sz w:val="15"/>
              </w:rPr>
              <w:t>Построить ModTriv(I) certificate.</w:t>
            </w:r>
          </w:p>
        </w:tc>
        <w:tc>
          <w:tcPr>
            <w:tcW w:type="dxa" w:w="1584"/>
            <w:vAlign w:val="center"/>
            <w:tcMar>
              <w:top w:w="90" w:type="dxa"/>
              <w:start w:w="110" w:type="dxa"/>
              <w:bottom w:w="90" w:type="dxa"/>
              <w:end w:w="110" w:type="dxa"/>
            </w:tcMar>
          </w:tcPr>
          <w:p>
            <w:pPr>
              <w:jc w:val="center"/>
            </w:pPr>
            <w:r/>
            <w:r>
              <w:rPr>
                <w:b w:val="0"/>
                <w:sz w:val="15"/>
              </w:rPr>
              <w:t>OPEN-COMP</w:t>
            </w:r>
          </w:p>
        </w:tc>
        <w:tc>
          <w:tcPr>
            <w:tcW w:type="dxa" w:w="2448"/>
            <w:vAlign w:val="center"/>
            <w:tcMar>
              <w:top w:w="90" w:type="dxa"/>
              <w:start w:w="110" w:type="dxa"/>
              <w:bottom w:w="90" w:type="dxa"/>
              <w:end w:w="110" w:type="dxa"/>
            </w:tcMar>
          </w:tcPr>
          <w:p>
            <w:pPr>
              <w:jc w:val="left"/>
            </w:pPr>
            <w:r/>
            <w:r>
              <w:rPr>
                <w:b w:val="0"/>
                <w:sz w:val="15"/>
              </w:rPr>
              <w:t>Параметрическое family data.</w:t>
            </w:r>
          </w:p>
        </w:tc>
      </w:tr>
      <w:tr>
        <w:tc>
          <w:tcPr>
            <w:tcW w:type="dxa" w:w="1440"/>
            <w:vAlign w:val="center"/>
            <w:tcMar>
              <w:top w:w="90" w:type="dxa"/>
              <w:start w:w="110" w:type="dxa"/>
              <w:bottom w:w="90" w:type="dxa"/>
              <w:end w:w="110" w:type="dxa"/>
            </w:tcMar>
          </w:tcPr>
          <w:p>
            <w:pPr>
              <w:jc w:val="center"/>
            </w:pPr>
            <w:r/>
            <w:r>
              <w:rPr>
                <w:b w:val="0"/>
                <w:sz w:val="15"/>
              </w:rPr>
              <w:t>T2-PO-193</w:t>
            </w:r>
          </w:p>
        </w:tc>
        <w:tc>
          <w:tcPr>
            <w:tcW w:type="dxa" w:w="4464"/>
            <w:vAlign w:val="center"/>
            <w:tcMar>
              <w:top w:w="90" w:type="dxa"/>
              <w:start w:w="110" w:type="dxa"/>
              <w:bottom w:w="90" w:type="dxa"/>
              <w:end w:w="110" w:type="dxa"/>
            </w:tcMar>
          </w:tcPr>
          <w:p>
            <w:pPr>
              <w:jc w:val="left"/>
            </w:pPr>
            <w:r/>
            <w:r>
              <w:rPr>
                <w:b w:val="0"/>
                <w:sz w:val="15"/>
              </w:rPr>
              <w:t>Сертифицировать interval bound для ||K(x)||.</w:t>
            </w:r>
          </w:p>
        </w:tc>
        <w:tc>
          <w:tcPr>
            <w:tcW w:type="dxa" w:w="1584"/>
            <w:vAlign w:val="center"/>
            <w:tcMar>
              <w:top w:w="90" w:type="dxa"/>
              <w:start w:w="110" w:type="dxa"/>
              <w:bottom w:w="90" w:type="dxa"/>
              <w:end w:w="110" w:type="dxa"/>
            </w:tcMar>
          </w:tcPr>
          <w:p>
            <w:pPr>
              <w:jc w:val="center"/>
            </w:pPr>
            <w:r/>
            <w:r>
              <w:rPr>
                <w:b w:val="0"/>
                <w:sz w:val="15"/>
              </w:rPr>
              <w:t>OPEN-COMP</w:t>
            </w:r>
          </w:p>
        </w:tc>
        <w:tc>
          <w:tcPr>
            <w:tcW w:type="dxa" w:w="2448"/>
            <w:vAlign w:val="center"/>
            <w:tcMar>
              <w:top w:w="90" w:type="dxa"/>
              <w:start w:w="110" w:type="dxa"/>
              <w:bottom w:w="90" w:type="dxa"/>
              <w:end w:w="110" w:type="dxa"/>
            </w:tcMar>
          </w:tcPr>
          <w:p>
            <w:pPr>
              <w:jc w:val="left"/>
            </w:pPr>
            <w:r/>
            <w:r>
              <w:rPr>
                <w:b w:val="0"/>
                <w:sz w:val="15"/>
              </w:rPr>
              <w:t>Validated numerics.</w:t>
            </w:r>
          </w:p>
        </w:tc>
      </w:tr>
      <w:tr>
        <w:tc>
          <w:tcPr>
            <w:tcW w:type="dxa" w:w="1440"/>
            <w:vAlign w:val="center"/>
            <w:tcMar>
              <w:top w:w="90" w:type="dxa"/>
              <w:start w:w="110" w:type="dxa"/>
              <w:bottom w:w="90" w:type="dxa"/>
              <w:end w:w="110" w:type="dxa"/>
            </w:tcMar>
          </w:tcPr>
          <w:p>
            <w:pPr>
              <w:jc w:val="center"/>
            </w:pPr>
            <w:r/>
            <w:r>
              <w:rPr>
                <w:b w:val="0"/>
                <w:sz w:val="15"/>
              </w:rPr>
              <w:t>T2-PO-194</w:t>
            </w:r>
          </w:p>
        </w:tc>
        <w:tc>
          <w:tcPr>
            <w:tcW w:type="dxa" w:w="4464"/>
            <w:vAlign w:val="center"/>
            <w:tcMar>
              <w:top w:w="90" w:type="dxa"/>
              <w:start w:w="110" w:type="dxa"/>
              <w:bottom w:w="90" w:type="dxa"/>
              <w:end w:w="110" w:type="dxa"/>
            </w:tcMar>
          </w:tcPr>
          <w:p>
            <w:pPr>
              <w:jc w:val="left"/>
            </w:pPr>
            <w:r/>
            <w:r>
              <w:rPr>
                <w:b w:val="0"/>
                <w:sz w:val="15"/>
              </w:rPr>
              <w:t>Согласовать Kuranishi carrier с Π_E и β_Ass.</w:t>
            </w:r>
          </w:p>
        </w:tc>
        <w:tc>
          <w:tcPr>
            <w:tcW w:type="dxa" w:w="1584"/>
            <w:vAlign w:val="center"/>
            <w:tcMar>
              <w:top w:w="90" w:type="dxa"/>
              <w:start w:w="110" w:type="dxa"/>
              <w:bottom w:w="90" w:type="dxa"/>
              <w:end w:w="110" w:type="dxa"/>
            </w:tcMar>
          </w:tcPr>
          <w:p>
            <w:pPr>
              <w:jc w:val="center"/>
            </w:pPr>
            <w:r/>
            <w:r>
              <w:rPr>
                <w:b w:val="0"/>
                <w:sz w:val="15"/>
              </w:rPr>
              <w:t>OPEN</w:t>
            </w:r>
          </w:p>
        </w:tc>
        <w:tc>
          <w:tcPr>
            <w:tcW w:type="dxa" w:w="2448"/>
            <w:vAlign w:val="center"/>
            <w:tcMar>
              <w:top w:w="90" w:type="dxa"/>
              <w:start w:w="110" w:type="dxa"/>
              <w:bottom w:w="90" w:type="dxa"/>
              <w:end w:w="110" w:type="dxa"/>
            </w:tcMar>
          </w:tcPr>
          <w:p>
            <w:pPr>
              <w:jc w:val="left"/>
            </w:pPr>
            <w:r/>
            <w:r>
              <w:rPr>
                <w:b w:val="0"/>
                <w:sz w:val="15"/>
              </w:rPr>
              <w:t>Bridge theorem.</w:t>
            </w:r>
          </w:p>
        </w:tc>
      </w:tr>
      <w:tr>
        <w:tc>
          <w:tcPr>
            <w:tcW w:type="dxa" w:w="1440"/>
            <w:vAlign w:val="center"/>
            <w:tcMar>
              <w:top w:w="90" w:type="dxa"/>
              <w:start w:w="110" w:type="dxa"/>
              <w:bottom w:w="90" w:type="dxa"/>
              <w:end w:w="110" w:type="dxa"/>
            </w:tcMar>
          </w:tcPr>
          <w:p>
            <w:pPr>
              <w:jc w:val="center"/>
            </w:pPr>
            <w:r/>
            <w:r>
              <w:rPr>
                <w:b w:val="0"/>
                <w:sz w:val="15"/>
              </w:rPr>
              <w:t>T2-PO-195</w:t>
            </w:r>
          </w:p>
        </w:tc>
        <w:tc>
          <w:tcPr>
            <w:tcW w:type="dxa" w:w="4464"/>
            <w:vAlign w:val="center"/>
            <w:tcMar>
              <w:top w:w="90" w:type="dxa"/>
              <w:start w:w="110" w:type="dxa"/>
              <w:bottom w:w="90" w:type="dxa"/>
              <w:end w:w="110" w:type="dxa"/>
            </w:tcMar>
          </w:tcPr>
          <w:p>
            <w:pPr>
              <w:jc w:val="left"/>
            </w:pPr>
            <w:r/>
            <w:r>
              <w:rPr>
                <w:b w:val="0"/>
                <w:sz w:val="15"/>
              </w:rPr>
              <w:t>Провести независимый moduli run.</w:t>
            </w:r>
          </w:p>
        </w:tc>
        <w:tc>
          <w:tcPr>
            <w:tcW w:type="dxa" w:w="1584"/>
            <w:vAlign w:val="center"/>
            <w:tcMar>
              <w:top w:w="90" w:type="dxa"/>
              <w:start w:w="110" w:type="dxa"/>
              <w:bottom w:w="90" w:type="dxa"/>
              <w:end w:w="110" w:type="dxa"/>
            </w:tcMar>
          </w:tcPr>
          <w:p>
            <w:pPr>
              <w:jc w:val="center"/>
            </w:pPr>
            <w:r/>
            <w:r>
              <w:rPr>
                <w:b w:val="0"/>
                <w:sz w:val="15"/>
              </w:rPr>
              <w:t>OPEN-IND</w:t>
            </w:r>
          </w:p>
        </w:tc>
        <w:tc>
          <w:tcPr>
            <w:tcW w:type="dxa" w:w="2448"/>
            <w:vAlign w:val="center"/>
            <w:tcMar>
              <w:top w:w="90" w:type="dxa"/>
              <w:start w:w="110" w:type="dxa"/>
              <w:bottom w:w="90" w:type="dxa"/>
              <w:end w:w="110" w:type="dxa"/>
            </w:tcMar>
          </w:tcPr>
          <w:p>
            <w:pPr>
              <w:jc w:val="left"/>
            </w:pPr>
            <w:r/>
            <w:r>
              <w:rPr>
                <w:b w:val="0"/>
                <w:sz w:val="15"/>
              </w:rPr>
              <w:t>Внешний код и данные.</w:t>
            </w:r>
          </w:p>
        </w:tc>
      </w:tr>
      <w:tr>
        <w:tc>
          <w:tcPr>
            <w:tcW w:type="dxa" w:w="1440"/>
            <w:vAlign w:val="center"/>
            <w:tcMar>
              <w:top w:w="90" w:type="dxa"/>
              <w:start w:w="110" w:type="dxa"/>
              <w:bottom w:w="90" w:type="dxa"/>
              <w:end w:w="110" w:type="dxa"/>
            </w:tcMar>
          </w:tcPr>
          <w:p>
            <w:pPr>
              <w:jc w:val="center"/>
            </w:pPr>
            <w:r/>
            <w:r>
              <w:rPr>
                <w:b w:val="0"/>
                <w:sz w:val="15"/>
              </w:rPr>
              <w:t>T2-PO-196</w:t>
            </w:r>
          </w:p>
        </w:tc>
        <w:tc>
          <w:tcPr>
            <w:tcW w:type="dxa" w:w="4464"/>
            <w:vAlign w:val="center"/>
            <w:tcMar>
              <w:top w:w="90" w:type="dxa"/>
              <w:start w:w="110" w:type="dxa"/>
              <w:bottom w:w="90" w:type="dxa"/>
              <w:end w:w="110" w:type="dxa"/>
            </w:tcMar>
          </w:tcPr>
          <w:p>
            <w:pPr>
              <w:jc w:val="left"/>
            </w:pPr>
            <w:r/>
            <w:r>
              <w:rPr>
                <w:b w:val="0"/>
                <w:sz w:val="15"/>
              </w:rPr>
              <w:t>Сохранить физический status lock.</w:t>
            </w:r>
          </w:p>
        </w:tc>
        <w:tc>
          <w:tcPr>
            <w:tcW w:type="dxa" w:w="1584"/>
            <w:vAlign w:val="center"/>
            <w:tcMar>
              <w:top w:w="90" w:type="dxa"/>
              <w:start w:w="110" w:type="dxa"/>
              <w:bottom w:w="90" w:type="dxa"/>
              <w:end w:w="110" w:type="dxa"/>
            </w:tcMar>
          </w:tcPr>
          <w:p>
            <w:pPr>
              <w:jc w:val="center"/>
            </w:pPr>
            <w:r/>
            <w:r>
              <w:rPr>
                <w:b w:val="0"/>
                <w:sz w:val="15"/>
              </w:rPr>
              <w:t>CLOSED</w:t>
            </w:r>
          </w:p>
        </w:tc>
        <w:tc>
          <w:tcPr>
            <w:tcW w:type="dxa" w:w="2448"/>
            <w:vAlign w:val="center"/>
            <w:tcMar>
              <w:top w:w="90" w:type="dxa"/>
              <w:start w:w="110" w:type="dxa"/>
              <w:bottom w:w="90" w:type="dxa"/>
              <w:end w:w="110" w:type="dxa"/>
            </w:tcMar>
          </w:tcPr>
          <w:p>
            <w:pPr>
              <w:jc w:val="left"/>
            </w:pPr>
            <w:r/>
            <w:r>
              <w:rPr>
                <w:b w:val="0"/>
                <w:sz w:val="15"/>
              </w:rPr>
              <w:t>truth_layer_promotion=0.</w:t>
            </w:r>
          </w:p>
        </w:tc>
      </w:tr>
    </w:tbl>
    <w:p>
      <w:pPr>
        <w:pStyle w:val="Heading1"/>
        <w:keepNext/>
      </w:pPr>
      <w:r>
        <w:t>173. Prior art, граница авторского вклада и контрольная точка</w:t>
      </w:r>
    </w:p>
    <w:p>
      <w:pPr>
        <w:spacing w:after="100"/>
      </w:pPr>
      <w:r>
        <w:t>Классический prior art включает: функторы артиевых колец и критерии hull/prorepresentability Шлессингера; теорию деформаций Кодайры-Спенсера и локально полные семейства Кураниши; cohomology-controlled deformation theory Герштенхабера и Нейенхёйса-Ричардсона; quadratic deformation germs Goldman-Millson; derived formal moduli frameworks Lurie-Pridham. Эти результаты не являются авторскими результатами проекта.</w:t>
      </w:r>
    </w:p>
    <w:p>
      <w:pPr>
        <w:spacing w:after="100"/>
      </w:pPr>
      <w:r>
        <w:t>Авторский слой Курпишева в этой главе состоит в типизированном включении moduli-Kuranishi apparatus в архитектуру NAPG/KLT-RBD: триада H_N^1/H_N^2/H_N^3 связывается с D/Dom, Evidence-D, projective harmonic gate, внутренним и внешним obstruction carriers, Hodge-Green certificate, модульным переходным горизонтом и трёхзначным предсказательным выводом.</w:t>
      </w:r>
    </w:p>
    <w:p>
      <w:pPr>
        <w:spacing w:after="100"/>
      </w:pPr>
      <w:r>
        <w:t>[V0.13-1] Schlessinger, M. Functors of Artin Rings. Transactions of the AMS 130 (1968), 208-222.</w:t>
      </w:r>
    </w:p>
    <w:p>
      <w:pPr>
        <w:spacing w:after="100"/>
      </w:pPr>
      <w:r>
        <w:t>[V0.13-2] Kodaira, K.; Spencer, D. C. On Deformations of Complex Analytic Structures I-II. Annals of Mathematics 67 (1958), 328-466. DOI 10.2307/1970009.</w:t>
      </w:r>
    </w:p>
    <w:p>
      <w:pPr>
        <w:spacing w:after="100"/>
      </w:pPr>
      <w:r>
        <w:t>[V0.13-3] Kuranishi, M. On the Locally Complete Families of Complex Analytic Structures. Annals of Mathematics 75 (1962), 536-577. DOI 10.2307/1970211.</w:t>
      </w:r>
    </w:p>
    <w:p>
      <w:pPr>
        <w:spacing w:after="100"/>
      </w:pPr>
      <w:r>
        <w:t>[V0.13-4] Kuranishi, M. New Proof for the Existence of Locally Complete Families of Complex Structures. Proc. Conf. Complex Analysis, Springer (1965), 142-154. DOI 10.1007/978-3-642-48016-4_13.</w:t>
      </w:r>
    </w:p>
    <w:p>
      <w:pPr>
        <w:spacing w:after="100"/>
      </w:pPr>
      <w:r>
        <w:t>[V0.13-5] Nijenhuis, A.; Richardson, R. W. Cohomology and Deformations in Graded Lie Algebras. Bull. AMS 72 (1966), 1-29. DOI 10.1090/S0002-9904-1966-11401-5.</w:t>
      </w:r>
    </w:p>
    <w:p>
      <w:pPr>
        <w:spacing w:after="100"/>
      </w:pPr>
      <w:r>
        <w:t>[V0.13-6] Goldman, W. M.; Millson, J. J. The Deformation Theory of Representations of Fundamental Groups of Compact Kähler Manifolds. Publ. Math. IHES 67 (1988), 43-96. DOI 10.1007/BF02699127.</w:t>
      </w:r>
    </w:p>
    <w:p>
      <w:pPr>
        <w:spacing w:after="100"/>
      </w:pPr>
      <w:r>
        <w:t>[V0.13-7] Pridham, J. P. Unifying Derived Deformation Theories. Advances in Mathematics 224 (2010), 772-826. arXiv:0705.0344.</w:t>
      </w:r>
    </w:p>
    <w:p>
      <w:pPr>
        <w:spacing w:after="100"/>
      </w:pPr>
      <w:r>
        <w:t>[V0.13-8] Lurie, J. Derived Algebraic Geometry IV: Deformation Theory. arXiv:0709.3091.</w:t>
      </w:r>
    </w:p>
    <w:p>
      <w:pPr>
        <w:spacing w:after="100"/>
      </w:pPr>
      <w:r>
        <w:t>[V0.13-9] Kurpishev, I. B. Том I v197 RU; Том II T2-RP-v0.1-v0.12.</w:t>
      </w:r>
    </w:p>
    <w:p>
      <w:pPr>
        <w:pStyle w:val="Quote"/>
        <w:spacing w:before="80" w:after="120"/>
        <w:jc w:val="center"/>
      </w:pPr>
      <w:r>
        <w:t>truth_layer_promotion=0; checkpoint=T2-RP-v0.13; next=T2-RP-v0.14.                  (16.33)</w:t>
      </w:r>
    </w:p>
    <w:p>
      <w:pPr>
        <w:pStyle w:val="Lead"/>
        <w:spacing w:after="100"/>
      </w:pPr>
      <w:r>
        <w:t>Глава 16 построила локальную модульную машину NAPG: от Artin deformation functor и small-extension obstruction calculus до derived tangent complex, Hodge-Green contraction, Kuranishi map, miniversal base, higher obstruction tower и moduli-safe predictive horizon. Главный отрицательный результат: равномерно ненулевой Kuranishi residual исключает интегрируемость выбранной ветви в сертифицированной локальной модели. Нулевой residual создаёт только candidate-lift, а не событие.</w:t>
      </w:r>
    </w:p>
    <w:p>
      <w:pPr>
        <w:pStyle w:val="Small"/>
        <w:spacing w:after="100"/>
      </w:pPr>
      <w:r>
        <w:t>Следующая сборка tom2_v0_14 развивает каноническую главу 17: стратифицированные пространства модулей, wall-crossing, bifurcation loci, monodromy of branches и устойчивые переходные инварианты.</w:t>
      </w:r>
    </w:p>
    <w:p>
      <w:pPr>
        <w:pStyle w:val="Small"/>
        <w:spacing w:after="100"/>
      </w:pPr>
      <w:r>
        <w:t>checkpoint=T2-RP-v0.13; source=T2-RP-v0.12; truth_layer_promotion=0; next=T2-RP-v0.14.</w:t>
      </w:r>
    </w:p>
    <w:p>
      <w:r>
        <w:br/>
      </w:r>
    </w:p>
    <w:p>
      <w:pPr>
        <w:pStyle w:val="Title"/>
        <w:jc w:val="center"/>
      </w:pPr>
      <w:r>
        <w:t>Глава 17. Стратифицированные пространства модулей, wall-crossing, bifurcation loci и монодромия ветвей</w:t>
      </w:r>
    </w:p>
    <w:p>
      <w:pPr>
        <w:pStyle w:val="Subtitle"/>
        <w:jc w:val="center"/>
      </w:pPr>
      <w:r>
        <w:t>Контрольная точка T2-RP-v0.14 · кумулятивное продолжение tom2_v0_13</w:t>
      </w:r>
    </w:p>
    <w:tbl>
      <w:tblPr>
        <w:tblW w:type="auto" w:w="0"/>
        <w:jc w:val="center"/>
        <w:tblLayout w:type="fixed"/>
        <w:tblLook w:firstColumn="1" w:firstRow="1" w:lastColumn="0" w:lastRow="0" w:noHBand="0" w:noVBand="1" w:val="04A0"/>
      </w:tblPr>
      <w:tblGrid>
        <w:gridCol w:w="2304"/>
        <w:gridCol w:w="8208"/>
      </w:tblGrid>
      <w:tr>
        <w:tc>
          <w:tcPr>
            <w:tcW w:type="dxa" w:w="2304"/>
            <w:shd w:fill="1F4E78"/>
            <w:tcMar>
              <w:top w:w="120" w:type="dxa"/>
              <w:start w:w="140" w:type="dxa"/>
              <w:bottom w:w="120" w:type="dxa"/>
              <w:end w:w="140" w:type="dxa"/>
            </w:tcMar>
            <w:vAlign w:val="center"/>
          </w:tcPr>
          <w:p>
            <w:r>
              <w:rPr>
                <w:b/>
                <w:color w:val="FFFFFF"/>
              </w:rPr>
              <w:t>ОНТОЛОГИЯ</w:t>
            </w:r>
          </w:p>
        </w:tc>
        <w:tc>
          <w:tcPr>
            <w:tcW w:type="dxa" w:w="8208"/>
            <w:shd w:fill="DCE6F1"/>
            <w:tcMar>
              <w:top w:w="120" w:type="dxa"/>
              <w:start w:w="140" w:type="dxa"/>
              <w:bottom w:w="120" w:type="dxa"/>
              <w:end w:w="140" w:type="dxa"/>
            </w:tcMar>
            <w:vAlign w:val="center"/>
          </w:tcPr>
          <w:p>
            <w:r>
              <w:t>Пространство модулей не является единым гладким фоном. Оно состоит из страт, на которых тип объекта, размер стабилизатора, ранги касательного и obstruction-слоёв сохраняются, а границы страт фиксируют места возможной перестройки.</w:t>
            </w:r>
          </w:p>
        </w:tc>
      </w:tr>
      <w:tr>
        <w:tc>
          <w:tcPr>
            <w:tcW w:type="dxa" w:w="2304"/>
            <w:shd w:fill="1F4E78"/>
            <w:tcMar>
              <w:top w:w="120" w:type="dxa"/>
              <w:start w:w="140" w:type="dxa"/>
              <w:bottom w:w="120" w:type="dxa"/>
              <w:end w:w="140" w:type="dxa"/>
            </w:tcMar>
            <w:vAlign w:val="center"/>
          </w:tcPr>
          <w:p>
            <w:r>
              <w:rPr>
                <w:b/>
                <w:color w:val="FFFFFF"/>
              </w:rPr>
              <w:t>ГНОСЕОЛОГИЯ</w:t>
            </w:r>
          </w:p>
        </w:tc>
        <w:tc>
          <w:tcPr>
            <w:tcW w:type="dxa" w:w="8208"/>
            <w:shd w:fill="DCE6F1"/>
            <w:tcMar>
              <w:top w:w="120" w:type="dxa"/>
              <w:start w:w="140" w:type="dxa"/>
              <w:bottom w:w="120" w:type="dxa"/>
              <w:end w:w="140" w:type="dxa"/>
            </w:tcMar>
            <w:vAlign w:val="center"/>
          </w:tcPr>
          <w:p>
            <w:r>
              <w:t>Wall-crossing является знанием о смене классификационного режима, а не свидетельством наступившего физического события. Надёжный вывод требует карты ветвей, переходных инвариантов, достаточного основания D и явно заданного Dom.</w:t>
            </w:r>
          </w:p>
        </w:tc>
      </w:tr>
      <w:tr>
        <w:tc>
          <w:tcPr>
            <w:tcW w:type="dxa" w:w="2304"/>
            <w:shd w:fill="1F4E78"/>
            <w:tcMar>
              <w:top w:w="120" w:type="dxa"/>
              <w:start w:w="140" w:type="dxa"/>
              <w:bottom w:w="120" w:type="dxa"/>
              <w:end w:w="140" w:type="dxa"/>
            </w:tcMar>
            <w:vAlign w:val="center"/>
          </w:tcPr>
          <w:p>
            <w:r>
              <w:rPr>
                <w:b/>
                <w:color w:val="FFFFFF"/>
              </w:rPr>
              <w:t>ФЕНОМЕНОЛОГИЯ</w:t>
            </w:r>
          </w:p>
        </w:tc>
        <w:tc>
          <w:tcPr>
            <w:tcW w:type="dxa" w:w="8208"/>
            <w:shd w:fill="DCE6F1"/>
            <w:tcMar>
              <w:top w:w="120" w:type="dxa"/>
              <w:start w:w="140" w:type="dxa"/>
              <w:bottom w:w="120" w:type="dxa"/>
              <w:end w:w="140" w:type="dxa"/>
            </w:tcMar>
            <w:vAlign w:val="center"/>
          </w:tcPr>
          <w:p>
            <w:r>
              <w:t>Наблюдаемая ветвь может исчезать, раздваиваться, сливаться или возвращаться после обхода сингулярного локуса с иной маркировкой. Монодромия хранит память обхода, но не создаёт причинность сама по себе.</w:t>
            </w:r>
          </w:p>
        </w:tc>
      </w:tr>
      <w:tr>
        <w:tc>
          <w:tcPr>
            <w:tcW w:type="dxa" w:w="2304"/>
            <w:shd w:fill="1F4E78"/>
            <w:tcMar>
              <w:top w:w="120" w:type="dxa"/>
              <w:start w:w="140" w:type="dxa"/>
              <w:bottom w:w="120" w:type="dxa"/>
              <w:end w:w="140" w:type="dxa"/>
            </w:tcMar>
            <w:vAlign w:val="center"/>
          </w:tcPr>
          <w:p>
            <w:r>
              <w:rPr>
                <w:b/>
                <w:color w:val="FFFFFF"/>
              </w:rPr>
              <w:t>ГРАНИЦА</w:t>
            </w:r>
          </w:p>
        </w:tc>
        <w:tc>
          <w:tcPr>
            <w:tcW w:type="dxa" w:w="8208"/>
            <w:shd w:fill="FFF2CC"/>
            <w:tcMar>
              <w:top w:w="120" w:type="dxa"/>
              <w:start w:w="140" w:type="dxa"/>
              <w:bottom w:w="120" w:type="dxa"/>
              <w:end w:w="140" w:type="dxa"/>
            </w:tcMar>
            <w:vAlign w:val="center"/>
          </w:tcPr>
          <w:p>
            <w:r>
              <w:t>Все теоремы главы относятся к сертифицированным конечномерным аналитическим, алгебраическим или стратифицированным моделям. ПН.2, F-1-F-14 и физические мосты статуса не меняют; truth_layer_promotion=0.</w:t>
            </w:r>
          </w:p>
        </w:tc>
      </w:tr>
    </w:tbl>
    <w:p>
      <w:pPr>
        <w:pStyle w:val="Heading1"/>
        <w:keepNext/>
      </w:pPr>
      <w:r>
        <w:t>174. Модульное пространство как стратифицированный объект</w:t>
      </w:r>
    </w:p>
    <w:p>
      <w:pPr/>
      <w:r>
        <w:t>Пусть M_N обозначает локальный или глобальный носитель классов NAPG-структур после факторизации по допустимым изоморфизмам. Даже если каждая регулярная точка допускает локальную Kuranishi-модель, объединение классов обычно не является многообразием: размер стабилизатора, число ветвей, ранг линейзации и тип препятствий могут скачкообразно меняться.</w:t>
      </w:r>
    </w:p>
    <w:p>
      <w:pPr>
        <w:pStyle w:val="Quote"/>
        <w:jc w:val="center"/>
      </w:pPr>
      <w:r>
        <w:t>M_N = ⨆_{α∈A} S_α,      S_α ∩ overline(S_β) ≠ ∅ ⇒ S_α ⊂ overline(S_β).                 (17.1)</w:t>
      </w:r>
    </w:p>
    <w:p>
      <w:pPr/>
      <w:r>
        <w:t>Стратификация считается допустимой для предсказательного слоя, если каждая S_α является гладкой локально замкнутой стратой, локальный модульный профиль постоянен на S_α, а frontier condition проверено. Whitney (a) и (b) не объявляются автоматически: они являются отдельными доказательными обязательствами.</w:t>
      </w:r>
    </w:p>
    <w:p>
      <w:pPr>
        <w:jc w:val="center"/>
      </w:pPr>
      <w:r>
        <w:drawing>
          <wp:inline xmlns:a="http://schemas.openxmlformats.org/drawingml/2006/main" xmlns:pic="http://schemas.openxmlformats.org/drawingml/2006/picture">
            <wp:extent cx="6217920" cy="3150752"/>
            <wp:docPr id="42" name="Picture 42"/>
            <wp:cNvGraphicFramePr>
              <a:graphicFrameLocks noChangeAspect="1"/>
            </wp:cNvGraphicFramePr>
            <a:graphic>
              <a:graphicData uri="http://schemas.openxmlformats.org/drawingml/2006/picture">
                <pic:pic>
                  <pic:nvPicPr>
                    <pic:cNvPr id="0" name="fig17_1.png"/>
                    <pic:cNvPicPr/>
                  </pic:nvPicPr>
                  <pic:blipFill>
                    <a:blip r:embed="rId71"/>
                    <a:stretch>
                      <a:fillRect/>
                    </a:stretch>
                  </pic:blipFill>
                  <pic:spPr>
                    <a:xfrm>
                      <a:off x="0" y="0"/>
                      <a:ext cx="6217920" cy="3150752"/>
                    </a:xfrm>
                    <a:prstGeom prst="rect"/>
                  </pic:spPr>
                </pic:pic>
              </a:graphicData>
            </a:graphic>
          </wp:inline>
        </w:drawing>
      </w:r>
    </w:p>
    <w:p>
      <w:pPr>
        <w:pStyle w:val="Caption"/>
        <w:keepNext/>
        <w:jc w:val="center"/>
      </w:pPr>
      <w:r>
        <w:t>Рисунок 17.1. Стратифицированное пространство модулей, стена и бифуркационный локус. Собственная схема Тома II.</w:t>
      </w:r>
    </w:p>
    <w:p>
      <w:pPr>
        <w:pStyle w:val="Heading1"/>
        <w:keepNext/>
      </w:pPr>
      <w:r>
        <w:t>175. Профиль страты и переходные инварианты</w:t>
      </w:r>
    </w:p>
    <w:p>
      <w:pPr/>
      <w:r>
        <w:t>Для точки x∈S_α вводится типизированный профиль, объединяющий локальные данные главы 16 и аналитический запас главы 15:</w:t>
      </w:r>
    </w:p>
    <w:p>
      <w:pPr>
        <w:pStyle w:val="Quote"/>
        <w:jc w:val="center"/>
      </w:pPr>
      <w:r>
        <w:t>P_str(x) = (dim H¹_x, dim H²_x, dim H³_x, dim Aut_x, rank dK_x, mult_x, HS_x, γ_x, λ_x, D_x, Dom_x).  (17.2)</w:t>
      </w:r>
    </w:p>
    <w:p>
      <w:pPr/>
      <w:r>
        <w:t>Здесь mult_x обозначает кратность локального germ, HS_x - Hilbert-Samuel функцию, γ_x - сертифицированный спектральный зазор. Переходным инвариантом называется функция I на регулярной части, локально постоянная на каждой страте и снабжённая правилом сравнения при подходе к frontier.</w:t>
      </w:r>
    </w:p>
    <w:p>
      <w:pPr>
        <w:pStyle w:val="Quote"/>
        <w:jc w:val="center"/>
      </w:pPr>
      <w:r>
        <w:t>I_trans : M_N^reg → Λ,      I_trans|_{S_α}=const.                              (17.3)</w:t>
      </w:r>
    </w:p>
    <w:p>
      <w:pPr/>
      <w:r>
        <w:t>Отсутствие правила сравнения означает, что значения на соседних стратах нельзя складывать, вычитать или ранжировать, даже если они записаны одинаковыми числами.</w:t>
      </w:r>
    </w:p>
    <w:p>
      <w:pPr>
        <w:pStyle w:val="Heading1"/>
        <w:keepNext/>
      </w:pPr>
      <w:r>
        <w:t>176. Wall, chamber и wall certificate</w:t>
      </w:r>
    </w:p>
    <w:p>
      <w:pPr/>
      <w:r>
        <w:t>Пусть параметрическое пространство P разбито на камеры C_ν и стены W_μ. Камера есть связная компонента P\W, на которой сертифицированный модульный тип постоянен. Стена есть локус, где нарушается хотя бы один из ранговых, стабилизаторных, спектральных, доменных или ветвящихся признаков.</w:t>
      </w:r>
    </w:p>
    <w:p>
      <w:pPr>
        <w:pStyle w:val="Quote"/>
        <w:jc w:val="center"/>
      </w:pPr>
      <w:r>
        <w:t>W = Δ_rank ∪ Δ_aut ∪ Δ_obs ∪ Δ_gap ∪ Δ_branch ∪ Δ_D ∪ Δ_Dom ∪ Δ_glue.      (17.4)</w:t>
      </w:r>
    </w:p>
    <w:p>
      <w:pPr/>
      <w:r>
        <w:t>Wall certificate WC(t*) состоит из локального уравнения стены, ориентации нормали или coorientation, перечня подходящих ветвей, односторонних пределов инвариантов, контроля multiplicity, Evidence-D и воспроизводимого вычислительного свидетельства.</w:t>
      </w:r>
    </w:p>
    <w:p>
      <w:pPr>
        <w:pStyle w:val="Heading2"/>
        <w:keepNext/>
      </w:pPr>
      <w:r>
        <w:t>17.3.1. Теорема постоянства в камере</w:t>
      </w:r>
    </w:p>
    <w:p>
      <w:pPr/>
      <w:r>
        <w:t>Теорема 17.1. Пусть C является связной камерой, семейство moduli problems тривиализовано сертификатом ModTriv(C), а C не пересекает W. Тогда профиль P_str и все сертифицированные локально постоянные переходные инварианты постоянны на C.</w:t>
      </w:r>
    </w:p>
    <w:p>
      <w:pPr/>
      <w:r>
        <w:t>Доказательство. ModTriv(C) задаёт совместимые идентификации controlling data, Hodge-Green contractions, Kuranishi germs, stabilizer groupoids и D/Dom. Отсутствие стен исключает изменение дискретных ранговых и ветвящихся данных. Связность C завершает доказательство.</w:t>
      </w:r>
    </w:p>
    <w:p>
      <w:pPr>
        <w:pStyle w:val="Heading1"/>
        <w:keepNext/>
      </w:pPr>
      <w:r>
        <w:t>177. Wall-crossing operator и предел его корректности</w:t>
      </w:r>
    </w:p>
    <w:p>
      <w:pPr/>
      <w:r>
        <w:t>Для ориентированного пересечения стены путём γ определён частичный оператор перехода:</w:t>
      </w:r>
    </w:p>
    <w:p>
      <w:pPr>
        <w:pStyle w:val="Quote"/>
        <w:jc w:val="center"/>
      </w:pPr>
      <w:r>
        <w:t>WC_{γ,t*}: Inv(C_-) ⇀ Inv(C_+).                                           (17.5)</w:t>
      </w:r>
    </w:p>
    <w:p>
      <w:pPr/>
      <w:r>
        <w:t>Он определён только тогда, когда ветви с обеих сторон идентифицированы через общий degeneration datum. В аддитивном секторе допускается wall-crossing defect</w:t>
      </w:r>
    </w:p>
    <w:p>
      <w:pPr>
        <w:pStyle w:val="Quote"/>
        <w:jc w:val="center"/>
      </w:pPr>
      <w:r>
        <w:t>Δ_W I = I_+ - T_{-→+}I_-,                                                (17.6)</w:t>
      </w:r>
    </w:p>
    <w:p>
      <w:pPr/>
      <w:r>
        <w:t>где T_{-→+} является доказанным transport map. Без T_{-→+} разность не типизирована. В общем NAPG-секторе wall-crossing может быть correspondence, span или functor между groupoids, а не числовой скачок.</w:t>
      </w:r>
    </w:p>
    <w:p>
      <w:pPr/>
      <w:r>
        <w:t>Контртеорема 17.2. Равенство размерностей пространств инвариантов по обе стороны стены не задаёт канонического wall-crossing operator. Требуются идентификация ветвей и transport data.</w:t>
      </w:r>
    </w:p>
    <w:p>
      <w:pPr>
        <w:pStyle w:val="Heading1"/>
        <w:keepNext/>
      </w:pPr>
      <w:r>
        <w:t>178. Бифуркационный локус и reduced equation</w:t>
      </w:r>
    </w:p>
    <w:p>
      <w:pPr/>
      <w:r>
        <w:t>Пусть K_t(x)=0 является локальным уравнением Кураниши. Бифуркационный локус определяется как множество параметров, где решение существует и линеаризация по x теряет регулярность:</w:t>
      </w:r>
    </w:p>
    <w:p>
      <w:pPr>
        <w:pStyle w:val="Quote"/>
        <w:jc w:val="center"/>
      </w:pPr>
      <w:r>
        <w:t>Bif(K) = {(t,x): K_t(x)=0,  rank D_xK_t &lt; r_reg}.                         (17.7)</w:t>
      </w:r>
    </w:p>
    <w:p>
      <w:pPr/>
      <w:r>
        <w:t>Его проекция на параметрическую базу обозначается B=pr_P Bif(K). Для одномерного kernel/cokernel после Lyapunov-Schmidt reduction задача сводится к скалярной функции g(t,a)=0. Типы fold, pitchfork и cusp разрешено употреблять лишь после проверки ненулевых производных, соответствующих нормальным формам.</w:t>
      </w:r>
    </w:p>
    <w:p>
      <w:pPr>
        <w:pStyle w:val="Quote"/>
        <w:jc w:val="center"/>
      </w:pPr>
      <w:r>
        <w:t>fold: g=0, g_a=0, g_{aa}≠0, g_t≠0;    cusp: g=g_a=g_{aa}=0, g_{aaa}g_t≠0. (17.8)</w:t>
      </w:r>
    </w:p>
    <w:p>
      <w:pPr/>
      <w:r>
        <w:t>Наличие singular Jacobian является кандидатом бифуркации, но не доказывает число реальных ветвей, их устойчивость или физическую наблюдаемость.</w:t>
      </w:r>
    </w:p>
    <w:p>
      <w:pPr>
        <w:pStyle w:val="Heading1"/>
        <w:keepNext/>
      </w:pPr>
      <w:r>
        <w:t>179. Разделяющая теорема: wall не равен bifurcation</w:t>
      </w:r>
    </w:p>
    <w:p>
      <w:pPr/>
      <w:r>
        <w:t>Теорема 17.3. В общем случае W и B не совпадают. Стена может возникать из смены стабильности, домена или стабилизатора при регулярном локальном уравнении; бифуркация может возникать внутри одной камеры выбранной внешней классификации.</w:t>
      </w:r>
    </w:p>
    <w:p>
      <w:pPr>
        <w:pStyle w:val="ListBullet"/>
      </w:pPr>
      <w:r>
        <w:t>Пример wall без bifurcation: меняется GIT-поляризация и набор допустимых орбит, хотя локальная ветвь остаётся гладкой.</w:t>
      </w:r>
    </w:p>
    <w:p>
      <w:pPr>
        <w:pStyle w:val="ListBullet"/>
      </w:pPr>
      <w:r>
        <w:t>Пример bifurcation без выбранной wall: семейство g(t,a)=a²-t имеет fold при t=0, даже если внешняя chamber decomposition не введена.</w:t>
      </w:r>
    </w:p>
    <w:p>
      <w:pPr>
        <w:pStyle w:val="ListBullet"/>
      </w:pPr>
      <w:r>
        <w:t>Пример ложного совпадения: rank jump численного Jacobian, вызванный плохой обусловленностью, исчезает после интервальной сертификации.</w:t>
      </w:r>
    </w:p>
    <w:p>
      <w:pPr>
        <w:pStyle w:val="Heading1"/>
        <w:keepNext/>
      </w:pPr>
      <w:r>
        <w:t>180. Ветви, нормализация и branch ledger</w:t>
      </w:r>
    </w:p>
    <w:p>
      <w:pPr/>
      <w:r>
        <w:t>Пусть Z={K=0} - локальный аналитический zero-locus. Для различения ветвей используется нормализация ν: Z~→Z либо эквивалентный branch cover над регулярной частью параметров. Ветвь b определяется как связная компонента нормализованного прообраза после удаления ramification locus.</w:t>
      </w:r>
    </w:p>
    <w:p>
      <w:pPr>
        <w:pStyle w:val="Quote"/>
        <w:jc w:val="center"/>
      </w:pPr>
      <w:r>
        <w:t>Branch(Z/P) = π₀(Z~ \ Ram(ν)).                                           (17.9)</w:t>
      </w:r>
    </w:p>
    <w:p>
      <w:pPr/>
      <w:r>
        <w:t>Branch ledger хранит branch_id, local equation, multiplicity, orientation/coorientation, stabilizer, D/Dom, provenance, допустимые продолжения и список точек ветвления. Без branch_id утверждение «та же ветвь после перехода» не имеет проверяемого содержания.</w:t>
      </w:r>
    </w:p>
    <w:p>
      <w:pPr>
        <w:jc w:val="center"/>
      </w:pPr>
      <w:r>
        <w:drawing>
          <wp:inline xmlns:a="http://schemas.openxmlformats.org/drawingml/2006/main" xmlns:pic="http://schemas.openxmlformats.org/drawingml/2006/picture">
            <wp:extent cx="6217920" cy="3464919"/>
            <wp:docPr id="43" name="Picture 43"/>
            <wp:cNvGraphicFramePr>
              <a:graphicFrameLocks noChangeAspect="1"/>
            </wp:cNvGraphicFramePr>
            <a:graphic>
              <a:graphicData uri="http://schemas.openxmlformats.org/drawingml/2006/picture">
                <pic:pic>
                  <pic:nvPicPr>
                    <pic:cNvPr id="0" name="fig17_2.png"/>
                    <pic:cNvPicPr/>
                  </pic:nvPicPr>
                  <pic:blipFill>
                    <a:blip r:embed="rId72"/>
                    <a:stretch>
                      <a:fillRect/>
                    </a:stretch>
                  </pic:blipFill>
                  <pic:spPr>
                    <a:xfrm>
                      <a:off x="0" y="0"/>
                      <a:ext cx="6217920" cy="3464919"/>
                    </a:xfrm>
                    <a:prstGeom prst="rect"/>
                  </pic:spPr>
                </pic:pic>
              </a:graphicData>
            </a:graphic>
          </wp:inline>
        </w:drawing>
      </w:r>
    </w:p>
    <w:p>
      <w:pPr>
        <w:pStyle w:val="Caption"/>
        <w:keepNext/>
        <w:jc w:val="center"/>
      </w:pPr>
      <w:r>
        <w:t>Рисунок 17.2. Продолжение ветвей и монодромия вдоль допустимого контура. Собственная схема Тома II.</w:t>
      </w:r>
    </w:p>
    <w:p>
      <w:pPr>
        <w:pStyle w:val="Heading1"/>
        <w:keepNext/>
      </w:pPr>
      <w:r>
        <w:t>181. Монодромия ветвей</w:t>
      </w:r>
    </w:p>
    <w:p>
      <w:pPr/>
      <w:r>
        <w:t>Пусть U=P\B и над U задан конечный branch cover π:B→U. Для базовой точки t0 и петли γ∈π₁(U,t0) аналитическое продолжение задаёт перестановку ветвей:</w:t>
      </w:r>
    </w:p>
    <w:p>
      <w:pPr>
        <w:pStyle w:val="Quote"/>
        <w:jc w:val="center"/>
      </w:pPr>
      <w:r>
        <w:t>Mon: π₁(U,t₀) → Perm(B_{t₀}).                                             (17.10)</w:t>
      </w:r>
    </w:p>
    <w:p>
      <w:pPr/>
      <w:r>
        <w:t>Если на ветви дополнительно живёт локальная система V, возникает линейная монодромия</w:t>
      </w:r>
    </w:p>
    <w:p>
      <w:pPr>
        <w:pStyle w:val="Quote"/>
        <w:jc w:val="center"/>
      </w:pPr>
      <w:r>
        <w:t>ρ: π₁(U,t₀) → Aut(V_{t₀}).                                                (17.11)</w:t>
      </w:r>
    </w:p>
    <w:p>
      <w:pPr/>
      <w:r>
        <w:t>Монодромия зависит от выбранного punctured domain и класса допустимых путей. Она не равна holonomy главы 9 автоматически: для их сравнения требуется functor, переводящий branch transport в параллельный перенос соответствующего расслоения.</w:t>
      </w:r>
    </w:p>
    <w:p>
      <w:pPr>
        <w:pStyle w:val="Heading2"/>
        <w:keepNext/>
      </w:pPr>
      <w:r>
        <w:t>17.8.1. Теорема гомотопической инвариантности</w:t>
      </w:r>
    </w:p>
    <w:p>
      <w:pPr/>
      <w:r>
        <w:t>Теорема 17.4. Если branch cover локально тривиален над U, то продолжение вдоль гомотопных петель с фиксированными концами задаёт одну и ту же перестановку ветвей. Следовательно, Mon факторизуется через фундаментальную группу.</w:t>
      </w:r>
    </w:p>
    <w:p>
      <w:pPr>
        <w:pStyle w:val="Heading1"/>
        <w:keepNext/>
      </w:pPr>
      <w:r>
        <w:t>182. No-global-label theorem</w:t>
      </w:r>
    </w:p>
    <w:p>
      <w:pPr/>
      <w:r>
        <w:t>Теорема 17.5. Если образ Mon нетривиален, глобальная непрерывная нумерация всех ветвей над U невозможна.</w:t>
      </w:r>
    </w:p>
    <w:p>
      <w:pPr/>
      <w:r>
        <w:t>Доказательство. Глобальная нумерация задавала бы тривиализацию branch cover и вынуждала бы каждую петлю сохранять каждую метку. Это противоречит существованию петли с нетривиальной перестановкой.</w:t>
      </w:r>
    </w:p>
    <w:p>
      <w:pPr/>
      <w:r>
        <w:t>Следствие. Алгоритм KLT-RBD не должен считать переставленные после обхода ветви новыми объектами или, наоборот, насильственно сохранять исходную метку. Требуется хранить monodromy orbit.</w:t>
      </w:r>
    </w:p>
    <w:p>
      <w:pPr>
        <w:pStyle w:val="Heading1"/>
        <w:keepNext/>
      </w:pPr>
      <w:r>
        <w:t>183. Wall-crossing и монодромия: path dependence</w:t>
      </w:r>
    </w:p>
    <w:p>
      <w:pPr/>
      <w:r>
        <w:t>Для пути γ, пересекающего последовательность стен W_1,...,W_m, полный transport задаётся упорядоченной композицией частичных correspondences:</w:t>
      </w:r>
    </w:p>
    <w:p>
      <w:pPr>
        <w:pStyle w:val="Quote"/>
        <w:jc w:val="center"/>
      </w:pPr>
      <w:r>
        <w:t>T_γ = WC_m ∘ ... ∘ WC_2 ∘ WC_1.                                         (17.12)</w:t>
      </w:r>
    </w:p>
    <w:p>
      <w:pPr/>
      <w:r>
        <w:t>Даже при одинаковых концах T_γ может зависеть от гомотопического класса пути в дополнении к higher-codimension discriminant. Путь-независимость требует плоской локальной системы или доказанных braid/cocycle relations между elementary wall operators.</w:t>
      </w:r>
    </w:p>
    <w:p>
      <w:pPr>
        <w:pStyle w:val="Quote"/>
        <w:jc w:val="center"/>
      </w:pPr>
      <w:r>
        <w:t>WC_i WC_j = WC_j WC_i  или  WC_i WC_j WC_i = WC_j WC_i WC_j            (17.13)</w:t>
      </w:r>
    </w:p>
    <w:p>
      <w:pPr/>
      <w:r>
        <w:t>выводится только в конкретной модели, а не из самого слова wall-crossing.</w:t>
      </w:r>
    </w:p>
    <w:p>
      <w:pPr>
        <w:pStyle w:val="Heading1"/>
        <w:keepNext/>
      </w:pPr>
      <w:r>
        <w:t>184. Стратифицированная локальная тривиальность</w:t>
      </w:r>
    </w:p>
    <w:p>
      <w:pPr/>
      <w:r>
        <w:t>В классическом стратифицированном секторе правильный аналог гладкой тривиальности обеспечивается isotopy-type условиями: proper stratified submersion, Whitney regularity и контролируемость. В Томе II это оформляется как сертификат StratTriv(U), а не как автоматическое свойство любого конечного разбиения.</w:t>
      </w:r>
    </w:p>
    <w:p>
      <w:pPr/>
      <w:r>
        <w:t>StratTriv(U) содержит: Whitney (a)/(b) либо явно выбранную замену; frontier condition; properness или локально proper restriction; submersion на каждой страте; control data; совместимость с Kuranishi charts, stabilizers и Evidence-D.</w:t>
      </w:r>
    </w:p>
    <w:p>
      <w:pPr/>
      <w:r>
        <w:t>Условная теорема 17.6. При StratTriv(U) семейство топологически локально тривиально над U по стратам; следовательно, stratified homeomorphism type и конструктивные invariants постоянны внутри U.</w:t>
      </w:r>
    </w:p>
    <w:p>
      <w:pPr>
        <w:pStyle w:val="Heading1"/>
        <w:keepNext/>
      </w:pPr>
      <w:r>
        <w:t>185. Устойчивость переходных инвариантов</w:t>
      </w:r>
    </w:p>
    <w:p>
      <w:pPr/>
      <w:r>
        <w:t>Пусть I_t(b) - инвариант ветви b. Вводятся три уровня устойчивости:</w:t>
      </w:r>
    </w:p>
    <w:p>
      <w:pPr>
        <w:pStyle w:val="ListBullet"/>
      </w:pPr>
      <w:r>
        <w:t>S0: chamber constancy - дискретный инвариант постоянен внутри камеры;</w:t>
      </w:r>
    </w:p>
    <w:p>
      <w:pPr>
        <w:pStyle w:val="ListBullet"/>
      </w:pPr>
      <w:r>
        <w:t>S1: transport stability - после доказанного branch transport значения совпадают;</w:t>
      </w:r>
    </w:p>
    <w:p>
      <w:pPr>
        <w:pStyle w:val="ListBullet"/>
      </w:pPr>
      <w:r>
        <w:t>S2: quantitative stability - существует оценка ||I_t-T_{s→t}I_s||≤L d(s,t);</w:t>
      </w:r>
    </w:p>
    <w:p>
      <w:pPr>
        <w:pStyle w:val="ListBullet"/>
      </w:pPr>
      <w:r>
        <w:t>S3: wall-controlled stability - односторонние пределы существуют и defect подчинён сертифицированной wall formula.</w:t>
      </w:r>
    </w:p>
    <w:p>
      <w:pPr/>
      <w:r>
        <w:t>Для S2 и S3 обязательны выбор нормы, тривиализация носителей и оценка обусловленности. Стабильность числа ветвей не влечёт стабильности каждой ветви, а стабильность суммы инвариантов не влечёт стабильности слагаемых.</w:t>
      </w:r>
    </w:p>
    <w:p>
      <w:pPr>
        <w:pStyle w:val="Heading1"/>
        <w:keepNext/>
      </w:pPr>
      <w:r>
        <w:t>186. Переходный индекс и проективно-гармонический слой</w:t>
      </w:r>
    </w:p>
    <w:p>
      <w:pPr/>
      <w:r>
        <w:t>Для сертифицированной ветви b_t вводится структурный переходный профиль</w:t>
      </w:r>
    </w:p>
    <w:p>
      <w:pPr>
        <w:pStyle w:val="Quote"/>
        <w:jc w:val="center"/>
      </w:pPr>
      <w:r>
        <w:t>P_W(t,b)=(dist(t,W), σ_min(D_xK_t), mult_b, MonOrb_b, η_K, η_H, λ_b, CGI_b). (17.14)</w:t>
      </w:r>
    </w:p>
    <w:p>
      <w:pPr/>
      <w:r>
        <w:t>Проективно-гармоническая координата λ_b допустима только если реперная четвёрка ветви определена и transport всех четырёх точек согласован. Общий PGL₂-перенос сохраняет λ; изменение λ связано с относительной деформацией репера, сменой D/Dom или выходом из projective class.</w:t>
      </w:r>
    </w:p>
    <w:p>
      <w:pPr/>
      <w:r>
        <w:t>Условие λ=-1 не определяет wall и не отменяет obstruction residual. Оно используется лишь как дополнительный selector после wall, branch и evidence checks.</w:t>
      </w:r>
    </w:p>
    <w:p>
      <w:pPr>
        <w:pStyle w:val="Heading1"/>
        <w:keepNext/>
      </w:pPr>
      <w:r>
        <w:t>187. Совокупный горизонт T2-RP-v0.14</w:t>
      </w:r>
    </w:p>
    <w:p>
      <w:pPr/>
      <w:r>
        <w:t>К ранее построенным горизонтам добавляется стратифицированно-ветвящийся слой:</w:t>
      </w:r>
    </w:p>
    <w:p>
      <w:pPr>
        <w:pStyle w:val="Quote"/>
        <w:jc w:val="center"/>
      </w:pPr>
      <w:r>
        <w:t>Δ_WB = Δ_strat ∪ Δ_wall ∪ Δ_bif ∪ Δ_ram ∪ Δ_mon ∪ Δ_path ∪ Δ_inv.        (17.15)</w:t>
      </w:r>
    </w:p>
    <w:p>
      <w:pPr>
        <w:pStyle w:val="Quote"/>
        <w:jc w:val="center"/>
      </w:pPr>
      <w:r>
        <w:t>Δ_safe^{v0.14} = Δ_mod ∪ Δ_WB.                                           (17.16)</w:t>
      </w:r>
    </w:p>
    <w:p>
      <w:pPr/>
      <w:r>
        <w:t>Здесь Δ_strat фиксирует отказ стратификации; Δ_wall - пересечение стены; Δ_bif - потерю regularity reduced equation; Δ_ram - ветвление; Δ_mon - смену monodromy orbit; Δ_path - неопределённость пути; Δ_inv - потерю transport stability инварианта.</w:t>
      </w:r>
    </w:p>
    <w:p>
      <w:pPr>
        <w:pStyle w:val="Heading1"/>
        <w:keepNext/>
      </w:pPr>
      <w:r>
        <w:t>188. Главная условная теорема T2-RP-v0.14</w:t>
      </w:r>
    </w:p>
    <w:p>
      <w:pPr/>
      <w:r>
        <w:t>Теорема 17.7 (Stratified wall-crossing-safe predictive theorem). [COND] Пусть на компактном параметрическом интервале или допустимом пути γ:</w:t>
      </w:r>
    </w:p>
    <w:p>
      <w:pPr>
        <w:pStyle w:val="ListNumber"/>
      </w:pPr>
      <w:r>
        <w:t>задано конечномерное аналитическое/алгебраическое семейство NAPG moduli problems с Kuranishi charts;</w:t>
      </w:r>
    </w:p>
    <w:p>
      <w:pPr>
        <w:pStyle w:val="ListNumber"/>
      </w:pPr>
      <w:r>
        <w:t>существует Whitney-совместимая стратификация и сертификат StratTriv вне Δ_WB;</w:t>
      </w:r>
    </w:p>
    <w:p>
      <w:pPr>
        <w:pStyle w:val="ListNumber"/>
      </w:pPr>
      <w:r>
        <w:t>ветви представлены нормализованным branch cover и снабжены branch ledger;</w:t>
      </w:r>
    </w:p>
    <w:p>
      <w:pPr>
        <w:pStyle w:val="ListNumber"/>
      </w:pPr>
      <w:r>
        <w:t>wall operators типизированы как maps/correspondences и удовлетворяют требуемым cocycle/braid relations;</w:t>
      </w:r>
    </w:p>
    <w:p>
      <w:pPr>
        <w:pStyle w:val="ListNumber"/>
      </w:pPr>
      <w:r>
        <w:t>monodromy representation вычислено на заявленном punctured domain;</w:t>
      </w:r>
    </w:p>
    <w:p>
      <w:pPr>
        <w:pStyle w:val="ListNumber"/>
      </w:pPr>
      <w:r>
        <w:t>переходный инвариант имеет transport maps и сертифицированный уровень устойчивости S0-S3;</w:t>
      </w:r>
    </w:p>
    <w:p>
      <w:pPr>
        <w:pStyle w:val="ListNumber"/>
      </w:pPr>
      <w:r>
        <w:t>Evidence-D, Dom, Hodge-Green, external E, projective, global и moduli blockers закрыты;</w:t>
      </w:r>
    </w:p>
    <w:p>
      <w:pPr>
        <w:pStyle w:val="ListNumber"/>
      </w:pPr>
      <w:r>
        <w:t>γ не пересекает Δ_safe^{v0.14}.</w:t>
      </w:r>
    </w:p>
    <w:p>
      <w:pPr/>
      <w:r>
        <w:t>Тогда stratified moduli type, число ветвей в каждом monodromy orbit и transport class переходного инварианта постоянны вдоль γ. Следовательно, wall-crossing или bifurcation указанного сертифицированного типа внутри модели невозможны:</w:t>
      </w:r>
    </w:p>
    <w:p>
      <w:pPr>
        <w:pStyle w:val="Quote"/>
        <w:jc w:val="center"/>
      </w:pPr>
      <w:r>
        <w:t>γ∩Δ_safe^{v0.14}=∅  ⇒  NO-WALL-CROSSING-IN-MODEL.                       (17.17)</w:t>
      </w:r>
    </w:p>
    <w:p>
      <w:pPr/>
      <w:r>
        <w:t>Если γ пересекает сертифицированную стену или Bif(K), система возвращает только CANDIDATE-WALL-CROSSING. Для положительного вывода нужны локальная wall formula, branch matching, post-wall existence и независимый доменный тест.</w:t>
      </w:r>
    </w:p>
    <w:p>
      <w:pPr>
        <w:pStyle w:val="Heading1"/>
        <w:keepNext/>
      </w:pPr>
      <w:r>
        <w:t>189. Blocker-safe вывод</w:t>
      </w:r>
    </w:p>
    <w:p>
      <w:pPr>
        <w:pStyle w:val="Quote"/>
        <w:jc w:val="center"/>
      </w:pPr>
      <w:r>
        <w:t>Block_WB = B_strat ∪ B_Whit ∪ B_wall ∪ B_bif ∪ B_branch ∪ B_mon ∪ B_path ∪ B_inv ∪ B_D ∪ B_Dom ∪ B_glue ∪ B_ind. (17.18)</w:t>
      </w:r>
    </w:p>
    <w:p>
      <w:pPr/>
      <w:r>
        <w:t>Вердикт имеет ровно три значения: NO-WALL-CROSSING-IN-MODEL; CANDIDATE-WALL-CROSSING; ABSTAIN. Формула wall-crossing без branch ledger или transport map переводится в ABSTAIN, даже если график выглядит убедительно. Графики вообще отличаются поразительной уверенностью, особенно когда им не задали области определения.</w:t>
      </w:r>
    </w:p>
    <w:p>
      <w:pPr>
        <w:jc w:val="center"/>
      </w:pPr>
      <w:r>
        <w:drawing>
          <wp:inline xmlns:a="http://schemas.openxmlformats.org/drawingml/2006/main" xmlns:pic="http://schemas.openxmlformats.org/drawingml/2006/picture">
            <wp:extent cx="6217920" cy="3623820"/>
            <wp:docPr id="44" name="Picture 44"/>
            <wp:cNvGraphicFramePr>
              <a:graphicFrameLocks noChangeAspect="1"/>
            </wp:cNvGraphicFramePr>
            <a:graphic>
              <a:graphicData uri="http://schemas.openxmlformats.org/drawingml/2006/picture">
                <pic:pic>
                  <pic:nvPicPr>
                    <pic:cNvPr id="0" name="fig17_3.png"/>
                    <pic:cNvPicPr/>
                  </pic:nvPicPr>
                  <pic:blipFill>
                    <a:blip r:embed="rId73"/>
                    <a:stretch>
                      <a:fillRect/>
                    </a:stretch>
                  </pic:blipFill>
                  <pic:spPr>
                    <a:xfrm>
                      <a:off x="0" y="0"/>
                      <a:ext cx="6217920" cy="3623820"/>
                    </a:xfrm>
                    <a:prstGeom prst="rect"/>
                  </pic:spPr>
                </pic:pic>
              </a:graphicData>
            </a:graphic>
          </wp:inline>
        </w:drawing>
      </w:r>
    </w:p>
    <w:p>
      <w:pPr>
        <w:pStyle w:val="Caption"/>
        <w:keepNext/>
        <w:jc w:val="center"/>
      </w:pPr>
      <w:r>
        <w:t>Рисунок 17.3. Blocker-safe wall-crossing certificate WC-01-WC-24. Собственная схема Тома II.</w:t>
      </w:r>
    </w:p>
    <w:p>
      <w:pPr>
        <w:pStyle w:val="Heading1"/>
        <w:keepNext/>
      </w:pPr>
      <w:r>
        <w:t>190. Контрпримеры и разделяющие модели</w:t>
      </w:r>
    </w:p>
    <w:p>
      <w:pPr>
        <w:pStyle w:val="ListBullet"/>
      </w:pPr>
      <w:r>
        <w:t>Постоянный tangent rank, меняющийся stabilizer: coarse germ выглядит гладким, но stack stratum меняется.</w:t>
      </w:r>
    </w:p>
    <w:p>
      <w:pPr>
        <w:pStyle w:val="ListBullet"/>
      </w:pPr>
      <w:r>
        <w:t>Одинаковое число ветвей, нетривиальная монодромия: две ветви переставляются после обхода discriminant.</w:t>
      </w:r>
    </w:p>
    <w:p>
      <w:pPr>
        <w:pStyle w:val="ListBullet"/>
      </w:pPr>
      <w:r>
        <w:t>Wall без скачка выбранного инварианта: wall operator нетривиален, но рассматриваемая сумма сохраняется.</w:t>
      </w:r>
    </w:p>
    <w:p>
      <w:pPr>
        <w:pStyle w:val="ListBullet"/>
      </w:pPr>
      <w:r>
        <w:t>Скачок численного инварианта без wall: сменена нормировка или базис без transport map.</w:t>
      </w:r>
    </w:p>
    <w:p>
      <w:pPr>
        <w:pStyle w:val="ListBullet"/>
      </w:pPr>
      <w:r>
        <w:t>Bifurcation candidate без реальных ветвей: комплексные решения существуют, но real domain пуст.</w:t>
      </w:r>
    </w:p>
    <w:p>
      <w:pPr>
        <w:pStyle w:val="ListBullet"/>
      </w:pPr>
      <w:r>
        <w:t>Нулевой Kuranishi residual на стене без globalization: локальный lift не склеивается.</w:t>
      </w:r>
    </w:p>
    <w:p>
      <w:pPr>
        <w:pStyle w:val="ListBullet"/>
      </w:pPr>
      <w:r>
        <w:t>λ=-1 по обе стороны стены при различном D: harmonic value сохраняется, доказательный статус нет.</w:t>
      </w:r>
    </w:p>
    <w:p>
      <w:pPr>
        <w:pStyle w:val="ListBullet"/>
      </w:pPr>
      <w:r>
        <w:t>Нетривиальная монодромия без физического времени: параметрический обход является геометрическим, а не динамическим процессом.</w:t>
      </w:r>
    </w:p>
    <w:p>
      <w:pPr>
        <w:pStyle w:val="Heading1"/>
        <w:keepNext/>
      </w:pPr>
      <w:r>
        <w:t>191. Вычислительный сертификат WC-MON v0.14</w:t>
      </w:r>
    </w:p>
    <w:p>
      <w:pPr/>
      <w:r>
        <w:t>Минимальный воспроизводимый пакет WC-01-WC-24:</w:t>
      </w:r>
    </w:p>
    <w:p>
      <w:pPr>
        <w:pStyle w:val="ListBullet"/>
      </w:pPr>
      <w:r>
        <w:t>WC-01 parameter/base schema; WC-02 Kuranishi atlas; WC-03 stratum labels; WC-04 frontier test;</w:t>
      </w:r>
    </w:p>
    <w:p>
      <w:pPr>
        <w:pStyle w:val="ListBullet"/>
      </w:pPr>
      <w:r>
        <w:t>WC-05 Whitney-a numerical/symbolic test; WC-06 Whitney-b test; WC-07 control data; WC-08 properness flag;</w:t>
      </w:r>
    </w:p>
    <w:p>
      <w:pPr>
        <w:pStyle w:val="ListBullet"/>
      </w:pPr>
      <w:r>
        <w:t>WC-09 discriminant elimination; WC-10 wall equations; WC-11 chamber decomposition; WC-12 coorientation;</w:t>
      </w:r>
    </w:p>
    <w:p>
      <w:pPr>
        <w:pStyle w:val="ListBullet"/>
      </w:pPr>
      <w:r>
        <w:t>WC-13 branch normalization; WC-14 branch ledger; WC-15 ramification locus; WC-16 multiplicity;</w:t>
      </w:r>
    </w:p>
    <w:p>
      <w:pPr>
        <w:pStyle w:val="ListBullet"/>
      </w:pPr>
      <w:r>
        <w:t>WC-17 continuation along paths; WC-18 monodromy permutations; WC-19 linear local-system monodromy;</w:t>
      </w:r>
    </w:p>
    <w:p>
      <w:pPr>
        <w:pStyle w:val="ListBullet"/>
      </w:pPr>
      <w:r>
        <w:t>WC-20 wall operator typing; WC-21 cocycle/braid tests; WC-22 invariant stability bounds;</w:t>
      </w:r>
    </w:p>
    <w:p>
      <w:pPr>
        <w:pStyle w:val="ListBullet"/>
      </w:pPr>
      <w:r>
        <w:t>WC-23 blocker-safe verdict; WC-24 sources, code, environment and artifact hashes.</w:t>
      </w:r>
    </w:p>
    <w:p>
      <w:pPr>
        <w:pStyle w:val="Heading2"/>
        <w:keepNext/>
      </w:pPr>
      <w:r>
        <w:t>Псевдокод</w:t>
      </w:r>
    </w:p>
    <w:p>
      <w:pPr>
        <w:pStyle w:val="Quote"/>
        <w:jc w:val="center"/>
      </w:pPr>
      <w:r>
        <w:t>INPUT family K_t, stratification candidate, path γ, branch data, invariant I, D/Dom</w:t>
        <w:br/>
        <w:t>CHECK Kuranishi charts; verify frontier/Whitney/control data; compute discriminant and chambers</w:t>
        <w:br/>
        <w:t>NORMALIZE zero locus; assign branch_id; continue branches; compute Mon and wall operators</w:t>
        <w:br/>
        <w:t>VERIFY transport typing, cocycle relations, stability margins, Evidence-D/Dom</w:t>
        <w:br/>
        <w:t>IF blockers != ∅: ABSTAIN</w:t>
        <w:br/>
        <w:t>ELIF γ∩Δ_safe^{v0.14}=∅: NO-WALL-CROSSING-IN-MODEL</w:t>
        <w:br/>
        <w:t>ELSE: CANDIDATE-WALL-CROSSING + required post-wall tests.                       (17.19)</w:t>
      </w:r>
    </w:p>
    <w:p>
      <w:pPr>
        <w:pStyle w:val="Heading1"/>
        <w:keepNext/>
      </w:pPr>
      <w:r>
        <w:t>192. Доказательные обязательства T2-PO-197-T2-PO-222</w:t>
      </w: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trPr>
        <w:tc>
          <w:tcPr>
            <w:tcW w:type="dxa" w:w="2438"/>
            <w:shd w:fill="1F4E78"/>
            <w:tcMar>
              <w:top w:w="100" w:type="dxa"/>
              <w:start w:w="100" w:type="dxa"/>
              <w:bottom w:w="100" w:type="dxa"/>
              <w:end w:w="100" w:type="dxa"/>
            </w:tcMar>
          </w:tcPr>
          <w:p>
            <w:r>
              <w:rPr>
                <w:b/>
                <w:color w:val="FFFFFF"/>
              </w:rPr>
              <w:t>PO</w:t>
            </w:r>
          </w:p>
        </w:tc>
        <w:tc>
          <w:tcPr>
            <w:tcW w:type="dxa" w:w="2438"/>
            <w:shd w:fill="1F4E78"/>
            <w:tcMar>
              <w:top w:w="100" w:type="dxa"/>
              <w:start w:w="100" w:type="dxa"/>
              <w:bottom w:w="100" w:type="dxa"/>
              <w:end w:w="100" w:type="dxa"/>
            </w:tcMar>
          </w:tcPr>
          <w:p>
            <w:r>
              <w:rPr>
                <w:b/>
                <w:color w:val="FFFFFF"/>
              </w:rPr>
              <w:t>Обязательство</w:t>
            </w:r>
          </w:p>
        </w:tc>
        <w:tc>
          <w:tcPr>
            <w:tcW w:type="dxa" w:w="2438"/>
            <w:shd w:fill="1F4E78"/>
            <w:tcMar>
              <w:top w:w="100" w:type="dxa"/>
              <w:start w:w="100" w:type="dxa"/>
              <w:bottom w:w="100" w:type="dxa"/>
              <w:end w:w="100" w:type="dxa"/>
            </w:tcMar>
          </w:tcPr>
          <w:p>
            <w:r>
              <w:rPr>
                <w:b/>
                <w:color w:val="FFFFFF"/>
              </w:rPr>
              <w:t>Статус</w:t>
            </w:r>
          </w:p>
        </w:tc>
        <w:tc>
          <w:tcPr>
            <w:tcW w:type="dxa" w:w="2438"/>
            <w:shd w:fill="1F4E78"/>
            <w:tcMar>
              <w:top w:w="100" w:type="dxa"/>
              <w:start w:w="100" w:type="dxa"/>
              <w:bottom w:w="100" w:type="dxa"/>
              <w:end w:w="100" w:type="dxa"/>
            </w:tcMar>
          </w:tcPr>
          <w:p>
            <w:r>
              <w:rPr>
                <w:b/>
                <w:color w:val="FFFFFF"/>
              </w:rPr>
              <w:t>Следующее действие</w:t>
            </w:r>
          </w:p>
        </w:tc>
      </w:tr>
      <w:tr>
        <w:tc>
          <w:tcPr>
            <w:tcW w:type="dxa" w:w="2438"/>
            <w:tcMar>
              <w:top w:w="80" w:type="dxa"/>
              <w:start w:w="90" w:type="dxa"/>
              <w:bottom w:w="80" w:type="dxa"/>
              <w:end w:w="90" w:type="dxa"/>
            </w:tcMar>
            <w:vAlign w:val="center"/>
          </w:tcPr>
          <w:p>
            <w:pPr>
              <w:jc w:val="center"/>
            </w:pPr>
            <w:r>
              <w:t>T2-PO-197</w:t>
            </w:r>
          </w:p>
        </w:tc>
        <w:tc>
          <w:tcPr>
            <w:tcW w:type="dxa" w:w="2438"/>
            <w:tcMar>
              <w:top w:w="80" w:type="dxa"/>
              <w:start w:w="90" w:type="dxa"/>
              <w:bottom w:w="80" w:type="dxa"/>
              <w:end w:w="90" w:type="dxa"/>
            </w:tcMar>
            <w:vAlign w:val="center"/>
          </w:tcPr>
          <w:p>
            <w:r>
              <w:t>Построить конечную допустимую стратификацию moduli carrier</w:t>
            </w:r>
          </w:p>
        </w:tc>
        <w:tc>
          <w:tcPr>
            <w:tcW w:type="dxa" w:w="2438"/>
            <w:tcMar>
              <w:top w:w="80" w:type="dxa"/>
              <w:start w:w="90" w:type="dxa"/>
              <w:bottom w:w="80" w:type="dxa"/>
              <w:end w:w="90" w:type="dxa"/>
            </w:tcMar>
            <w:vAlign w:val="center"/>
          </w:tcPr>
          <w:p>
            <w:pPr>
              <w:jc w:val="center"/>
            </w:pPr>
            <w:r>
              <w:t>OPEN</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T2-PO-198</w:t>
            </w:r>
          </w:p>
        </w:tc>
        <w:tc>
          <w:tcPr>
            <w:tcW w:type="dxa" w:w="2438"/>
            <w:tcMar>
              <w:top w:w="80" w:type="dxa"/>
              <w:start w:w="90" w:type="dxa"/>
              <w:bottom w:w="80" w:type="dxa"/>
              <w:end w:w="90" w:type="dxa"/>
            </w:tcMar>
            <w:vAlign w:val="center"/>
          </w:tcPr>
          <w:p>
            <w:r>
              <w:t>Проверить frontier condition</w:t>
            </w:r>
          </w:p>
        </w:tc>
        <w:tc>
          <w:tcPr>
            <w:tcW w:type="dxa" w:w="2438"/>
            <w:tcMar>
              <w:top w:w="80" w:type="dxa"/>
              <w:start w:w="90" w:type="dxa"/>
              <w:bottom w:w="80" w:type="dxa"/>
              <w:end w:w="90" w:type="dxa"/>
            </w:tcMar>
            <w:vAlign w:val="center"/>
          </w:tcPr>
          <w:p>
            <w:pPr>
              <w:jc w:val="center"/>
            </w:pPr>
            <w:r>
              <w:t>OPEN</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T2-PO-199</w:t>
            </w:r>
          </w:p>
        </w:tc>
        <w:tc>
          <w:tcPr>
            <w:tcW w:type="dxa" w:w="2438"/>
            <w:tcMar>
              <w:top w:w="80" w:type="dxa"/>
              <w:start w:w="90" w:type="dxa"/>
              <w:bottom w:w="80" w:type="dxa"/>
              <w:end w:w="90" w:type="dxa"/>
            </w:tcMar>
            <w:vAlign w:val="center"/>
          </w:tcPr>
          <w:p>
            <w:r>
              <w:t>Доказать Whitney (a)</w:t>
            </w:r>
          </w:p>
        </w:tc>
        <w:tc>
          <w:tcPr>
            <w:tcW w:type="dxa" w:w="2438"/>
            <w:tcMar>
              <w:top w:w="80" w:type="dxa"/>
              <w:start w:w="90" w:type="dxa"/>
              <w:bottom w:w="80" w:type="dxa"/>
              <w:end w:w="90" w:type="dxa"/>
            </w:tcMar>
            <w:vAlign w:val="center"/>
          </w:tcPr>
          <w:p>
            <w:pPr>
              <w:jc w:val="center"/>
            </w:pPr>
            <w:r>
              <w:t>OPEN</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T2-PO-200</w:t>
            </w:r>
          </w:p>
        </w:tc>
        <w:tc>
          <w:tcPr>
            <w:tcW w:type="dxa" w:w="2438"/>
            <w:tcMar>
              <w:top w:w="80" w:type="dxa"/>
              <w:start w:w="90" w:type="dxa"/>
              <w:bottom w:w="80" w:type="dxa"/>
              <w:end w:w="90" w:type="dxa"/>
            </w:tcMar>
            <w:vAlign w:val="center"/>
          </w:tcPr>
          <w:p>
            <w:r>
              <w:t>Доказать Whitney (b) либо заменяющий control package</w:t>
            </w:r>
          </w:p>
        </w:tc>
        <w:tc>
          <w:tcPr>
            <w:tcW w:type="dxa" w:w="2438"/>
            <w:tcMar>
              <w:top w:w="80" w:type="dxa"/>
              <w:start w:w="90" w:type="dxa"/>
              <w:bottom w:w="80" w:type="dxa"/>
              <w:end w:w="90" w:type="dxa"/>
            </w:tcMar>
            <w:vAlign w:val="center"/>
          </w:tcPr>
          <w:p>
            <w:pPr>
              <w:jc w:val="center"/>
            </w:pPr>
            <w:r>
              <w:t>OPEN</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T2-PO-201</w:t>
            </w:r>
          </w:p>
        </w:tc>
        <w:tc>
          <w:tcPr>
            <w:tcW w:type="dxa" w:w="2438"/>
            <w:tcMar>
              <w:top w:w="80" w:type="dxa"/>
              <w:start w:w="90" w:type="dxa"/>
              <w:bottom w:w="80" w:type="dxa"/>
              <w:end w:w="90" w:type="dxa"/>
            </w:tcMar>
            <w:vAlign w:val="center"/>
          </w:tcPr>
          <w:p>
            <w:r>
              <w:t>Построить StratTriv вне discriminant</w:t>
            </w:r>
          </w:p>
        </w:tc>
        <w:tc>
          <w:tcPr>
            <w:tcW w:type="dxa" w:w="2438"/>
            <w:tcMar>
              <w:top w:w="80" w:type="dxa"/>
              <w:start w:w="90" w:type="dxa"/>
              <w:bottom w:w="80" w:type="dxa"/>
              <w:end w:w="90" w:type="dxa"/>
            </w:tcMar>
            <w:vAlign w:val="center"/>
          </w:tcPr>
          <w:p>
            <w:pPr>
              <w:jc w:val="center"/>
            </w:pPr>
            <w:r>
              <w:t>COND</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T2-PO-202</w:t>
            </w:r>
          </w:p>
        </w:tc>
        <w:tc>
          <w:tcPr>
            <w:tcW w:type="dxa" w:w="2438"/>
            <w:tcMar>
              <w:top w:w="80" w:type="dxa"/>
              <w:start w:w="90" w:type="dxa"/>
              <w:bottom w:w="80" w:type="dxa"/>
              <w:end w:w="90" w:type="dxa"/>
            </w:tcMar>
            <w:vAlign w:val="center"/>
          </w:tcPr>
          <w:p>
            <w:r>
              <w:t>Определить wall equations и coorientation</w:t>
            </w:r>
          </w:p>
        </w:tc>
        <w:tc>
          <w:tcPr>
            <w:tcW w:type="dxa" w:w="2438"/>
            <w:tcMar>
              <w:top w:w="80" w:type="dxa"/>
              <w:start w:w="90" w:type="dxa"/>
              <w:bottom w:w="80" w:type="dxa"/>
              <w:end w:w="90" w:type="dxa"/>
            </w:tcMar>
            <w:vAlign w:val="center"/>
          </w:tcPr>
          <w:p>
            <w:pPr>
              <w:jc w:val="center"/>
            </w:pPr>
            <w:r>
              <w:t>MODEL</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T2-PO-203</w:t>
            </w:r>
          </w:p>
        </w:tc>
        <w:tc>
          <w:tcPr>
            <w:tcW w:type="dxa" w:w="2438"/>
            <w:tcMar>
              <w:top w:w="80" w:type="dxa"/>
              <w:start w:w="90" w:type="dxa"/>
              <w:bottom w:w="80" w:type="dxa"/>
              <w:end w:w="90" w:type="dxa"/>
            </w:tcMar>
            <w:vAlign w:val="center"/>
          </w:tcPr>
          <w:p>
            <w:r>
              <w:t>Доказать chamber constancy</w:t>
            </w:r>
          </w:p>
        </w:tc>
        <w:tc>
          <w:tcPr>
            <w:tcW w:type="dxa" w:w="2438"/>
            <w:tcMar>
              <w:top w:w="80" w:type="dxa"/>
              <w:start w:w="90" w:type="dxa"/>
              <w:bottom w:w="80" w:type="dxa"/>
              <w:end w:w="90" w:type="dxa"/>
            </w:tcMar>
            <w:vAlign w:val="center"/>
          </w:tcPr>
          <w:p>
            <w:pPr>
              <w:jc w:val="center"/>
            </w:pPr>
            <w:r>
              <w:t>THM при ModTriv</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T2-PO-204</w:t>
            </w:r>
          </w:p>
        </w:tc>
        <w:tc>
          <w:tcPr>
            <w:tcW w:type="dxa" w:w="2438"/>
            <w:tcMar>
              <w:top w:w="80" w:type="dxa"/>
              <w:start w:w="90" w:type="dxa"/>
              <w:bottom w:w="80" w:type="dxa"/>
              <w:end w:w="90" w:type="dxa"/>
            </w:tcMar>
            <w:vAlign w:val="center"/>
          </w:tcPr>
          <w:p>
            <w:r>
              <w:t>Типизировать wall operator</w:t>
            </w:r>
          </w:p>
        </w:tc>
        <w:tc>
          <w:tcPr>
            <w:tcW w:type="dxa" w:w="2438"/>
            <w:tcMar>
              <w:top w:w="80" w:type="dxa"/>
              <w:start w:w="90" w:type="dxa"/>
              <w:bottom w:w="80" w:type="dxa"/>
              <w:end w:w="90" w:type="dxa"/>
            </w:tcMar>
            <w:vAlign w:val="center"/>
          </w:tcPr>
          <w:p>
            <w:pPr>
              <w:jc w:val="center"/>
            </w:pPr>
            <w:r>
              <w:t>OPEN</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T2-PO-205</w:t>
            </w:r>
          </w:p>
        </w:tc>
        <w:tc>
          <w:tcPr>
            <w:tcW w:type="dxa" w:w="2438"/>
            <w:tcMar>
              <w:top w:w="80" w:type="dxa"/>
              <w:start w:w="90" w:type="dxa"/>
              <w:bottom w:w="80" w:type="dxa"/>
              <w:end w:w="90" w:type="dxa"/>
            </w:tcMar>
            <w:vAlign w:val="center"/>
          </w:tcPr>
          <w:p>
            <w:r>
              <w:t>Доказать branch normalization</w:t>
            </w:r>
          </w:p>
        </w:tc>
        <w:tc>
          <w:tcPr>
            <w:tcW w:type="dxa" w:w="2438"/>
            <w:tcMar>
              <w:top w:w="80" w:type="dxa"/>
              <w:start w:w="90" w:type="dxa"/>
              <w:bottom w:w="80" w:type="dxa"/>
              <w:end w:w="90" w:type="dxa"/>
            </w:tcMar>
            <w:vAlign w:val="center"/>
          </w:tcPr>
          <w:p>
            <w:pPr>
              <w:jc w:val="center"/>
            </w:pPr>
            <w:r>
              <w:t>OPEN</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T2-PO-206</w:t>
            </w:r>
          </w:p>
        </w:tc>
        <w:tc>
          <w:tcPr>
            <w:tcW w:type="dxa" w:w="2438"/>
            <w:tcMar>
              <w:top w:w="80" w:type="dxa"/>
              <w:start w:w="90" w:type="dxa"/>
              <w:bottom w:w="80" w:type="dxa"/>
              <w:end w:w="90" w:type="dxa"/>
            </w:tcMar>
            <w:vAlign w:val="center"/>
          </w:tcPr>
          <w:p>
            <w:r>
              <w:t>Сертифицировать multiplicities</w:t>
            </w:r>
          </w:p>
        </w:tc>
        <w:tc>
          <w:tcPr>
            <w:tcW w:type="dxa" w:w="2438"/>
            <w:tcMar>
              <w:top w:w="80" w:type="dxa"/>
              <w:start w:w="90" w:type="dxa"/>
              <w:bottom w:w="80" w:type="dxa"/>
              <w:end w:w="90" w:type="dxa"/>
            </w:tcMar>
            <w:vAlign w:val="center"/>
          </w:tcPr>
          <w:p>
            <w:pPr>
              <w:jc w:val="center"/>
            </w:pPr>
            <w:r>
              <w:t>OPEN</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T2-PO-207</w:t>
            </w:r>
          </w:p>
        </w:tc>
        <w:tc>
          <w:tcPr>
            <w:tcW w:type="dxa" w:w="2438"/>
            <w:tcMar>
              <w:top w:w="80" w:type="dxa"/>
              <w:start w:w="90" w:type="dxa"/>
              <w:bottom w:w="80" w:type="dxa"/>
              <w:end w:w="90" w:type="dxa"/>
            </w:tcMar>
            <w:vAlign w:val="center"/>
          </w:tcPr>
          <w:p>
            <w:r>
              <w:t>Построить ramification locus</w:t>
            </w:r>
          </w:p>
        </w:tc>
        <w:tc>
          <w:tcPr>
            <w:tcW w:type="dxa" w:w="2438"/>
            <w:tcMar>
              <w:top w:w="80" w:type="dxa"/>
              <w:start w:w="90" w:type="dxa"/>
              <w:bottom w:w="80" w:type="dxa"/>
              <w:end w:w="90" w:type="dxa"/>
            </w:tcMar>
            <w:vAlign w:val="center"/>
          </w:tcPr>
          <w:p>
            <w:pPr>
              <w:jc w:val="center"/>
            </w:pPr>
            <w:r>
              <w:t>OPEN</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T2-PO-208</w:t>
            </w:r>
          </w:p>
        </w:tc>
        <w:tc>
          <w:tcPr>
            <w:tcW w:type="dxa" w:w="2438"/>
            <w:tcMar>
              <w:top w:w="80" w:type="dxa"/>
              <w:start w:w="90" w:type="dxa"/>
              <w:bottom w:w="80" w:type="dxa"/>
              <w:end w:w="90" w:type="dxa"/>
            </w:tcMar>
            <w:vAlign w:val="center"/>
          </w:tcPr>
          <w:p>
            <w:r>
              <w:t>Вычислить branch monodromy</w:t>
            </w:r>
          </w:p>
        </w:tc>
        <w:tc>
          <w:tcPr>
            <w:tcW w:type="dxa" w:w="2438"/>
            <w:tcMar>
              <w:top w:w="80" w:type="dxa"/>
              <w:start w:w="90" w:type="dxa"/>
              <w:bottom w:w="80" w:type="dxa"/>
              <w:end w:w="90" w:type="dxa"/>
            </w:tcMar>
            <w:vAlign w:val="center"/>
          </w:tcPr>
          <w:p>
            <w:pPr>
              <w:jc w:val="center"/>
            </w:pPr>
            <w:r>
              <w:t>COMP</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T2-PO-209</w:t>
            </w:r>
          </w:p>
        </w:tc>
        <w:tc>
          <w:tcPr>
            <w:tcW w:type="dxa" w:w="2438"/>
            <w:tcMar>
              <w:top w:w="80" w:type="dxa"/>
              <w:start w:w="90" w:type="dxa"/>
              <w:bottom w:w="80" w:type="dxa"/>
              <w:end w:w="90" w:type="dxa"/>
            </w:tcMar>
            <w:vAlign w:val="center"/>
          </w:tcPr>
          <w:p>
            <w:r>
              <w:t>Доказать homotopy invariance продолжения</w:t>
            </w:r>
          </w:p>
        </w:tc>
        <w:tc>
          <w:tcPr>
            <w:tcW w:type="dxa" w:w="2438"/>
            <w:tcMar>
              <w:top w:w="80" w:type="dxa"/>
              <w:start w:w="90" w:type="dxa"/>
              <w:bottom w:w="80" w:type="dxa"/>
              <w:end w:w="90" w:type="dxa"/>
            </w:tcMar>
            <w:vAlign w:val="center"/>
          </w:tcPr>
          <w:p>
            <w:pPr>
              <w:jc w:val="center"/>
            </w:pPr>
            <w:r>
              <w:t>THM при cover</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T2-PO-210</w:t>
            </w:r>
          </w:p>
        </w:tc>
        <w:tc>
          <w:tcPr>
            <w:tcW w:type="dxa" w:w="2438"/>
            <w:tcMar>
              <w:top w:w="80" w:type="dxa"/>
              <w:start w:w="90" w:type="dxa"/>
              <w:bottom w:w="80" w:type="dxa"/>
              <w:end w:w="90" w:type="dxa"/>
            </w:tcMar>
            <w:vAlign w:val="center"/>
          </w:tcPr>
          <w:p>
            <w:r>
              <w:t>Проверить no-global-label criterion</w:t>
            </w:r>
          </w:p>
        </w:tc>
        <w:tc>
          <w:tcPr>
            <w:tcW w:type="dxa" w:w="2438"/>
            <w:tcMar>
              <w:top w:w="80" w:type="dxa"/>
              <w:start w:w="90" w:type="dxa"/>
              <w:bottom w:w="80" w:type="dxa"/>
              <w:end w:w="90" w:type="dxa"/>
            </w:tcMar>
            <w:vAlign w:val="center"/>
          </w:tcPr>
          <w:p>
            <w:pPr>
              <w:jc w:val="center"/>
            </w:pPr>
            <w:r>
              <w:t>THM</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T2-PO-211</w:t>
            </w:r>
          </w:p>
        </w:tc>
        <w:tc>
          <w:tcPr>
            <w:tcW w:type="dxa" w:w="2438"/>
            <w:tcMar>
              <w:top w:w="80" w:type="dxa"/>
              <w:start w:w="90" w:type="dxa"/>
              <w:bottom w:w="80" w:type="dxa"/>
              <w:end w:w="90" w:type="dxa"/>
            </w:tcMar>
            <w:vAlign w:val="center"/>
          </w:tcPr>
          <w:p>
            <w:r>
              <w:t>Различить wall и bifurcation loci</w:t>
            </w:r>
          </w:p>
        </w:tc>
        <w:tc>
          <w:tcPr>
            <w:tcW w:type="dxa" w:w="2438"/>
            <w:tcMar>
              <w:top w:w="80" w:type="dxa"/>
              <w:start w:w="90" w:type="dxa"/>
              <w:bottom w:w="80" w:type="dxa"/>
              <w:end w:w="90" w:type="dxa"/>
            </w:tcMar>
            <w:vAlign w:val="center"/>
          </w:tcPr>
          <w:p>
            <w:pPr>
              <w:jc w:val="center"/>
            </w:pPr>
            <w:r>
              <w:t>THM/EX</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T2-PO-212</w:t>
            </w:r>
          </w:p>
        </w:tc>
        <w:tc>
          <w:tcPr>
            <w:tcW w:type="dxa" w:w="2438"/>
            <w:tcMar>
              <w:top w:w="80" w:type="dxa"/>
              <w:start w:w="90" w:type="dxa"/>
              <w:bottom w:w="80" w:type="dxa"/>
              <w:end w:w="90" w:type="dxa"/>
            </w:tcMar>
            <w:vAlign w:val="center"/>
          </w:tcPr>
          <w:p>
            <w:r>
              <w:t>Доказать reduced bifurcation normal form</w:t>
            </w:r>
          </w:p>
        </w:tc>
        <w:tc>
          <w:tcPr>
            <w:tcW w:type="dxa" w:w="2438"/>
            <w:tcMar>
              <w:top w:w="80" w:type="dxa"/>
              <w:start w:w="90" w:type="dxa"/>
              <w:bottom w:w="80" w:type="dxa"/>
              <w:end w:w="90" w:type="dxa"/>
            </w:tcMar>
            <w:vAlign w:val="center"/>
          </w:tcPr>
          <w:p>
            <w:pPr>
              <w:jc w:val="center"/>
            </w:pPr>
            <w:r>
              <w:t>MODEL</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T2-PO-213</w:t>
            </w:r>
          </w:p>
        </w:tc>
        <w:tc>
          <w:tcPr>
            <w:tcW w:type="dxa" w:w="2438"/>
            <w:tcMar>
              <w:top w:w="80" w:type="dxa"/>
              <w:start w:w="90" w:type="dxa"/>
              <w:bottom w:w="80" w:type="dxa"/>
              <w:end w:w="90" w:type="dxa"/>
            </w:tcMar>
            <w:vAlign w:val="center"/>
          </w:tcPr>
          <w:p>
            <w:r>
              <w:t>Проверить path-independence либо braid relations</w:t>
            </w:r>
          </w:p>
        </w:tc>
        <w:tc>
          <w:tcPr>
            <w:tcW w:type="dxa" w:w="2438"/>
            <w:tcMar>
              <w:top w:w="80" w:type="dxa"/>
              <w:start w:w="90" w:type="dxa"/>
              <w:bottom w:w="80" w:type="dxa"/>
              <w:end w:w="90" w:type="dxa"/>
            </w:tcMar>
            <w:vAlign w:val="center"/>
          </w:tcPr>
          <w:p>
            <w:pPr>
              <w:jc w:val="center"/>
            </w:pPr>
            <w:r>
              <w:t>OPEN</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T2-PO-214</w:t>
            </w:r>
          </w:p>
        </w:tc>
        <w:tc>
          <w:tcPr>
            <w:tcW w:type="dxa" w:w="2438"/>
            <w:tcMar>
              <w:top w:w="80" w:type="dxa"/>
              <w:start w:w="90" w:type="dxa"/>
              <w:bottom w:w="80" w:type="dxa"/>
              <w:end w:w="90" w:type="dxa"/>
            </w:tcMar>
            <w:vAlign w:val="center"/>
          </w:tcPr>
          <w:p>
            <w:r>
              <w:t>Построить transport для переходного инварианта</w:t>
            </w:r>
          </w:p>
        </w:tc>
        <w:tc>
          <w:tcPr>
            <w:tcW w:type="dxa" w:w="2438"/>
            <w:tcMar>
              <w:top w:w="80" w:type="dxa"/>
              <w:start w:w="90" w:type="dxa"/>
              <w:bottom w:w="80" w:type="dxa"/>
              <w:end w:w="90" w:type="dxa"/>
            </w:tcMar>
            <w:vAlign w:val="center"/>
          </w:tcPr>
          <w:p>
            <w:pPr>
              <w:jc w:val="center"/>
            </w:pPr>
            <w:r>
              <w:t>OPEN</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T2-PO-215</w:t>
            </w:r>
          </w:p>
        </w:tc>
        <w:tc>
          <w:tcPr>
            <w:tcW w:type="dxa" w:w="2438"/>
            <w:tcMar>
              <w:top w:w="80" w:type="dxa"/>
              <w:start w:w="90" w:type="dxa"/>
              <w:bottom w:w="80" w:type="dxa"/>
              <w:end w:w="90" w:type="dxa"/>
            </w:tcMar>
            <w:vAlign w:val="center"/>
          </w:tcPr>
          <w:p>
            <w:r>
              <w:t>Сертифицировать уровень устойчивости S0-S3</w:t>
            </w:r>
          </w:p>
        </w:tc>
        <w:tc>
          <w:tcPr>
            <w:tcW w:type="dxa" w:w="2438"/>
            <w:tcMar>
              <w:top w:w="80" w:type="dxa"/>
              <w:start w:w="90" w:type="dxa"/>
              <w:bottom w:w="80" w:type="dxa"/>
              <w:end w:w="90" w:type="dxa"/>
            </w:tcMar>
            <w:vAlign w:val="center"/>
          </w:tcPr>
          <w:p>
            <w:pPr>
              <w:jc w:val="center"/>
            </w:pPr>
            <w:r>
              <w:t>OPEN</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T2-PO-216</w:t>
            </w:r>
          </w:p>
        </w:tc>
        <w:tc>
          <w:tcPr>
            <w:tcW w:type="dxa" w:w="2438"/>
            <w:tcMar>
              <w:top w:w="80" w:type="dxa"/>
              <w:start w:w="90" w:type="dxa"/>
              <w:bottom w:w="80" w:type="dxa"/>
              <w:end w:w="90" w:type="dxa"/>
            </w:tcMar>
            <w:vAlign w:val="center"/>
          </w:tcPr>
          <w:p>
            <w:r>
              <w:t>Согласовать λ с branch transport</w:t>
            </w:r>
          </w:p>
        </w:tc>
        <w:tc>
          <w:tcPr>
            <w:tcW w:type="dxa" w:w="2438"/>
            <w:tcMar>
              <w:top w:w="80" w:type="dxa"/>
              <w:start w:w="90" w:type="dxa"/>
              <w:bottom w:w="80" w:type="dxa"/>
              <w:end w:w="90" w:type="dxa"/>
            </w:tcMar>
            <w:vAlign w:val="center"/>
          </w:tcPr>
          <w:p>
            <w:pPr>
              <w:jc w:val="center"/>
            </w:pPr>
            <w:r>
              <w:t>OPEN</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T2-PO-217</w:t>
            </w:r>
          </w:p>
        </w:tc>
        <w:tc>
          <w:tcPr>
            <w:tcW w:type="dxa" w:w="2438"/>
            <w:tcMar>
              <w:top w:w="80" w:type="dxa"/>
              <w:start w:w="90" w:type="dxa"/>
              <w:bottom w:w="80" w:type="dxa"/>
              <w:end w:w="90" w:type="dxa"/>
            </w:tcMar>
            <w:vAlign w:val="center"/>
          </w:tcPr>
          <w:p>
            <w:r>
              <w:t>Согласовать Δ_WB с Δ_mod</w:t>
            </w:r>
          </w:p>
        </w:tc>
        <w:tc>
          <w:tcPr>
            <w:tcW w:type="dxa" w:w="2438"/>
            <w:tcMar>
              <w:top w:w="80" w:type="dxa"/>
              <w:start w:w="90" w:type="dxa"/>
              <w:bottom w:w="80" w:type="dxa"/>
              <w:end w:w="90" w:type="dxa"/>
            </w:tcMar>
            <w:vAlign w:val="center"/>
          </w:tcPr>
          <w:p>
            <w:pPr>
              <w:jc w:val="center"/>
            </w:pPr>
            <w:r>
              <w:t>COND</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T2-PO-218</w:t>
            </w:r>
          </w:p>
        </w:tc>
        <w:tc>
          <w:tcPr>
            <w:tcW w:type="dxa" w:w="2438"/>
            <w:tcMar>
              <w:top w:w="80" w:type="dxa"/>
              <w:start w:w="90" w:type="dxa"/>
              <w:bottom w:w="80" w:type="dxa"/>
              <w:end w:w="90" w:type="dxa"/>
            </w:tcMar>
            <w:vAlign w:val="center"/>
          </w:tcPr>
          <w:p>
            <w:r>
              <w:t>Интервально сертифицировать расстояние до wall</w:t>
            </w:r>
          </w:p>
        </w:tc>
        <w:tc>
          <w:tcPr>
            <w:tcW w:type="dxa" w:w="2438"/>
            <w:tcMar>
              <w:top w:w="80" w:type="dxa"/>
              <w:start w:w="90" w:type="dxa"/>
              <w:bottom w:w="80" w:type="dxa"/>
              <w:end w:w="90" w:type="dxa"/>
            </w:tcMar>
            <w:vAlign w:val="center"/>
          </w:tcPr>
          <w:p>
            <w:pPr>
              <w:jc w:val="center"/>
            </w:pPr>
            <w:r>
              <w:t>OPEN</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T2-PO-219</w:t>
            </w:r>
          </w:p>
        </w:tc>
        <w:tc>
          <w:tcPr>
            <w:tcW w:type="dxa" w:w="2438"/>
            <w:tcMar>
              <w:top w:w="80" w:type="dxa"/>
              <w:start w:w="90" w:type="dxa"/>
              <w:bottom w:w="80" w:type="dxa"/>
              <w:end w:w="90" w:type="dxa"/>
            </w:tcMar>
            <w:vAlign w:val="center"/>
          </w:tcPr>
          <w:p>
            <w:r>
              <w:t>Согласовать wall layer с Π_E и β_Ass</w:t>
            </w:r>
          </w:p>
        </w:tc>
        <w:tc>
          <w:tcPr>
            <w:tcW w:type="dxa" w:w="2438"/>
            <w:tcMar>
              <w:top w:w="80" w:type="dxa"/>
              <w:start w:w="90" w:type="dxa"/>
              <w:bottom w:w="80" w:type="dxa"/>
              <w:end w:w="90" w:type="dxa"/>
            </w:tcMar>
            <w:vAlign w:val="center"/>
          </w:tcPr>
          <w:p>
            <w:pPr>
              <w:jc w:val="center"/>
            </w:pPr>
            <w:r>
              <w:t>OPEN</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T2-PO-220</w:t>
            </w:r>
          </w:p>
        </w:tc>
        <w:tc>
          <w:tcPr>
            <w:tcW w:type="dxa" w:w="2438"/>
            <w:tcMar>
              <w:top w:w="80" w:type="dxa"/>
              <w:start w:w="90" w:type="dxa"/>
              <w:bottom w:w="80" w:type="dxa"/>
              <w:end w:w="90" w:type="dxa"/>
            </w:tcMar>
            <w:vAlign w:val="center"/>
          </w:tcPr>
          <w:p>
            <w:r>
              <w:t>Построить независимый domain wall-run</w:t>
            </w:r>
          </w:p>
        </w:tc>
        <w:tc>
          <w:tcPr>
            <w:tcW w:type="dxa" w:w="2438"/>
            <w:tcMar>
              <w:top w:w="80" w:type="dxa"/>
              <w:start w:w="90" w:type="dxa"/>
              <w:bottom w:w="80" w:type="dxa"/>
              <w:end w:w="90" w:type="dxa"/>
            </w:tcMar>
            <w:vAlign w:val="center"/>
          </w:tcPr>
          <w:p>
            <w:pPr>
              <w:jc w:val="center"/>
            </w:pPr>
            <w:r>
              <w:t>OPEN</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T2-PO-221</w:t>
            </w:r>
          </w:p>
        </w:tc>
        <w:tc>
          <w:tcPr>
            <w:tcW w:type="dxa" w:w="2438"/>
            <w:tcMar>
              <w:top w:w="80" w:type="dxa"/>
              <w:start w:w="90" w:type="dxa"/>
              <w:bottom w:w="80" w:type="dxa"/>
              <w:end w:w="90" w:type="dxa"/>
            </w:tcMar>
            <w:vAlign w:val="center"/>
          </w:tcPr>
          <w:p>
            <w:r>
              <w:t>Проверить физическую редукцию отдельно</w:t>
            </w:r>
          </w:p>
        </w:tc>
        <w:tc>
          <w:tcPr>
            <w:tcW w:type="dxa" w:w="2438"/>
            <w:tcMar>
              <w:top w:w="80" w:type="dxa"/>
              <w:start w:w="90" w:type="dxa"/>
              <w:bottom w:w="80" w:type="dxa"/>
              <w:end w:w="90" w:type="dxa"/>
            </w:tcMar>
            <w:vAlign w:val="center"/>
          </w:tcPr>
          <w:p>
            <w:pPr>
              <w:jc w:val="center"/>
            </w:pPr>
            <w:r>
              <w:t>PHY-HYP</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T2-PO-222</w:t>
            </w:r>
          </w:p>
        </w:tc>
        <w:tc>
          <w:tcPr>
            <w:tcW w:type="dxa" w:w="2438"/>
            <w:tcMar>
              <w:top w:w="80" w:type="dxa"/>
              <w:start w:w="90" w:type="dxa"/>
              <w:bottom w:w="80" w:type="dxa"/>
              <w:end w:w="90" w:type="dxa"/>
            </w:tcMar>
            <w:vAlign w:val="center"/>
          </w:tcPr>
          <w:p>
            <w:r>
              <w:t>Заморозить WC-MON certificate и хеши</w:t>
            </w:r>
          </w:p>
        </w:tc>
        <w:tc>
          <w:tcPr>
            <w:tcW w:type="dxa" w:w="2438"/>
            <w:tcMar>
              <w:top w:w="80" w:type="dxa"/>
              <w:start w:w="90" w:type="dxa"/>
              <w:bottom w:w="80" w:type="dxa"/>
              <w:end w:w="90" w:type="dxa"/>
            </w:tcMar>
            <w:vAlign w:val="center"/>
          </w:tcPr>
          <w:p>
            <w:pPr>
              <w:jc w:val="center"/>
            </w:pPr>
            <w:r>
              <w:t>COMP</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bl>
    <w:p>
      <w:pPr>
        <w:pStyle w:val="Heading1"/>
        <w:keepNext/>
      </w:pPr>
      <w:r>
        <w:t>193. Prior art, граница авторского вклада и контрольная точка</w:t>
      </w:r>
    </w:p>
    <w:p>
      <w:pPr/>
      <w:r>
        <w:t>Классический prior art включает стратификации Уитни и условия (a)/(b); леммы изотопии Тома и стратифицированную локальную тривиальность; дискриминанты и монодромию особенностей; variation of GIT и wall-crossing; bifurcation theory и Lyapunov-Schmidt reduction; локальные системы и продолжение ветвей. Эти конструкции не заявляются как новые.</w:t>
      </w:r>
    </w:p>
    <w:p>
      <w:pPr/>
      <w:r>
        <w:t>Авторский слой Курпишева в главе состоит в их типизированном соединении с NAPG/KLT-RBD: wall и bifurcation loci включаются в совокупный blocker-safe горизонт; ветви получают Reper/D/Dom ledger; монодромия отделяется от голономии и физической динамики; отрицательный прогноз формулируется через отсутствие пересечения сертифицированного горизонта; положительный выход ограничивается статусом candidate.</w:t>
      </w:r>
    </w:p>
    <w:p>
      <w:pPr/>
      <w:r>
        <w:t>[V0.14-1] Whitney, H. Tangents to an Analytic Variety. Annals of Mathematics 81 (1965), 496-549.</w:t>
      </w:r>
    </w:p>
    <w:p>
      <w:pPr/>
      <w:r>
        <w:t>[V0.14-2] Thom, R. Ensembles et morphismes stratifiés. Bulletin of the AMS 75 (1969), 240-284.</w:t>
      </w:r>
    </w:p>
    <w:p>
      <w:pPr/>
      <w:r>
        <w:t>[V0.14-3] Mather, J. N. Notes on Topological Stability. Harvard notes (1970); published survey editions.</w:t>
      </w:r>
    </w:p>
    <w:p>
      <w:pPr/>
      <w:r>
        <w:t>[V0.14-4] Milnor, J. Singular Points of Complex Hypersurfaces. Annals of Mathematics Studies 61, Princeton, 1968.</w:t>
      </w:r>
    </w:p>
    <w:p>
      <w:pPr/>
      <w:r>
        <w:t>[V0.14-5] Goresky, M.; MacPherson, R. Stratified Morse Theory. Springer, 1988.</w:t>
      </w:r>
    </w:p>
    <w:p>
      <w:pPr/>
      <w:r>
        <w:t>[V0.14-6] Dolgachev, I.; Hu, Y. Variation of Geometric Invariant Theory Quotients. IHES Publ. Math. 87 (1998), 5-56.</w:t>
      </w:r>
    </w:p>
    <w:p>
      <w:pPr/>
      <w:r>
        <w:t>[V0.14-7] Thaddeus, M. Geometric Invariant Theory and Flips. JAMS 9 (1996), 691-723.</w:t>
      </w:r>
    </w:p>
    <w:p>
      <w:pPr/>
      <w:r>
        <w:t>[V0.14-8] Golubitsky, M.; Schaeffer, D. Singularities and Groups in Bifurcation Theory. Springer, 1985.</w:t>
      </w:r>
    </w:p>
    <w:p>
      <w:pPr/>
      <w:r>
        <w:t>[V0.14-9] Kurpishev, I. B. Том I v197 RU; Том II T2-RP-v0.1-v0.13.</w:t>
      </w:r>
    </w:p>
    <w:p>
      <w:pPr>
        <w:pStyle w:val="Quote"/>
        <w:jc w:val="center"/>
      </w:pPr>
      <w:r>
        <w:t>truth_layer_promotion=0; checkpoint=T2-RP-v0.14; next=T2-RP-v0.15.          (17.20)</w:t>
      </w:r>
    </w:p>
    <w:p>
      <w:pPr>
        <w:pStyle w:val="Lead"/>
      </w:pPr>
      <w:r>
        <w:t>Глава 17 построила стратифицированно-ветвящуюся машину предсказательного метода: chamber constancy, wall certificates, bifurcation loci, branch normalization, monodromy и transport stability сведены в единый blocker-safe контур. Главный доказательный результат остаётся отрицательным: вне сертифицированного горизонта переход данного типа невозможен внутри модели.</w:t>
      </w:r>
    </w:p>
    <w:p>
      <w:pPr>
        <w:pStyle w:val="Small"/>
      </w:pPr>
      <w:r>
        <w:t>Следующая сборка tom2_v0_15 развивает главу 18: derived/stacky global moduli, gluing local Kuranishi charts, descent of obstruction theories, virtual tangent/obstruction complexes и условия существования глобального предсказательного носителя.</w:t>
      </w:r>
    </w:p>
    <w:p>
      <w:pPr>
        <w:pStyle w:val="Small"/>
      </w:pPr>
      <w:r>
        <w:t>checkpoint=T2-RP-v0.14; source=T2-RP-v0.13; truth_layer_promotion=0; next=T2-RP-v0.15.</w:t>
      </w:r>
    </w:p>
    <w:p>
      <w:r>
        <w:br w:type="page"/>
      </w:r>
    </w:p>
    <w:p>
      <w:pPr>
        <w:pStyle w:val="Heading1"/>
        <w:keepNext/>
      </w:pPr>
      <w:r>
        <w:t>Глава 18. Глобальные derived/stacky-пространства модулей и предсказательный носитель</w:t>
      </w:r>
    </w:p>
    <w:tbl>
      <w:tblPr>
        <w:tblStyle w:val="TableGrid"/>
        <w:tblW w:type="auto" w:w="0"/>
        <w:jc w:val="center"/>
        <w:tblLook w:firstColumn="1" w:firstRow="1" w:lastColumn="0" w:lastRow="0" w:noHBand="0" w:noVBand="1" w:val="04A0"/>
      </w:tblPr>
      <w:tblGrid>
        <w:gridCol w:w="4876"/>
        <w:gridCol w:w="4876"/>
      </w:tblGrid>
      <w:tr>
        <w:tc>
          <w:tcPr>
            <w:tcW w:type="dxa" w:w="4876"/>
            <w:vAlign w:val="center"/>
            <w:shd w:fill="173D67"/>
            <w:tcMar>
              <w:top w:w="120" w:type="dxa"/>
              <w:start w:w="140" w:type="dxa"/>
              <w:bottom w:w="120" w:type="dxa"/>
              <w:end w:w="140" w:type="dxa"/>
            </w:tcMar>
          </w:tcPr>
          <w:p>
            <w:pPr>
              <w:spacing w:after="0"/>
              <w:jc w:val="center"/>
            </w:pPr>
            <w:r>
              <w:rPr>
                <w:b/>
                <w:color w:val="FFFFFF"/>
              </w:rPr>
            </w:r>
            <w:r>
              <w:rPr>
                <w:b/>
                <w:color w:val="FFFFFF"/>
              </w:rPr>
              <w:t>ОНТОЛОГИЯ</w:t>
            </w:r>
          </w:p>
        </w:tc>
        <w:tc>
          <w:tcPr>
            <w:tcW w:type="dxa" w:w="4876"/>
            <w:vAlign w:val="center"/>
            <w:shd w:fill="F4F7FA"/>
            <w:tcMar>
              <w:top w:w="120" w:type="dxa"/>
              <w:start w:w="140" w:type="dxa"/>
              <w:bottom w:w="120" w:type="dxa"/>
              <w:end w:w="140" w:type="dxa"/>
            </w:tcMar>
          </w:tcPr>
          <w:p>
            <w:pPr>
              <w:spacing w:after="0"/>
            </w:pPr>
            <w:r/>
            <w:r>
              <w:t>Глобальный объект модулей в общем случае является не множеством решений, а группоидом, стеком или derived-объектом, сохраняющим автоморфизмы, несовершенную трансверсальность и направления препятствий.</w:t>
            </w:r>
          </w:p>
        </w:tc>
      </w:tr>
      <w:tr>
        <w:tc>
          <w:tcPr>
            <w:tcW w:type="dxa" w:w="4876"/>
            <w:vAlign w:val="center"/>
            <w:shd w:fill="2F65A0"/>
            <w:tcMar>
              <w:top w:w="120" w:type="dxa"/>
              <w:start w:w="140" w:type="dxa"/>
              <w:bottom w:w="120" w:type="dxa"/>
              <w:end w:w="140" w:type="dxa"/>
            </w:tcMar>
          </w:tcPr>
          <w:p>
            <w:pPr>
              <w:spacing w:after="0"/>
              <w:jc w:val="center"/>
            </w:pPr>
            <w:r>
              <w:rPr>
                <w:b/>
                <w:color w:val="FFFFFF"/>
              </w:rPr>
            </w:r>
            <w:r>
              <w:rPr>
                <w:b/>
                <w:color w:val="FFFFFF"/>
              </w:rPr>
              <w:t>ГНОСЕОЛОГИЯ</w:t>
            </w:r>
          </w:p>
        </w:tc>
        <w:tc>
          <w:tcPr>
            <w:tcW w:type="dxa" w:w="4876"/>
            <w:vAlign w:val="center"/>
            <w:shd w:fill="F4F7FA"/>
            <w:tcMar>
              <w:top w:w="120" w:type="dxa"/>
              <w:start w:w="140" w:type="dxa"/>
              <w:bottom w:w="120" w:type="dxa"/>
              <w:end w:w="140" w:type="dxa"/>
            </w:tcMar>
          </w:tcPr>
          <w:p>
            <w:pPr>
              <w:spacing w:after="0"/>
            </w:pPr>
            <w:r/>
            <w:r>
              <w:t>Локальная карта Кураниши является представлением знания, но не самим глобальным объектом. Достоверность глобального вывода требует склейки, тройной и высшей когерентности, а также независимости от выбранного атласа.</w:t>
            </w:r>
          </w:p>
        </w:tc>
      </w:tr>
      <w:tr>
        <w:tc>
          <w:tcPr>
            <w:tcW w:type="dxa" w:w="4876"/>
            <w:vAlign w:val="center"/>
            <w:shd w:fill="A67217"/>
            <w:tcMar>
              <w:top w:w="120" w:type="dxa"/>
              <w:start w:w="140" w:type="dxa"/>
              <w:bottom w:w="120" w:type="dxa"/>
              <w:end w:w="140" w:type="dxa"/>
            </w:tcMar>
          </w:tcPr>
          <w:p>
            <w:pPr>
              <w:spacing w:after="0"/>
              <w:jc w:val="center"/>
            </w:pPr>
            <w:r>
              <w:rPr>
                <w:b/>
                <w:color w:val="FFFFFF"/>
              </w:rPr>
            </w:r>
            <w:r>
              <w:rPr>
                <w:b/>
                <w:color w:val="FFFFFF"/>
              </w:rPr>
              <w:t>ФЕНОМЕНОЛОГИЯ</w:t>
            </w:r>
          </w:p>
        </w:tc>
        <w:tc>
          <w:tcPr>
            <w:tcW w:type="dxa" w:w="4876"/>
            <w:vAlign w:val="center"/>
            <w:shd w:fill="F4F7FA"/>
            <w:tcMar>
              <w:top w:w="120" w:type="dxa"/>
              <w:start w:w="140" w:type="dxa"/>
              <w:bottom w:w="120" w:type="dxa"/>
              <w:end w:w="140" w:type="dxa"/>
            </w:tcMar>
          </w:tcPr>
          <w:p>
            <w:pPr>
              <w:spacing w:after="0"/>
            </w:pPr>
            <w:r/>
            <w:r>
              <w:t>Наблюдаемая ветвь является локальным проявлением moduli carrier. При обходе дискриминанта её метка может измениться посредством монодромии, хотя сам глобальный stack остаётся тем же.</w:t>
            </w:r>
          </w:p>
        </w:tc>
      </w:tr>
      <w:tr>
        <w:tc>
          <w:tcPr>
            <w:tcW w:type="dxa" w:w="4876"/>
            <w:vAlign w:val="center"/>
            <w:shd w:fill="A43636"/>
            <w:tcMar>
              <w:top w:w="120" w:type="dxa"/>
              <w:start w:w="140" w:type="dxa"/>
              <w:bottom w:w="120" w:type="dxa"/>
              <w:end w:w="140" w:type="dxa"/>
            </w:tcMar>
          </w:tcPr>
          <w:p>
            <w:pPr>
              <w:spacing w:after="0"/>
              <w:jc w:val="center"/>
            </w:pPr>
            <w:r>
              <w:rPr>
                <w:b/>
                <w:color w:val="FFFFFF"/>
              </w:rPr>
            </w:r>
            <w:r>
              <w:rPr>
                <w:b/>
                <w:color w:val="FFFFFF"/>
              </w:rPr>
              <w:t>ГРАНИЦА</w:t>
            </w:r>
          </w:p>
        </w:tc>
        <w:tc>
          <w:tcPr>
            <w:tcW w:type="dxa" w:w="4876"/>
            <w:vAlign w:val="center"/>
            <w:shd w:fill="F4F7FA"/>
            <w:tcMar>
              <w:top w:w="120" w:type="dxa"/>
              <w:start w:w="140" w:type="dxa"/>
              <w:bottom w:w="120" w:type="dxa"/>
              <w:end w:w="140" w:type="dxa"/>
            </w:tcMar>
          </w:tcPr>
          <w:p>
            <w:pPr>
              <w:spacing w:after="0"/>
            </w:pPr>
            <w:r/>
            <w:r>
              <w:t>Derived-структура, perfect obstruction theory и virtual class являются математическими носителями. Они не задают физическое время, вероятность события, причинность или экспериментальное подтверждение.</w:t>
            </w:r>
          </w:p>
        </w:tc>
      </w:tr>
    </w:tbl>
    <w:p>
      <w:pPr>
        <w:pStyle w:val="Heading1"/>
        <w:keepNext/>
      </w:pPr>
      <w:r>
        <w:t>194. Три уровня глобального пространства модулей</w:t>
      </w:r>
    </w:p>
    <w:p>
      <w:pPr/>
      <w:r>
        <w:t>Для одной и той же задачи необходимо различать три уровня. Coarse moduli space |𝔐| хранит классы изоморфизма как точки, но обычно забывает стабилизаторы и высшие морфизмы. Stack 𝔐 сохраняет объекты, изоморфизмы и descent. Derived stack 𝔐ᵈᵉʳ дополнительно сохраняет не transverse-пересечения, cotangent complex и высшие obstruction directions.</w:t>
      </w:r>
    </w:p>
    <w:p>
      <w:pPr>
        <w:pStyle w:val="Quote"/>
        <w:jc w:val="center"/>
      </w:pPr>
      <w:r>
        <w:rPr>
          <w:rFonts w:ascii="Cambria Math" w:hAnsi="Cambria Math"/>
          <w:sz w:val="21"/>
        </w:rPr>
        <w:t>|𝔐|  ←  𝔐  ←  𝔐ᵈᵉʳ.                                                     (18.1)</w:t>
      </w:r>
    </w:p>
    <w:p>
      <w:pPr/>
      <w:r>
        <w:t>Отображения в (18.1) являются забывающими. Восстановление справа налево в общем случае невозможно: одинаковый coarse space может соответствовать различным стабилизаторам и различным derived enhancements.</w:t>
      </w:r>
    </w:p>
    <w:p>
      <w:pPr/>
      <w:r>
        <w:t>Определение 18.1. Глобальным NAPG-moduli object называется stacky/derived-объект 𝔐_N вместе с атласом, виртуальным касательным комплексом и структурами D/Dom, удовлетворяющими условиям разделов 195-205. До их проверки термин «глобальное пространство модулей» используется только как рабочее обозначение.</w:t>
      </w:r>
    </w:p>
    <w:p>
      <w:pPr>
        <w:pStyle w:val="Heading1"/>
        <w:keepNext/>
      </w:pPr>
      <w:r>
        <w:t>195. Локальные карты Кураниши и footprints</w:t>
      </w:r>
    </w:p>
    <w:p>
      <w:pPr/>
      <w:r>
        <w:t>Локальная карта задаётся пятёркой</w:t>
      </w:r>
    </w:p>
    <w:p>
      <w:pPr>
        <w:pStyle w:val="Quote"/>
        <w:jc w:val="center"/>
      </w:pPr>
      <w:r>
        <w:rPr>
          <w:rFonts w:ascii="Cambria Math" w:hAnsi="Cambria Math"/>
          <w:sz w:val="21"/>
        </w:rPr>
        <w:t>𝒦ᵢ=(Uᵢ,Eᵢ,sᵢ,Gᵢ,ψᵢ),                                              (18.2)</w:t>
      </w:r>
    </w:p>
    <w:p>
      <w:pPr/>
      <w:r>
        <w:t>где Uᵢ - гладкое конечномерное пространство или орбифолдная карта; Eᵢ→Uᵢ - obstruction bundle; sᵢ - секция; Gᵢ - конечная или Lie-группа допустимых симметрий; ψᵢ:sᵢ⁻¹(0)/Gᵢ→Fᵢ⊂|𝔐| - homeomorphism на footprint. В NAPG-карте дополнительно фиксируются допустимая частичная операция, структурные данные 𝔊, Reper-слой и Evidence-D.</w:t>
      </w:r>
    </w:p>
    <w:p>
      <w:pPr>
        <w:pStyle w:val="Quote"/>
        <w:jc w:val="center"/>
      </w:pPr>
      <w:r>
        <w:rPr>
          <w:rFonts w:ascii="Cambria Math" w:hAnsi="Cambria Math"/>
          <w:sz w:val="21"/>
        </w:rPr>
        <w:t>vdim(𝒦ᵢ)=dim Uᵢ-rank Eᵢ-dim Gᵢ                           (18.3)</w:t>
      </w:r>
    </w:p>
    <w:p>
      <w:pPr/>
      <w:r>
        <w:t>в регулярном локальном секторе. Формула (18.3) является Euler characteristic виртуального tangent complex, но не утверждает гладкость нулевого локуса.</w:t>
      </w:r>
    </w:p>
    <w:p>
      <w:pPr>
        <w:pStyle w:val="Heading1"/>
        <w:keepNext/>
      </w:pPr>
      <w:r>
        <w:t>196. Coordinate changes и слабая 2-когерентность</w:t>
      </w:r>
    </w:p>
    <w:p>
      <w:pPr/>
      <w:r>
        <w:t>На overlap Fᵢⱼ требуется coordinate change Φᵢⱼ, включающий базовое отображение φᵢⱼ, отображение obstruction bundles ĥφᵢⱼ, гомоморфизм стабилизаторов и совместимость секций:</w:t>
      </w:r>
    </w:p>
    <w:p>
      <w:pPr>
        <w:pStyle w:val="Quote"/>
        <w:jc w:val="center"/>
      </w:pPr>
      <w:r>
        <w:rPr>
          <w:rFonts w:ascii="Cambria Math" w:hAnsi="Cambria Math"/>
          <w:sz w:val="21"/>
        </w:rPr>
        <w:t>sⱼ∘φᵢⱼ = ĥφᵢⱼ∘sᵢ.                                             (18.4)</w:t>
      </w:r>
    </w:p>
    <w:p>
      <w:pPr/>
      <w:r>
        <w:t>На тройном overlap обычного равенства карт обычно слишком много. Требуется 2-изоморфизм</w:t>
      </w:r>
    </w:p>
    <w:p>
      <w:pPr>
        <w:pStyle w:val="Quote"/>
        <w:jc w:val="center"/>
      </w:pPr>
      <w:r>
        <w:rPr>
          <w:rFonts w:ascii="Cambria Math" w:hAnsi="Cambria Math"/>
          <w:sz w:val="21"/>
        </w:rPr>
        <w:t>αᵢⱼₖ: Φⱼₖ∘Φᵢⱼ ⇒ Φᵢₖ,                                           (18.5)</w:t>
      </w:r>
    </w:p>
    <w:p>
      <w:pPr/>
      <w:r>
        <w:t>а на четверных overlap - pentagon/coherence condition для α. Пара попарно согласованных карт без (18.5) и высшей когерентности не задаёт глобальный stack.</w:t>
      </w:r>
    </w:p>
    <w:p>
      <w:pPr>
        <w:jc w:val="center"/>
      </w:pPr>
      <w:r>
        <w:drawing>
          <wp:inline xmlns:a="http://schemas.openxmlformats.org/drawingml/2006/main" xmlns:pic="http://schemas.openxmlformats.org/drawingml/2006/picture">
            <wp:extent cx="6080760" cy="3547110"/>
            <wp:docPr id="46" name="Picture 46" descr="Рисунок 18.1. Homotopy-coherent descent локальных карт Кураниши к глобальному derived/stacky-носителю. Собственная схема Тома II." title="Рисунок 18.1. Homotopy-coherent descent локальных карт Кураниши к глобальному derived/stacky-носителю. Собственная схема Тома II."/>
            <wp:cNvGraphicFramePr>
              <a:graphicFrameLocks noChangeAspect="1"/>
            </wp:cNvGraphicFramePr>
            <a:graphic>
              <a:graphicData uri="http://schemas.openxmlformats.org/drawingml/2006/picture">
                <pic:pic>
                  <pic:nvPicPr>
                    <pic:cNvPr id="0" name="fig18_1.png"/>
                    <pic:cNvPicPr/>
                  </pic:nvPicPr>
                  <pic:blipFill>
                    <a:blip r:embed="rId74"/>
                    <a:stretch>
                      <a:fillRect/>
                    </a:stretch>
                  </pic:blipFill>
                  <pic:spPr>
                    <a:xfrm>
                      <a:off x="0" y="0"/>
                      <a:ext cx="6080760" cy="3547110"/>
                    </a:xfrm>
                    <a:prstGeom prst="rect"/>
                  </pic:spPr>
                </pic:pic>
              </a:graphicData>
            </a:graphic>
          </wp:inline>
        </w:drawing>
      </w:r>
    </w:p>
    <w:p>
      <w:pPr>
        <w:pStyle w:val="Caption"/>
        <w:keepNext/>
        <w:jc w:val="center"/>
      </w:pPr>
      <w:r>
        <w:t>Рисунок 18.1. Homotopy-coherent descent локальных карт Кураниши к глобальному derived/stacky-носителю. Собственная схема Тома II.</w:t>
      </w:r>
    </w:p>
    <w:p>
      <w:pPr>
        <w:pStyle w:val="Heading1"/>
        <w:keepNext/>
      </w:pPr>
      <w:r>
        <w:t>197. Čech nerve и effective descent</w:t>
      </w:r>
    </w:p>
    <w:p>
      <w:pPr/>
      <w:r>
        <w:t>Пусть U₀=⨿ᵢUᵢ, а U_• - Čech nerve атласа. Глобальность формулируется как эквивалентность объекта с totalization косимплициальной диаграммы:</w:t>
      </w:r>
    </w:p>
    <w:p>
      <w:pPr>
        <w:pStyle w:val="Quote"/>
        <w:jc w:val="center"/>
      </w:pPr>
      <w:r>
        <w:rPr>
          <w:rFonts w:ascii="Cambria Math" w:hAnsi="Cambria Math"/>
          <w:sz w:val="21"/>
        </w:rPr>
        <w:t>𝔐(U)  ≃  Tot(𝔐(U_•)).                                            (18.6)</w:t>
      </w:r>
    </w:p>
    <w:p>
      <w:pPr/>
      <w:r>
        <w:t>Условие (18.6) включает существование локальных объектов, equivalences на двойных overlap, 2-morphisms на тройных overlap и все higher coherences. В 1-категориальном секторе оно редуцируется к обычному cocycle gluing; в stacky/derived-секторе требуется homotopy-coherent descent.</w:t>
      </w:r>
    </w:p>
    <w:p>
      <w:pPr/>
      <w:r>
        <w:t>Теорема 18.2 (Descent no-shortcut). [THM в выбранной 2-категории] Если данные ограничены только объектами на Uᵢ и эквивалентностями на Uᵢⱼ, но тройная когерентность не задана, то из них не следует существование глобального объекта. Доказательство: obstruction to descent находится именно в несогласованности композиций на Uᵢⱼₖ; без её тривиализации totalization не определён.</w:t>
      </w:r>
    </w:p>
    <w:p>
      <w:pPr>
        <w:pStyle w:val="Heading1"/>
        <w:keepNext/>
      </w:pPr>
      <w:r>
        <w:t>198. Виртуальный касательный комплекс</w:t>
      </w:r>
    </w:p>
    <w:p>
      <w:pPr/>
      <w:r>
        <w:t>В точке x локальной quotient/Kuranishi-карты естественно возникает трёхчленный комплекс</w:t>
      </w:r>
    </w:p>
    <w:p>
      <w:pPr>
        <w:pStyle w:val="Quote"/>
        <w:jc w:val="center"/>
      </w:pPr>
      <w:r>
        <w:rPr>
          <w:rFonts w:ascii="Cambria Math" w:hAnsi="Cambria Math"/>
          <w:sz w:val="21"/>
        </w:rPr>
        <w:t>𝕋ₓᵛⁱʳ=[ 𝔤ₓ  →  TₓUᵢ  →  Eᵢ,ₓ ],                               (18.7)</w:t>
      </w:r>
    </w:p>
    <w:p>
      <w:pPr/>
      <w:r>
        <w:t>размещённый в степенях -1,0,+1. Его когомологии имеют строго различные роли:</w:t>
      </w:r>
    </w:p>
    <w:p>
      <w:pPr>
        <w:pStyle w:val="ListBullet"/>
      </w:pPr>
      <w:r>
        <w:t>H⁻¹(𝕋ₓᵛⁱʳ) - инфинитезимальные автоморфизмы и стабилизаторы;</w:t>
      </w:r>
    </w:p>
    <w:p>
      <w:pPr>
        <w:pStyle w:val="ListBullet"/>
      </w:pPr>
      <w:r>
        <w:t>H⁰(𝕋ₓᵛⁱʳ) - допустимые инфинитезимальные деформации по модулю gauge;</w:t>
      </w:r>
    </w:p>
    <w:p>
      <w:pPr>
        <w:pStyle w:val="ListBullet"/>
      </w:pPr>
      <w:r>
        <w:t>H¹(𝕋ₓᵛⁱʳ) - первичные obstruction directions.</w:t>
      </w:r>
    </w:p>
    <w:p>
      <w:pPr>
        <w:pStyle w:val="Quote"/>
        <w:jc w:val="center"/>
      </w:pPr>
      <w:r>
        <w:rPr>
          <w:rFonts w:ascii="Cambria Math" w:hAnsi="Cambria Math"/>
          <w:sz w:val="21"/>
        </w:rPr>
        <w:t>vdimₓ = -dim H⁻¹ + dim H⁰ - dim H¹.                         (18.8)</w:t>
      </w:r>
    </w:p>
    <w:p>
      <w:pPr/>
      <w:r>
        <w:t>Квазиизоморфные комплексы имеют одинаковые когомологии и Euler characteristic. Поэтому предсказательный профиль должен зависеть от quasi-isomorphism class, а не от выбранного числа локальных переменных и уравнений.</w:t>
      </w:r>
    </w:p>
    <w:p>
      <w:pPr>
        <w:jc w:val="center"/>
      </w:pPr>
      <w:r>
        <w:drawing>
          <wp:inline xmlns:a="http://schemas.openxmlformats.org/drawingml/2006/main" xmlns:pic="http://schemas.openxmlformats.org/drawingml/2006/picture">
            <wp:extent cx="6080760" cy="3547110"/>
            <wp:docPr id="47" name="Picture 47" descr="Рисунок 18.2. Трёхчленный виртуальный касательный комплекс: автоморфизмы, деформации и препятствия. Собственная схема Тома II." title="Рисунок 18.2. Трёхчленный виртуальный касательный комплекс: автоморфизмы, деформации и препятствия. Собственная схема Тома II."/>
            <wp:cNvGraphicFramePr>
              <a:graphicFrameLocks noChangeAspect="1"/>
            </wp:cNvGraphicFramePr>
            <a:graphic>
              <a:graphicData uri="http://schemas.openxmlformats.org/drawingml/2006/picture">
                <pic:pic>
                  <pic:nvPicPr>
                    <pic:cNvPr id="0" name="fig18_2.png"/>
                    <pic:cNvPicPr/>
                  </pic:nvPicPr>
                  <pic:blipFill>
                    <a:blip r:embed="rId75"/>
                    <a:stretch>
                      <a:fillRect/>
                    </a:stretch>
                  </pic:blipFill>
                  <pic:spPr>
                    <a:xfrm>
                      <a:off x="0" y="0"/>
                      <a:ext cx="6080760" cy="3547110"/>
                    </a:xfrm>
                    <a:prstGeom prst="rect"/>
                  </pic:spPr>
                </pic:pic>
              </a:graphicData>
            </a:graphic>
          </wp:inline>
        </w:drawing>
      </w:r>
    </w:p>
    <w:p>
      <w:pPr>
        <w:pStyle w:val="Caption"/>
        <w:keepNext/>
        <w:jc w:val="center"/>
      </w:pPr>
      <w:r>
        <w:t>Рисунок 18.2. Трёхчленный виртуальный касательный комплекс: автоморфизмы, деформации и препятствия. Собственная схема Тома II.</w:t>
      </w:r>
    </w:p>
    <w:p>
      <w:pPr>
        <w:pStyle w:val="Heading1"/>
        <w:keepNext/>
      </w:pPr>
      <w:r>
        <w:t>199. Perfect obstruction theory и intrinsic normal cone</w:t>
      </w:r>
    </w:p>
    <w:p>
      <w:pPr/>
      <w:r>
        <w:t>В Deligne-Mumford-подобном алгебро-геометрическом секторе perfect obstruction theory задаётся морфизмом</w:t>
      </w:r>
    </w:p>
    <w:p>
      <w:pPr>
        <w:pStyle w:val="Quote"/>
        <w:jc w:val="center"/>
      </w:pPr>
      <w:r>
        <w:rPr>
          <w:rFonts w:ascii="Cambria Math" w:hAnsi="Cambria Math"/>
          <w:sz w:val="21"/>
        </w:rPr>
        <w:t>φ:E•→L_𝔐,   E• perfect,   amp(E•)⊂[-1,0],                  (18.9)</w:t>
      </w:r>
    </w:p>
    <w:p>
      <w:pPr/>
      <w:r>
        <w:t>для которого h⁰(φ) является изоморфизмом, а h⁻¹(φ) - эпиморфизмом. Виртуальный tangent complex равен (E•)∨; obstruction sheaf задаётся h¹((E•)∨). Для общих Artin/stacky-задач амплитуда может включать степень -1 tangent automorphisms и требует более широкого комплекса.</w:t>
      </w:r>
    </w:p>
    <w:p>
      <w:pPr>
        <w:pStyle w:val="Quote"/>
        <w:jc w:val="center"/>
      </w:pPr>
      <w:r>
        <w:rPr>
          <w:rFonts w:ascii="Cambria Math" w:hAnsi="Cambria Math"/>
          <w:sz w:val="21"/>
        </w:rPr>
        <w:t>Ob_𝔐 = h¹((E•)∨),    𝔑_𝔐=h¹/h⁰(L_𝔐∨).                         (18.10)</w:t>
      </w:r>
    </w:p>
    <w:p>
      <w:pPr/>
      <w:r>
        <w:t>Intrinsic normal cone 𝔠_𝔐 вкладывается в соответствующий vector-bundle stack после выбора perfect obstruction theory. Этот аппарат позволяет строить virtual fundamental class при дополнительных properness/orientation гипотезах. В Томе II он используется как глобальный носитель препятствий, а не как свидетельство физической реализации.</w:t>
      </w:r>
    </w:p>
    <w:p>
      <w:pPr>
        <w:pStyle w:val="Heading1"/>
        <w:keepNext/>
      </w:pPr>
      <w:r>
        <w:t>200. Склейка локальных obstruction theories</w:t>
      </w:r>
    </w:p>
    <w:p>
      <w:pPr/>
      <w:r>
        <w:t>Пусть на Uᵢ заданы perfect complexes Eᵢ• и quasi-isomorphisms qᵢⱼ:Eᵢ•|Uᵢⱼ→Eⱼ•|Uᵢⱼ. На тройных overlap требуется гомотопия</w:t>
      </w:r>
    </w:p>
    <w:p>
      <w:pPr>
        <w:pStyle w:val="Quote"/>
        <w:jc w:val="center"/>
      </w:pPr>
      <w:r>
        <w:rPr>
          <w:rFonts w:ascii="Cambria Math" w:hAnsi="Cambria Math"/>
          <w:sz w:val="21"/>
        </w:rPr>
        <w:t>qⱼₖ∘qᵢⱼ  ≃  qᵢₖ,                                               (18.11)</w:t>
      </w:r>
    </w:p>
    <w:p>
      <w:pPr/>
      <w:r>
        <w:t>совместимая с higher coherences. В stable ∞-category perfect complexes удовлетворяют descent, но выбранные строгие модели не склеиваются одним равенством матриц.</w:t>
      </w:r>
    </w:p>
    <w:p>
      <w:pPr/>
      <w:r>
        <w:t>В центрально-абелевом секторе дефект строгой склейки можно записать как</w:t>
      </w:r>
    </w:p>
    <w:p>
      <w:pPr>
        <w:pStyle w:val="Quote"/>
        <w:jc w:val="center"/>
      </w:pPr>
      <w:r>
        <w:rPr>
          <w:rFonts w:ascii="Cambria Math" w:hAnsi="Cambria Math"/>
          <w:sz w:val="21"/>
        </w:rPr>
        <w:t>cᵢⱼₖ=qᵢₖ⁻¹ qⱼₖ qᵢⱼ ∈ Z,    [c]∈Čech H²(X,Z).                  (18.12)</w:t>
      </w:r>
    </w:p>
    <w:p>
      <w:pPr/>
      <w:r>
        <w:t>При указанных central-band гипотезах исчезновение [c] является условием strictification. В общем nonabelian/higher случае универсальный один класс H² не заявляется: корректным объектом остаётся homotopy totalization.</w:t>
      </w:r>
    </w:p>
    <w:p>
      <w:pPr>
        <w:pStyle w:val="Heading1"/>
        <w:keepNext/>
      </w:pPr>
      <w:r>
        <w:t>201. Детерминант, ориентация и виртуальная размерность</w:t>
      </w:r>
    </w:p>
    <w:p>
      <w:pPr>
        <w:pStyle w:val="Quote"/>
        <w:jc w:val="center"/>
      </w:pPr>
      <w:r>
        <w:rPr>
          <w:rFonts w:ascii="Cambria Math" w:hAnsi="Cambria Math"/>
          <w:sz w:val="21"/>
        </w:rPr>
        <w:t>det(𝕋ᵛⁱʳ)=⊗ⱼ(det Hʲ(𝕋ᵛⁱʳ))^{(-1)ʲ}.                         (18.13)</w:t>
      </w:r>
    </w:p>
    <w:p>
      <w:pPr/>
      <w:r>
        <w:t>Ориентация является дополнительной структурой на determinant line и необходима для знаковых virtual invariants. Равенство vdim=0 не означает отсутствие obstruction или stabilizer: вклады H⁻¹ и H¹ могут взаимно компенсироваться в Euler characteristic.</w:t>
      </w:r>
    </w:p>
    <w:p>
      <w:pPr/>
      <w:r>
        <w:t>Теорема 18.3 (Presentation invariance). [THM] Quasi-isomorphism виртуальных комплексов сохраняет их cohomology dimensions, Euler characteristic и determinant line up to canonical isomorphism. Следовательно, эти данные допустимы как инварианты moduli presentation при наличии согласованного descent.</w:t>
      </w:r>
    </w:p>
    <w:p>
      <w:pPr>
        <w:pStyle w:val="Heading1"/>
        <w:keepNext/>
      </w:pPr>
      <w:r>
        <w:t>202. Branch stack и монодромия</w:t>
      </w:r>
    </w:p>
    <w:p>
      <w:pPr/>
      <w:r>
        <w:t>В регулярном ветвящемся секторе локальные ветви собираются не обязательно в глобально пронумерованное множество, а в étale/covering stack 𝔅→P\Δ. Монодромия задаёт действие</w:t>
      </w:r>
    </w:p>
    <w:p>
      <w:pPr>
        <w:pStyle w:val="Quote"/>
        <w:jc w:val="center"/>
      </w:pPr>
      <w:r>
        <w:rPr>
          <w:rFonts w:ascii="Cambria Math" w:hAnsi="Cambria Math"/>
          <w:sz w:val="21"/>
        </w:rPr>
        <w:t>Mon:π₁(P\Δ,p₀)→Perm(𝔅_{p₀}).                                 (18.14)</w:t>
      </w:r>
    </w:p>
    <w:p>
      <w:pPr/>
      <w:r>
        <w:t>Нетривиальное действие запрещает глобальную маркировку ветвей. Stacky branch carrier хранит орбиты и stabilizers, тогда как coarse branch count их забывает. Это продолжает главу 17, но теперь branch ledger является частью глобального descent package.</w:t>
      </w:r>
    </w:p>
    <w:p>
      <w:pPr>
        <w:pStyle w:val="Heading1"/>
        <w:keepNext/>
      </w:pPr>
      <w:r>
        <w:t>203. Глобальный предсказательный носитель KLT-RBD</w:t>
      </w:r>
    </w:p>
    <w:p>
      <w:pPr/>
      <w:r>
        <w:t>Определение 18.4. Глобальный предсказательный носитель задаётся кортежем</w:t>
      </w:r>
    </w:p>
    <w:p>
      <w:pPr>
        <w:pStyle w:val="Quote"/>
        <w:jc w:val="center"/>
      </w:pPr>
      <w:r>
        <w:rPr>
          <w:rFonts w:ascii="Cambria Math" w:hAnsi="Cambria Math"/>
          <w:sz w:val="21"/>
        </w:rPr>
        <w:t>PredCar_N=(𝔐_Nᵈᵉʳ→P, 𝕋ᵛⁱʳ, Ob_N, 𝔠_N, 𝔅_N, Rep_N, λ_N, D_N, Dom_N, E_N). (18.15)</w:t>
      </w:r>
    </w:p>
    <w:p>
      <w:pPr/>
      <w:r>
        <w:t>Компоненты имеют следующие роли: 𝔐_Nᵈᵉʳ - глобальный moduli object; 𝕋ᵛⁱʳ - virtual tangent complex; Ob_N и 𝔠_N - obstruction sheaf/cone; 𝔅_N - branch stack; Rep_N - Reper atlas; λ_N - проективно-гармоническая координата; D_N - Evidence-D; Dom_N - admissible domain; E_N - внешний комплекс и мост Π_E.</w:t>
      </w:r>
    </w:p>
    <w:p>
      <w:pPr/>
      <w:r>
        <w:t>Существование PredCar_N разрешается только при десяти сертификатах: effective atlas descent; coordinate-change coherence; derived/perfect enhancement; perfectness и фиксированная amplitude; branch descent; Reper descent; Evidence-D descent; Dom compatibility; глобальная определённость λ вне полюсов; независимый воспроизводимый вычислительный пакет.</w:t>
      </w:r>
    </w:p>
    <w:p>
      <w:pPr>
        <w:pStyle w:val="Heading1"/>
        <w:keepNext/>
      </w:pPr>
      <w:r>
        <w:t>204. Local-to-global no-go theorem</w:t>
      </w:r>
    </w:p>
    <w:p>
      <w:pPr/>
      <w:r>
        <w:t>Теорема 18.5. [THM] Исчезновение всех локальных obstruction classes не влечёт существование глобального объекта. Пусть локальные объекты ξᵢ существуют и локально liftable, а на overlap выбраны equivalences gᵢⱼ. На тройном overlap возникает</w:t>
      </w:r>
    </w:p>
    <w:p>
      <w:pPr>
        <w:pStyle w:val="Quote"/>
        <w:jc w:val="center"/>
      </w:pPr>
      <w:r>
        <w:rPr>
          <w:rFonts w:ascii="Cambria Math" w:hAnsi="Cambria Math"/>
          <w:sz w:val="21"/>
        </w:rPr>
        <w:t>cᵢⱼₖ=gₖᵢ gⱼₖ gᵢⱼ.                                              (18.16)</w:t>
      </w:r>
    </w:p>
    <w:p>
      <w:pPr/>
      <w:r>
        <w:t>Если cᵢⱼₖ задаёт нетривиальный descent class или не допускает coherent trivialization, глобальный объект отсутствует, хотя все локальные Kuranishi residuals равны нулю. Следовательно:</w:t>
      </w:r>
    </w:p>
    <w:p>
      <w:pPr>
        <w:pStyle w:val="Quote"/>
        <w:jc w:val="center"/>
      </w:pPr>
      <w:r>
        <w:rPr>
          <w:rFonts w:ascii="Cambria Math" w:hAnsi="Cambria Math"/>
          <w:sz w:val="21"/>
        </w:rPr>
        <w:t>local lift + local obstruction=0  ⇏  global lift.                    (18.17)</w:t>
      </w:r>
    </w:p>
    <w:p>
      <w:pPr/>
      <w:r>
        <w:t>Это основной запрет главы: локальная разрешимость не является глобальным событием. Иначе атлас превращается в империю независимых районов, каждый из которых объявил себя всей планетой.</w:t>
      </w:r>
    </w:p>
    <w:p>
      <w:pPr>
        <w:pStyle w:val="Heading1"/>
        <w:keepNext/>
      </w:pPr>
      <w:r>
        <w:t>205. Coarse-moduli no-go theorem</w:t>
      </w:r>
    </w:p>
    <w:p>
      <w:pPr/>
      <w:r>
        <w:t>Теорема 18.6. [THM] Coarse moduli space не определяет stacky/derived moduli object. Например, quotient stack [A¹/μ₂] имеет coarse space A¹, но сохраняет нетривиальный stabilizer μ₂ в образе нуля; обычное A¹ имеет тот же coarse тип без такого stabilizer. Их virtual tangent profiles различаются.</w:t>
      </w:r>
    </w:p>
    <w:p>
      <w:pPr>
        <w:pStyle w:val="Quote"/>
        <w:jc w:val="center"/>
      </w:pPr>
      <w:r>
        <w:rPr>
          <w:rFonts w:ascii="Cambria Math" w:hAnsi="Cambria Math"/>
          <w:sz w:val="21"/>
        </w:rPr>
        <w:t>|𝔐₁|≅|𝔐₂|  ⇏  𝔐₁≃𝔐₂  и  ⇏  𝔐₁ᵈᵉʳ≃𝔐₂ᵈᵉʳ.                (18.18)</w:t>
      </w:r>
    </w:p>
    <w:p>
      <w:pPr>
        <w:pStyle w:val="Heading1"/>
        <w:keepNext/>
      </w:pPr>
      <w:r>
        <w:t>206. Глобальные невязки и условная численная реализация</w:t>
      </w:r>
    </w:p>
    <w:p>
      <w:pPr/>
      <w:r>
        <w:t>После выбора метрик, тривиализаций и uniform spectral gap вводятся три раздельные невязки:</w:t>
      </w:r>
    </w:p>
    <w:p>
      <w:pPr>
        <w:pStyle w:val="Quote"/>
        <w:jc w:val="center"/>
      </w:pPr>
      <w:r>
        <w:rPr>
          <w:rFonts w:ascii="Cambria Math" w:hAnsi="Cambria Math"/>
          <w:sz w:val="21"/>
        </w:rPr>
        <w:t>η_desc = ||defect of higher descent||,   η_ob = ||h(ob)||,   η_ext = ||Π_E(ob)||. (18.19)</w:t>
      </w:r>
    </w:p>
    <w:p>
      <w:pPr/>
      <w:r>
        <w:t>Их нельзя складывать без нормировки, потому что они живут в разных носителях. Для решения используется blocker vector, а не одно магическое число. Численная малость η_desc не заменяет точную 2-когерентность, если interval certificate не исключает ноль/неноль однозначно.</w:t>
      </w:r>
    </w:p>
    <w:p>
      <w:pPr>
        <w:pStyle w:val="Heading1"/>
        <w:keepNext/>
      </w:pPr>
      <w:r>
        <w:t>207. Глобальный переходный горизонт</w:t>
      </w:r>
    </w:p>
    <w:p>
      <w:pPr>
        <w:pStyle w:val="Quote"/>
        <w:jc w:val="center"/>
      </w:pPr>
      <w:r>
        <w:rPr>
          <w:rFonts w:ascii="Cambria Math" w:hAnsi="Cambria Math"/>
          <w:sz w:val="21"/>
        </w:rPr>
        <w:t>Δ_stack = Δ_desc ∪ Δ_coh ∪ Δ_perf ∪ Δ_amp ∪ Δ_vrank ∪ Δ_orient ∪ Δ_branch ∪ Δ_mon ∪ Δ_Rep ∪ Δ_D ∪ Δ_Dom ∪ Δ_ext ∪ Δ_ind. (18.20)</w:t>
      </w:r>
    </w:p>
    <w:p>
      <w:pPr>
        <w:pStyle w:val="Quote"/>
        <w:jc w:val="center"/>
      </w:pPr>
      <w:r>
        <w:rPr>
          <w:rFonts w:ascii="Cambria Math" w:hAnsi="Cambria Math"/>
          <w:sz w:val="21"/>
        </w:rPr>
        <w:t>Δ_safe^{v0.15}=Δ_safe^{v0.14}∪Δ_stack.                              (18.21)</w:t>
      </w:r>
    </w:p>
    <w:p>
      <w:pPr/>
      <w:r>
        <w:t>Здесь Δ_desc - отказ effective descent; Δ_coh - нарушение higher coherence; Δ_perf - потеря perfectness; Δ_amp - изменение Tor-amplitude; Δ_vrank - изменение virtual cohomology ranks; Δ_orient - потеря orientation data; Δ_branch и Δ_mon - ветвление и монодромия; остальные компоненты фиксируют Reper, D/Dom, внешний E-мост и независимость проверки.</w:t>
      </w:r>
    </w:p>
    <w:p>
      <w:pPr>
        <w:pStyle w:val="Heading1"/>
        <w:keepNext/>
      </w:pPr>
      <w:r>
        <w:t>208. Глобальный структурный профиль</w:t>
      </w:r>
    </w:p>
    <w:p>
      <w:pPr>
        <w:pStyle w:val="Quote"/>
        <w:jc w:val="center"/>
      </w:pPr>
      <w:r>
        <w:rPr>
          <w:rFonts w:ascii="Cambria Math" w:hAnsi="Cambria Math"/>
          <w:sz w:val="21"/>
        </w:rPr>
        <w:t>P_stack(p)=([amp 𝕋ᵛⁱʳ], h⁻¹,h⁰,h¹, vdim, [det], [desc], MonOrb, η_ob, η_ext, λ, CGI). (18.22)</w:t>
      </w:r>
    </w:p>
    <w:p>
      <w:pPr/>
      <w:r>
        <w:t>Профиль сравнивается только после transport между fibres и идентификации ветвей. Сырые координаты Kuranishi charts, число локальных уравнений и имена ветвей не являются глобальными инвариантами.</w:t>
      </w:r>
    </w:p>
    <w:p>
      <w:pPr>
        <w:pStyle w:val="Heading1"/>
        <w:keepNext/>
      </w:pPr>
      <w:r>
        <w:t>209. Главная условная теорема T2-RP-v0.15</w:t>
      </w:r>
    </w:p>
    <w:p>
      <w:pPr/>
      <w:r>
        <w:t>Теорема 18.7 (Global-stack-safe predictive theorem). [COND] Пусть над связной камерой U параметрического пространства выполнены условия:</w:t>
      </w:r>
    </w:p>
    <w:p>
      <w:pPr/>
      <w:r>
        <w:t>1. задан proper или контролируемо локально тривиальный stacky/derived family 𝔐ᵈᵉʳ→U;</w:t>
      </w:r>
    </w:p>
    <w:p>
      <w:pPr/>
      <w:r>
        <w:t>2. локальные Kuranishi charts образуют effective homotopy-coherent descent datum;</w:t>
      </w:r>
    </w:p>
    <w:p>
      <w:pPr/>
      <w:r>
        <w:t>3. виртуальные tangent complexes perfect и связаны quasi-isomorphisms постоянной amplitude;</w:t>
      </w:r>
    </w:p>
    <w:p>
      <w:pPr/>
      <w:r>
        <w:t>4. cohomology ranks, determinant/orientation class и branch monodromy orbit сертифицированы;</w:t>
      </w:r>
    </w:p>
    <w:p>
      <w:pPr/>
      <w:r>
        <w:t>5. Reper atlas, λ, Evidence-D, Dom и внешний E-мост спускаются и совместимы;</w:t>
      </w:r>
    </w:p>
    <w:p>
      <w:pPr/>
      <w:r>
        <w:t>6. предыдущие Hodge-Green, Kuranishi, wall-crossing и globalization blockers закрыты;</w:t>
      </w:r>
    </w:p>
    <w:p>
      <w:pPr/>
      <w:r>
        <w:t>7. путь γ⊂U не пересекает Δ_safe^{v0.15};</w:t>
      </w:r>
    </w:p>
    <w:p>
      <w:pPr/>
      <w:r>
        <w:t>8. для запрещающего вывода существует uniform positive residual margin соответствующего obstruction class.</w:t>
      </w:r>
    </w:p>
    <w:p>
      <w:pPr/>
      <w:r>
        <w:t>Тогда глобальный профиль P_stack постоянен вдоль γ с точностью до доказанного transport, и переход, требующий изменения этого профиля или исчезновения uniformly nonzero global obstruction, невозможен внутри заявленной модели.</w:t>
      </w:r>
    </w:p>
    <w:p>
      <w:pPr>
        <w:pStyle w:val="Quote"/>
        <w:jc w:val="center"/>
      </w:pPr>
      <w:r>
        <w:rPr>
          <w:rFonts w:ascii="Cambria Math" w:hAnsi="Cambria Math"/>
          <w:sz w:val="21"/>
        </w:rPr>
        <w:t>γ∩Δ_safe^{v0.15}=∅  ⇒  NO-GLOBAL-TRANSITION-IN-MODEL.             (18.23)</w:t>
      </w:r>
    </w:p>
    <w:p>
      <w:pPr/>
      <w:r>
        <w:t>Если γ пересекает Δ_stack либо глобальная obstruction residual допускает ноль, система возвращает только CANDIDATE-GLOBAL-TRANSITION. Положительный вывод требует существования post-transition global object, branch matching и независимой проверки.</w:t>
      </w:r>
    </w:p>
    <w:p>
      <w:pPr>
        <w:pStyle w:val="Heading1"/>
        <w:keepNext/>
      </w:pPr>
      <w:r>
        <w:t>210. Blocker-safe вердикт</w:t>
      </w:r>
    </w:p>
    <w:p>
      <w:pPr>
        <w:pStyle w:val="Quote"/>
        <w:jc w:val="center"/>
      </w:pPr>
      <w:r>
        <w:rPr>
          <w:rFonts w:ascii="Cambria Math" w:hAnsi="Cambria Math"/>
          <w:sz w:val="21"/>
        </w:rPr>
        <w:t>Block_stack=B_atlas∪B_2coc∪B_eff∪B_perf∪B_amp∪B_vtan∪B_branch∪B_Rep∪B_D∪B_Dom∪B_E∪B_ind. (18.24)</w:t>
      </w:r>
    </w:p>
    <w:p>
      <w:pPr/>
      <w:r>
        <w:t>Допустимы ровно три результата: NO-GLOBAL-TRANSITION-IN-MODEL; CANDIDATE-GLOBAL-TRANSITION; ABSTAIN. Наличие локального zero-locus при ненулевом Block_stack всегда приводит к ABSTAIN.</w:t>
      </w:r>
    </w:p>
    <w:p>
      <w:pPr>
        <w:jc w:val="center"/>
      </w:pPr>
      <w:r>
        <w:drawing>
          <wp:inline xmlns:a="http://schemas.openxmlformats.org/drawingml/2006/main" xmlns:pic="http://schemas.openxmlformats.org/drawingml/2006/picture">
            <wp:extent cx="6080760" cy="3716020"/>
            <wp:docPr id="48" name="Picture 48" descr="Рисунок 18.3. Глобальный predictive carrier и blocker-safe трёхзначный вердикт. Собственная схема Тома II." title="Рисунок 18.3. Глобальный predictive carrier и blocker-safe трёхзначный вердикт. Собственная схема Тома II."/>
            <wp:cNvGraphicFramePr>
              <a:graphicFrameLocks noChangeAspect="1"/>
            </wp:cNvGraphicFramePr>
            <a:graphic>
              <a:graphicData uri="http://schemas.openxmlformats.org/drawingml/2006/picture">
                <pic:pic>
                  <pic:nvPicPr>
                    <pic:cNvPr id="0" name="fig18_3.png"/>
                    <pic:cNvPicPr/>
                  </pic:nvPicPr>
                  <pic:blipFill>
                    <a:blip r:embed="rId76"/>
                    <a:stretch>
                      <a:fillRect/>
                    </a:stretch>
                  </pic:blipFill>
                  <pic:spPr>
                    <a:xfrm>
                      <a:off x="0" y="0"/>
                      <a:ext cx="6080760" cy="3716020"/>
                    </a:xfrm>
                    <a:prstGeom prst="rect"/>
                  </pic:spPr>
                </pic:pic>
              </a:graphicData>
            </a:graphic>
          </wp:inline>
        </w:drawing>
      </w:r>
    </w:p>
    <w:p>
      <w:pPr>
        <w:pStyle w:val="Caption"/>
        <w:keepNext/>
        <w:jc w:val="center"/>
      </w:pPr>
      <w:r>
        <w:t>Рисунок 18.3. Глобальный predictive carrier и blocker-safe трёхзначный вердикт. Собственная схема Тома II.</w:t>
      </w:r>
    </w:p>
    <w:p>
      <w:pPr>
        <w:pStyle w:val="Heading1"/>
        <w:keepNext/>
      </w:pPr>
      <w:r>
        <w:t>211. Контрпримеры и разделяющие модели</w:t>
      </w:r>
    </w:p>
    <w:p>
      <w:pPr>
        <w:pStyle w:val="ListBullet"/>
      </w:pPr>
      <w:r>
        <w:t>Локальные нулевые Kuranishi maps при нетривиальном gerbe/descent class: локальные решения есть, глобального объекта нет.</w:t>
      </w:r>
    </w:p>
    <w:p>
      <w:pPr>
        <w:pStyle w:val="ListBullet"/>
      </w:pPr>
      <w:r>
        <w:t>Одинаковый coarse space при различных stabilizers: stacky тип различается.</w:t>
      </w:r>
    </w:p>
    <w:p>
      <w:pPr>
        <w:pStyle w:val="ListBullet"/>
      </w:pPr>
      <w:r>
        <w:t>Одинаковая virtual dimension при различных H⁻¹ и H¹: cancellation скрывает автоморфизмы и obstruction directions.</w:t>
      </w:r>
    </w:p>
    <w:p>
      <w:pPr>
        <w:pStyle w:val="ListBullet"/>
      </w:pPr>
      <w:r>
        <w:t>Perfect complexes одной Euler characteristic, но не quasi-isomorphic: предсказательный tangent type различается.</w:t>
      </w:r>
    </w:p>
    <w:p>
      <w:pPr>
        <w:pStyle w:val="ListBullet"/>
      </w:pPr>
      <w:r>
        <w:t>Склеенный stack без склеенного Evidence-D: математический объект существует, авторизованный Reper-кандидат отсутствует.</w:t>
      </w:r>
    </w:p>
    <w:p>
      <w:pPr>
        <w:pStyle w:val="ListBullet"/>
      </w:pPr>
      <w:r>
        <w:t>Глобальный λ=-1 при невалидном Dom: harmonic selector определён формально, но prediction gate закрыт.</w:t>
      </w:r>
    </w:p>
    <w:p>
      <w:pPr>
        <w:pStyle w:val="ListBullet"/>
      </w:pPr>
      <w:r>
        <w:t>Нетривиальный virtual class без временной динамики: enumerative invariant не является событием.</w:t>
      </w:r>
    </w:p>
    <w:p>
      <w:pPr>
        <w:pStyle w:val="ListBullet"/>
      </w:pPr>
      <w:r>
        <w:t>Численно малый descent defect без интервального сертификата: нельзя отличить ноль от плохо обусловленного ненуля.</w:t>
      </w:r>
    </w:p>
    <w:p>
      <w:pPr>
        <w:pStyle w:val="Heading1"/>
        <w:keepNext/>
      </w:pPr>
      <w:r>
        <w:t>212. Вычислительный сертификат STACK-GLOB v0.15</w:t>
      </w:r>
    </w:p>
    <w:p>
      <w:pPr>
        <w:pStyle w:val="ListBullet"/>
      </w:pPr>
      <w:r>
        <w:t>STACK-01 atlas inventory; STACK-02 footprint cover; STACK-03 coordinate-change typing; STACK-04 pairwise compatibility;</w:t>
      </w:r>
    </w:p>
    <w:p>
      <w:pPr>
        <w:pStyle w:val="ListBullet"/>
      </w:pPr>
      <w:r>
        <w:t>STACK-05 triple 2-cocycle; STACK-06 quadruple coherence; STACK-07 stabilizer groups; STACK-08 Morita/equivalence checks;</w:t>
      </w:r>
    </w:p>
    <w:p>
      <w:pPr>
        <w:pStyle w:val="ListBullet"/>
      </w:pPr>
      <w:r>
        <w:t>STACK-09 Čech nerve; STACK-10 totalization/effective descent; STACK-11 local tangent complexes; STACK-12 quasi-isomorphisms;</w:t>
      </w:r>
    </w:p>
    <w:p>
      <w:pPr>
        <w:pStyle w:val="ListBullet"/>
      </w:pPr>
      <w:r>
        <w:t>STACK-13 amplitude; STACK-14 cohomology ranks; STACK-15 virtual dimension; STACK-16 determinant/orientation;</w:t>
      </w:r>
    </w:p>
    <w:p>
      <w:pPr>
        <w:pStyle w:val="ListBullet"/>
      </w:pPr>
      <w:r>
        <w:t>STACK-17 local obstruction sections; STACK-18 global obstruction sheaf/cone; STACK-19 branch stack; STACK-20 monodromy;</w:t>
      </w:r>
    </w:p>
    <w:p>
      <w:pPr>
        <w:pStyle w:val="ListBullet"/>
      </w:pPr>
      <w:r>
        <w:t>STACK-21 Reper descent; STACK-22 Evidence-D descent; STACK-23 Dom descent; STACK-24 λ invariance and pole checks;</w:t>
      </w:r>
    </w:p>
    <w:p>
      <w:pPr>
        <w:pStyle w:val="ListBullet"/>
      </w:pPr>
      <w:r>
        <w:t>STACK-25 external E/Π_E compatibility; STACK-26 global horizon; STACK-27 blocker-safe verdict; STACK-28 code/data/environment hashes.</w:t>
      </w:r>
    </w:p>
    <w:p>
      <w:pPr>
        <w:pStyle w:val="Heading2"/>
        <w:keepNext/>
      </w:pPr>
      <w:r>
        <w:t>Псевдокод</w:t>
      </w:r>
    </w:p>
    <w:p>
      <w:pPr>
        <w:pStyle w:val="Quote"/>
        <w:jc w:val="center"/>
      </w:pPr>
      <w:r>
        <w:rPr>
          <w:rFonts w:ascii="Cambria Math" w:hAnsi="Cambria Math"/>
          <w:sz w:val="21"/>
        </w:rPr>
        <w:t>INPUT local charts 𝒦ᵢ, coordinate changes Φᵢⱼ, 2-morphisms αᵢⱼₖ, virtual complexes, path γ, Reper/D/Dom/E data</w:t>
        <w:br/>
        <w:t>CHECK footprints; verify pairwise maps; verify triple and quadruple coherence</w:t>
        <w:br/>
        <w:t>BUILD Čech nerve and test effective descent</w:t>
        <w:br/>
        <w:t>GLUE virtual complexes up to quasi-isomorphism; compute H⁻¹,H⁰,H¹, vdim, determinant</w:t>
        <w:br/>
        <w:t>BUILD branch stack and monodromy; descend Reper, D, Dom and λ</w:t>
        <w:br/>
        <w:t>COMPUTE Δ_stack and residual margins</w:t>
        <w:br/>
        <w:t>IF blockers≠∅: ABSTAIN</w:t>
        <w:br/>
        <w:t>ELSE IF γ∩Δ_safe=∅ and residual≥ε: NO-GLOBAL-TRANSITION-IN-MODEL</w:t>
        <w:br/>
        <w:t>ELSE: CANDIDATE-GLOBAL-TRANSITION</w:t>
      </w:r>
    </w:p>
    <w:p>
      <w:pPr>
        <w:pStyle w:val="Heading1"/>
        <w:keepNext/>
      </w:pPr>
      <w:r>
        <w:t>213. Доказательные обязательства T2-PO-223-T2-PO-252</w:t>
      </w:r>
    </w:p>
    <w:tbl>
      <w:tblPr>
        <w:tblStyle w:val="TableGrid"/>
        <w:tblW w:type="auto" w:w="0"/>
        <w:jc w:val="center"/>
        <w:tblLook w:firstColumn="1" w:firstRow="1" w:lastColumn="0" w:lastRow="0" w:noHBand="0" w:noVBand="1" w:val="04A0"/>
      </w:tblPr>
      <w:tblGrid>
        <w:gridCol w:w="2438"/>
        <w:gridCol w:w="2438"/>
        <w:gridCol w:w="2438"/>
        <w:gridCol w:w="2438"/>
      </w:tblGrid>
      <w:tr>
        <w:trPr>
          <w:tblHeader w:val="true"/>
          <w:cantSplit/>
        </w:trPr>
        <w:tc>
          <w:tcPr>
            <w:tcW w:type="dxa" w:w="2438"/>
            <w:vAlign w:val="center"/>
            <w:shd w:fill="173D67"/>
          </w:tcPr>
          <w:p>
            <w:pPr>
              <w:spacing w:after="0"/>
            </w:pPr>
            <w:r>
              <w:rPr>
                <w:b/>
                <w:color w:val="FFFFFF"/>
              </w:rPr>
            </w:r>
            <w:r>
              <w:rPr>
                <w:b/>
                <w:color w:val="FFFFFF"/>
              </w:rPr>
              <w:t>PO</w:t>
            </w:r>
          </w:p>
        </w:tc>
        <w:tc>
          <w:tcPr>
            <w:tcW w:type="dxa" w:w="2438"/>
            <w:vAlign w:val="center"/>
            <w:shd w:fill="173D67"/>
          </w:tcPr>
          <w:p>
            <w:pPr>
              <w:spacing w:after="0"/>
            </w:pPr>
            <w:r>
              <w:rPr>
                <w:b/>
                <w:color w:val="FFFFFF"/>
              </w:rPr>
            </w:r>
            <w:r>
              <w:rPr>
                <w:b/>
                <w:color w:val="FFFFFF"/>
              </w:rPr>
              <w:t>Обязательство</w:t>
            </w:r>
          </w:p>
        </w:tc>
        <w:tc>
          <w:tcPr>
            <w:tcW w:type="dxa" w:w="2438"/>
            <w:vAlign w:val="center"/>
            <w:shd w:fill="173D67"/>
          </w:tcPr>
          <w:p>
            <w:pPr>
              <w:spacing w:after="0"/>
            </w:pPr>
            <w:r>
              <w:rPr>
                <w:b/>
                <w:color w:val="FFFFFF"/>
              </w:rPr>
            </w:r>
            <w:r>
              <w:rPr>
                <w:b/>
                <w:color w:val="FFFFFF"/>
              </w:rPr>
              <w:t>Статус</w:t>
            </w:r>
          </w:p>
        </w:tc>
        <w:tc>
          <w:tcPr>
            <w:tcW w:type="dxa" w:w="2438"/>
            <w:vAlign w:val="center"/>
            <w:shd w:fill="173D67"/>
          </w:tcPr>
          <w:p>
            <w:pPr>
              <w:spacing w:after="0"/>
            </w:pPr>
            <w:r>
              <w:rPr>
                <w:b/>
                <w:color w:val="FFFFFF"/>
              </w:rPr>
            </w:r>
            <w:r>
              <w:rPr>
                <w:b/>
                <w:color w:val="FFFFFF"/>
              </w:rPr>
              <w:t>Условие закрытия</w:t>
            </w:r>
          </w:p>
        </w:tc>
      </w:tr>
      <w:tr>
        <w:trPr>
          <w:cantSplit/>
        </w:trPr>
        <w:tc>
          <w:tcPr>
            <w:tcW w:type="dxa" w:w="2438"/>
            <w:vAlign w:val="center"/>
            <w:tcMar>
              <w:top w:w="80" w:type="dxa"/>
              <w:start w:w="100" w:type="dxa"/>
              <w:bottom w:w="80" w:type="dxa"/>
              <w:end w:w="100" w:type="dxa"/>
            </w:tcMar>
          </w:tcPr>
          <w:p>
            <w:pPr>
              <w:spacing w:after="0"/>
              <w:jc w:val="center"/>
            </w:pPr>
            <w:r/>
            <w:r>
              <w:t>T2-PO-223</w:t>
            </w:r>
          </w:p>
        </w:tc>
        <w:tc>
          <w:tcPr>
            <w:tcW w:type="dxa" w:w="2438"/>
            <w:vAlign w:val="center"/>
            <w:tcMar>
              <w:top w:w="80" w:type="dxa"/>
              <w:start w:w="100" w:type="dxa"/>
              <w:bottom w:w="80" w:type="dxa"/>
              <w:end w:w="100" w:type="dxa"/>
            </w:tcMar>
          </w:tcPr>
          <w:p>
            <w:pPr>
              <w:spacing w:after="0"/>
            </w:pPr>
            <w:r/>
            <w:r>
              <w:t>Определить 2-категорию локальных NAPG-Kuranishi charts.</w:t>
            </w:r>
          </w:p>
        </w:tc>
        <w:tc>
          <w:tcPr>
            <w:tcW w:type="dxa" w:w="2438"/>
            <w:vAlign w:val="center"/>
            <w:tcMar>
              <w:top w:w="80" w:type="dxa"/>
              <w:start w:w="100" w:type="dxa"/>
              <w:bottom w:w="80" w:type="dxa"/>
              <w:end w:w="100" w:type="dxa"/>
            </w:tcMar>
            <w:shd w:fill="F8EFD3"/>
          </w:tcPr>
          <w:p>
            <w:pPr>
              <w:spacing w:after="0"/>
              <w:jc w:val="center"/>
            </w:pPr>
            <w:r/>
            <w:r>
              <w:t>COND</w:t>
            </w:r>
          </w:p>
        </w:tc>
        <w:tc>
          <w:tcPr>
            <w:tcW w:type="dxa" w:w="2438"/>
            <w:vAlign w:val="center"/>
            <w:tcMar>
              <w:top w:w="80" w:type="dxa"/>
              <w:start w:w="100" w:type="dxa"/>
              <w:bottom w:w="80" w:type="dxa"/>
              <w:end w:w="100" w:type="dxa"/>
            </w:tcMar>
          </w:tcPr>
          <w:p>
            <w:pPr>
              <w:spacing w:after="0"/>
            </w:pPr>
            <w:r/>
            <w:r>
              <w:t>Полная спецификация объектов, 1- и 2-морфизмов.</w:t>
            </w:r>
          </w:p>
        </w:tc>
      </w:tr>
      <w:tr>
        <w:trPr>
          <w:cantSplit/>
        </w:trPr>
        <w:tc>
          <w:tcPr>
            <w:tcW w:type="dxa" w:w="2438"/>
            <w:vAlign w:val="center"/>
            <w:tcMar>
              <w:top w:w="80" w:type="dxa"/>
              <w:start w:w="100" w:type="dxa"/>
              <w:bottom w:w="80" w:type="dxa"/>
              <w:end w:w="100" w:type="dxa"/>
            </w:tcMar>
          </w:tcPr>
          <w:p>
            <w:pPr>
              <w:spacing w:after="0"/>
              <w:jc w:val="center"/>
            </w:pPr>
            <w:r/>
            <w:r>
              <w:t>T2-PO-224</w:t>
            </w:r>
          </w:p>
        </w:tc>
        <w:tc>
          <w:tcPr>
            <w:tcW w:type="dxa" w:w="2438"/>
            <w:vAlign w:val="center"/>
            <w:tcMar>
              <w:top w:w="80" w:type="dxa"/>
              <w:start w:w="100" w:type="dxa"/>
              <w:bottom w:w="80" w:type="dxa"/>
              <w:end w:w="100" w:type="dxa"/>
            </w:tcMar>
          </w:tcPr>
          <w:p>
            <w:pPr>
              <w:spacing w:after="0"/>
            </w:pPr>
            <w:r/>
            <w:r>
              <w:t>Доказать покрытие footprints.</w:t>
            </w:r>
          </w:p>
        </w:tc>
        <w:tc>
          <w:tcPr>
            <w:tcW w:type="dxa" w:w="2438"/>
            <w:vAlign w:val="center"/>
            <w:tcMar>
              <w:top w:w="80" w:type="dxa"/>
              <w:start w:w="100" w:type="dxa"/>
              <w:bottom w:w="80" w:type="dxa"/>
              <w:end w:w="100" w:type="dxa"/>
            </w:tcMar>
            <w:shd w:fill="EAF0F7"/>
          </w:tcPr>
          <w:p>
            <w:pPr>
              <w:spacing w:after="0"/>
              <w:jc w:val="center"/>
            </w:pPr>
            <w:r/>
            <w:r>
              <w:t>MODEL-CLOSED</w:t>
            </w:r>
          </w:p>
        </w:tc>
        <w:tc>
          <w:tcPr>
            <w:tcW w:type="dxa" w:w="2438"/>
            <w:vAlign w:val="center"/>
            <w:tcMar>
              <w:top w:w="80" w:type="dxa"/>
              <w:start w:w="100" w:type="dxa"/>
              <w:bottom w:w="80" w:type="dxa"/>
              <w:end w:w="100" w:type="dxa"/>
            </w:tcMar>
          </w:tcPr>
          <w:p>
            <w:pPr>
              <w:spacing w:after="0"/>
            </w:pPr>
            <w:r/>
            <w:r>
              <w:t>Конечный atlas certificate.</w:t>
            </w:r>
          </w:p>
        </w:tc>
      </w:tr>
      <w:tr>
        <w:trPr>
          <w:cantSplit/>
        </w:trPr>
        <w:tc>
          <w:tcPr>
            <w:tcW w:type="dxa" w:w="2438"/>
            <w:vAlign w:val="center"/>
            <w:tcMar>
              <w:top w:w="80" w:type="dxa"/>
              <w:start w:w="100" w:type="dxa"/>
              <w:bottom w:w="80" w:type="dxa"/>
              <w:end w:w="100" w:type="dxa"/>
            </w:tcMar>
          </w:tcPr>
          <w:p>
            <w:pPr>
              <w:spacing w:after="0"/>
              <w:jc w:val="center"/>
            </w:pPr>
            <w:r/>
            <w:r>
              <w:t>T2-PO-225</w:t>
            </w:r>
          </w:p>
        </w:tc>
        <w:tc>
          <w:tcPr>
            <w:tcW w:type="dxa" w:w="2438"/>
            <w:vAlign w:val="center"/>
            <w:tcMar>
              <w:top w:w="80" w:type="dxa"/>
              <w:start w:w="100" w:type="dxa"/>
              <w:bottom w:w="80" w:type="dxa"/>
              <w:end w:w="100" w:type="dxa"/>
            </w:tcMar>
          </w:tcPr>
          <w:p>
            <w:pPr>
              <w:spacing w:after="0"/>
            </w:pPr>
            <w:r/>
            <w:r>
              <w:t>Типизировать coordinate changes.</w:t>
            </w:r>
          </w:p>
        </w:tc>
        <w:tc>
          <w:tcPr>
            <w:tcW w:type="dxa" w:w="2438"/>
            <w:vAlign w:val="center"/>
            <w:tcMar>
              <w:top w:w="80" w:type="dxa"/>
              <w:start w:w="100" w:type="dxa"/>
              <w:bottom w:w="80" w:type="dxa"/>
              <w:end w:w="100" w:type="dxa"/>
            </w:tcMar>
            <w:shd w:fill="EAF0F7"/>
          </w:tcPr>
          <w:p>
            <w:pPr>
              <w:spacing w:after="0"/>
              <w:jc w:val="center"/>
            </w:pPr>
            <w:r/>
            <w:r>
              <w:t>MODEL-CLOSED</w:t>
            </w:r>
          </w:p>
        </w:tc>
        <w:tc>
          <w:tcPr>
            <w:tcW w:type="dxa" w:w="2438"/>
            <w:vAlign w:val="center"/>
            <w:tcMar>
              <w:top w:w="80" w:type="dxa"/>
              <w:start w:w="100" w:type="dxa"/>
              <w:bottom w:w="80" w:type="dxa"/>
              <w:end w:w="100" w:type="dxa"/>
            </w:tcMar>
          </w:tcPr>
          <w:p>
            <w:pPr>
              <w:spacing w:after="0"/>
            </w:pPr>
            <w:r/>
            <w:r>
              <w:t>Проверка (18.4) на каждой модели.</w:t>
            </w:r>
          </w:p>
        </w:tc>
      </w:tr>
      <w:tr>
        <w:trPr>
          <w:cantSplit/>
        </w:trPr>
        <w:tc>
          <w:tcPr>
            <w:tcW w:type="dxa" w:w="2438"/>
            <w:vAlign w:val="center"/>
            <w:tcMar>
              <w:top w:w="80" w:type="dxa"/>
              <w:start w:w="100" w:type="dxa"/>
              <w:bottom w:w="80" w:type="dxa"/>
              <w:end w:w="100" w:type="dxa"/>
            </w:tcMar>
          </w:tcPr>
          <w:p>
            <w:pPr>
              <w:spacing w:after="0"/>
              <w:jc w:val="center"/>
            </w:pPr>
            <w:r/>
            <w:r>
              <w:t>T2-PO-226</w:t>
            </w:r>
          </w:p>
        </w:tc>
        <w:tc>
          <w:tcPr>
            <w:tcW w:type="dxa" w:w="2438"/>
            <w:vAlign w:val="center"/>
            <w:tcMar>
              <w:top w:w="80" w:type="dxa"/>
              <w:start w:w="100" w:type="dxa"/>
              <w:bottom w:w="80" w:type="dxa"/>
              <w:end w:w="100" w:type="dxa"/>
            </w:tcMar>
          </w:tcPr>
          <w:p>
            <w:pPr>
              <w:spacing w:after="0"/>
            </w:pPr>
            <w:r/>
            <w:r>
              <w:t>Построить triple 2-cocycle.</w:t>
            </w:r>
          </w:p>
        </w:tc>
        <w:tc>
          <w:tcPr>
            <w:tcW w:type="dxa" w:w="2438"/>
            <w:vAlign w:val="center"/>
            <w:tcMar>
              <w:top w:w="80" w:type="dxa"/>
              <w:start w:w="100" w:type="dxa"/>
              <w:bottom w:w="80" w:type="dxa"/>
              <w:end w:w="100" w:type="dxa"/>
            </w:tcMar>
            <w:shd w:fill="FAE5E1"/>
          </w:tcPr>
          <w:p>
            <w:pPr>
              <w:spacing w:after="0"/>
              <w:jc w:val="center"/>
            </w:pPr>
            <w:r/>
            <w:r>
              <w:t>OPEN</w:t>
            </w:r>
          </w:p>
        </w:tc>
        <w:tc>
          <w:tcPr>
            <w:tcW w:type="dxa" w:w="2438"/>
            <w:vAlign w:val="center"/>
            <w:tcMar>
              <w:top w:w="80" w:type="dxa"/>
              <w:start w:w="100" w:type="dxa"/>
              <w:bottom w:w="80" w:type="dxa"/>
              <w:end w:w="100" w:type="dxa"/>
            </w:tcMar>
          </w:tcPr>
          <w:p>
            <w:pPr>
              <w:spacing w:after="0"/>
            </w:pPr>
            <w:r/>
            <w:r>
              <w:t>Явные αᵢⱼₖ.</w:t>
            </w:r>
          </w:p>
        </w:tc>
      </w:tr>
      <w:tr>
        <w:trPr>
          <w:cantSplit/>
        </w:trPr>
        <w:tc>
          <w:tcPr>
            <w:tcW w:type="dxa" w:w="2438"/>
            <w:vAlign w:val="center"/>
            <w:tcMar>
              <w:top w:w="80" w:type="dxa"/>
              <w:start w:w="100" w:type="dxa"/>
              <w:bottom w:w="80" w:type="dxa"/>
              <w:end w:w="100" w:type="dxa"/>
            </w:tcMar>
          </w:tcPr>
          <w:p>
            <w:pPr>
              <w:spacing w:after="0"/>
              <w:jc w:val="center"/>
            </w:pPr>
            <w:r/>
            <w:r>
              <w:t>T2-PO-227</w:t>
            </w:r>
          </w:p>
        </w:tc>
        <w:tc>
          <w:tcPr>
            <w:tcW w:type="dxa" w:w="2438"/>
            <w:vAlign w:val="center"/>
            <w:tcMar>
              <w:top w:w="80" w:type="dxa"/>
              <w:start w:w="100" w:type="dxa"/>
              <w:bottom w:w="80" w:type="dxa"/>
              <w:end w:w="100" w:type="dxa"/>
            </w:tcMar>
          </w:tcPr>
          <w:p>
            <w:pPr>
              <w:spacing w:after="0"/>
            </w:pPr>
            <w:r/>
            <w:r>
              <w:t>Проверить quadruple coherence.</w:t>
            </w:r>
          </w:p>
        </w:tc>
        <w:tc>
          <w:tcPr>
            <w:tcW w:type="dxa" w:w="2438"/>
            <w:vAlign w:val="center"/>
            <w:tcMar>
              <w:top w:w="80" w:type="dxa"/>
              <w:start w:w="100" w:type="dxa"/>
              <w:bottom w:w="80" w:type="dxa"/>
              <w:end w:w="100" w:type="dxa"/>
            </w:tcMar>
            <w:shd w:fill="FAE5E1"/>
          </w:tcPr>
          <w:p>
            <w:pPr>
              <w:spacing w:after="0"/>
              <w:jc w:val="center"/>
            </w:pPr>
            <w:r/>
            <w:r>
              <w:t>OPEN</w:t>
            </w:r>
          </w:p>
        </w:tc>
        <w:tc>
          <w:tcPr>
            <w:tcW w:type="dxa" w:w="2438"/>
            <w:vAlign w:val="center"/>
            <w:tcMar>
              <w:top w:w="80" w:type="dxa"/>
              <w:start w:w="100" w:type="dxa"/>
              <w:bottom w:w="80" w:type="dxa"/>
              <w:end w:w="100" w:type="dxa"/>
            </w:tcMar>
          </w:tcPr>
          <w:p>
            <w:pPr>
              <w:spacing w:after="0"/>
            </w:pPr>
            <w:r/>
            <w:r>
              <w:t>Pentagon/higher homotopy certificate.</w:t>
            </w:r>
          </w:p>
        </w:tc>
      </w:tr>
      <w:tr>
        <w:trPr>
          <w:cantSplit/>
        </w:trPr>
        <w:tc>
          <w:tcPr>
            <w:tcW w:type="dxa" w:w="2438"/>
            <w:vAlign w:val="center"/>
            <w:tcMar>
              <w:top w:w="80" w:type="dxa"/>
              <w:start w:w="100" w:type="dxa"/>
              <w:bottom w:w="80" w:type="dxa"/>
              <w:end w:w="100" w:type="dxa"/>
            </w:tcMar>
          </w:tcPr>
          <w:p>
            <w:pPr>
              <w:spacing w:after="0"/>
              <w:jc w:val="center"/>
            </w:pPr>
            <w:r/>
            <w:r>
              <w:t>T2-PO-228</w:t>
            </w:r>
          </w:p>
        </w:tc>
        <w:tc>
          <w:tcPr>
            <w:tcW w:type="dxa" w:w="2438"/>
            <w:vAlign w:val="center"/>
            <w:tcMar>
              <w:top w:w="80" w:type="dxa"/>
              <w:start w:w="100" w:type="dxa"/>
              <w:bottom w:w="80" w:type="dxa"/>
              <w:end w:w="100" w:type="dxa"/>
            </w:tcMar>
          </w:tcPr>
          <w:p>
            <w:pPr>
              <w:spacing w:after="0"/>
            </w:pPr>
            <w:r/>
            <w:r>
              <w:t>Классифицировать stabilizers.</w:t>
            </w:r>
          </w:p>
        </w:tc>
        <w:tc>
          <w:tcPr>
            <w:tcW w:type="dxa" w:w="2438"/>
            <w:vAlign w:val="center"/>
            <w:tcMar>
              <w:top w:w="80" w:type="dxa"/>
              <w:start w:w="100" w:type="dxa"/>
              <w:bottom w:w="80" w:type="dxa"/>
              <w:end w:w="100" w:type="dxa"/>
            </w:tcMar>
            <w:shd w:fill="F8EFD3"/>
          </w:tcPr>
          <w:p>
            <w:pPr>
              <w:spacing w:after="0"/>
              <w:jc w:val="center"/>
            </w:pPr>
            <w:r/>
            <w:r>
              <w:t>COND</w:t>
            </w:r>
          </w:p>
        </w:tc>
        <w:tc>
          <w:tcPr>
            <w:tcW w:type="dxa" w:w="2438"/>
            <w:vAlign w:val="center"/>
            <w:tcMar>
              <w:top w:w="80" w:type="dxa"/>
              <w:start w:w="100" w:type="dxa"/>
              <w:bottom w:w="80" w:type="dxa"/>
              <w:end w:w="100" w:type="dxa"/>
            </w:tcMar>
          </w:tcPr>
          <w:p>
            <w:pPr>
              <w:spacing w:after="0"/>
            </w:pPr>
            <w:r/>
            <w:r>
              <w:t>Stacky local models.</w:t>
            </w:r>
          </w:p>
        </w:tc>
      </w:tr>
      <w:tr>
        <w:trPr>
          <w:cantSplit/>
        </w:trPr>
        <w:tc>
          <w:tcPr>
            <w:tcW w:type="dxa" w:w="2438"/>
            <w:vAlign w:val="center"/>
            <w:tcMar>
              <w:top w:w="80" w:type="dxa"/>
              <w:start w:w="100" w:type="dxa"/>
              <w:bottom w:w="80" w:type="dxa"/>
              <w:end w:w="100" w:type="dxa"/>
            </w:tcMar>
          </w:tcPr>
          <w:p>
            <w:pPr>
              <w:spacing w:after="0"/>
              <w:jc w:val="center"/>
            </w:pPr>
            <w:r/>
            <w:r>
              <w:t>T2-PO-229</w:t>
            </w:r>
          </w:p>
        </w:tc>
        <w:tc>
          <w:tcPr>
            <w:tcW w:type="dxa" w:w="2438"/>
            <w:vAlign w:val="center"/>
            <w:tcMar>
              <w:top w:w="80" w:type="dxa"/>
              <w:start w:w="100" w:type="dxa"/>
              <w:bottom w:w="80" w:type="dxa"/>
              <w:end w:w="100" w:type="dxa"/>
            </w:tcMar>
          </w:tcPr>
          <w:p>
            <w:pPr>
              <w:spacing w:after="0"/>
            </w:pPr>
            <w:r/>
            <w:r>
              <w:t>Доказать Morita/presentation invariance.</w:t>
            </w:r>
          </w:p>
        </w:tc>
        <w:tc>
          <w:tcPr>
            <w:tcW w:type="dxa" w:w="2438"/>
            <w:vAlign w:val="center"/>
            <w:tcMar>
              <w:top w:w="80" w:type="dxa"/>
              <w:start w:w="100" w:type="dxa"/>
              <w:bottom w:w="80" w:type="dxa"/>
              <w:end w:w="100" w:type="dxa"/>
            </w:tcMar>
            <w:shd w:fill="F8EFD3"/>
          </w:tcPr>
          <w:p>
            <w:pPr>
              <w:spacing w:after="0"/>
              <w:jc w:val="center"/>
            </w:pPr>
            <w:r/>
            <w:r>
              <w:t>COND</w:t>
            </w:r>
          </w:p>
        </w:tc>
        <w:tc>
          <w:tcPr>
            <w:tcW w:type="dxa" w:w="2438"/>
            <w:vAlign w:val="center"/>
            <w:tcMar>
              <w:top w:w="80" w:type="dxa"/>
              <w:start w:w="100" w:type="dxa"/>
              <w:bottom w:w="80" w:type="dxa"/>
              <w:end w:w="100" w:type="dxa"/>
            </w:tcMar>
          </w:tcPr>
          <w:p>
            <w:pPr>
              <w:spacing w:after="0"/>
            </w:pPr>
            <w:r/>
            <w:r>
              <w:t>Equivalence of atlases.</w:t>
            </w:r>
          </w:p>
        </w:tc>
      </w:tr>
      <w:tr>
        <w:trPr>
          <w:cantSplit/>
        </w:trPr>
        <w:tc>
          <w:tcPr>
            <w:tcW w:type="dxa" w:w="2438"/>
            <w:vAlign w:val="center"/>
            <w:tcMar>
              <w:top w:w="80" w:type="dxa"/>
              <w:start w:w="100" w:type="dxa"/>
              <w:bottom w:w="80" w:type="dxa"/>
              <w:end w:w="100" w:type="dxa"/>
            </w:tcMar>
          </w:tcPr>
          <w:p>
            <w:pPr>
              <w:spacing w:after="0"/>
              <w:jc w:val="center"/>
            </w:pPr>
            <w:r/>
            <w:r>
              <w:t>T2-PO-230</w:t>
            </w:r>
          </w:p>
        </w:tc>
        <w:tc>
          <w:tcPr>
            <w:tcW w:type="dxa" w:w="2438"/>
            <w:vAlign w:val="center"/>
            <w:tcMar>
              <w:top w:w="80" w:type="dxa"/>
              <w:start w:w="100" w:type="dxa"/>
              <w:bottom w:w="80" w:type="dxa"/>
              <w:end w:w="100" w:type="dxa"/>
            </w:tcMar>
          </w:tcPr>
          <w:p>
            <w:pPr>
              <w:spacing w:after="0"/>
            </w:pPr>
            <w:r/>
            <w:r>
              <w:t>Построить global derived enhancement.</w:t>
            </w:r>
          </w:p>
        </w:tc>
        <w:tc>
          <w:tcPr>
            <w:tcW w:type="dxa" w:w="2438"/>
            <w:vAlign w:val="center"/>
            <w:tcMar>
              <w:top w:w="80" w:type="dxa"/>
              <w:start w:w="100" w:type="dxa"/>
              <w:bottom w:w="80" w:type="dxa"/>
              <w:end w:w="100" w:type="dxa"/>
            </w:tcMar>
            <w:shd w:fill="FAE5E1"/>
          </w:tcPr>
          <w:p>
            <w:pPr>
              <w:spacing w:after="0"/>
              <w:jc w:val="center"/>
            </w:pPr>
            <w:r/>
            <w:r>
              <w:t>OPEN</w:t>
            </w:r>
          </w:p>
        </w:tc>
        <w:tc>
          <w:tcPr>
            <w:tcW w:type="dxa" w:w="2438"/>
            <w:vAlign w:val="center"/>
            <w:tcMar>
              <w:top w:w="80" w:type="dxa"/>
              <w:start w:w="100" w:type="dxa"/>
              <w:bottom w:w="80" w:type="dxa"/>
              <w:end w:w="100" w:type="dxa"/>
            </w:tcMar>
          </w:tcPr>
          <w:p>
            <w:pPr>
              <w:spacing w:after="0"/>
            </w:pPr>
            <w:r/>
            <w:r>
              <w:t>Controlling ∞/L∞-model.</w:t>
            </w:r>
          </w:p>
        </w:tc>
      </w:tr>
      <w:tr>
        <w:trPr>
          <w:cantSplit/>
        </w:trPr>
        <w:tc>
          <w:tcPr>
            <w:tcW w:type="dxa" w:w="2438"/>
            <w:vAlign w:val="center"/>
            <w:tcMar>
              <w:top w:w="80" w:type="dxa"/>
              <w:start w:w="100" w:type="dxa"/>
              <w:bottom w:w="80" w:type="dxa"/>
              <w:end w:w="100" w:type="dxa"/>
            </w:tcMar>
          </w:tcPr>
          <w:p>
            <w:pPr>
              <w:spacing w:after="0"/>
              <w:jc w:val="center"/>
            </w:pPr>
            <w:r/>
            <w:r>
              <w:t>T2-PO-231</w:t>
            </w:r>
          </w:p>
        </w:tc>
        <w:tc>
          <w:tcPr>
            <w:tcW w:type="dxa" w:w="2438"/>
            <w:vAlign w:val="center"/>
            <w:tcMar>
              <w:top w:w="80" w:type="dxa"/>
              <w:start w:w="100" w:type="dxa"/>
              <w:bottom w:w="80" w:type="dxa"/>
              <w:end w:w="100" w:type="dxa"/>
            </w:tcMar>
          </w:tcPr>
          <w:p>
            <w:pPr>
              <w:spacing w:after="0"/>
            </w:pPr>
            <w:r/>
            <w:r>
              <w:t>Построить virtual tangent complex.</w:t>
            </w:r>
          </w:p>
        </w:tc>
        <w:tc>
          <w:tcPr>
            <w:tcW w:type="dxa" w:w="2438"/>
            <w:vAlign w:val="center"/>
            <w:tcMar>
              <w:top w:w="80" w:type="dxa"/>
              <w:start w:w="100" w:type="dxa"/>
              <w:bottom w:w="80" w:type="dxa"/>
              <w:end w:w="100" w:type="dxa"/>
            </w:tcMar>
            <w:shd w:fill="EAF0F7"/>
          </w:tcPr>
          <w:p>
            <w:pPr>
              <w:spacing w:after="0"/>
              <w:jc w:val="center"/>
            </w:pPr>
            <w:r/>
            <w:r>
              <w:t>MODEL-CLOSED</w:t>
            </w:r>
          </w:p>
        </w:tc>
        <w:tc>
          <w:tcPr>
            <w:tcW w:type="dxa" w:w="2438"/>
            <w:vAlign w:val="center"/>
            <w:tcMar>
              <w:top w:w="80" w:type="dxa"/>
              <w:start w:w="100" w:type="dxa"/>
              <w:bottom w:w="80" w:type="dxa"/>
              <w:end w:w="100" w:type="dxa"/>
            </w:tcMar>
          </w:tcPr>
          <w:p>
            <w:pPr>
              <w:spacing w:after="0"/>
            </w:pPr>
            <w:r/>
            <w:r>
              <w:t>Локальный трёхчленный сектор.</w:t>
            </w:r>
          </w:p>
        </w:tc>
      </w:tr>
      <w:tr>
        <w:trPr>
          <w:cantSplit/>
        </w:trPr>
        <w:tc>
          <w:tcPr>
            <w:tcW w:type="dxa" w:w="2438"/>
            <w:vAlign w:val="center"/>
            <w:tcMar>
              <w:top w:w="80" w:type="dxa"/>
              <w:start w:w="100" w:type="dxa"/>
              <w:bottom w:w="80" w:type="dxa"/>
              <w:end w:w="100" w:type="dxa"/>
            </w:tcMar>
          </w:tcPr>
          <w:p>
            <w:pPr>
              <w:spacing w:after="0"/>
              <w:jc w:val="center"/>
            </w:pPr>
            <w:r/>
            <w:r>
              <w:t>T2-PO-232</w:t>
            </w:r>
          </w:p>
        </w:tc>
        <w:tc>
          <w:tcPr>
            <w:tcW w:type="dxa" w:w="2438"/>
            <w:vAlign w:val="center"/>
            <w:tcMar>
              <w:top w:w="80" w:type="dxa"/>
              <w:start w:w="100" w:type="dxa"/>
              <w:bottom w:w="80" w:type="dxa"/>
              <w:end w:w="100" w:type="dxa"/>
            </w:tcMar>
          </w:tcPr>
          <w:p>
            <w:pPr>
              <w:spacing w:after="0"/>
            </w:pPr>
            <w:r/>
            <w:r>
              <w:t>Доказать существование perfect obstruction theory.</w:t>
            </w:r>
          </w:p>
        </w:tc>
        <w:tc>
          <w:tcPr>
            <w:tcW w:type="dxa" w:w="2438"/>
            <w:vAlign w:val="center"/>
            <w:tcMar>
              <w:top w:w="80" w:type="dxa"/>
              <w:start w:w="100" w:type="dxa"/>
              <w:bottom w:w="80" w:type="dxa"/>
              <w:end w:w="100" w:type="dxa"/>
            </w:tcMar>
            <w:shd w:fill="FAE5E1"/>
          </w:tcPr>
          <w:p>
            <w:pPr>
              <w:spacing w:after="0"/>
              <w:jc w:val="center"/>
            </w:pPr>
            <w:r/>
            <w:r>
              <w:t>OPEN</w:t>
            </w:r>
          </w:p>
        </w:tc>
        <w:tc>
          <w:tcPr>
            <w:tcW w:type="dxa" w:w="2438"/>
            <w:vAlign w:val="center"/>
            <w:tcMar>
              <w:top w:w="80" w:type="dxa"/>
              <w:start w:w="100" w:type="dxa"/>
              <w:bottom w:w="80" w:type="dxa"/>
              <w:end w:w="100" w:type="dxa"/>
            </w:tcMar>
          </w:tcPr>
          <w:p>
            <w:pPr>
              <w:spacing w:after="0"/>
            </w:pPr>
            <w:r/>
            <w:r>
              <w:t>BF-type morphism E•→L_𝔐.</w:t>
            </w:r>
          </w:p>
        </w:tc>
      </w:tr>
      <w:tr>
        <w:trPr>
          <w:cantSplit/>
        </w:trPr>
        <w:tc>
          <w:tcPr>
            <w:tcW w:type="dxa" w:w="2438"/>
            <w:vAlign w:val="center"/>
            <w:tcMar>
              <w:top w:w="80" w:type="dxa"/>
              <w:start w:w="100" w:type="dxa"/>
              <w:bottom w:w="80" w:type="dxa"/>
              <w:end w:w="100" w:type="dxa"/>
            </w:tcMar>
          </w:tcPr>
          <w:p>
            <w:pPr>
              <w:spacing w:after="0"/>
              <w:jc w:val="center"/>
            </w:pPr>
            <w:r/>
            <w:r>
              <w:t>T2-PO-233</w:t>
            </w:r>
          </w:p>
        </w:tc>
        <w:tc>
          <w:tcPr>
            <w:tcW w:type="dxa" w:w="2438"/>
            <w:vAlign w:val="center"/>
            <w:tcMar>
              <w:top w:w="80" w:type="dxa"/>
              <w:start w:w="100" w:type="dxa"/>
              <w:bottom w:w="80" w:type="dxa"/>
              <w:end w:w="100" w:type="dxa"/>
            </w:tcMar>
          </w:tcPr>
          <w:p>
            <w:pPr>
              <w:spacing w:after="0"/>
            </w:pPr>
            <w:r/>
            <w:r>
              <w:t>Зафиксировать Tor-amplitude.</w:t>
            </w:r>
          </w:p>
        </w:tc>
        <w:tc>
          <w:tcPr>
            <w:tcW w:type="dxa" w:w="2438"/>
            <w:vAlign w:val="center"/>
            <w:tcMar>
              <w:top w:w="80" w:type="dxa"/>
              <w:start w:w="100" w:type="dxa"/>
              <w:bottom w:w="80" w:type="dxa"/>
              <w:end w:w="100" w:type="dxa"/>
            </w:tcMar>
            <w:shd w:fill="F8EFD3"/>
          </w:tcPr>
          <w:p>
            <w:pPr>
              <w:spacing w:after="0"/>
              <w:jc w:val="center"/>
            </w:pPr>
            <w:r/>
            <w:r>
              <w:t>COND</w:t>
            </w:r>
          </w:p>
        </w:tc>
        <w:tc>
          <w:tcPr>
            <w:tcW w:type="dxa" w:w="2438"/>
            <w:vAlign w:val="center"/>
            <w:tcMar>
              <w:top w:w="80" w:type="dxa"/>
              <w:start w:w="100" w:type="dxa"/>
              <w:bottom w:w="80" w:type="dxa"/>
              <w:end w:w="100" w:type="dxa"/>
            </w:tcMar>
          </w:tcPr>
          <w:p>
            <w:pPr>
              <w:spacing w:after="0"/>
            </w:pPr>
            <w:r/>
            <w:r>
              <w:t>Проверка perfectness.</w:t>
            </w:r>
          </w:p>
        </w:tc>
      </w:tr>
      <w:tr>
        <w:trPr>
          <w:cantSplit/>
        </w:trPr>
        <w:tc>
          <w:tcPr>
            <w:tcW w:type="dxa" w:w="2438"/>
            <w:vAlign w:val="center"/>
            <w:tcMar>
              <w:top w:w="80" w:type="dxa"/>
              <w:start w:w="100" w:type="dxa"/>
              <w:bottom w:w="80" w:type="dxa"/>
              <w:end w:w="100" w:type="dxa"/>
            </w:tcMar>
          </w:tcPr>
          <w:p>
            <w:pPr>
              <w:spacing w:after="0"/>
              <w:jc w:val="center"/>
            </w:pPr>
            <w:r/>
            <w:r>
              <w:t>T2-PO-234</w:t>
            </w:r>
          </w:p>
        </w:tc>
        <w:tc>
          <w:tcPr>
            <w:tcW w:type="dxa" w:w="2438"/>
            <w:vAlign w:val="center"/>
            <w:tcMar>
              <w:top w:w="80" w:type="dxa"/>
              <w:start w:w="100" w:type="dxa"/>
              <w:bottom w:w="80" w:type="dxa"/>
              <w:end w:w="100" w:type="dxa"/>
            </w:tcMar>
          </w:tcPr>
          <w:p>
            <w:pPr>
              <w:spacing w:after="0"/>
            </w:pPr>
            <w:r/>
            <w:r>
              <w:t>Построить obstruction sheaf и cone.</w:t>
            </w:r>
          </w:p>
        </w:tc>
        <w:tc>
          <w:tcPr>
            <w:tcW w:type="dxa" w:w="2438"/>
            <w:vAlign w:val="center"/>
            <w:tcMar>
              <w:top w:w="80" w:type="dxa"/>
              <w:start w:w="100" w:type="dxa"/>
              <w:bottom w:w="80" w:type="dxa"/>
              <w:end w:w="100" w:type="dxa"/>
            </w:tcMar>
            <w:shd w:fill="F8EFD3"/>
          </w:tcPr>
          <w:p>
            <w:pPr>
              <w:spacing w:after="0"/>
              <w:jc w:val="center"/>
            </w:pPr>
            <w:r/>
            <w:r>
              <w:t>COND</w:t>
            </w:r>
          </w:p>
        </w:tc>
        <w:tc>
          <w:tcPr>
            <w:tcW w:type="dxa" w:w="2438"/>
            <w:vAlign w:val="center"/>
            <w:tcMar>
              <w:top w:w="80" w:type="dxa"/>
              <w:start w:w="100" w:type="dxa"/>
              <w:bottom w:w="80" w:type="dxa"/>
              <w:end w:w="100" w:type="dxa"/>
            </w:tcMar>
          </w:tcPr>
          <w:p>
            <w:pPr>
              <w:spacing w:after="0"/>
            </w:pPr>
            <w:r/>
            <w:r>
              <w:t>Global POT/derived enhancement.</w:t>
            </w:r>
          </w:p>
        </w:tc>
      </w:tr>
      <w:tr>
        <w:trPr>
          <w:cantSplit/>
        </w:trPr>
        <w:tc>
          <w:tcPr>
            <w:tcW w:type="dxa" w:w="2438"/>
            <w:vAlign w:val="center"/>
            <w:tcMar>
              <w:top w:w="80" w:type="dxa"/>
              <w:start w:w="100" w:type="dxa"/>
              <w:bottom w:w="80" w:type="dxa"/>
              <w:end w:w="100" w:type="dxa"/>
            </w:tcMar>
          </w:tcPr>
          <w:p>
            <w:pPr>
              <w:spacing w:after="0"/>
              <w:jc w:val="center"/>
            </w:pPr>
            <w:r/>
            <w:r>
              <w:t>T2-PO-235</w:t>
            </w:r>
          </w:p>
        </w:tc>
        <w:tc>
          <w:tcPr>
            <w:tcW w:type="dxa" w:w="2438"/>
            <w:vAlign w:val="center"/>
            <w:tcMar>
              <w:top w:w="80" w:type="dxa"/>
              <w:start w:w="100" w:type="dxa"/>
              <w:bottom w:w="80" w:type="dxa"/>
              <w:end w:w="100" w:type="dxa"/>
            </w:tcMar>
          </w:tcPr>
          <w:p>
            <w:pPr>
              <w:spacing w:after="0"/>
            </w:pPr>
            <w:r/>
            <w:r>
              <w:t>Склеить local obstruction theories.</w:t>
            </w:r>
          </w:p>
        </w:tc>
        <w:tc>
          <w:tcPr>
            <w:tcW w:type="dxa" w:w="2438"/>
            <w:vAlign w:val="center"/>
            <w:tcMar>
              <w:top w:w="80" w:type="dxa"/>
              <w:start w:w="100" w:type="dxa"/>
              <w:bottom w:w="80" w:type="dxa"/>
              <w:end w:w="100" w:type="dxa"/>
            </w:tcMar>
            <w:shd w:fill="FAE5E1"/>
          </w:tcPr>
          <w:p>
            <w:pPr>
              <w:spacing w:after="0"/>
              <w:jc w:val="center"/>
            </w:pPr>
            <w:r/>
            <w:r>
              <w:t>OPEN</w:t>
            </w:r>
          </w:p>
        </w:tc>
        <w:tc>
          <w:tcPr>
            <w:tcW w:type="dxa" w:w="2438"/>
            <w:vAlign w:val="center"/>
            <w:tcMar>
              <w:top w:w="80" w:type="dxa"/>
              <w:start w:w="100" w:type="dxa"/>
              <w:bottom w:w="80" w:type="dxa"/>
              <w:end w:w="100" w:type="dxa"/>
            </w:tcMar>
          </w:tcPr>
          <w:p>
            <w:pPr>
              <w:spacing w:after="0"/>
            </w:pPr>
            <w:r/>
            <w:r>
              <w:t>Homotopy-coherent quasi-isomorphisms.</w:t>
            </w:r>
          </w:p>
        </w:tc>
      </w:tr>
      <w:tr>
        <w:trPr>
          <w:cantSplit/>
        </w:trPr>
        <w:tc>
          <w:tcPr>
            <w:tcW w:type="dxa" w:w="2438"/>
            <w:vAlign w:val="center"/>
            <w:tcMar>
              <w:top w:w="80" w:type="dxa"/>
              <w:start w:w="100" w:type="dxa"/>
              <w:bottom w:w="80" w:type="dxa"/>
              <w:end w:w="100" w:type="dxa"/>
            </w:tcMar>
          </w:tcPr>
          <w:p>
            <w:pPr>
              <w:spacing w:after="0"/>
              <w:jc w:val="center"/>
            </w:pPr>
            <w:r/>
            <w:r>
              <w:t>T2-PO-236</w:t>
            </w:r>
          </w:p>
        </w:tc>
        <w:tc>
          <w:tcPr>
            <w:tcW w:type="dxa" w:w="2438"/>
            <w:vAlign w:val="center"/>
            <w:tcMar>
              <w:top w:w="80" w:type="dxa"/>
              <w:start w:w="100" w:type="dxa"/>
              <w:bottom w:w="80" w:type="dxa"/>
              <w:end w:w="100" w:type="dxa"/>
            </w:tcMar>
          </w:tcPr>
          <w:p>
            <w:pPr>
              <w:spacing w:after="0"/>
            </w:pPr>
            <w:r/>
            <w:r>
              <w:t>Вычислить descent obstruction.</w:t>
            </w:r>
          </w:p>
        </w:tc>
        <w:tc>
          <w:tcPr>
            <w:tcW w:type="dxa" w:w="2438"/>
            <w:vAlign w:val="center"/>
            <w:tcMar>
              <w:top w:w="80" w:type="dxa"/>
              <w:start w:w="100" w:type="dxa"/>
              <w:bottom w:w="80" w:type="dxa"/>
              <w:end w:w="100" w:type="dxa"/>
            </w:tcMar>
            <w:shd w:fill="F8EFD3"/>
          </w:tcPr>
          <w:p>
            <w:pPr>
              <w:spacing w:after="0"/>
              <w:jc w:val="center"/>
            </w:pPr>
            <w:r/>
            <w:r>
              <w:t>COND</w:t>
            </w:r>
          </w:p>
        </w:tc>
        <w:tc>
          <w:tcPr>
            <w:tcW w:type="dxa" w:w="2438"/>
            <w:vAlign w:val="center"/>
            <w:tcMar>
              <w:top w:w="80" w:type="dxa"/>
              <w:start w:w="100" w:type="dxa"/>
              <w:bottom w:w="80" w:type="dxa"/>
              <w:end w:w="100" w:type="dxa"/>
            </w:tcMar>
          </w:tcPr>
          <w:p>
            <w:pPr>
              <w:spacing w:after="0"/>
            </w:pPr>
            <w:r/>
            <w:r>
              <w:t>Central band либо full totalization.</w:t>
            </w:r>
          </w:p>
        </w:tc>
      </w:tr>
      <w:tr>
        <w:trPr>
          <w:cantSplit/>
        </w:trPr>
        <w:tc>
          <w:tcPr>
            <w:tcW w:type="dxa" w:w="2438"/>
            <w:vAlign w:val="center"/>
            <w:tcMar>
              <w:top w:w="80" w:type="dxa"/>
              <w:start w:w="100" w:type="dxa"/>
              <w:bottom w:w="80" w:type="dxa"/>
              <w:end w:w="100" w:type="dxa"/>
            </w:tcMar>
          </w:tcPr>
          <w:p>
            <w:pPr>
              <w:spacing w:after="0"/>
              <w:jc w:val="center"/>
            </w:pPr>
            <w:r/>
            <w:r>
              <w:t>T2-PO-237</w:t>
            </w:r>
          </w:p>
        </w:tc>
        <w:tc>
          <w:tcPr>
            <w:tcW w:type="dxa" w:w="2438"/>
            <w:vAlign w:val="center"/>
            <w:tcMar>
              <w:top w:w="80" w:type="dxa"/>
              <w:start w:w="100" w:type="dxa"/>
              <w:bottom w:w="80" w:type="dxa"/>
              <w:end w:w="100" w:type="dxa"/>
            </w:tcMar>
          </w:tcPr>
          <w:p>
            <w:pPr>
              <w:spacing w:after="0"/>
            </w:pPr>
            <w:r/>
            <w:r>
              <w:t>Доказать сохранение perfectness при descent.</w:t>
            </w:r>
          </w:p>
        </w:tc>
        <w:tc>
          <w:tcPr>
            <w:tcW w:type="dxa" w:w="2438"/>
            <w:vAlign w:val="center"/>
            <w:tcMar>
              <w:top w:w="80" w:type="dxa"/>
              <w:start w:w="100" w:type="dxa"/>
              <w:bottom w:w="80" w:type="dxa"/>
              <w:end w:w="100" w:type="dxa"/>
            </w:tcMar>
            <w:shd w:fill="F8EFD3"/>
          </w:tcPr>
          <w:p>
            <w:pPr>
              <w:spacing w:after="0"/>
              <w:jc w:val="center"/>
            </w:pPr>
            <w:r/>
            <w:r>
              <w:t>COND</w:t>
            </w:r>
          </w:p>
        </w:tc>
        <w:tc>
          <w:tcPr>
            <w:tcW w:type="dxa" w:w="2438"/>
            <w:vAlign w:val="center"/>
            <w:tcMar>
              <w:top w:w="80" w:type="dxa"/>
              <w:start w:w="100" w:type="dxa"/>
              <w:bottom w:w="80" w:type="dxa"/>
              <w:end w:w="100" w:type="dxa"/>
            </w:tcMar>
          </w:tcPr>
          <w:p>
            <w:pPr>
              <w:spacing w:after="0"/>
            </w:pPr>
            <w:r/>
            <w:r>
              <w:t>Derived descent theorem в выбранной категории.</w:t>
            </w:r>
          </w:p>
        </w:tc>
      </w:tr>
      <w:tr>
        <w:trPr>
          <w:cantSplit/>
        </w:trPr>
        <w:tc>
          <w:tcPr>
            <w:tcW w:type="dxa" w:w="2438"/>
            <w:vAlign w:val="center"/>
            <w:tcMar>
              <w:top w:w="80" w:type="dxa"/>
              <w:start w:w="100" w:type="dxa"/>
              <w:bottom w:w="80" w:type="dxa"/>
              <w:end w:w="100" w:type="dxa"/>
            </w:tcMar>
          </w:tcPr>
          <w:p>
            <w:pPr>
              <w:spacing w:after="0"/>
              <w:jc w:val="center"/>
            </w:pPr>
            <w:r/>
            <w:r>
              <w:t>T2-PO-238</w:t>
            </w:r>
          </w:p>
        </w:tc>
        <w:tc>
          <w:tcPr>
            <w:tcW w:type="dxa" w:w="2438"/>
            <w:vAlign w:val="center"/>
            <w:tcMar>
              <w:top w:w="80" w:type="dxa"/>
              <w:start w:w="100" w:type="dxa"/>
              <w:bottom w:w="80" w:type="dxa"/>
              <w:end w:w="100" w:type="dxa"/>
            </w:tcMar>
          </w:tcPr>
          <w:p>
            <w:pPr>
              <w:spacing w:after="0"/>
            </w:pPr>
            <w:r/>
            <w:r>
              <w:t>Построить determinant/orientation data.</w:t>
            </w:r>
          </w:p>
        </w:tc>
        <w:tc>
          <w:tcPr>
            <w:tcW w:type="dxa" w:w="2438"/>
            <w:vAlign w:val="center"/>
            <w:tcMar>
              <w:top w:w="80" w:type="dxa"/>
              <w:start w:w="100" w:type="dxa"/>
              <w:bottom w:w="80" w:type="dxa"/>
              <w:end w:w="100" w:type="dxa"/>
            </w:tcMar>
            <w:shd w:fill="FAE5E1"/>
          </w:tcPr>
          <w:p>
            <w:pPr>
              <w:spacing w:after="0"/>
              <w:jc w:val="center"/>
            </w:pPr>
            <w:r/>
            <w:r>
              <w:t>OPEN</w:t>
            </w:r>
          </w:p>
        </w:tc>
        <w:tc>
          <w:tcPr>
            <w:tcW w:type="dxa" w:w="2438"/>
            <w:vAlign w:val="center"/>
            <w:tcMar>
              <w:top w:w="80" w:type="dxa"/>
              <w:start w:w="100" w:type="dxa"/>
              <w:bottom w:w="80" w:type="dxa"/>
              <w:end w:w="100" w:type="dxa"/>
            </w:tcMar>
          </w:tcPr>
          <w:p>
            <w:pPr>
              <w:spacing w:after="0"/>
            </w:pPr>
            <w:r/>
            <w:r>
              <w:t>Orientation line certificate.</w:t>
            </w:r>
          </w:p>
        </w:tc>
      </w:tr>
      <w:tr>
        <w:trPr>
          <w:cantSplit/>
        </w:trPr>
        <w:tc>
          <w:tcPr>
            <w:tcW w:type="dxa" w:w="2438"/>
            <w:vAlign w:val="center"/>
            <w:tcMar>
              <w:top w:w="80" w:type="dxa"/>
              <w:start w:w="100" w:type="dxa"/>
              <w:bottom w:w="80" w:type="dxa"/>
              <w:end w:w="100" w:type="dxa"/>
            </w:tcMar>
          </w:tcPr>
          <w:p>
            <w:pPr>
              <w:spacing w:after="0"/>
              <w:jc w:val="center"/>
            </w:pPr>
            <w:r/>
            <w:r>
              <w:t>T2-PO-239</w:t>
            </w:r>
          </w:p>
        </w:tc>
        <w:tc>
          <w:tcPr>
            <w:tcW w:type="dxa" w:w="2438"/>
            <w:vAlign w:val="center"/>
            <w:tcMar>
              <w:top w:w="80" w:type="dxa"/>
              <w:start w:w="100" w:type="dxa"/>
              <w:bottom w:w="80" w:type="dxa"/>
              <w:end w:w="100" w:type="dxa"/>
            </w:tcMar>
          </w:tcPr>
          <w:p>
            <w:pPr>
              <w:spacing w:after="0"/>
            </w:pPr>
            <w:r/>
            <w:r>
              <w:t>Построить branch stack.</w:t>
            </w:r>
          </w:p>
        </w:tc>
        <w:tc>
          <w:tcPr>
            <w:tcW w:type="dxa" w:w="2438"/>
            <w:vAlign w:val="center"/>
            <w:tcMar>
              <w:top w:w="80" w:type="dxa"/>
              <w:start w:w="100" w:type="dxa"/>
              <w:bottom w:w="80" w:type="dxa"/>
              <w:end w:w="100" w:type="dxa"/>
            </w:tcMar>
            <w:shd w:fill="F8EFD3"/>
          </w:tcPr>
          <w:p>
            <w:pPr>
              <w:spacing w:after="0"/>
              <w:jc w:val="center"/>
            </w:pPr>
            <w:r/>
            <w:r>
              <w:t>COND</w:t>
            </w:r>
          </w:p>
        </w:tc>
        <w:tc>
          <w:tcPr>
            <w:tcW w:type="dxa" w:w="2438"/>
            <w:vAlign w:val="center"/>
            <w:tcMar>
              <w:top w:w="80" w:type="dxa"/>
              <w:start w:w="100" w:type="dxa"/>
              <w:bottom w:w="80" w:type="dxa"/>
              <w:end w:w="100" w:type="dxa"/>
            </w:tcMar>
          </w:tcPr>
          <w:p>
            <w:pPr>
              <w:spacing w:after="0"/>
            </w:pPr>
            <w:r/>
            <w:r>
              <w:t>Normalization/étale sector.</w:t>
            </w:r>
          </w:p>
        </w:tc>
      </w:tr>
      <w:tr>
        <w:trPr>
          <w:cantSplit/>
        </w:trPr>
        <w:tc>
          <w:tcPr>
            <w:tcW w:type="dxa" w:w="2438"/>
            <w:vAlign w:val="center"/>
            <w:tcMar>
              <w:top w:w="80" w:type="dxa"/>
              <w:start w:w="100" w:type="dxa"/>
              <w:bottom w:w="80" w:type="dxa"/>
              <w:end w:w="100" w:type="dxa"/>
            </w:tcMar>
          </w:tcPr>
          <w:p>
            <w:pPr>
              <w:spacing w:after="0"/>
              <w:jc w:val="center"/>
            </w:pPr>
            <w:r/>
            <w:r>
              <w:t>T2-PO-240</w:t>
            </w:r>
          </w:p>
        </w:tc>
        <w:tc>
          <w:tcPr>
            <w:tcW w:type="dxa" w:w="2438"/>
            <w:vAlign w:val="center"/>
            <w:tcMar>
              <w:top w:w="80" w:type="dxa"/>
              <w:start w:w="100" w:type="dxa"/>
              <w:bottom w:w="80" w:type="dxa"/>
              <w:end w:w="100" w:type="dxa"/>
            </w:tcMar>
          </w:tcPr>
          <w:p>
            <w:pPr>
              <w:spacing w:after="0"/>
            </w:pPr>
            <w:r/>
            <w:r>
              <w:t>Вычислить monodromy.</w:t>
            </w:r>
          </w:p>
        </w:tc>
        <w:tc>
          <w:tcPr>
            <w:tcW w:type="dxa" w:w="2438"/>
            <w:vAlign w:val="center"/>
            <w:tcMar>
              <w:top w:w="80" w:type="dxa"/>
              <w:start w:w="100" w:type="dxa"/>
              <w:bottom w:w="80" w:type="dxa"/>
              <w:end w:w="100" w:type="dxa"/>
            </w:tcMar>
            <w:shd w:fill="EAF0F7"/>
          </w:tcPr>
          <w:p>
            <w:pPr>
              <w:spacing w:after="0"/>
              <w:jc w:val="center"/>
            </w:pPr>
            <w:r/>
            <w:r>
              <w:t>MODEL-CLOSED</w:t>
            </w:r>
          </w:p>
        </w:tc>
        <w:tc>
          <w:tcPr>
            <w:tcW w:type="dxa" w:w="2438"/>
            <w:vAlign w:val="center"/>
            <w:tcMar>
              <w:top w:w="80" w:type="dxa"/>
              <w:start w:w="100" w:type="dxa"/>
              <w:bottom w:w="80" w:type="dxa"/>
              <w:end w:w="100" w:type="dxa"/>
            </w:tcMar>
          </w:tcPr>
          <w:p>
            <w:pPr>
              <w:spacing w:after="0"/>
            </w:pPr>
            <w:r/>
            <w:r>
              <w:t>Конечный branch cover.</w:t>
            </w:r>
          </w:p>
        </w:tc>
      </w:tr>
      <w:tr>
        <w:trPr>
          <w:cantSplit/>
        </w:trPr>
        <w:tc>
          <w:tcPr>
            <w:tcW w:type="dxa" w:w="2438"/>
            <w:vAlign w:val="center"/>
            <w:tcMar>
              <w:top w:w="80" w:type="dxa"/>
              <w:start w:w="100" w:type="dxa"/>
              <w:bottom w:w="80" w:type="dxa"/>
              <w:end w:w="100" w:type="dxa"/>
            </w:tcMar>
          </w:tcPr>
          <w:p>
            <w:pPr>
              <w:spacing w:after="0"/>
              <w:jc w:val="center"/>
            </w:pPr>
            <w:r/>
            <w:r>
              <w:t>T2-PO-241</w:t>
            </w:r>
          </w:p>
        </w:tc>
        <w:tc>
          <w:tcPr>
            <w:tcW w:type="dxa" w:w="2438"/>
            <w:vAlign w:val="center"/>
            <w:tcMar>
              <w:top w:w="80" w:type="dxa"/>
              <w:start w:w="100" w:type="dxa"/>
              <w:bottom w:w="80" w:type="dxa"/>
              <w:end w:w="100" w:type="dxa"/>
            </w:tcMar>
          </w:tcPr>
          <w:p>
            <w:pPr>
              <w:spacing w:after="0"/>
            </w:pPr>
            <w:r/>
            <w:r>
              <w:t>Доказать Reper descent.</w:t>
            </w:r>
          </w:p>
        </w:tc>
        <w:tc>
          <w:tcPr>
            <w:tcW w:type="dxa" w:w="2438"/>
            <w:vAlign w:val="center"/>
            <w:tcMar>
              <w:top w:w="80" w:type="dxa"/>
              <w:start w:w="100" w:type="dxa"/>
              <w:bottom w:w="80" w:type="dxa"/>
              <w:end w:w="100" w:type="dxa"/>
            </w:tcMar>
            <w:shd w:fill="FAE5E1"/>
          </w:tcPr>
          <w:p>
            <w:pPr>
              <w:spacing w:after="0"/>
              <w:jc w:val="center"/>
            </w:pPr>
            <w:r/>
            <w:r>
              <w:t>OPEN</w:t>
            </w:r>
          </w:p>
        </w:tc>
        <w:tc>
          <w:tcPr>
            <w:tcW w:type="dxa" w:w="2438"/>
            <w:vAlign w:val="center"/>
            <w:tcMar>
              <w:top w:w="80" w:type="dxa"/>
              <w:start w:w="100" w:type="dxa"/>
              <w:bottom w:w="80" w:type="dxa"/>
              <w:end w:w="100" w:type="dxa"/>
            </w:tcMar>
          </w:tcPr>
          <w:p>
            <w:pPr>
              <w:spacing w:after="0"/>
            </w:pPr>
            <w:r/>
            <w:r>
              <w:t>Совместимость четырёх точек.</w:t>
            </w:r>
          </w:p>
        </w:tc>
      </w:tr>
      <w:tr>
        <w:trPr>
          <w:cantSplit/>
        </w:trPr>
        <w:tc>
          <w:tcPr>
            <w:tcW w:type="dxa" w:w="2438"/>
            <w:vAlign w:val="center"/>
            <w:tcMar>
              <w:top w:w="80" w:type="dxa"/>
              <w:start w:w="100" w:type="dxa"/>
              <w:bottom w:w="80" w:type="dxa"/>
              <w:end w:w="100" w:type="dxa"/>
            </w:tcMar>
          </w:tcPr>
          <w:p>
            <w:pPr>
              <w:spacing w:after="0"/>
              <w:jc w:val="center"/>
            </w:pPr>
            <w:r/>
            <w:r>
              <w:t>T2-PO-242</w:t>
            </w:r>
          </w:p>
        </w:tc>
        <w:tc>
          <w:tcPr>
            <w:tcW w:type="dxa" w:w="2438"/>
            <w:vAlign w:val="center"/>
            <w:tcMar>
              <w:top w:w="80" w:type="dxa"/>
              <w:start w:w="100" w:type="dxa"/>
              <w:bottom w:w="80" w:type="dxa"/>
              <w:end w:w="100" w:type="dxa"/>
            </w:tcMar>
          </w:tcPr>
          <w:p>
            <w:pPr>
              <w:spacing w:after="0"/>
            </w:pPr>
            <w:r/>
            <w:r>
              <w:t>Доказать Evidence-D descent.</w:t>
            </w:r>
          </w:p>
        </w:tc>
        <w:tc>
          <w:tcPr>
            <w:tcW w:type="dxa" w:w="2438"/>
            <w:vAlign w:val="center"/>
            <w:tcMar>
              <w:top w:w="80" w:type="dxa"/>
              <w:start w:w="100" w:type="dxa"/>
              <w:bottom w:w="80" w:type="dxa"/>
              <w:end w:w="100" w:type="dxa"/>
            </w:tcMar>
            <w:shd w:fill="FAE5E1"/>
          </w:tcPr>
          <w:p>
            <w:pPr>
              <w:spacing w:after="0"/>
              <w:jc w:val="center"/>
            </w:pPr>
            <w:r/>
            <w:r>
              <w:t>OPEN</w:t>
            </w:r>
          </w:p>
        </w:tc>
        <w:tc>
          <w:tcPr>
            <w:tcW w:type="dxa" w:w="2438"/>
            <w:vAlign w:val="center"/>
            <w:tcMar>
              <w:top w:w="80" w:type="dxa"/>
              <w:start w:w="100" w:type="dxa"/>
              <w:bottom w:w="80" w:type="dxa"/>
              <w:end w:w="100" w:type="dxa"/>
            </w:tcMar>
          </w:tcPr>
          <w:p>
            <w:pPr>
              <w:spacing w:after="0"/>
            </w:pPr>
            <w:r/>
            <w:r>
              <w:t>Provenance functor и cocycle.</w:t>
            </w:r>
          </w:p>
        </w:tc>
      </w:tr>
      <w:tr>
        <w:trPr>
          <w:cantSplit/>
        </w:trPr>
        <w:tc>
          <w:tcPr>
            <w:tcW w:type="dxa" w:w="2438"/>
            <w:vAlign w:val="center"/>
            <w:tcMar>
              <w:top w:w="80" w:type="dxa"/>
              <w:start w:w="100" w:type="dxa"/>
              <w:bottom w:w="80" w:type="dxa"/>
              <w:end w:w="100" w:type="dxa"/>
            </w:tcMar>
          </w:tcPr>
          <w:p>
            <w:pPr>
              <w:spacing w:after="0"/>
              <w:jc w:val="center"/>
            </w:pPr>
            <w:r/>
            <w:r>
              <w:t>T2-PO-243</w:t>
            </w:r>
          </w:p>
        </w:tc>
        <w:tc>
          <w:tcPr>
            <w:tcW w:type="dxa" w:w="2438"/>
            <w:vAlign w:val="center"/>
            <w:tcMar>
              <w:top w:w="80" w:type="dxa"/>
              <w:start w:w="100" w:type="dxa"/>
              <w:bottom w:w="80" w:type="dxa"/>
              <w:end w:w="100" w:type="dxa"/>
            </w:tcMar>
          </w:tcPr>
          <w:p>
            <w:pPr>
              <w:spacing w:after="0"/>
            </w:pPr>
            <w:r/>
            <w:r>
              <w:t>Доказать Dom descent.</w:t>
            </w:r>
          </w:p>
        </w:tc>
        <w:tc>
          <w:tcPr>
            <w:tcW w:type="dxa" w:w="2438"/>
            <w:vAlign w:val="center"/>
            <w:tcMar>
              <w:top w:w="80" w:type="dxa"/>
              <w:start w:w="100" w:type="dxa"/>
              <w:bottom w:w="80" w:type="dxa"/>
              <w:end w:w="100" w:type="dxa"/>
            </w:tcMar>
            <w:shd w:fill="FAE5E1"/>
          </w:tcPr>
          <w:p>
            <w:pPr>
              <w:spacing w:after="0"/>
              <w:jc w:val="center"/>
            </w:pPr>
            <w:r/>
            <w:r>
              <w:t>OPEN</w:t>
            </w:r>
          </w:p>
        </w:tc>
        <w:tc>
          <w:tcPr>
            <w:tcW w:type="dxa" w:w="2438"/>
            <w:vAlign w:val="center"/>
            <w:tcMar>
              <w:top w:w="80" w:type="dxa"/>
              <w:start w:w="100" w:type="dxa"/>
              <w:bottom w:w="80" w:type="dxa"/>
              <w:end w:w="100" w:type="dxa"/>
            </w:tcMar>
          </w:tcPr>
          <w:p>
            <w:pPr>
              <w:spacing w:after="0"/>
            </w:pPr>
            <w:r/>
            <w:r>
              <w:t>Совместимость admissible domains.</w:t>
            </w:r>
          </w:p>
        </w:tc>
      </w:tr>
      <w:tr>
        <w:trPr>
          <w:cantSplit/>
        </w:trPr>
        <w:tc>
          <w:tcPr>
            <w:tcW w:type="dxa" w:w="2438"/>
            <w:vAlign w:val="center"/>
            <w:tcMar>
              <w:top w:w="80" w:type="dxa"/>
              <w:start w:w="100" w:type="dxa"/>
              <w:bottom w:w="80" w:type="dxa"/>
              <w:end w:w="100" w:type="dxa"/>
            </w:tcMar>
          </w:tcPr>
          <w:p>
            <w:pPr>
              <w:spacing w:after="0"/>
              <w:jc w:val="center"/>
            </w:pPr>
            <w:r/>
            <w:r>
              <w:t>T2-PO-244</w:t>
            </w:r>
          </w:p>
        </w:tc>
        <w:tc>
          <w:tcPr>
            <w:tcW w:type="dxa" w:w="2438"/>
            <w:vAlign w:val="center"/>
            <w:tcMar>
              <w:top w:w="80" w:type="dxa"/>
              <w:start w:w="100" w:type="dxa"/>
              <w:bottom w:w="80" w:type="dxa"/>
              <w:end w:w="100" w:type="dxa"/>
            </w:tcMar>
          </w:tcPr>
          <w:p>
            <w:pPr>
              <w:spacing w:after="0"/>
            </w:pPr>
            <w:r/>
            <w:r>
              <w:t>Доказать глобальность λ.</w:t>
            </w:r>
          </w:p>
        </w:tc>
        <w:tc>
          <w:tcPr>
            <w:tcW w:type="dxa" w:w="2438"/>
            <w:vAlign w:val="center"/>
            <w:tcMar>
              <w:top w:w="80" w:type="dxa"/>
              <w:start w:w="100" w:type="dxa"/>
              <w:bottom w:w="80" w:type="dxa"/>
              <w:end w:w="100" w:type="dxa"/>
            </w:tcMar>
            <w:shd w:fill="F8EFD3"/>
          </w:tcPr>
          <w:p>
            <w:pPr>
              <w:spacing w:after="0"/>
              <w:jc w:val="center"/>
            </w:pPr>
            <w:r/>
            <w:r>
              <w:t>COND</w:t>
            </w:r>
          </w:p>
        </w:tc>
        <w:tc>
          <w:tcPr>
            <w:tcW w:type="dxa" w:w="2438"/>
            <w:vAlign w:val="center"/>
            <w:tcMar>
              <w:top w:w="80" w:type="dxa"/>
              <w:start w:w="100" w:type="dxa"/>
              <w:bottom w:w="80" w:type="dxa"/>
              <w:end w:w="100" w:type="dxa"/>
            </w:tcMar>
          </w:tcPr>
          <w:p>
            <w:pPr>
              <w:spacing w:after="0"/>
            </w:pPr>
            <w:r/>
            <w:r>
              <w:t>Projective transitions и pole exclusion.</w:t>
            </w:r>
          </w:p>
        </w:tc>
      </w:tr>
      <w:tr>
        <w:trPr>
          <w:cantSplit/>
        </w:trPr>
        <w:tc>
          <w:tcPr>
            <w:tcW w:type="dxa" w:w="2438"/>
            <w:vAlign w:val="center"/>
            <w:tcMar>
              <w:top w:w="80" w:type="dxa"/>
              <w:start w:w="100" w:type="dxa"/>
              <w:bottom w:w="80" w:type="dxa"/>
              <w:end w:w="100" w:type="dxa"/>
            </w:tcMar>
          </w:tcPr>
          <w:p>
            <w:pPr>
              <w:spacing w:after="0"/>
              <w:jc w:val="center"/>
            </w:pPr>
            <w:r/>
            <w:r>
              <w:t>T2-PO-245</w:t>
            </w:r>
          </w:p>
        </w:tc>
        <w:tc>
          <w:tcPr>
            <w:tcW w:type="dxa" w:w="2438"/>
            <w:vAlign w:val="center"/>
            <w:tcMar>
              <w:top w:w="80" w:type="dxa"/>
              <w:start w:w="100" w:type="dxa"/>
              <w:bottom w:w="80" w:type="dxa"/>
              <w:end w:w="100" w:type="dxa"/>
            </w:tcMar>
          </w:tcPr>
          <w:p>
            <w:pPr>
              <w:spacing w:after="0"/>
            </w:pPr>
            <w:r/>
            <w:r>
              <w:t>Согласовать global carrier с Π_E.</w:t>
            </w:r>
          </w:p>
        </w:tc>
        <w:tc>
          <w:tcPr>
            <w:tcW w:type="dxa" w:w="2438"/>
            <w:vAlign w:val="center"/>
            <w:tcMar>
              <w:top w:w="80" w:type="dxa"/>
              <w:start w:w="100" w:type="dxa"/>
              <w:bottom w:w="80" w:type="dxa"/>
              <w:end w:w="100" w:type="dxa"/>
            </w:tcMar>
            <w:shd w:fill="FAE5E1"/>
          </w:tcPr>
          <w:p>
            <w:pPr>
              <w:spacing w:after="0"/>
              <w:jc w:val="center"/>
            </w:pPr>
            <w:r/>
            <w:r>
              <w:t>OPEN</w:t>
            </w:r>
          </w:p>
        </w:tc>
        <w:tc>
          <w:tcPr>
            <w:tcW w:type="dxa" w:w="2438"/>
            <w:vAlign w:val="center"/>
            <w:tcMar>
              <w:top w:w="80" w:type="dxa"/>
              <w:start w:w="100" w:type="dxa"/>
              <w:bottom w:w="80" w:type="dxa"/>
              <w:end w:w="100" w:type="dxa"/>
            </w:tcMar>
          </w:tcPr>
          <w:p>
            <w:pPr>
              <w:spacing w:after="0"/>
            </w:pPr>
            <w:r/>
            <w:r>
              <w:t>Natural transformation on stack.</w:t>
            </w:r>
          </w:p>
        </w:tc>
      </w:tr>
      <w:tr>
        <w:trPr>
          <w:cantSplit/>
        </w:trPr>
        <w:tc>
          <w:tcPr>
            <w:tcW w:type="dxa" w:w="2438"/>
            <w:vAlign w:val="center"/>
            <w:tcMar>
              <w:top w:w="80" w:type="dxa"/>
              <w:start w:w="100" w:type="dxa"/>
              <w:bottom w:w="80" w:type="dxa"/>
              <w:end w:w="100" w:type="dxa"/>
            </w:tcMar>
          </w:tcPr>
          <w:p>
            <w:pPr>
              <w:spacing w:after="0"/>
              <w:jc w:val="center"/>
            </w:pPr>
            <w:r/>
            <w:r>
              <w:t>T2-PO-246</w:t>
            </w:r>
          </w:p>
        </w:tc>
        <w:tc>
          <w:tcPr>
            <w:tcW w:type="dxa" w:w="2438"/>
            <w:vAlign w:val="center"/>
            <w:tcMar>
              <w:top w:w="80" w:type="dxa"/>
              <w:start w:w="100" w:type="dxa"/>
              <w:bottom w:w="80" w:type="dxa"/>
              <w:end w:w="100" w:type="dxa"/>
            </w:tcMar>
          </w:tcPr>
          <w:p>
            <w:pPr>
              <w:spacing w:after="0"/>
            </w:pPr>
            <w:r/>
            <w:r>
              <w:t>Доказать существование PredCar_N.</w:t>
            </w:r>
          </w:p>
        </w:tc>
        <w:tc>
          <w:tcPr>
            <w:tcW w:type="dxa" w:w="2438"/>
            <w:vAlign w:val="center"/>
            <w:tcMar>
              <w:top w:w="80" w:type="dxa"/>
              <w:start w:w="100" w:type="dxa"/>
              <w:bottom w:w="80" w:type="dxa"/>
              <w:end w:w="100" w:type="dxa"/>
            </w:tcMar>
            <w:shd w:fill="FAE5E1"/>
          </w:tcPr>
          <w:p>
            <w:pPr>
              <w:spacing w:after="0"/>
              <w:jc w:val="center"/>
            </w:pPr>
            <w:r/>
            <w:r>
              <w:t>OPEN</w:t>
            </w:r>
          </w:p>
        </w:tc>
        <w:tc>
          <w:tcPr>
            <w:tcW w:type="dxa" w:w="2438"/>
            <w:vAlign w:val="center"/>
            <w:tcMar>
              <w:top w:w="80" w:type="dxa"/>
              <w:start w:w="100" w:type="dxa"/>
              <w:bottom w:w="80" w:type="dxa"/>
              <w:end w:w="100" w:type="dxa"/>
            </w:tcMar>
          </w:tcPr>
          <w:p>
            <w:pPr>
              <w:spacing w:after="0"/>
            </w:pPr>
            <w:r/>
            <w:r>
              <w:t>Закрыть PO-223-245.</w:t>
            </w:r>
          </w:p>
        </w:tc>
      </w:tr>
      <w:tr>
        <w:trPr>
          <w:cantSplit/>
        </w:trPr>
        <w:tc>
          <w:tcPr>
            <w:tcW w:type="dxa" w:w="2438"/>
            <w:vAlign w:val="center"/>
            <w:tcMar>
              <w:top w:w="80" w:type="dxa"/>
              <w:start w:w="100" w:type="dxa"/>
              <w:bottom w:w="80" w:type="dxa"/>
              <w:end w:w="100" w:type="dxa"/>
            </w:tcMar>
          </w:tcPr>
          <w:p>
            <w:pPr>
              <w:spacing w:after="0"/>
              <w:jc w:val="center"/>
            </w:pPr>
            <w:r/>
            <w:r>
              <w:t>T2-PO-247</w:t>
            </w:r>
          </w:p>
        </w:tc>
        <w:tc>
          <w:tcPr>
            <w:tcW w:type="dxa" w:w="2438"/>
            <w:vAlign w:val="center"/>
            <w:tcMar>
              <w:top w:w="80" w:type="dxa"/>
              <w:start w:w="100" w:type="dxa"/>
              <w:bottom w:w="80" w:type="dxa"/>
              <w:end w:w="100" w:type="dxa"/>
            </w:tcMar>
          </w:tcPr>
          <w:p>
            <w:pPr>
              <w:spacing w:after="0"/>
            </w:pPr>
            <w:r/>
            <w:r>
              <w:t>Доказать invariant profile theorem.</w:t>
            </w:r>
          </w:p>
        </w:tc>
        <w:tc>
          <w:tcPr>
            <w:tcW w:type="dxa" w:w="2438"/>
            <w:vAlign w:val="center"/>
            <w:tcMar>
              <w:top w:w="80" w:type="dxa"/>
              <w:start w:w="100" w:type="dxa"/>
              <w:bottom w:w="80" w:type="dxa"/>
              <w:end w:w="100" w:type="dxa"/>
            </w:tcMar>
            <w:shd w:fill="F8EFD3"/>
          </w:tcPr>
          <w:p>
            <w:pPr>
              <w:spacing w:after="0"/>
              <w:jc w:val="center"/>
            </w:pPr>
            <w:r/>
            <w:r>
              <w:t>COND</w:t>
            </w:r>
          </w:p>
        </w:tc>
        <w:tc>
          <w:tcPr>
            <w:tcW w:type="dxa" w:w="2438"/>
            <w:vAlign w:val="center"/>
            <w:tcMar>
              <w:top w:w="80" w:type="dxa"/>
              <w:start w:w="100" w:type="dxa"/>
              <w:bottom w:w="80" w:type="dxa"/>
              <w:end w:w="100" w:type="dxa"/>
            </w:tcMar>
          </w:tcPr>
          <w:p>
            <w:pPr>
              <w:spacing w:after="0"/>
            </w:pPr>
            <w:r/>
            <w:r>
              <w:t>Local triviality + transport.</w:t>
            </w:r>
          </w:p>
        </w:tc>
      </w:tr>
      <w:tr>
        <w:trPr>
          <w:cantSplit/>
        </w:trPr>
        <w:tc>
          <w:tcPr>
            <w:tcW w:type="dxa" w:w="2438"/>
            <w:vAlign w:val="center"/>
            <w:tcMar>
              <w:top w:w="80" w:type="dxa"/>
              <w:start w:w="100" w:type="dxa"/>
              <w:bottom w:w="80" w:type="dxa"/>
              <w:end w:w="100" w:type="dxa"/>
            </w:tcMar>
          </w:tcPr>
          <w:p>
            <w:pPr>
              <w:spacing w:after="0"/>
              <w:jc w:val="center"/>
            </w:pPr>
            <w:r/>
            <w:r>
              <w:t>T2-PO-248</w:t>
            </w:r>
          </w:p>
        </w:tc>
        <w:tc>
          <w:tcPr>
            <w:tcW w:type="dxa" w:w="2438"/>
            <w:vAlign w:val="center"/>
            <w:tcMar>
              <w:top w:w="80" w:type="dxa"/>
              <w:start w:w="100" w:type="dxa"/>
              <w:bottom w:w="80" w:type="dxa"/>
              <w:end w:w="100" w:type="dxa"/>
            </w:tcMar>
          </w:tcPr>
          <w:p>
            <w:pPr>
              <w:spacing w:after="0"/>
            </w:pPr>
            <w:r/>
            <w:r>
              <w:t>Зафиксировать local-to-global no-go.</w:t>
            </w:r>
          </w:p>
        </w:tc>
        <w:tc>
          <w:tcPr>
            <w:tcW w:type="dxa" w:w="2438"/>
            <w:vAlign w:val="center"/>
            <w:tcMar>
              <w:top w:w="80" w:type="dxa"/>
              <w:start w:w="100" w:type="dxa"/>
              <w:bottom w:w="80" w:type="dxa"/>
              <w:end w:w="100" w:type="dxa"/>
            </w:tcMar>
            <w:shd w:fill="E5F2EA"/>
          </w:tcPr>
          <w:p>
            <w:pPr>
              <w:spacing w:after="0"/>
              <w:jc w:val="center"/>
            </w:pPr>
            <w:r/>
            <w:r>
              <w:t>CLOSED</w:t>
            </w:r>
          </w:p>
        </w:tc>
        <w:tc>
          <w:tcPr>
            <w:tcW w:type="dxa" w:w="2438"/>
            <w:vAlign w:val="center"/>
            <w:tcMar>
              <w:top w:w="80" w:type="dxa"/>
              <w:start w:w="100" w:type="dxa"/>
              <w:bottom w:w="80" w:type="dxa"/>
              <w:end w:w="100" w:type="dxa"/>
            </w:tcMar>
          </w:tcPr>
          <w:p>
            <w:pPr>
              <w:spacing w:after="0"/>
            </w:pPr>
            <w:r/>
            <w:r>
              <w:t>Теорема 18.5.</w:t>
            </w:r>
          </w:p>
        </w:tc>
      </w:tr>
      <w:tr>
        <w:trPr>
          <w:cantSplit/>
        </w:trPr>
        <w:tc>
          <w:tcPr>
            <w:tcW w:type="dxa" w:w="2438"/>
            <w:vAlign w:val="center"/>
            <w:tcMar>
              <w:top w:w="80" w:type="dxa"/>
              <w:start w:w="100" w:type="dxa"/>
              <w:bottom w:w="80" w:type="dxa"/>
              <w:end w:w="100" w:type="dxa"/>
            </w:tcMar>
          </w:tcPr>
          <w:p>
            <w:pPr>
              <w:spacing w:after="0"/>
              <w:jc w:val="center"/>
            </w:pPr>
            <w:r/>
            <w:r>
              <w:t>T2-PO-249</w:t>
            </w:r>
          </w:p>
        </w:tc>
        <w:tc>
          <w:tcPr>
            <w:tcW w:type="dxa" w:w="2438"/>
            <w:vAlign w:val="center"/>
            <w:tcMar>
              <w:top w:w="80" w:type="dxa"/>
              <w:start w:w="100" w:type="dxa"/>
              <w:bottom w:w="80" w:type="dxa"/>
              <w:end w:w="100" w:type="dxa"/>
            </w:tcMar>
          </w:tcPr>
          <w:p>
            <w:pPr>
              <w:spacing w:after="0"/>
            </w:pPr>
            <w:r/>
            <w:r>
              <w:t>Доказать global horizon theorem.</w:t>
            </w:r>
          </w:p>
        </w:tc>
        <w:tc>
          <w:tcPr>
            <w:tcW w:type="dxa" w:w="2438"/>
            <w:vAlign w:val="center"/>
            <w:tcMar>
              <w:top w:w="80" w:type="dxa"/>
              <w:start w:w="100" w:type="dxa"/>
              <w:bottom w:w="80" w:type="dxa"/>
              <w:end w:w="100" w:type="dxa"/>
            </w:tcMar>
            <w:shd w:fill="F8EFD3"/>
          </w:tcPr>
          <w:p>
            <w:pPr>
              <w:spacing w:after="0"/>
              <w:jc w:val="center"/>
            </w:pPr>
            <w:r/>
            <w:r>
              <w:t>COND</w:t>
            </w:r>
          </w:p>
        </w:tc>
        <w:tc>
          <w:tcPr>
            <w:tcW w:type="dxa" w:w="2438"/>
            <w:vAlign w:val="center"/>
            <w:tcMar>
              <w:top w:w="80" w:type="dxa"/>
              <w:start w:w="100" w:type="dxa"/>
              <w:bottom w:w="80" w:type="dxa"/>
              <w:end w:w="100" w:type="dxa"/>
            </w:tcMar>
          </w:tcPr>
          <w:p>
            <w:pPr>
              <w:spacing w:after="0"/>
            </w:pPr>
            <w:r/>
            <w:r>
              <w:t>Uniform family hypotheses.</w:t>
            </w:r>
          </w:p>
        </w:tc>
      </w:tr>
      <w:tr>
        <w:trPr>
          <w:cantSplit/>
        </w:trPr>
        <w:tc>
          <w:tcPr>
            <w:tcW w:type="dxa" w:w="2438"/>
            <w:vAlign w:val="center"/>
            <w:tcMar>
              <w:top w:w="80" w:type="dxa"/>
              <w:start w:w="100" w:type="dxa"/>
              <w:bottom w:w="80" w:type="dxa"/>
              <w:end w:w="100" w:type="dxa"/>
            </w:tcMar>
          </w:tcPr>
          <w:p>
            <w:pPr>
              <w:spacing w:after="0"/>
              <w:jc w:val="center"/>
            </w:pPr>
            <w:r/>
            <w:r>
              <w:t>T2-PO-250</w:t>
            </w:r>
          </w:p>
        </w:tc>
        <w:tc>
          <w:tcPr>
            <w:tcW w:type="dxa" w:w="2438"/>
            <w:vAlign w:val="center"/>
            <w:tcMar>
              <w:top w:w="80" w:type="dxa"/>
              <w:start w:w="100" w:type="dxa"/>
              <w:bottom w:w="80" w:type="dxa"/>
              <w:end w:w="100" w:type="dxa"/>
            </w:tcMar>
          </w:tcPr>
          <w:p>
            <w:pPr>
              <w:spacing w:after="0"/>
            </w:pPr>
            <w:r/>
            <w:r>
              <w:t>Построить interval/numerical descent certificate.</w:t>
            </w:r>
          </w:p>
        </w:tc>
        <w:tc>
          <w:tcPr>
            <w:tcW w:type="dxa" w:w="2438"/>
            <w:vAlign w:val="center"/>
            <w:tcMar>
              <w:top w:w="80" w:type="dxa"/>
              <w:start w:w="100" w:type="dxa"/>
              <w:bottom w:w="80" w:type="dxa"/>
              <w:end w:w="100" w:type="dxa"/>
            </w:tcMar>
            <w:shd w:fill="FAE5E1"/>
          </w:tcPr>
          <w:p>
            <w:pPr>
              <w:spacing w:after="0"/>
              <w:jc w:val="center"/>
            </w:pPr>
            <w:r/>
            <w:r>
              <w:t>OPEN</w:t>
            </w:r>
          </w:p>
        </w:tc>
        <w:tc>
          <w:tcPr>
            <w:tcW w:type="dxa" w:w="2438"/>
            <w:vAlign w:val="center"/>
            <w:tcMar>
              <w:top w:w="80" w:type="dxa"/>
              <w:start w:w="100" w:type="dxa"/>
              <w:bottom w:w="80" w:type="dxa"/>
              <w:end w:w="100" w:type="dxa"/>
            </w:tcMar>
          </w:tcPr>
          <w:p>
            <w:pPr>
              <w:spacing w:after="0"/>
            </w:pPr>
            <w:r/>
            <w:r>
              <w:t>Validated numerics.</w:t>
            </w:r>
          </w:p>
        </w:tc>
      </w:tr>
      <w:tr>
        <w:trPr>
          <w:cantSplit/>
        </w:trPr>
        <w:tc>
          <w:tcPr>
            <w:tcW w:type="dxa" w:w="2438"/>
            <w:vAlign w:val="center"/>
            <w:tcMar>
              <w:top w:w="80" w:type="dxa"/>
              <w:start w:w="100" w:type="dxa"/>
              <w:bottom w:w="80" w:type="dxa"/>
              <w:end w:w="100" w:type="dxa"/>
            </w:tcMar>
          </w:tcPr>
          <w:p>
            <w:pPr>
              <w:spacing w:after="0"/>
              <w:jc w:val="center"/>
            </w:pPr>
            <w:r/>
            <w:r>
              <w:t>T2-PO-251</w:t>
            </w:r>
          </w:p>
        </w:tc>
        <w:tc>
          <w:tcPr>
            <w:tcW w:type="dxa" w:w="2438"/>
            <w:vAlign w:val="center"/>
            <w:tcMar>
              <w:top w:w="80" w:type="dxa"/>
              <w:start w:w="100" w:type="dxa"/>
              <w:bottom w:w="80" w:type="dxa"/>
              <w:end w:w="100" w:type="dxa"/>
            </w:tcMar>
          </w:tcPr>
          <w:p>
            <w:pPr>
              <w:spacing w:after="0"/>
            </w:pPr>
            <w:r/>
            <w:r>
              <w:t>Выполнить независимый STACK-RUN.</w:t>
            </w:r>
          </w:p>
        </w:tc>
        <w:tc>
          <w:tcPr>
            <w:tcW w:type="dxa" w:w="2438"/>
            <w:vAlign w:val="center"/>
            <w:tcMar>
              <w:top w:w="80" w:type="dxa"/>
              <w:start w:w="100" w:type="dxa"/>
              <w:bottom w:w="80" w:type="dxa"/>
              <w:end w:w="100" w:type="dxa"/>
            </w:tcMar>
            <w:shd w:fill="FAE5E1"/>
          </w:tcPr>
          <w:p>
            <w:pPr>
              <w:spacing w:after="0"/>
              <w:jc w:val="center"/>
            </w:pPr>
            <w:r/>
            <w:r>
              <w:t>OPEN</w:t>
            </w:r>
          </w:p>
        </w:tc>
        <w:tc>
          <w:tcPr>
            <w:tcW w:type="dxa" w:w="2438"/>
            <w:vAlign w:val="center"/>
            <w:tcMar>
              <w:top w:w="80" w:type="dxa"/>
              <w:start w:w="100" w:type="dxa"/>
              <w:bottom w:w="80" w:type="dxa"/>
              <w:end w:w="100" w:type="dxa"/>
            </w:tcMar>
          </w:tcPr>
          <w:p>
            <w:pPr>
              <w:spacing w:after="0"/>
            </w:pPr>
            <w:r/>
            <w:r>
              <w:t>Независимый код, данные и hashes.</w:t>
            </w:r>
          </w:p>
        </w:tc>
      </w:tr>
      <w:tr>
        <w:trPr>
          <w:cantSplit/>
        </w:trPr>
        <w:tc>
          <w:tcPr>
            <w:tcW w:type="dxa" w:w="2438"/>
            <w:vAlign w:val="center"/>
            <w:tcMar>
              <w:top w:w="80" w:type="dxa"/>
              <w:start w:w="100" w:type="dxa"/>
              <w:bottom w:w="80" w:type="dxa"/>
              <w:end w:w="100" w:type="dxa"/>
            </w:tcMar>
          </w:tcPr>
          <w:p>
            <w:pPr>
              <w:spacing w:after="0"/>
              <w:jc w:val="center"/>
            </w:pPr>
            <w:r/>
            <w:r>
              <w:t>T2-PO-252</w:t>
            </w:r>
          </w:p>
        </w:tc>
        <w:tc>
          <w:tcPr>
            <w:tcW w:type="dxa" w:w="2438"/>
            <w:vAlign w:val="center"/>
            <w:tcMar>
              <w:top w:w="80" w:type="dxa"/>
              <w:start w:w="100" w:type="dxa"/>
              <w:bottom w:w="80" w:type="dxa"/>
              <w:end w:w="100" w:type="dxa"/>
            </w:tcMar>
          </w:tcPr>
          <w:p>
            <w:pPr>
              <w:spacing w:after="0"/>
            </w:pPr>
            <w:r/>
            <w:r>
              <w:t>Заблокировать автоматический физический экспорт.</w:t>
            </w:r>
          </w:p>
        </w:tc>
        <w:tc>
          <w:tcPr>
            <w:tcW w:type="dxa" w:w="2438"/>
            <w:vAlign w:val="center"/>
            <w:tcMar>
              <w:top w:w="80" w:type="dxa"/>
              <w:start w:w="100" w:type="dxa"/>
              <w:bottom w:w="80" w:type="dxa"/>
              <w:end w:w="100" w:type="dxa"/>
            </w:tcMar>
            <w:shd w:fill="E5F2EA"/>
          </w:tcPr>
          <w:p>
            <w:pPr>
              <w:spacing w:after="0"/>
              <w:jc w:val="center"/>
            </w:pPr>
            <w:r/>
            <w:r>
              <w:t>CLOSED</w:t>
            </w:r>
          </w:p>
        </w:tc>
        <w:tc>
          <w:tcPr>
            <w:tcW w:type="dxa" w:w="2438"/>
            <w:vAlign w:val="center"/>
            <w:tcMar>
              <w:top w:w="80" w:type="dxa"/>
              <w:start w:w="100" w:type="dxa"/>
              <w:bottom w:w="80" w:type="dxa"/>
              <w:end w:w="100" w:type="dxa"/>
            </w:tcMar>
          </w:tcPr>
          <w:p>
            <w:pPr>
              <w:spacing w:after="0"/>
            </w:pPr>
            <w:r/>
            <w:r>
              <w:t>truth_layer_promotion=0; B8.</w:t>
            </w:r>
          </w:p>
        </w:tc>
      </w:tr>
    </w:tbl>
    <w:p>
      <w:pPr>
        <w:pStyle w:val="Heading1"/>
        <w:keepNext/>
      </w:pPr>
      <w:r>
        <w:t>214. Prior art и граница авторского вклада</w:t>
      </w:r>
    </w:p>
    <w:p>
      <w:pPr/>
      <w:r>
        <w:t>Классический prior art главы включает cotangent complexes и obstruction theories; intrinsic normal cone и perfect obstruction theory; homotopical/derived algebraic geometry; derived smooth manifolds; Kuranishi atlases и Kuranishi 2-categories. Авторский слой Курпишева состоит в blocker-safe соединении этих аппаратов с NAPG/KLT-RBD: глобальный carrier обязан одновременно сохранять derived tangent type, branch monodromy, Reper-четвёрку, Evidence-D, Dom, внешний E-мост и отрицательный режим воздержания.</w:t>
      </w:r>
    </w:p>
    <w:p>
      <w:pPr/>
      <w:r>
        <w:t xml:space="preserve">[V0.15-1] Behrend, K.; Fantechi, B. The Intrinsic Normal Cone. Invent. Math. 128 (1997), 45-88. arXiv: alg-geom/9601010. </w:t>
      </w:r>
      <w:hyperlink r:id="rId77">
        <w:r>
          <w:rPr>
            <w:color w:val="2F65A0"/>
            <w:u w:val="single"/>
          </w:rPr>
          <w:t>[источник]</w:t>
        </w:r>
      </w:hyperlink>
    </w:p>
    <w:p>
      <w:pPr/>
      <w:r>
        <w:t xml:space="preserve">[V0.15-2] Toën, B.; Vezzosi, G. Homotopical Algebraic Geometry II: Geometric Stacks and Applications. Mem. AMS 193 (2008), no. 902. arXiv: math/0404373. </w:t>
      </w:r>
      <w:hyperlink r:id="rId78">
        <w:r>
          <w:rPr>
            <w:color w:val="2F65A0"/>
            <w:u w:val="single"/>
          </w:rPr>
          <w:t>[источник]</w:t>
        </w:r>
      </w:hyperlink>
    </w:p>
    <w:p>
      <w:pPr/>
      <w:r>
        <w:t xml:space="preserve">[V0.15-3] Spivak, D. I. Derived Smooth Manifolds. Duke Math. J. 153 (2010), 55-128. arXiv: 0810.5174. </w:t>
      </w:r>
      <w:hyperlink r:id="rId79">
        <w:r>
          <w:rPr>
            <w:color w:val="2F65A0"/>
            <w:u w:val="single"/>
          </w:rPr>
          <w:t>[источник]</w:t>
        </w:r>
      </w:hyperlink>
    </w:p>
    <w:p>
      <w:pPr/>
      <w:r>
        <w:t xml:space="preserve">[V0.15-4] Joyce, D. A New Definition of Kuranishi Space. arXiv: 1409.6908. </w:t>
      </w:r>
      <w:hyperlink r:id="rId80">
        <w:r>
          <w:rPr>
            <w:color w:val="2F65A0"/>
            <w:u w:val="single"/>
          </w:rPr>
          <w:t>[источник]</w:t>
        </w:r>
      </w:hyperlink>
    </w:p>
    <w:p>
      <w:pPr/>
      <w:r>
        <w:t xml:space="preserve">[V0.15-5] Joyce, D. Kuranishi Spaces as a 2-Category. arXiv: 1510.07444. </w:t>
      </w:r>
      <w:hyperlink r:id="rId81">
        <w:r>
          <w:rPr>
            <w:color w:val="2F65A0"/>
            <w:u w:val="single"/>
          </w:rPr>
          <w:t>[источник]</w:t>
        </w:r>
      </w:hyperlink>
    </w:p>
    <w:p>
      <w:pPr/>
      <w:r>
        <w:t xml:space="preserve">[V0.15-6] McDuff, D.; Wehrheim, K. Smooth Kuranishi Atlases with Isotropy. arXiv: 1508.01556. </w:t>
      </w:r>
      <w:hyperlink r:id="rId82">
        <w:r>
          <w:rPr>
            <w:color w:val="2F65A0"/>
            <w:u w:val="single"/>
          </w:rPr>
          <w:t>[источник]</w:t>
        </w:r>
      </w:hyperlink>
    </w:p>
    <w:p>
      <w:pPr/>
      <w:r>
        <w:t xml:space="preserve">[V0.15-7] Illusie, L. Complexe cotangent et déformations I-II. Lecture Notes in Mathematics 239, 283. Springer, 1971-1972. </w:t>
      </w:r>
      <w:hyperlink r:id="rId83">
        <w:r>
          <w:rPr>
            <w:color w:val="2F65A0"/>
            <w:u w:val="single"/>
          </w:rPr>
          <w:t>[источник]</w:t>
        </w:r>
      </w:hyperlink>
    </w:p>
    <w:p>
      <w:pPr/>
      <w:r>
        <w:t xml:space="preserve">[V0.15-8] Stacks Project. Cotangent Complex; Obstruction Theories; Algebraic Stacks. </w:t>
      </w:r>
      <w:hyperlink r:id="rId84">
        <w:r>
          <w:rPr>
            <w:color w:val="2F65A0"/>
            <w:u w:val="single"/>
          </w:rPr>
          <w:t>[источник]</w:t>
        </w:r>
      </w:hyperlink>
    </w:p>
    <w:p>
      <w:pPr/>
      <w:r>
        <w:t xml:space="preserve">[V0.15-9] Kurpishev, I. B. Том I v197 RU; Том II T2-RP-v0.1-v0.14. </w:t>
      </w:r>
      <w:hyperlink r:id="rId85">
        <w:r>
          <w:rPr>
            <w:color w:val="2F65A0"/>
            <w:u w:val="single"/>
          </w:rPr>
          <w:t>[источник]</w:t>
        </w:r>
      </w:hyperlink>
    </w:p>
    <w:p>
      <w:pPr>
        <w:pStyle w:val="Heading1"/>
        <w:keepNext/>
      </w:pPr>
      <w:r>
        <w:t>215. Контрольная точка и граница вывода</w:t>
      </w:r>
    </w:p>
    <w:p>
      <w:pPr>
        <w:pStyle w:val="Quote"/>
        <w:jc w:val="center"/>
      </w:pPr>
      <w:r>
        <w:rPr>
          <w:rFonts w:ascii="Cambria Math" w:hAnsi="Cambria Math"/>
          <w:sz w:val="21"/>
        </w:rPr>
        <w:t>truth_layer_promotion=0; checkpoint=T2-RP-v0.15; next=T2-RP-v0.16.      (18.25)</w:t>
      </w:r>
    </w:p>
    <w:p>
      <w:pPr/>
      <w:r>
        <w:t>Глава 18 построила глобализационный слой предсказательного метода: локальные карты, 2-когерентность, virtual tangent complexes, perfect obstruction data, branch stacks, Reper/D/Dom descent и внешний E-мост сведены в один типизированный carrier. Основной доказанный запрет состоит в том, что local lift и coarse moduli не определяют global derived/stacky object.</w:t>
      </w:r>
    </w:p>
    <w:p>
      <w:pPr>
        <w:pStyle w:val="Small"/>
      </w:pPr>
      <w:r>
        <w:t>Следующая сборка tom2_v0_16 развивает виртуальные циклы, интегрирование по moduli carrier, intersection-theoretic и enumerative invariants, а также строгий запрет превращать virtual count в вероятность будущего события.</w:t>
      </w:r>
    </w:p>
    <w:p>
      <w:pPr>
        <w:pStyle w:val="Small"/>
      </w:pPr>
      <w:r>
        <w:t>checkpoint=T2-RP-v0.15; source=T2-RP-v0.14; truth_layer_promotion=0; next=T2-RP-v0.16.</w:t>
      </w:r>
    </w:p>
    <w:p>
      <w:r>
        <w:br w:type="page"/>
      </w:r>
    </w:p>
    <w:p>
      <w:pPr>
        <w:pStyle w:val="Heading1"/>
        <w:keepNext/>
      </w:pPr>
      <w:r>
        <w:t>Глава 19. Виртуальные циклы, enumerative-инварианты и вероятностный firewall</w:t>
      </w:r>
    </w:p>
    <w:tbl>
      <w:tblPr>
        <w:tblStyle w:val="TableGrid"/>
        <w:tblW w:type="auto" w:w="0"/>
        <w:jc w:val="center"/>
        <w:tblLook w:firstColumn="1" w:firstRow="1" w:lastColumn="0" w:lastRow="0" w:noHBand="0" w:noVBand="1" w:val="04A0"/>
      </w:tblPr>
      <w:tblGrid>
        <w:gridCol w:w="4876"/>
        <w:gridCol w:w="4876"/>
      </w:tblGrid>
      <w:tr>
        <w:tc>
          <w:tcPr>
            <w:tcW w:type="dxa" w:w="4876"/>
            <w:vAlign w:val="center"/>
            <w:shd w:fill="17345F"/>
            <w:tcMar>
              <w:top w:w="120" w:type="dxa"/>
              <w:start w:w="120" w:type="dxa"/>
              <w:bottom w:w="120" w:type="dxa"/>
              <w:end w:w="120" w:type="dxa"/>
            </w:tcMar>
          </w:tcPr>
          <w:p>
            <w:pPr>
              <w:jc w:val="center"/>
            </w:pPr>
            <w:r/>
            <w:r>
              <w:rPr>
                <w:b/>
                <w:color w:val="FFFFFF"/>
                <w:sz w:val="19"/>
              </w:rPr>
              <w:t>ОНТОЛОГИЯ</w:t>
            </w:r>
          </w:p>
        </w:tc>
        <w:tc>
          <w:tcPr>
            <w:tcW w:type="dxa" w:w="4876"/>
            <w:vAlign w:val="center"/>
            <w:shd w:fill="E7EEF7"/>
            <w:tcMar>
              <w:top w:w="120" w:type="dxa"/>
              <w:start w:w="140" w:type="dxa"/>
              <w:bottom w:w="120" w:type="dxa"/>
              <w:end w:w="140" w:type="dxa"/>
            </w:tcMar>
          </w:tcPr>
          <w:p>
            <w:r/>
            <w:r>
              <w:rPr>
                <w:b w:val="0"/>
                <w:sz w:val="18"/>
              </w:rPr>
              <w:t>Виртуальный фундаментальный класс представляет геометрический объект пересечения, в котором фактическая размерность пространства решений заменяется ожидаемой размерностью tangent-obstruction theory. Он существует в цикловом, гомологическом или бордизмовом носителе, а не в пространстве вероятностных исходов.</w:t>
            </w:r>
          </w:p>
        </w:tc>
      </w:tr>
      <w:tr>
        <w:tc>
          <w:tcPr>
            <w:tcW w:type="dxa" w:w="4876"/>
            <w:vAlign w:val="center"/>
            <w:shd w:fill="17345F"/>
            <w:tcMar>
              <w:top w:w="120" w:type="dxa"/>
              <w:start w:w="120" w:type="dxa"/>
              <w:bottom w:w="120" w:type="dxa"/>
              <w:end w:w="120" w:type="dxa"/>
            </w:tcMar>
          </w:tcPr>
          <w:p>
            <w:pPr>
              <w:jc w:val="center"/>
            </w:pPr>
            <w:r/>
            <w:r>
              <w:rPr>
                <w:b/>
                <w:color w:val="FFFFFF"/>
                <w:sz w:val="19"/>
              </w:rPr>
              <w:t>ГНОСЕОЛОГИЯ</w:t>
            </w:r>
          </w:p>
        </w:tc>
        <w:tc>
          <w:tcPr>
            <w:tcW w:type="dxa" w:w="4876"/>
            <w:vAlign w:val="center"/>
            <w:shd w:fill="E7EEF7"/>
            <w:tcMar>
              <w:top w:w="120" w:type="dxa"/>
              <w:start w:w="140" w:type="dxa"/>
              <w:bottom w:w="120" w:type="dxa"/>
              <w:end w:w="140" w:type="dxa"/>
            </w:tcMar>
          </w:tcPr>
          <w:p>
            <w:r/>
            <w:r>
              <w:rPr>
                <w:b w:val="0"/>
                <w:sz w:val="18"/>
              </w:rPr>
              <w:t>Интеграл по виртуальному классу сообщает индексную, intersection-theoretic или enumerative информацию при заданных perfectness, properness, orientation и insertion-гипотезах. Это знание не содержит частотной или байесовской семантики, пока отдельно не заданы Ω, σ-алгебра, мера, link-модель и эмпирическая проверка.</w:t>
            </w:r>
          </w:p>
        </w:tc>
      </w:tr>
      <w:tr>
        <w:tc>
          <w:tcPr>
            <w:tcW w:type="dxa" w:w="4876"/>
            <w:vAlign w:val="center"/>
            <w:shd w:fill="17345F"/>
            <w:tcMar>
              <w:top w:w="120" w:type="dxa"/>
              <w:start w:w="120" w:type="dxa"/>
              <w:bottom w:w="120" w:type="dxa"/>
              <w:end w:w="120" w:type="dxa"/>
            </w:tcMar>
          </w:tcPr>
          <w:p>
            <w:pPr>
              <w:jc w:val="center"/>
            </w:pPr>
            <w:r/>
            <w:r>
              <w:rPr>
                <w:b/>
                <w:color w:val="FFFFFF"/>
                <w:sz w:val="19"/>
              </w:rPr>
              <w:t>ФЕНОМЕНОЛОГИЯ</w:t>
            </w:r>
          </w:p>
        </w:tc>
        <w:tc>
          <w:tcPr>
            <w:tcW w:type="dxa" w:w="4876"/>
            <w:vAlign w:val="center"/>
            <w:shd w:fill="E7EEF7"/>
            <w:tcMar>
              <w:top w:w="120" w:type="dxa"/>
              <w:start w:w="140" w:type="dxa"/>
              <w:bottom w:w="120" w:type="dxa"/>
              <w:end w:w="140" w:type="dxa"/>
            </w:tcMar>
          </w:tcPr>
          <w:p>
            <w:r/>
            <w:r>
              <w:rPr>
                <w:b w:val="0"/>
                <w:sz w:val="18"/>
              </w:rPr>
              <w:t>Наблюдателю виртуальное число может выглядеть как “счёт решений”, однако знак, кратность, рациональный stack-вес и компенсация ветвей показывают, что речь идёт о структурном следе модульной задачи, а не о доле будущих случаев.</w:t>
            </w:r>
          </w:p>
        </w:tc>
      </w:tr>
      <w:tr>
        <w:tc>
          <w:tcPr>
            <w:tcW w:type="dxa" w:w="4876"/>
            <w:vAlign w:val="center"/>
            <w:shd w:fill="A97816"/>
            <w:tcMar>
              <w:top w:w="120" w:type="dxa"/>
              <w:start w:w="120" w:type="dxa"/>
              <w:bottom w:w="120" w:type="dxa"/>
              <w:end w:w="120" w:type="dxa"/>
            </w:tcMar>
          </w:tcPr>
          <w:p>
            <w:pPr>
              <w:jc w:val="center"/>
            </w:pPr>
            <w:r/>
            <w:r>
              <w:rPr>
                <w:b/>
                <w:color w:val="FFFFFF"/>
                <w:sz w:val="19"/>
              </w:rPr>
              <w:t>ГРАНИЦА</w:t>
            </w:r>
          </w:p>
        </w:tc>
        <w:tc>
          <w:tcPr>
            <w:tcW w:type="dxa" w:w="4876"/>
            <w:vAlign w:val="center"/>
            <w:shd w:fill="F6EDD6"/>
            <w:tcMar>
              <w:top w:w="120" w:type="dxa"/>
              <w:start w:w="140" w:type="dxa"/>
              <w:bottom w:w="120" w:type="dxa"/>
              <w:end w:w="140" w:type="dxa"/>
            </w:tcMar>
          </w:tcPr>
          <w:p>
            <w:r/>
            <w:r>
              <w:rPr>
                <w:b w:val="0"/>
                <w:sz w:val="18"/>
              </w:rPr>
              <w:t>Глава не утверждает существование глобального virtual class для общей NAPG без perfect obstruction theory и ориентации. Никакой virtual count, Gromov-Witten-, Donaldson-Thomas- или локализационный инвариант не интерпретируется как вероятность физического, химического, экономического либо иного события без отдельного вероятностного и независимого эмпирического моста.</w:t>
            </w:r>
          </w:p>
        </w:tc>
      </w:tr>
    </w:tbl>
    <w:p>
      <w:pPr>
        <w:pStyle w:val="Heading1"/>
        <w:keepNext/>
      </w:pPr>
      <w:r>
        <w:t>216. Четыре несовпадающих слоя знания</w:t>
      </w:r>
    </w:p>
    <w:p>
      <w:r>
        <w:t>Глава 18 завершила глобализацию локальных карт Кураниши до stacky/derived moduli carrier. Следующий шаг состоит в том, чтобы получить из этого carrier числовые или когомологические инварианты. Здесь возникает особенно опасная подмена: число, полученное интегрированием по виртуальному классу, внешне напоминает вероятность. Строгая сборка разделяет четыре слоя.</w:t>
      </w:r>
    </w:p>
    <w:tbl>
      <w:tblPr>
        <w:tblStyle w:val="TableGrid"/>
        <w:tblW w:type="auto" w:w="0"/>
        <w:tblLayout w:type="autofit"/>
        <w:tblLook w:firstColumn="1" w:firstRow="1" w:lastColumn="0" w:lastRow="0" w:noHBand="0" w:noVBand="1" w:val="04A0"/>
      </w:tblPr>
      <w:tblGrid>
        <w:gridCol w:w="2438"/>
        <w:gridCol w:w="2438"/>
        <w:gridCol w:w="2438"/>
        <w:gridCol w:w="2438"/>
      </w:tblGrid>
      <w:tr>
        <w:trPr>
          <w:tblHeader w:val="true"/>
        </w:trPr>
        <w:tc>
          <w:tcPr>
            <w:tcW w:type="dxa" w:w="1152"/>
            <w:vAlign w:val="center"/>
            <w:shd w:fill="17345F"/>
            <w:tcMar>
              <w:top w:w="80" w:type="dxa"/>
              <w:start w:w="100" w:type="dxa"/>
              <w:bottom w:w="80" w:type="dxa"/>
              <w:end w:w="100" w:type="dxa"/>
            </w:tcMar>
          </w:tcPr>
          <w:p>
            <w:pPr>
              <w:jc w:val="center"/>
            </w:pPr>
            <w:r/>
            <w:r>
              <w:rPr>
                <w:b/>
                <w:color w:val="FFFFFF"/>
                <w:sz w:val="17"/>
              </w:rPr>
              <w:t>Слой</w:t>
            </w:r>
          </w:p>
        </w:tc>
        <w:tc>
          <w:tcPr>
            <w:tcW w:type="dxa" w:w="2448"/>
            <w:vAlign w:val="center"/>
            <w:shd w:fill="17345F"/>
            <w:tcMar>
              <w:top w:w="80" w:type="dxa"/>
              <w:start w:w="100" w:type="dxa"/>
              <w:bottom w:w="80" w:type="dxa"/>
              <w:end w:w="100" w:type="dxa"/>
            </w:tcMar>
          </w:tcPr>
          <w:p>
            <w:pPr>
              <w:jc w:val="center"/>
            </w:pPr>
            <w:r/>
            <w:r>
              <w:rPr>
                <w:b/>
                <w:color w:val="FFFFFF"/>
                <w:sz w:val="17"/>
              </w:rPr>
              <w:t>Основной объект</w:t>
            </w:r>
          </w:p>
        </w:tc>
        <w:tc>
          <w:tcPr>
            <w:tcW w:type="dxa" w:w="2736"/>
            <w:vAlign w:val="center"/>
            <w:shd w:fill="17345F"/>
            <w:tcMar>
              <w:top w:w="80" w:type="dxa"/>
              <w:start w:w="100" w:type="dxa"/>
              <w:bottom w:w="80" w:type="dxa"/>
              <w:end w:w="100" w:type="dxa"/>
            </w:tcMar>
          </w:tcPr>
          <w:p>
            <w:pPr>
              <w:jc w:val="center"/>
            </w:pPr>
            <w:r/>
            <w:r>
              <w:rPr>
                <w:b/>
                <w:color w:val="FFFFFF"/>
                <w:sz w:val="17"/>
              </w:rPr>
              <w:t>Допустимый вывод</w:t>
            </w:r>
          </w:p>
        </w:tc>
        <w:tc>
          <w:tcPr>
            <w:tcW w:type="dxa" w:w="2880"/>
            <w:vAlign w:val="center"/>
            <w:shd w:fill="17345F"/>
            <w:tcMar>
              <w:top w:w="80" w:type="dxa"/>
              <w:start w:w="100" w:type="dxa"/>
              <w:bottom w:w="80" w:type="dxa"/>
              <w:end w:w="100" w:type="dxa"/>
            </w:tcMar>
          </w:tcPr>
          <w:p>
            <w:pPr>
              <w:jc w:val="center"/>
            </w:pPr>
            <w:r/>
            <w:r>
              <w:rPr>
                <w:b/>
                <w:color w:val="FFFFFF"/>
                <w:sz w:val="17"/>
              </w:rPr>
              <w:t>Недопустимая подмена</w:t>
            </w:r>
          </w:p>
        </w:tc>
      </w:tr>
      <w:tr>
        <w:tc>
          <w:tcPr>
            <w:tcW w:type="dxa" w:w="1152"/>
            <w:vAlign w:val="center"/>
            <w:shd w:fill="FFFFFF"/>
            <w:tcMar>
              <w:top w:w="80" w:type="dxa"/>
              <w:start w:w="100" w:type="dxa"/>
              <w:bottom w:w="80" w:type="dxa"/>
              <w:end w:w="100" w:type="dxa"/>
            </w:tcMar>
          </w:tcPr>
          <w:p>
            <w:pPr>
              <w:jc w:val="center"/>
            </w:pPr>
            <w:r/>
            <w:r>
              <w:rPr>
                <w:b w:val="0"/>
                <w:sz w:val="17"/>
              </w:rPr>
              <w:t>V0: виртуальная геометрия</w:t>
            </w:r>
          </w:p>
        </w:tc>
        <w:tc>
          <w:tcPr>
            <w:tcW w:type="dxa" w:w="2448"/>
            <w:vAlign w:val="center"/>
            <w:shd w:fill="FFFFFF"/>
            <w:tcMar>
              <w:top w:w="80" w:type="dxa"/>
              <w:start w:w="100" w:type="dxa"/>
              <w:bottom w:w="80" w:type="dxa"/>
              <w:end w:w="100" w:type="dxa"/>
            </w:tcMar>
          </w:tcPr>
          <w:p>
            <w:pPr>
              <w:jc w:val="left"/>
            </w:pPr>
            <w:r/>
            <w:r>
              <w:rPr>
                <w:b w:val="0"/>
                <w:sz w:val="17"/>
              </w:rPr>
              <w:t>[𝔐]ᵛⁱʳ, POT, intrinsic cone</w:t>
            </w:r>
          </w:p>
        </w:tc>
        <w:tc>
          <w:tcPr>
            <w:tcW w:type="dxa" w:w="2736"/>
            <w:vAlign w:val="center"/>
            <w:shd w:fill="FFFFFF"/>
            <w:tcMar>
              <w:top w:w="80" w:type="dxa"/>
              <w:start w:w="100" w:type="dxa"/>
              <w:bottom w:w="80" w:type="dxa"/>
              <w:end w:w="100" w:type="dxa"/>
            </w:tcMar>
          </w:tcPr>
          <w:p>
            <w:pPr>
              <w:jc w:val="left"/>
            </w:pPr>
            <w:r/>
            <w:r>
              <w:rPr>
                <w:b w:val="0"/>
                <w:sz w:val="17"/>
              </w:rPr>
              <w:t>класс ожидаемой размерности</w:t>
            </w:r>
          </w:p>
        </w:tc>
        <w:tc>
          <w:tcPr>
            <w:tcW w:type="dxa" w:w="2880"/>
            <w:vAlign w:val="center"/>
            <w:shd w:fill="FFFFFF"/>
            <w:tcMar>
              <w:top w:w="80" w:type="dxa"/>
              <w:start w:w="100" w:type="dxa"/>
              <w:bottom w:w="80" w:type="dxa"/>
              <w:end w:w="100" w:type="dxa"/>
            </w:tcMar>
          </w:tcPr>
          <w:p>
            <w:pPr>
              <w:jc w:val="left"/>
            </w:pPr>
            <w:r/>
            <w:r>
              <w:rPr>
                <w:b w:val="0"/>
                <w:sz w:val="17"/>
              </w:rPr>
              <w:t>не вероятность</w:t>
            </w:r>
          </w:p>
        </w:tc>
      </w:tr>
      <w:tr>
        <w:tc>
          <w:tcPr>
            <w:tcW w:type="dxa" w:w="1152"/>
            <w:vAlign w:val="center"/>
            <w:shd w:fill="F2F4F7"/>
            <w:tcMar>
              <w:top w:w="80" w:type="dxa"/>
              <w:start w:w="100" w:type="dxa"/>
              <w:bottom w:w="80" w:type="dxa"/>
              <w:end w:w="100" w:type="dxa"/>
            </w:tcMar>
          </w:tcPr>
          <w:p>
            <w:pPr>
              <w:jc w:val="center"/>
            </w:pPr>
            <w:r/>
            <w:r>
              <w:rPr>
                <w:b w:val="0"/>
                <w:sz w:val="17"/>
              </w:rPr>
              <w:t>V1: intersection/enumerative</w:t>
            </w:r>
          </w:p>
        </w:tc>
        <w:tc>
          <w:tcPr>
            <w:tcW w:type="dxa" w:w="2448"/>
            <w:vAlign w:val="center"/>
            <w:shd w:fill="F2F4F7"/>
            <w:tcMar>
              <w:top w:w="80" w:type="dxa"/>
              <w:start w:w="100" w:type="dxa"/>
              <w:bottom w:w="80" w:type="dxa"/>
              <w:end w:w="100" w:type="dxa"/>
            </w:tcMar>
          </w:tcPr>
          <w:p>
            <w:pPr>
              <w:jc w:val="left"/>
            </w:pPr>
            <w:r/>
            <w:r>
              <w:rPr>
                <w:b w:val="0"/>
                <w:sz w:val="17"/>
              </w:rPr>
              <w:t>∫[𝔐]ᵛⁱʳ α</w:t>
            </w:r>
          </w:p>
        </w:tc>
        <w:tc>
          <w:tcPr>
            <w:tcW w:type="dxa" w:w="2736"/>
            <w:vAlign w:val="center"/>
            <w:shd w:fill="F2F4F7"/>
            <w:tcMar>
              <w:top w:w="80" w:type="dxa"/>
              <w:start w:w="100" w:type="dxa"/>
              <w:bottom w:w="80" w:type="dxa"/>
              <w:end w:w="100" w:type="dxa"/>
            </w:tcMar>
          </w:tcPr>
          <w:p>
            <w:pPr>
              <w:jc w:val="left"/>
            </w:pPr>
            <w:r/>
            <w:r>
              <w:rPr>
                <w:b w:val="0"/>
                <w:sz w:val="17"/>
              </w:rPr>
              <w:t>индекс, степень, signed/weighted count</w:t>
            </w:r>
          </w:p>
        </w:tc>
        <w:tc>
          <w:tcPr>
            <w:tcW w:type="dxa" w:w="2880"/>
            <w:vAlign w:val="center"/>
            <w:shd w:fill="F2F4F7"/>
            <w:tcMar>
              <w:top w:w="80" w:type="dxa"/>
              <w:start w:w="100" w:type="dxa"/>
              <w:bottom w:w="80" w:type="dxa"/>
              <w:end w:w="100" w:type="dxa"/>
            </w:tcMar>
          </w:tcPr>
          <w:p>
            <w:pPr>
              <w:jc w:val="left"/>
            </w:pPr>
            <w:r/>
            <w:r>
              <w:rPr>
                <w:b w:val="0"/>
                <w:sz w:val="17"/>
              </w:rPr>
              <w:t>не частота будущих случаев</w:t>
            </w:r>
          </w:p>
        </w:tc>
      </w:tr>
      <w:tr>
        <w:tc>
          <w:tcPr>
            <w:tcW w:type="dxa" w:w="1152"/>
            <w:vAlign w:val="center"/>
            <w:shd w:fill="FFFFFF"/>
            <w:tcMar>
              <w:top w:w="80" w:type="dxa"/>
              <w:start w:w="100" w:type="dxa"/>
              <w:bottom w:w="80" w:type="dxa"/>
              <w:end w:w="100" w:type="dxa"/>
            </w:tcMar>
          </w:tcPr>
          <w:p>
            <w:pPr>
              <w:jc w:val="center"/>
            </w:pPr>
            <w:r/>
            <w:r>
              <w:rPr>
                <w:b w:val="0"/>
                <w:sz w:val="17"/>
              </w:rPr>
              <w:t>P0: вероятностная модель</w:t>
            </w:r>
          </w:p>
        </w:tc>
        <w:tc>
          <w:tcPr>
            <w:tcW w:type="dxa" w:w="2448"/>
            <w:vAlign w:val="center"/>
            <w:shd w:fill="FFFFFF"/>
            <w:tcMar>
              <w:top w:w="80" w:type="dxa"/>
              <w:start w:w="100" w:type="dxa"/>
              <w:bottom w:w="80" w:type="dxa"/>
              <w:end w:w="100" w:type="dxa"/>
            </w:tcMar>
          </w:tcPr>
          <w:p>
            <w:pPr>
              <w:jc w:val="left"/>
            </w:pPr>
            <w:r/>
            <w:r>
              <w:rPr>
                <w:b w:val="0"/>
                <w:sz w:val="17"/>
              </w:rPr>
              <w:t>(Ω,ℱ,P), Y, pθ</w:t>
            </w:r>
          </w:p>
        </w:tc>
        <w:tc>
          <w:tcPr>
            <w:tcW w:type="dxa" w:w="2736"/>
            <w:vAlign w:val="center"/>
            <w:shd w:fill="FFFFFF"/>
            <w:tcMar>
              <w:top w:w="80" w:type="dxa"/>
              <w:start w:w="100" w:type="dxa"/>
              <w:bottom w:w="80" w:type="dxa"/>
              <w:end w:w="100" w:type="dxa"/>
            </w:tcMar>
          </w:tcPr>
          <w:p>
            <w:pPr>
              <w:jc w:val="left"/>
            </w:pPr>
            <w:r/>
            <w:r>
              <w:rPr>
                <w:b w:val="0"/>
                <w:sz w:val="17"/>
              </w:rPr>
              <w:t>вероятность при заданной мере</w:t>
            </w:r>
          </w:p>
        </w:tc>
        <w:tc>
          <w:tcPr>
            <w:tcW w:type="dxa" w:w="2880"/>
            <w:vAlign w:val="center"/>
            <w:shd w:fill="FFFFFF"/>
            <w:tcMar>
              <w:top w:w="80" w:type="dxa"/>
              <w:start w:w="100" w:type="dxa"/>
              <w:bottom w:w="80" w:type="dxa"/>
              <w:end w:w="100" w:type="dxa"/>
            </w:tcMar>
          </w:tcPr>
          <w:p>
            <w:pPr>
              <w:jc w:val="left"/>
            </w:pPr>
            <w:r/>
            <w:r>
              <w:rPr>
                <w:b w:val="0"/>
                <w:sz w:val="17"/>
              </w:rPr>
              <w:t>не следует из V0-V1</w:t>
            </w:r>
          </w:p>
        </w:tc>
      </w:tr>
      <w:tr>
        <w:tc>
          <w:tcPr>
            <w:tcW w:type="dxa" w:w="1152"/>
            <w:vAlign w:val="center"/>
            <w:shd w:fill="F2F4F7"/>
            <w:tcMar>
              <w:top w:w="80" w:type="dxa"/>
              <w:start w:w="100" w:type="dxa"/>
              <w:bottom w:w="80" w:type="dxa"/>
              <w:end w:w="100" w:type="dxa"/>
            </w:tcMar>
          </w:tcPr>
          <w:p>
            <w:pPr>
              <w:jc w:val="center"/>
            </w:pPr>
            <w:r/>
            <w:r>
              <w:rPr>
                <w:b w:val="0"/>
                <w:sz w:val="17"/>
              </w:rPr>
              <w:t>E0: эмпирическая проверка</w:t>
            </w:r>
          </w:p>
        </w:tc>
        <w:tc>
          <w:tcPr>
            <w:tcW w:type="dxa" w:w="2448"/>
            <w:vAlign w:val="center"/>
            <w:shd w:fill="F2F4F7"/>
            <w:tcMar>
              <w:top w:w="80" w:type="dxa"/>
              <w:start w:w="100" w:type="dxa"/>
              <w:bottom w:w="80" w:type="dxa"/>
              <w:end w:w="100" w:type="dxa"/>
            </w:tcMar>
          </w:tcPr>
          <w:p>
            <w:pPr>
              <w:jc w:val="left"/>
            </w:pPr>
            <w:r/>
            <w:r>
              <w:rPr>
                <w:b w:val="0"/>
                <w:sz w:val="17"/>
              </w:rPr>
              <w:t>данные, split, calibration, external run</w:t>
            </w:r>
          </w:p>
        </w:tc>
        <w:tc>
          <w:tcPr>
            <w:tcW w:type="dxa" w:w="2736"/>
            <w:vAlign w:val="center"/>
            <w:shd w:fill="F2F4F7"/>
            <w:tcMar>
              <w:top w:w="80" w:type="dxa"/>
              <w:start w:w="100" w:type="dxa"/>
              <w:bottom w:w="80" w:type="dxa"/>
              <w:end w:w="100" w:type="dxa"/>
            </w:tcMar>
          </w:tcPr>
          <w:p>
            <w:pPr>
              <w:jc w:val="left"/>
            </w:pPr>
            <w:r/>
            <w:r>
              <w:rPr>
                <w:b w:val="0"/>
                <w:sz w:val="17"/>
              </w:rPr>
              <w:t>оценка качества прогноза</w:t>
            </w:r>
          </w:p>
        </w:tc>
        <w:tc>
          <w:tcPr>
            <w:tcW w:type="dxa" w:w="2880"/>
            <w:vAlign w:val="center"/>
            <w:shd w:fill="F2F4F7"/>
            <w:tcMar>
              <w:top w:w="80" w:type="dxa"/>
              <w:start w:w="100" w:type="dxa"/>
              <w:bottom w:w="80" w:type="dxa"/>
              <w:end w:w="100" w:type="dxa"/>
            </w:tcMar>
          </w:tcPr>
          <w:p>
            <w:pPr>
              <w:jc w:val="left"/>
            </w:pPr>
            <w:r/>
            <w:r>
              <w:rPr>
                <w:b w:val="0"/>
                <w:sz w:val="17"/>
              </w:rPr>
              <w:t>не заменяется красивым инвариантом</w:t>
            </w:r>
          </w:p>
        </w:tc>
      </w:tr>
    </w:tbl>
    <w:p>
      <w:pPr>
        <w:pStyle w:val="Quote"/>
        <w:keepLines/>
      </w:pPr>
      <w:r>
        <w:t>V0 → V1  не влечёт  P0 → E0.                                      (19.1)</w:t>
      </w:r>
    </w:p>
    <w:p>
      <w:r>
        <w:t>Формула (19.1) является центральным доказательным замком главы. V0 и V1 могут быть полностью строгими математически, но вероятностный мост всё равно отсутствует. Это не недостаток virtual geometry, а корректное различие типов объектов.</w:t>
      </w:r>
    </w:p>
    <w:p>
      <w:pPr>
        <w:pStyle w:val="Heading1"/>
        <w:keepNext/>
      </w:pPr>
      <w:r>
        <w:t>217. Цикловый носитель и виртуальная размерность</w:t>
      </w:r>
    </w:p>
    <w:p>
      <w:r>
        <w:t>Пусть 𝔐 является proper Deligne-Mumford-подобным модульным объектом либо иным объектом, для которого определены Chow-группы или подходящая гомологическая теория. Пусть задана perfect obstruction theory</w:t>
      </w:r>
    </w:p>
    <w:p>
      <w:pPr>
        <w:pStyle w:val="Quote"/>
        <w:keepLines/>
      </w:pPr>
      <w:r>
        <w:t>φ:E•→L_𝔐,     amp(E•)⊂[-1,0].                                  (19.2)</w:t>
      </w:r>
    </w:p>
    <w:p>
      <w:r>
        <w:t>Виртуальная размерность определяется рангом perfect complex, а не фактической локальной размерностью грубого пространства:</w:t>
      </w:r>
    </w:p>
    <w:p>
      <w:pPr>
        <w:pStyle w:val="Quote"/>
        <w:keepLines/>
      </w:pPr>
      <w:r>
        <w:t>vdim(𝔐)=rk(E•)=rk(E⁰)-rk(E⁻¹).                               (19.3)</w:t>
      </w:r>
    </w:p>
    <w:p>
      <w:r>
        <w:t>Если в точке используется трёхчленный stacky tangent complex, вклад стабилизаторов уже входит в Euler characteristic. Поэтому vdim может быть нулевой при одновременно ненулевых пространствах автоморфизмов и препятствий. Нулевая виртуальная размерность не означает, что moduli object состоит из конечного множества гладких точек.</w:t>
      </w:r>
    </w:p>
    <w:p>
      <w:pPr>
        <w:pStyle w:val="Heading1"/>
        <w:keepNext/>
      </w:pPr>
      <w:r>
        <w:t>218. Конструкция виртуального фундаментального класса</w:t>
      </w:r>
    </w:p>
    <w:p>
      <w:r>
        <w:t>Intrinsic normal cone 𝔠_𝔐, построенный из локальных normal cones и склеенный в bundle stack 𝔈=h¹/h⁰((E•)∨), вкладывается в 𝔈. Виртуальный фундаментальный класс определяется refined Gysin pullback нулевой секции:</w:t>
      </w:r>
    </w:p>
    <w:p>
      <w:pPr>
        <w:pStyle w:val="Quote"/>
        <w:keepLines/>
      </w:pPr>
      <w:r>
        <w:t>[𝔐]ᵛⁱʳ = 0_𝔈^! [𝔠_𝔐] ∈ A_vdim(𝔐).                            (19.4)</w:t>
      </w:r>
    </w:p>
    <w:p>
      <w:r>
        <w:t>Формула (19.4) разрешена только при закрытом пакете: global obstruction theory, compatible cone, proper carrier, определённый Gysin-оператор и выбранная теория коэффициентов. Для derived smooth/analytic реализаций носитель может быть гомологическим или бордизмовым; равенство различных реализаций требует отдельной comparison theorem.</w:t>
      </w:r>
    </w:p>
    <w:p>
      <w:r>
        <w:t>Теорема 19.1 (Presentation independence, условная форма). [COND] Если две perfect obstruction theories связаны совместимым quasi-isomorphism и индуцируют одну и ту же embedding data intrinsic cone, то соответствующие virtual classes совпадают после канонической идентификации носителей. Произвольные неэквивалентные obstruction theories могут давать различные классы; поэтому “moduli space alone” в общем случае недостаточно.</w:t>
      </w:r>
    </w:p>
    <w:p>
      <w:pPr>
        <w:keepLines/>
        <w:jc w:val="center"/>
      </w:pPr>
      <w:r>
        <w:drawing>
          <wp:inline xmlns:a="http://schemas.openxmlformats.org/drawingml/2006/main" xmlns:pic="http://schemas.openxmlformats.org/drawingml/2006/picture">
            <wp:extent cx="5806440" cy="3320721"/>
            <wp:docPr id="49" name="Picture 49"/>
            <wp:cNvGraphicFramePr>
              <a:graphicFrameLocks noChangeAspect="1"/>
            </wp:cNvGraphicFramePr>
            <a:graphic>
              <a:graphicData uri="http://schemas.openxmlformats.org/drawingml/2006/picture">
                <pic:pic>
                  <pic:nvPicPr>
                    <pic:cNvPr id="0" name="fig19_1.png"/>
                    <pic:cNvPicPr/>
                  </pic:nvPicPr>
                  <pic:blipFill>
                    <a:blip r:embed="rId86"/>
                    <a:stretch>
                      <a:fillRect/>
                    </a:stretch>
                  </pic:blipFill>
                  <pic:spPr>
                    <a:xfrm>
                      <a:off x="0" y="0"/>
                      <a:ext cx="5806440" cy="3320721"/>
                    </a:xfrm>
                    <a:prstGeom prst="rect"/>
                  </pic:spPr>
                </pic:pic>
              </a:graphicData>
            </a:graphic>
          </wp:inline>
        </w:drawing>
      </w:r>
    </w:p>
    <w:p>
      <w:pPr>
        <w:pStyle w:val="Caption"/>
        <w:keepNext w:val="0"/>
        <w:keepLines/>
      </w:pPr>
      <w:r>
        <w:t>Рисунок 19.1. От derived/stacky moduli carrier к виртуальному инварианту и отдельному вероятностному мосту. Собственная схема Тома II.</w:t>
      </w:r>
    </w:p>
    <w:p>
      <w:pPr>
        <w:pStyle w:val="Heading1"/>
        <w:keepNext/>
      </w:pPr>
      <w:r>
        <w:t>219. Интегрирование по виртуальному классу</w:t>
      </w:r>
    </w:p>
    <w:p>
      <w:r>
        <w:t>Пусть α принадлежит операционному Chow-кольцу, когомологии или иной совместимой cohomology theory и имеет степень, дополняющую vdim до нуля. Виртуальный инвариант задаётся спариванием</w:t>
      </w:r>
    </w:p>
    <w:p>
      <w:pPr>
        <w:pStyle w:val="Quote"/>
        <w:keepLines/>
      </w:pPr>
      <w:r>
        <w:t>Iᵛⁱʳ(𝔐;α)=∫_[𝔐]ᵛⁱʳ α = deg(α∩[𝔐]ᵛⁱʳ).                      (19.5)</w:t>
      </w:r>
    </w:p>
    <w:p>
      <w:r>
        <w:t>При наличии evaluation maps evᵢ и insertions αᵢ используется формула</w:t>
      </w:r>
    </w:p>
    <w:p>
      <w:pPr>
        <w:pStyle w:val="Quote"/>
        <w:keepLines/>
      </w:pPr>
      <w:r>
        <w:t>⟨α₁,…,αₙ⟩ᵛⁱʳ = ∫_[𝔐]ᵛⁱʳ ∏ᵢ evᵢ*αᵢ.                         (19.6)</w:t>
      </w:r>
    </w:p>
    <w:p>
      <w:r>
        <w:t>Если суммарная степень insertions не согласована с vdim, числовой degree не определён либо автоматически равен нулю по размерностным причинам. Нулевой результат в таком случае может отражать grading, а не отсутствие геометрических объектов.</w:t>
      </w:r>
    </w:p>
    <w:tbl>
      <w:tblPr>
        <w:tblStyle w:val="TableGrid"/>
        <w:tblW w:type="auto" w:w="0"/>
        <w:tblLayout w:type="autofit"/>
        <w:tblLook w:firstColumn="1" w:firstRow="1" w:lastColumn="0" w:lastRow="0" w:noHBand="0" w:noVBand="1" w:val="04A0"/>
      </w:tblPr>
      <w:tblGrid>
        <w:gridCol w:w="3251"/>
        <w:gridCol w:w="3251"/>
        <w:gridCol w:w="3251"/>
      </w:tblGrid>
      <w:tr>
        <w:trPr>
          <w:tblHeader w:val="true"/>
        </w:trPr>
        <w:tc>
          <w:tcPr>
            <w:tcW w:type="dxa" w:w="1584"/>
            <w:vAlign w:val="center"/>
            <w:shd w:fill="17345F"/>
            <w:tcMar>
              <w:top w:w="80" w:type="dxa"/>
              <w:start w:w="100" w:type="dxa"/>
              <w:bottom w:w="80" w:type="dxa"/>
              <w:end w:w="100" w:type="dxa"/>
            </w:tcMar>
          </w:tcPr>
          <w:p>
            <w:pPr>
              <w:jc w:val="center"/>
            </w:pPr>
            <w:r/>
            <w:r>
              <w:rPr>
                <w:b/>
                <w:color w:val="FFFFFF"/>
                <w:sz w:val="18"/>
              </w:rPr>
              <w:t>Проверка</w:t>
            </w:r>
          </w:p>
        </w:tc>
        <w:tc>
          <w:tcPr>
            <w:tcW w:type="dxa" w:w="3888"/>
            <w:vAlign w:val="center"/>
            <w:shd w:fill="17345F"/>
            <w:tcMar>
              <w:top w:w="80" w:type="dxa"/>
              <w:start w:w="100" w:type="dxa"/>
              <w:bottom w:w="80" w:type="dxa"/>
              <w:end w:w="100" w:type="dxa"/>
            </w:tcMar>
          </w:tcPr>
          <w:p>
            <w:pPr>
              <w:jc w:val="center"/>
            </w:pPr>
            <w:r/>
            <w:r>
              <w:rPr>
                <w:b/>
                <w:color w:val="FFFFFF"/>
                <w:sz w:val="18"/>
              </w:rPr>
              <w:t>Требование</w:t>
            </w:r>
          </w:p>
        </w:tc>
        <w:tc>
          <w:tcPr>
            <w:tcW w:type="dxa" w:w="3456"/>
            <w:vAlign w:val="center"/>
            <w:shd w:fill="17345F"/>
            <w:tcMar>
              <w:top w:w="80" w:type="dxa"/>
              <w:start w:w="100" w:type="dxa"/>
              <w:bottom w:w="80" w:type="dxa"/>
              <w:end w:w="100" w:type="dxa"/>
            </w:tcMar>
          </w:tcPr>
          <w:p>
            <w:pPr>
              <w:jc w:val="center"/>
            </w:pPr>
            <w:r/>
            <w:r>
              <w:rPr>
                <w:b/>
                <w:color w:val="FFFFFF"/>
                <w:sz w:val="18"/>
              </w:rPr>
              <w:t>При отказе</w:t>
            </w:r>
          </w:p>
        </w:tc>
      </w:tr>
      <w:tr>
        <w:tc>
          <w:tcPr>
            <w:tcW w:type="dxa" w:w="1584"/>
            <w:vAlign w:val="center"/>
            <w:shd w:fill="FFFFFF"/>
            <w:tcMar>
              <w:top w:w="80" w:type="dxa"/>
              <w:start w:w="100" w:type="dxa"/>
              <w:bottom w:w="80" w:type="dxa"/>
              <w:end w:w="100" w:type="dxa"/>
            </w:tcMar>
          </w:tcPr>
          <w:p>
            <w:pPr>
              <w:jc w:val="center"/>
            </w:pPr>
            <w:r/>
            <w:r>
              <w:rPr>
                <w:b w:val="0"/>
                <w:sz w:val="18"/>
              </w:rPr>
              <w:t>носитель</w:t>
            </w:r>
          </w:p>
        </w:tc>
        <w:tc>
          <w:tcPr>
            <w:tcW w:type="dxa" w:w="3888"/>
            <w:vAlign w:val="center"/>
            <w:shd w:fill="FFFFFF"/>
            <w:tcMar>
              <w:top w:w="80" w:type="dxa"/>
              <w:start w:w="100" w:type="dxa"/>
              <w:bottom w:w="80" w:type="dxa"/>
              <w:end w:w="100" w:type="dxa"/>
            </w:tcMar>
          </w:tcPr>
          <w:p>
            <w:pPr>
              <w:jc w:val="left"/>
            </w:pPr>
            <w:r/>
            <w:r>
              <w:rPr>
                <w:b w:val="0"/>
                <w:sz w:val="18"/>
              </w:rPr>
              <w:t>properness или compact support</w:t>
            </w:r>
          </w:p>
        </w:tc>
        <w:tc>
          <w:tcPr>
            <w:tcW w:type="dxa" w:w="3456"/>
            <w:vAlign w:val="center"/>
            <w:shd w:fill="FFFFFF"/>
            <w:tcMar>
              <w:top w:w="80" w:type="dxa"/>
              <w:start w:w="100" w:type="dxa"/>
              <w:bottom w:w="80" w:type="dxa"/>
              <w:end w:w="100" w:type="dxa"/>
            </w:tcMar>
          </w:tcPr>
          <w:p>
            <w:pPr>
              <w:jc w:val="left"/>
            </w:pPr>
            <w:r/>
            <w:r>
              <w:rPr>
                <w:b w:val="0"/>
                <w:sz w:val="18"/>
              </w:rPr>
              <w:t>degree не определён</w:t>
            </w:r>
          </w:p>
        </w:tc>
      </w:tr>
      <w:tr>
        <w:tc>
          <w:tcPr>
            <w:tcW w:type="dxa" w:w="1584"/>
            <w:vAlign w:val="center"/>
            <w:shd w:fill="F2F4F7"/>
            <w:tcMar>
              <w:top w:w="80" w:type="dxa"/>
              <w:start w:w="100" w:type="dxa"/>
              <w:bottom w:w="80" w:type="dxa"/>
              <w:end w:w="100" w:type="dxa"/>
            </w:tcMar>
          </w:tcPr>
          <w:p>
            <w:pPr>
              <w:jc w:val="center"/>
            </w:pPr>
            <w:r/>
            <w:r>
              <w:rPr>
                <w:b w:val="0"/>
                <w:sz w:val="18"/>
              </w:rPr>
              <w:t>размерность</w:t>
            </w:r>
          </w:p>
        </w:tc>
        <w:tc>
          <w:tcPr>
            <w:tcW w:type="dxa" w:w="3888"/>
            <w:vAlign w:val="center"/>
            <w:shd w:fill="F2F4F7"/>
            <w:tcMar>
              <w:top w:w="80" w:type="dxa"/>
              <w:start w:w="100" w:type="dxa"/>
              <w:bottom w:w="80" w:type="dxa"/>
              <w:end w:w="100" w:type="dxa"/>
            </w:tcMar>
          </w:tcPr>
          <w:p>
            <w:pPr>
              <w:jc w:val="left"/>
            </w:pPr>
            <w:r/>
            <w:r>
              <w:rPr>
                <w:b w:val="0"/>
                <w:sz w:val="18"/>
              </w:rPr>
              <w:t>deg α = vdim</w:t>
            </w:r>
          </w:p>
        </w:tc>
        <w:tc>
          <w:tcPr>
            <w:tcW w:type="dxa" w:w="3456"/>
            <w:vAlign w:val="center"/>
            <w:shd w:fill="F2F4F7"/>
            <w:tcMar>
              <w:top w:w="80" w:type="dxa"/>
              <w:start w:w="100" w:type="dxa"/>
              <w:bottom w:w="80" w:type="dxa"/>
              <w:end w:w="100" w:type="dxa"/>
            </w:tcMar>
          </w:tcPr>
          <w:p>
            <w:pPr>
              <w:jc w:val="left"/>
            </w:pPr>
            <w:r/>
            <w:r>
              <w:rPr>
                <w:b w:val="0"/>
                <w:sz w:val="18"/>
              </w:rPr>
              <w:t>число не получается</w:t>
            </w:r>
          </w:p>
        </w:tc>
      </w:tr>
      <w:tr>
        <w:tc>
          <w:tcPr>
            <w:tcW w:type="dxa" w:w="1584"/>
            <w:vAlign w:val="center"/>
            <w:shd w:fill="FFFFFF"/>
            <w:tcMar>
              <w:top w:w="80" w:type="dxa"/>
              <w:start w:w="100" w:type="dxa"/>
              <w:bottom w:w="80" w:type="dxa"/>
              <w:end w:w="100" w:type="dxa"/>
            </w:tcMar>
          </w:tcPr>
          <w:p>
            <w:pPr>
              <w:jc w:val="center"/>
            </w:pPr>
            <w:r/>
            <w:r>
              <w:rPr>
                <w:b w:val="0"/>
                <w:sz w:val="18"/>
              </w:rPr>
              <w:t>ориентация</w:t>
            </w:r>
          </w:p>
        </w:tc>
        <w:tc>
          <w:tcPr>
            <w:tcW w:type="dxa" w:w="3888"/>
            <w:vAlign w:val="center"/>
            <w:shd w:fill="FFFFFF"/>
            <w:tcMar>
              <w:top w:w="80" w:type="dxa"/>
              <w:start w:w="100" w:type="dxa"/>
              <w:bottom w:w="80" w:type="dxa"/>
              <w:end w:w="100" w:type="dxa"/>
            </w:tcMar>
          </w:tcPr>
          <w:p>
            <w:pPr>
              <w:jc w:val="left"/>
            </w:pPr>
            <w:r/>
            <w:r>
              <w:rPr>
                <w:b w:val="0"/>
                <w:sz w:val="18"/>
              </w:rPr>
              <w:t>совместимая determinant orientation</w:t>
            </w:r>
          </w:p>
        </w:tc>
        <w:tc>
          <w:tcPr>
            <w:tcW w:type="dxa" w:w="3456"/>
            <w:vAlign w:val="center"/>
            <w:shd w:fill="FFFFFF"/>
            <w:tcMar>
              <w:top w:w="80" w:type="dxa"/>
              <w:start w:w="100" w:type="dxa"/>
              <w:bottom w:w="80" w:type="dxa"/>
              <w:end w:w="100" w:type="dxa"/>
            </w:tcMar>
          </w:tcPr>
          <w:p>
            <w:pPr>
              <w:jc w:val="left"/>
            </w:pPr>
            <w:r/>
            <w:r>
              <w:rPr>
                <w:b w:val="0"/>
                <w:sz w:val="18"/>
              </w:rPr>
              <w:t>знак/класс неоднозначен</w:t>
            </w:r>
          </w:p>
        </w:tc>
      </w:tr>
      <w:tr>
        <w:tc>
          <w:tcPr>
            <w:tcW w:type="dxa" w:w="1584"/>
            <w:vAlign w:val="center"/>
            <w:shd w:fill="F2F4F7"/>
            <w:tcMar>
              <w:top w:w="80" w:type="dxa"/>
              <w:start w:w="100" w:type="dxa"/>
              <w:bottom w:w="80" w:type="dxa"/>
              <w:end w:w="100" w:type="dxa"/>
            </w:tcMar>
          </w:tcPr>
          <w:p>
            <w:pPr>
              <w:jc w:val="center"/>
            </w:pPr>
            <w:r/>
            <w:r>
              <w:rPr>
                <w:b w:val="0"/>
                <w:sz w:val="18"/>
              </w:rPr>
              <w:t>стабилизаторы</w:t>
            </w:r>
          </w:p>
        </w:tc>
        <w:tc>
          <w:tcPr>
            <w:tcW w:type="dxa" w:w="3888"/>
            <w:vAlign w:val="center"/>
            <w:shd w:fill="F2F4F7"/>
            <w:tcMar>
              <w:top w:w="80" w:type="dxa"/>
              <w:start w:w="100" w:type="dxa"/>
              <w:bottom w:w="80" w:type="dxa"/>
              <w:end w:w="100" w:type="dxa"/>
            </w:tcMar>
          </w:tcPr>
          <w:p>
            <w:pPr>
              <w:jc w:val="left"/>
            </w:pPr>
            <w:r/>
            <w:r>
              <w:rPr>
                <w:b w:val="0"/>
                <w:sz w:val="18"/>
              </w:rPr>
              <w:t>stack normalization</w:t>
            </w:r>
          </w:p>
        </w:tc>
        <w:tc>
          <w:tcPr>
            <w:tcW w:type="dxa" w:w="3456"/>
            <w:vAlign w:val="center"/>
            <w:shd w:fill="F2F4F7"/>
            <w:tcMar>
              <w:top w:w="80" w:type="dxa"/>
              <w:start w:w="100" w:type="dxa"/>
              <w:bottom w:w="80" w:type="dxa"/>
              <w:end w:w="100" w:type="dxa"/>
            </w:tcMar>
          </w:tcPr>
          <w:p>
            <w:pPr>
              <w:jc w:val="left"/>
            </w:pPr>
            <w:r/>
            <w:r>
              <w:rPr>
                <w:b w:val="0"/>
                <w:sz w:val="18"/>
              </w:rPr>
              <w:t>веса и знаменатели несертифицированы</w:t>
            </w:r>
          </w:p>
        </w:tc>
      </w:tr>
      <w:tr>
        <w:tc>
          <w:tcPr>
            <w:tcW w:type="dxa" w:w="1584"/>
            <w:vAlign w:val="center"/>
            <w:shd w:fill="FFFFFF"/>
            <w:tcMar>
              <w:top w:w="80" w:type="dxa"/>
              <w:start w:w="100" w:type="dxa"/>
              <w:bottom w:w="80" w:type="dxa"/>
              <w:end w:w="100" w:type="dxa"/>
            </w:tcMar>
          </w:tcPr>
          <w:p>
            <w:pPr>
              <w:jc w:val="center"/>
            </w:pPr>
            <w:r/>
            <w:r>
              <w:rPr>
                <w:b w:val="0"/>
                <w:sz w:val="18"/>
              </w:rPr>
              <w:t>insertions</w:t>
            </w:r>
          </w:p>
        </w:tc>
        <w:tc>
          <w:tcPr>
            <w:tcW w:type="dxa" w:w="3888"/>
            <w:vAlign w:val="center"/>
            <w:shd w:fill="FFFFFF"/>
            <w:tcMar>
              <w:top w:w="80" w:type="dxa"/>
              <w:start w:w="100" w:type="dxa"/>
              <w:bottom w:w="80" w:type="dxa"/>
              <w:end w:w="100" w:type="dxa"/>
            </w:tcMar>
          </w:tcPr>
          <w:p>
            <w:pPr>
              <w:jc w:val="left"/>
            </w:pPr>
            <w:r/>
            <w:r>
              <w:rPr>
                <w:b w:val="0"/>
                <w:sz w:val="18"/>
              </w:rPr>
              <w:t>глобальность и transport</w:t>
            </w:r>
          </w:p>
        </w:tc>
        <w:tc>
          <w:tcPr>
            <w:tcW w:type="dxa" w:w="3456"/>
            <w:vAlign w:val="center"/>
            <w:shd w:fill="FFFFFF"/>
            <w:tcMar>
              <w:top w:w="80" w:type="dxa"/>
              <w:start w:w="100" w:type="dxa"/>
              <w:bottom w:w="80" w:type="dxa"/>
              <w:end w:w="100" w:type="dxa"/>
            </w:tcMar>
          </w:tcPr>
          <w:p>
            <w:pPr>
              <w:jc w:val="left"/>
            </w:pPr>
            <w:r/>
            <w:r>
              <w:rPr>
                <w:b w:val="0"/>
                <w:sz w:val="18"/>
              </w:rPr>
              <w:t>инвариант зависит от карты</w:t>
            </w:r>
          </w:p>
        </w:tc>
      </w:tr>
      <w:tr>
        <w:tc>
          <w:tcPr>
            <w:tcW w:type="dxa" w:w="1584"/>
            <w:vAlign w:val="center"/>
            <w:shd w:fill="F2F4F7"/>
            <w:tcMar>
              <w:top w:w="80" w:type="dxa"/>
              <w:start w:w="100" w:type="dxa"/>
              <w:bottom w:w="80" w:type="dxa"/>
              <w:end w:w="100" w:type="dxa"/>
            </w:tcMar>
          </w:tcPr>
          <w:p>
            <w:pPr>
              <w:jc w:val="center"/>
            </w:pPr>
            <w:r/>
            <w:r>
              <w:rPr>
                <w:b w:val="0"/>
                <w:sz w:val="18"/>
              </w:rPr>
              <w:t>коэффициенты</w:t>
            </w:r>
          </w:p>
        </w:tc>
        <w:tc>
          <w:tcPr>
            <w:tcW w:type="dxa" w:w="3888"/>
            <w:vAlign w:val="center"/>
            <w:shd w:fill="F2F4F7"/>
            <w:tcMar>
              <w:top w:w="80" w:type="dxa"/>
              <w:start w:w="100" w:type="dxa"/>
              <w:bottom w:w="80" w:type="dxa"/>
              <w:end w:w="100" w:type="dxa"/>
            </w:tcMar>
          </w:tcPr>
          <w:p>
            <w:pPr>
              <w:jc w:val="left"/>
            </w:pPr>
            <w:r/>
            <w:r>
              <w:rPr>
                <w:b w:val="0"/>
                <w:sz w:val="18"/>
              </w:rPr>
              <w:t>фиксированная Chow/homology theory</w:t>
            </w:r>
          </w:p>
        </w:tc>
        <w:tc>
          <w:tcPr>
            <w:tcW w:type="dxa" w:w="3456"/>
            <w:vAlign w:val="center"/>
            <w:shd w:fill="F2F4F7"/>
            <w:tcMar>
              <w:top w:w="80" w:type="dxa"/>
              <w:start w:w="100" w:type="dxa"/>
              <w:bottom w:w="80" w:type="dxa"/>
              <w:end w:w="100" w:type="dxa"/>
            </w:tcMar>
          </w:tcPr>
          <w:p>
            <w:pPr>
              <w:jc w:val="left"/>
            </w:pPr>
            <w:r/>
            <w:r>
              <w:rPr>
                <w:b w:val="0"/>
                <w:sz w:val="18"/>
              </w:rPr>
              <w:t>несравнимые значения</w:t>
            </w:r>
          </w:p>
        </w:tc>
      </w:tr>
    </w:tbl>
    <w:p>
      <w:pPr>
        <w:pStyle w:val="Heading1"/>
        <w:keepNext/>
      </w:pPr>
      <w:r>
        <w:t>220. Regular zero locus и excess intersection</w:t>
      </w:r>
    </w:p>
    <w:p>
      <w:r>
        <w:t>Базовая конечномерная модель помогает отделить классическую геометрию от виртуального ремонта. Пусть U - гладкое многообразие, E→U - ориентированное векторное расслоение, а s∈Γ(E). Нулевой локус Z=s⁻¹(0) имеет ожидаемую размерность dim U-rk E. Если s трансверсально нулевой секции, то</w:t>
      </w:r>
    </w:p>
    <w:p>
      <w:pPr>
        <w:pStyle w:val="Quote"/>
        <w:keepLines/>
      </w:pPr>
      <w:r>
        <w:t>[Z]ᵛⁱʳ=[Z],     vdim=dim U-rk E.                              (19.7)</w:t>
      </w:r>
    </w:p>
    <w:p>
      <w:r>
        <w:t>При нетрансверсальности фактическая размерность Z может быть больше ожидаемой, но виртуальный класс остаётся в ожидаемой степени и кодирует excess intersection. Поэтому virtual count является поправленным intersection number, а не буквальным количеством точек нулевого множества.</w:t>
      </w:r>
    </w:p>
    <w:p>
      <w:r>
        <w:t>Лемма 19.2 (Transverse reduction). [THM в конечномерной ориентированной модели] Если s трансверсально нулевой секции и Z компактен, виртуальный класс совпадает с обычным фундаментальным классом Z. Доказательство следует из идентификации normal cone с normal bundle и обычного Thom/Gysin pullback.</w:t>
      </w:r>
    </w:p>
    <w:p>
      <w:pPr>
        <w:pStyle w:val="Heading1"/>
        <w:keepNext/>
      </w:pPr>
      <w:r>
        <w:t>221. Деформационная инвариантность</w:t>
      </w:r>
    </w:p>
    <w:p>
      <w:r>
        <w:t>Пусть π:𝔐→B является proper семейством, снабжённым relative perfect obstruction theory, совместимой с базой, а insertions продолжаются по семейству. Для b∈B обозначим fibre через 𝔐_b. При выполнении base-change/Gysin-условий</w:t>
      </w:r>
    </w:p>
    <w:p>
      <w:pPr>
        <w:pStyle w:val="Quote"/>
        <w:keepLines/>
      </w:pPr>
      <w:r>
        <w:t>[𝔐_b]ᵛⁱʳ = i_b^![𝔐]ᵛⁱʳ_rel.                                 (19.8)</w:t>
      </w:r>
    </w:p>
    <w:p>
      <w:r>
        <w:t>Если B связна и путь не пересекает локусы потери properness, perfectness, orientation, chamber или insertion data, degrees виртуальных классов постоянны:</w:t>
      </w:r>
    </w:p>
    <w:p>
      <w:pPr>
        <w:pStyle w:val="Quote"/>
        <w:keepLines/>
      </w:pPr>
      <w:r>
        <w:t>Iᵛⁱʳ(𝔐_b;α_b)=const.                                           (19.9)</w:t>
      </w:r>
    </w:p>
    <w:p>
      <w:r>
        <w:t>Теорема 19.3 (Virtual deformation invariance). [COND] При hypotheses (19.8), properness и совместимом transport insertions виртуальный инвариант локально постоянен на связной базе. Это структурный отрицательный прогноз: изменение данного invariant невозможно без выхода из сертифицированного сектора. Теорема не сообщает, с какой вероятностью параметрическая система достигнет такого выхода.</w:t>
      </w:r>
    </w:p>
    <w:p>
      <w:pPr>
        <w:pStyle w:val="Heading1"/>
        <w:keepNext/>
      </w:pPr>
      <w:r>
        <w:t>222. Equivariant localization</w:t>
      </w:r>
    </w:p>
    <w:p>
      <w:r>
        <w:t>Если алгебраический тор T действует на 𝔐 и perfect obstruction theory T-эквивариантна, virtual localization выражает глобальный класс через fixed loci F⊂𝔐ᵀ:</w:t>
      </w:r>
    </w:p>
    <w:p>
      <w:pPr>
        <w:pStyle w:val="Quote"/>
        <w:keepLines/>
      </w:pPr>
      <w:r>
        <w:t>[𝔐]ᵛⁱʳ = i_* Σ_F [F]ᵛⁱʳ / e_T(N_Fᵛⁱʳ)                      (19.10)</w:t>
      </w:r>
    </w:p>
    <w:p>
      <w:r>
        <w:t>в локализованной equivariant Chow theory. Знаменатель является Euler class виртуального normal complex. Формула не является разложением вероятности по альтернативам: слагаемые могут иметь знаки, полюса в equivariant parameters и рациональные веса.</w:t>
      </w:r>
    </w:p>
    <w:p>
      <w:r>
        <w:t>Локализационный сертификат обязан хранить fixed loci, virtual normal complexes, invertibility Euler classes, chamber конвенции и финальную отмену формальных параметров. Числовой ответ без этих данных не считается воспроизводимым.</w:t>
      </w:r>
    </w:p>
    <w:p>
      <w:pPr>
        <w:pStyle w:val="Heading1"/>
        <w:keepNext/>
      </w:pPr>
      <w:r>
        <w:t>223. Когда virtual count действительно enumerative</w:t>
      </w:r>
    </w:p>
    <w:p>
      <w:r>
        <w:t>Enumerative interpretation разрешается только при дополнительном наборе достаточных условий. Типичный безопасный пакет включает: нулевую virtual dimension; proper moduli carrier; отсутствие boundary contributions; изолированные reduced решения; тривиальные либо учтённые стабилизаторы; согласованную ориентацию; и доказательство того, что multiplicity каждой точки равна требуемому геометрическому весу.</w:t>
      </w:r>
    </w:p>
    <w:p>
      <w:pPr>
        <w:pStyle w:val="Quote"/>
        <w:keepLines/>
      </w:pPr>
      <w:r>
        <w:t>Iᵛⁱʳ = Σ_[x] m_x / |Aut(x)|.                                  (19.11)</w:t>
      </w:r>
    </w:p>
    <w:p>
      <w:r>
        <w:t>Даже формула (19.11) обычно является signed/weighted stack count. Она совпадает с буквальным числом геометрических объектов только если m_x=1, ориентационные знаки положительны и Aut(x) тривиальны. В противном случае слово “count” должно сопровождаться точным типом веса.</w:t>
      </w:r>
    </w:p>
    <w:p>
      <w:pPr>
        <w:pStyle w:val="Heading1"/>
        <w:keepNext/>
      </w:pPr>
      <w:r>
        <w:t>224. Три модели, разрушающие вероятностную подмену</w:t>
      </w:r>
    </w:p>
    <w:p>
      <w:r>
        <w:t>Первая модель: отображение f:S¹→S¹ степени -1. Signed preimage count регулярного значения равен -1. Это корректный ориентированный intersection number, но отрицательная вероятность невозможна.</w:t>
      </w:r>
    </w:p>
    <w:p>
      <w:r>
        <w:t>Вторая модель: f(z)=z² имеет степень 2. Signed count равен 2, что также не принадлежит [0,1].</w:t>
      </w:r>
    </w:p>
    <w:p>
      <w:r>
        <w:t>Третья модель: для stack [pt/μ₂] стандартная stack-интеграция учитывает стабилизатор весом 1/2. Число лежит в [0,1], но без выборочного пространства и нормировки оно является stack-весом, а не вероятностью.</w:t>
      </w:r>
    </w:p>
    <w:p>
      <w:pPr>
        <w:keepLines/>
        <w:jc w:val="center"/>
      </w:pPr>
      <w:r>
        <w:drawing>
          <wp:inline xmlns:a="http://schemas.openxmlformats.org/drawingml/2006/main" xmlns:pic="http://schemas.openxmlformats.org/drawingml/2006/picture">
            <wp:extent cx="5806440" cy="3376508"/>
            <wp:docPr id="50" name="Picture 50"/>
            <wp:cNvGraphicFramePr>
              <a:graphicFrameLocks noChangeAspect="1"/>
            </wp:cNvGraphicFramePr>
            <a:graphic>
              <a:graphicData uri="http://schemas.openxmlformats.org/drawingml/2006/picture">
                <pic:pic>
                  <pic:nvPicPr>
                    <pic:cNvPr id="0" name="fig19_2.png"/>
                    <pic:cNvPicPr/>
                  </pic:nvPicPr>
                  <pic:blipFill>
                    <a:blip r:embed="rId87"/>
                    <a:stretch>
                      <a:fillRect/>
                    </a:stretch>
                  </pic:blipFill>
                  <pic:spPr>
                    <a:xfrm>
                      <a:off x="0" y="0"/>
                      <a:ext cx="5806440" cy="3376508"/>
                    </a:xfrm>
                    <a:prstGeom prst="rect"/>
                  </pic:spPr>
                </pic:pic>
              </a:graphicData>
            </a:graphic>
          </wp:inline>
        </w:drawing>
      </w:r>
    </w:p>
    <w:p>
      <w:pPr>
        <w:pStyle w:val="Caption"/>
        <w:keepNext w:val="0"/>
        <w:keepLines/>
      </w:pPr>
      <w:r>
        <w:t>Рисунок 19.2. Отрицательный, превышающий единицу и stacky-дробный virtual count. Собственная схема Тома II.</w:t>
      </w:r>
    </w:p>
    <w:p>
      <w:pPr>
        <w:pStyle w:val="Heading1"/>
        <w:keepNext/>
      </w:pPr>
      <w:r>
        <w:t>225. Теорема невозможности универсальной вероятностной интерпретации</w:t>
      </w:r>
    </w:p>
    <w:p>
      <w:r>
        <w:t>Теорема 19.4 (Additivity-probability no-go). [THM] Не существует отображения Pᵛⁱʳ из класса всех нульмерных ориентированных virtual cycles в [0,1], которое одновременно удовлетворяет следующим требованиям:</w:t>
      </w:r>
    </w:p>
    <w:p>
      <w:pPr>
        <w:pStyle w:val="ListNumber"/>
        <w:keepLines/>
      </w:pPr>
      <w:r>
        <w:t>Pᵛⁱʳ(∅)=0;</w:t>
      </w:r>
    </w:p>
    <w:p>
      <w:pPr>
        <w:pStyle w:val="ListNumber"/>
        <w:keepLines/>
      </w:pPr>
      <w:r>
        <w:t>Pᵛⁱʳ([pt]_+)=1 для положительно ориентированной точки;</w:t>
      </w:r>
    </w:p>
    <w:p>
      <w:pPr>
        <w:pStyle w:val="ListNumber"/>
        <w:keepLines/>
      </w:pPr>
      <w:r>
        <w:t>Pᵛⁱʳ(X⊔Y)=Pᵛⁱʳ(X)+Pᵛⁱʳ(Y) для дизъюнктного объединения;</w:t>
      </w:r>
    </w:p>
    <w:p>
      <w:pPr>
        <w:pStyle w:val="ListNumber"/>
        <w:keepLines/>
      </w:pPr>
      <w:r>
        <w:t>Pᵛⁱʳ зависит только от virtual degree.</w:t>
      </w:r>
    </w:p>
    <w:p>
      <w:r>
        <w:t>Доказательство. Из нормировки и аддитивности для двух положительно ориентированных точек следует Pᵛⁱʳ([pt]_+⊔[pt]_+)=2, что противоречит требованию значений в [0,1]. Дополнительно ориентационное обращение даёт degree -1. Следовательно, любая вероятностная интерпретация обязана отказаться хотя бы от одной из этих структур, ввести нормировку и добавить внешнюю модель.</w:t>
      </w:r>
    </w:p>
    <w:p>
      <w:pPr>
        <w:pStyle w:val="Quote"/>
        <w:keepLines/>
      </w:pPr>
      <w:r>
        <w:t>virtual degree  ≠  probability measure.                                (19.12)</w:t>
      </w:r>
    </w:p>
    <w:p>
      <w:pPr>
        <w:pStyle w:val="Heading1"/>
        <w:keepNext/>
      </w:pPr>
      <w:r>
        <w:t>226. Вероятностный мост</w:t>
      </w:r>
    </w:p>
    <w:p>
      <w:r>
        <w:t>Определение 19.5. Вероятностный мост к прикладному событию задаётся кортежем</w:t>
      </w:r>
    </w:p>
    <w:p>
      <w:pPr>
        <w:pStyle w:val="Quote"/>
        <w:keepLines/>
      </w:pPr>
      <w:r>
        <w:t>B_prob=(Ω,ℱ,P,Y,φ,g_θ,ℒ,Cal,Val,Ext).                         (19.13)</w:t>
      </w:r>
    </w:p>
    <w:p>
      <w:pPr>
        <w:pStyle w:val="ListBullet"/>
        <w:keepLines/>
      </w:pPr>
      <w:r>
        <w:t>Ω и ℱ задают пространство исходов и измеримые события;</w:t>
      </w:r>
    </w:p>
    <w:p>
      <w:pPr>
        <w:pStyle w:val="ListBullet"/>
        <w:keepLines/>
      </w:pPr>
      <w:r>
        <w:t>P является вероятностной мерой, установленной моделью или процедурой оценки;</w:t>
      </w:r>
    </w:p>
    <w:p>
      <w:pPr>
        <w:pStyle w:val="ListBullet"/>
        <w:keepLines/>
      </w:pPr>
      <w:r>
        <w:t>Y∈{0,1} либо иной наблюдаемый target фиксирует событие;</w:t>
      </w:r>
    </w:p>
    <w:p>
      <w:pPr>
        <w:pStyle w:val="ListBullet"/>
        <w:keepLines/>
      </w:pPr>
      <w:r>
        <w:t>φ извлекает признаки из virtual/Reper-профиля без утечки результата;</w:t>
      </w:r>
    </w:p>
    <w:p>
      <w:pPr>
        <w:pStyle w:val="ListBullet"/>
        <w:keepLines/>
      </w:pPr>
      <w:r>
        <w:t>g_θ отображает признаки в [0,1] и имеет обучаемые либо заданные параметры;</w:t>
      </w:r>
    </w:p>
    <w:p>
      <w:pPr>
        <w:pStyle w:val="ListBullet"/>
        <w:keepLines/>
      </w:pPr>
      <w:r>
        <w:t>ℒ является proper scoring rule или заранее выбранной функцией потерь;</w:t>
      </w:r>
    </w:p>
    <w:p>
      <w:pPr>
        <w:pStyle w:val="ListBullet"/>
        <w:keepLines/>
      </w:pPr>
      <w:r>
        <w:t>Cal и Val задают калибровку и валидацию;</w:t>
      </w:r>
    </w:p>
    <w:p>
      <w:pPr>
        <w:pStyle w:val="ListBullet"/>
        <w:keepLines/>
      </w:pPr>
      <w:r>
        <w:t>Ext означает независимый внешний запуск.</w:t>
      </w:r>
    </w:p>
    <w:p>
      <w:pPr>
        <w:pStyle w:val="Quote"/>
        <w:keepLines/>
      </w:pPr>
      <w:r>
        <w:t>p_θ = g_θ(φ(P_vir, P_stack, λ, CGI, D, Dom)).                 (19.14)</w:t>
      </w:r>
    </w:p>
    <w:p>
      <w:r>
        <w:t>Формула (19.14) является модельной гипотезой, а не следствием intersection theory. Даже если g_θ монотонна по virtual invariant, выбор монотонности и масштаба должен быть обоснован данными или предметной теорией.</w:t>
      </w:r>
    </w:p>
    <w:p>
      <w:pPr>
        <w:pStyle w:val="Heading1"/>
        <w:keepNext/>
      </w:pPr>
      <w:r>
        <w:t>227. Калибровка, discriminative quality и transportability</w:t>
      </w:r>
    </w:p>
    <w:p>
      <w:r>
        <w:t>Вероятностный прогноз должен отдельно проходить calibration и discrimination. Идеальная population-calibration выражается как</w:t>
      </w:r>
    </w:p>
    <w:p>
      <w:pPr>
        <w:pStyle w:val="Quote"/>
        <w:keepLines/>
      </w:pPr>
      <w:r>
        <w:t>E[Y | p_θ]=p_θ.                                                 (19.15)</w:t>
      </w:r>
    </w:p>
    <w:p>
      <w:r>
        <w:t>В конечной выборке используются заранее определённые оценки, интервалы и proper scores. Хорошая ранжирующая способность не гарантирует калибровку, а хорошая калибровка на обучающем домене не гарантирует transportability при сдвиге распределения.</w:t>
      </w:r>
    </w:p>
    <w:tbl>
      <w:tblPr>
        <w:tblStyle w:val="TableGrid"/>
        <w:tblW w:type="auto" w:w="0"/>
        <w:tblLayout w:type="autofit"/>
        <w:tblLook w:firstColumn="1" w:firstRow="1" w:lastColumn="0" w:lastRow="0" w:noHBand="0" w:noVBand="1" w:val="04A0"/>
      </w:tblPr>
      <w:tblGrid>
        <w:gridCol w:w="3251"/>
        <w:gridCol w:w="3251"/>
        <w:gridCol w:w="3251"/>
      </w:tblGrid>
      <w:tr>
        <w:trPr>
          <w:tblHeader w:val="true"/>
        </w:trPr>
        <w:tc>
          <w:tcPr>
            <w:tcW w:type="dxa" w:w="1152"/>
            <w:vAlign w:val="center"/>
            <w:shd w:fill="17345F"/>
            <w:tcMar>
              <w:top w:w="80" w:type="dxa"/>
              <w:start w:w="100" w:type="dxa"/>
              <w:bottom w:w="80" w:type="dxa"/>
              <w:end w:w="100" w:type="dxa"/>
            </w:tcMar>
          </w:tcPr>
          <w:p>
            <w:pPr>
              <w:jc w:val="center"/>
            </w:pPr>
            <w:r/>
            <w:r>
              <w:rPr>
                <w:b/>
                <w:color w:val="FFFFFF"/>
                <w:sz w:val="17"/>
              </w:rPr>
              <w:t>Сертификат</w:t>
            </w:r>
          </w:p>
        </w:tc>
        <w:tc>
          <w:tcPr>
            <w:tcW w:type="dxa" w:w="4320"/>
            <w:vAlign w:val="center"/>
            <w:shd w:fill="17345F"/>
            <w:tcMar>
              <w:top w:w="80" w:type="dxa"/>
              <w:start w:w="100" w:type="dxa"/>
              <w:bottom w:w="80" w:type="dxa"/>
              <w:end w:w="100" w:type="dxa"/>
            </w:tcMar>
          </w:tcPr>
          <w:p>
            <w:pPr>
              <w:jc w:val="center"/>
            </w:pPr>
            <w:r/>
            <w:r>
              <w:rPr>
                <w:b/>
                <w:color w:val="FFFFFF"/>
                <w:sz w:val="17"/>
              </w:rPr>
              <w:t>Проверяемый вопрос</w:t>
            </w:r>
          </w:p>
        </w:tc>
        <w:tc>
          <w:tcPr>
            <w:tcW w:type="dxa" w:w="3456"/>
            <w:vAlign w:val="center"/>
            <w:shd w:fill="17345F"/>
            <w:tcMar>
              <w:top w:w="80" w:type="dxa"/>
              <w:start w:w="100" w:type="dxa"/>
              <w:bottom w:w="80" w:type="dxa"/>
              <w:end w:w="100" w:type="dxa"/>
            </w:tcMar>
          </w:tcPr>
          <w:p>
            <w:pPr>
              <w:jc w:val="center"/>
            </w:pPr>
            <w:r/>
            <w:r>
              <w:rPr>
                <w:b/>
                <w:color w:val="FFFFFF"/>
                <w:sz w:val="17"/>
              </w:rPr>
              <w:t>Минимальный результат</w:t>
            </w:r>
          </w:p>
        </w:tc>
      </w:tr>
      <w:tr>
        <w:tc>
          <w:tcPr>
            <w:tcW w:type="dxa" w:w="1152"/>
            <w:vAlign w:val="center"/>
            <w:shd w:fill="FFFFFF"/>
            <w:tcMar>
              <w:top w:w="80" w:type="dxa"/>
              <w:start w:w="100" w:type="dxa"/>
              <w:bottom w:w="80" w:type="dxa"/>
              <w:end w:w="100" w:type="dxa"/>
            </w:tcMar>
          </w:tcPr>
          <w:p>
            <w:pPr>
              <w:jc w:val="center"/>
            </w:pPr>
            <w:r/>
            <w:r>
              <w:rPr>
                <w:b w:val="0"/>
                <w:sz w:val="17"/>
              </w:rPr>
              <w:t>CAL</w:t>
            </w:r>
          </w:p>
        </w:tc>
        <w:tc>
          <w:tcPr>
            <w:tcW w:type="dxa" w:w="4320"/>
            <w:vAlign w:val="center"/>
            <w:shd w:fill="FFFFFF"/>
            <w:tcMar>
              <w:top w:w="80" w:type="dxa"/>
              <w:start w:w="100" w:type="dxa"/>
              <w:bottom w:w="80" w:type="dxa"/>
              <w:end w:w="100" w:type="dxa"/>
            </w:tcMar>
          </w:tcPr>
          <w:p>
            <w:pPr>
              <w:jc w:val="left"/>
            </w:pPr>
            <w:r/>
            <w:r>
              <w:rPr>
                <w:b w:val="0"/>
                <w:sz w:val="17"/>
              </w:rPr>
              <w:t>соответствуют ли вероятности частотам?</w:t>
            </w:r>
          </w:p>
        </w:tc>
        <w:tc>
          <w:tcPr>
            <w:tcW w:type="dxa" w:w="3456"/>
            <w:vAlign w:val="center"/>
            <w:shd w:fill="FFFFFF"/>
            <w:tcMar>
              <w:top w:w="80" w:type="dxa"/>
              <w:start w:w="100" w:type="dxa"/>
              <w:bottom w:w="80" w:type="dxa"/>
              <w:end w:w="100" w:type="dxa"/>
            </w:tcMar>
          </w:tcPr>
          <w:p>
            <w:pPr>
              <w:jc w:val="left"/>
            </w:pPr>
            <w:r/>
            <w:r>
              <w:rPr>
                <w:b w:val="0"/>
                <w:sz w:val="17"/>
              </w:rPr>
              <w:t>calibration curve + interval</w:t>
            </w:r>
          </w:p>
        </w:tc>
      </w:tr>
      <w:tr>
        <w:tc>
          <w:tcPr>
            <w:tcW w:type="dxa" w:w="1152"/>
            <w:vAlign w:val="center"/>
            <w:shd w:fill="F2F4F7"/>
            <w:tcMar>
              <w:top w:w="80" w:type="dxa"/>
              <w:start w:w="100" w:type="dxa"/>
              <w:bottom w:w="80" w:type="dxa"/>
              <w:end w:w="100" w:type="dxa"/>
            </w:tcMar>
          </w:tcPr>
          <w:p>
            <w:pPr>
              <w:jc w:val="center"/>
            </w:pPr>
            <w:r/>
            <w:r>
              <w:rPr>
                <w:b w:val="0"/>
                <w:sz w:val="17"/>
              </w:rPr>
              <w:t>DISC</w:t>
            </w:r>
          </w:p>
        </w:tc>
        <w:tc>
          <w:tcPr>
            <w:tcW w:type="dxa" w:w="4320"/>
            <w:vAlign w:val="center"/>
            <w:shd w:fill="F2F4F7"/>
            <w:tcMar>
              <w:top w:w="80" w:type="dxa"/>
              <w:start w:w="100" w:type="dxa"/>
              <w:bottom w:w="80" w:type="dxa"/>
              <w:end w:w="100" w:type="dxa"/>
            </w:tcMar>
          </w:tcPr>
          <w:p>
            <w:pPr>
              <w:jc w:val="left"/>
            </w:pPr>
            <w:r/>
            <w:r>
              <w:rPr>
                <w:b w:val="0"/>
                <w:sz w:val="17"/>
              </w:rPr>
              <w:t>разделяет ли модель классы?</w:t>
            </w:r>
          </w:p>
        </w:tc>
        <w:tc>
          <w:tcPr>
            <w:tcW w:type="dxa" w:w="3456"/>
            <w:vAlign w:val="center"/>
            <w:shd w:fill="F2F4F7"/>
            <w:tcMar>
              <w:top w:w="80" w:type="dxa"/>
              <w:start w:w="100" w:type="dxa"/>
              <w:bottom w:w="80" w:type="dxa"/>
              <w:end w:w="100" w:type="dxa"/>
            </w:tcMar>
          </w:tcPr>
          <w:p>
            <w:pPr>
              <w:jc w:val="left"/>
            </w:pPr>
            <w:r/>
            <w:r>
              <w:rPr>
                <w:b w:val="0"/>
                <w:sz w:val="17"/>
              </w:rPr>
              <w:t>предзаданный discrimination metric</w:t>
            </w:r>
          </w:p>
        </w:tc>
      </w:tr>
      <w:tr>
        <w:tc>
          <w:tcPr>
            <w:tcW w:type="dxa" w:w="1152"/>
            <w:vAlign w:val="center"/>
            <w:shd w:fill="FFFFFF"/>
            <w:tcMar>
              <w:top w:w="80" w:type="dxa"/>
              <w:start w:w="100" w:type="dxa"/>
              <w:bottom w:w="80" w:type="dxa"/>
              <w:end w:w="100" w:type="dxa"/>
            </w:tcMar>
          </w:tcPr>
          <w:p>
            <w:pPr>
              <w:jc w:val="center"/>
            </w:pPr>
            <w:r/>
            <w:r>
              <w:rPr>
                <w:b w:val="0"/>
                <w:sz w:val="17"/>
              </w:rPr>
              <w:t>SHIFT</w:t>
            </w:r>
          </w:p>
        </w:tc>
        <w:tc>
          <w:tcPr>
            <w:tcW w:type="dxa" w:w="4320"/>
            <w:vAlign w:val="center"/>
            <w:shd w:fill="FFFFFF"/>
            <w:tcMar>
              <w:top w:w="80" w:type="dxa"/>
              <w:start w:w="100" w:type="dxa"/>
              <w:bottom w:w="80" w:type="dxa"/>
              <w:end w:w="100" w:type="dxa"/>
            </w:tcMar>
          </w:tcPr>
          <w:p>
            <w:pPr>
              <w:jc w:val="left"/>
            </w:pPr>
            <w:r/>
            <w:r>
              <w:rPr>
                <w:b w:val="0"/>
                <w:sz w:val="17"/>
              </w:rPr>
              <w:t>сохраняется ли условное распределение?</w:t>
            </w:r>
          </w:p>
        </w:tc>
        <w:tc>
          <w:tcPr>
            <w:tcW w:type="dxa" w:w="3456"/>
            <w:vAlign w:val="center"/>
            <w:shd w:fill="FFFFFF"/>
            <w:tcMar>
              <w:top w:w="80" w:type="dxa"/>
              <w:start w:w="100" w:type="dxa"/>
              <w:bottom w:w="80" w:type="dxa"/>
              <w:end w:w="100" w:type="dxa"/>
            </w:tcMar>
          </w:tcPr>
          <w:p>
            <w:pPr>
              <w:jc w:val="left"/>
            </w:pPr>
            <w:r/>
            <w:r>
              <w:rPr>
                <w:b w:val="0"/>
                <w:sz w:val="17"/>
              </w:rPr>
              <w:t>domain-shift audit</w:t>
            </w:r>
          </w:p>
        </w:tc>
      </w:tr>
      <w:tr>
        <w:tc>
          <w:tcPr>
            <w:tcW w:type="dxa" w:w="1152"/>
            <w:vAlign w:val="center"/>
            <w:shd w:fill="F2F4F7"/>
            <w:tcMar>
              <w:top w:w="80" w:type="dxa"/>
              <w:start w:w="100" w:type="dxa"/>
              <w:bottom w:w="80" w:type="dxa"/>
              <w:end w:w="100" w:type="dxa"/>
            </w:tcMar>
          </w:tcPr>
          <w:p>
            <w:pPr>
              <w:jc w:val="center"/>
            </w:pPr>
            <w:r/>
            <w:r>
              <w:rPr>
                <w:b w:val="0"/>
                <w:sz w:val="17"/>
              </w:rPr>
              <w:t>SPLIT</w:t>
            </w:r>
          </w:p>
        </w:tc>
        <w:tc>
          <w:tcPr>
            <w:tcW w:type="dxa" w:w="4320"/>
            <w:vAlign w:val="center"/>
            <w:shd w:fill="F2F4F7"/>
            <w:tcMar>
              <w:top w:w="80" w:type="dxa"/>
              <w:start w:w="100" w:type="dxa"/>
              <w:bottom w:w="80" w:type="dxa"/>
              <w:end w:w="100" w:type="dxa"/>
            </w:tcMar>
          </w:tcPr>
          <w:p>
            <w:pPr>
              <w:jc w:val="left"/>
            </w:pPr>
            <w:r/>
            <w:r>
              <w:rPr>
                <w:b w:val="0"/>
                <w:sz w:val="17"/>
              </w:rPr>
              <w:t>не использован ли результат при выборе модели?</w:t>
            </w:r>
          </w:p>
        </w:tc>
        <w:tc>
          <w:tcPr>
            <w:tcW w:type="dxa" w:w="3456"/>
            <w:vAlign w:val="center"/>
            <w:shd w:fill="F2F4F7"/>
            <w:tcMar>
              <w:top w:w="80" w:type="dxa"/>
              <w:start w:w="100" w:type="dxa"/>
              <w:bottom w:w="80" w:type="dxa"/>
              <w:end w:w="100" w:type="dxa"/>
            </w:tcMar>
          </w:tcPr>
          <w:p>
            <w:pPr>
              <w:jc w:val="left"/>
            </w:pPr>
            <w:r/>
            <w:r>
              <w:rPr>
                <w:b w:val="0"/>
                <w:sz w:val="17"/>
              </w:rPr>
              <w:t>blind train/validation/test</w:t>
            </w:r>
          </w:p>
        </w:tc>
      </w:tr>
      <w:tr>
        <w:tc>
          <w:tcPr>
            <w:tcW w:type="dxa" w:w="1152"/>
            <w:vAlign w:val="center"/>
            <w:shd w:fill="FFFFFF"/>
            <w:tcMar>
              <w:top w:w="80" w:type="dxa"/>
              <w:start w:w="100" w:type="dxa"/>
              <w:bottom w:w="80" w:type="dxa"/>
              <w:end w:w="100" w:type="dxa"/>
            </w:tcMar>
          </w:tcPr>
          <w:p>
            <w:pPr>
              <w:jc w:val="center"/>
            </w:pPr>
            <w:r/>
            <w:r>
              <w:rPr>
                <w:b w:val="0"/>
                <w:sz w:val="17"/>
              </w:rPr>
              <w:t>EXT</w:t>
            </w:r>
          </w:p>
        </w:tc>
        <w:tc>
          <w:tcPr>
            <w:tcW w:type="dxa" w:w="4320"/>
            <w:vAlign w:val="center"/>
            <w:shd w:fill="FFFFFF"/>
            <w:tcMar>
              <w:top w:w="80" w:type="dxa"/>
              <w:start w:w="100" w:type="dxa"/>
              <w:bottom w:w="80" w:type="dxa"/>
              <w:end w:w="100" w:type="dxa"/>
            </w:tcMar>
          </w:tcPr>
          <w:p>
            <w:pPr>
              <w:jc w:val="left"/>
            </w:pPr>
            <w:r/>
            <w:r>
              <w:rPr>
                <w:b w:val="0"/>
                <w:sz w:val="17"/>
              </w:rPr>
              <w:t>повторяется ли эффект независимо?</w:t>
            </w:r>
          </w:p>
        </w:tc>
        <w:tc>
          <w:tcPr>
            <w:tcW w:type="dxa" w:w="3456"/>
            <w:vAlign w:val="center"/>
            <w:shd w:fill="FFFFFF"/>
            <w:tcMar>
              <w:top w:w="80" w:type="dxa"/>
              <w:start w:w="100" w:type="dxa"/>
              <w:bottom w:w="80" w:type="dxa"/>
              <w:end w:w="100" w:type="dxa"/>
            </w:tcMar>
          </w:tcPr>
          <w:p>
            <w:pPr>
              <w:jc w:val="left"/>
            </w:pPr>
            <w:r/>
            <w:r>
              <w:rPr>
                <w:b w:val="0"/>
                <w:sz w:val="17"/>
              </w:rPr>
              <w:t>external run с frozen protocol</w:t>
            </w:r>
          </w:p>
        </w:tc>
      </w:tr>
      <w:tr>
        <w:tc>
          <w:tcPr>
            <w:tcW w:type="dxa" w:w="1152"/>
            <w:vAlign w:val="center"/>
            <w:shd w:fill="F2F4F7"/>
            <w:tcMar>
              <w:top w:w="80" w:type="dxa"/>
              <w:start w:w="100" w:type="dxa"/>
              <w:bottom w:w="80" w:type="dxa"/>
              <w:end w:w="100" w:type="dxa"/>
            </w:tcMar>
          </w:tcPr>
          <w:p>
            <w:pPr>
              <w:jc w:val="center"/>
            </w:pPr>
            <w:r/>
            <w:r>
              <w:rPr>
                <w:b w:val="0"/>
                <w:sz w:val="17"/>
              </w:rPr>
              <w:t>ABST</w:t>
            </w:r>
          </w:p>
        </w:tc>
        <w:tc>
          <w:tcPr>
            <w:tcW w:type="dxa" w:w="4320"/>
            <w:vAlign w:val="center"/>
            <w:shd w:fill="F2F4F7"/>
            <w:tcMar>
              <w:top w:w="80" w:type="dxa"/>
              <w:start w:w="100" w:type="dxa"/>
              <w:bottom w:w="80" w:type="dxa"/>
              <w:end w:w="100" w:type="dxa"/>
            </w:tcMar>
          </w:tcPr>
          <w:p>
            <w:pPr>
              <w:jc w:val="left"/>
            </w:pPr>
            <w:r/>
            <w:r>
              <w:rPr>
                <w:b w:val="0"/>
                <w:sz w:val="17"/>
              </w:rPr>
              <w:t>умеет ли система воздерживаться?</w:t>
            </w:r>
          </w:p>
        </w:tc>
        <w:tc>
          <w:tcPr>
            <w:tcW w:type="dxa" w:w="3456"/>
            <w:vAlign w:val="center"/>
            <w:shd w:fill="F2F4F7"/>
            <w:tcMar>
              <w:top w:w="80" w:type="dxa"/>
              <w:start w:w="100" w:type="dxa"/>
              <w:bottom w:w="80" w:type="dxa"/>
              <w:end w:w="100" w:type="dxa"/>
            </w:tcMar>
          </w:tcPr>
          <w:p>
            <w:pPr>
              <w:jc w:val="left"/>
            </w:pPr>
            <w:r/>
            <w:r>
              <w:rPr>
                <w:b w:val="0"/>
                <w:sz w:val="17"/>
              </w:rPr>
              <w:t>coverage-risk или blocker rule</w:t>
            </w:r>
          </w:p>
        </w:tc>
      </w:tr>
    </w:tbl>
    <w:p>
      <w:pPr>
        <w:pStyle w:val="Heading1"/>
        <w:keepNext/>
      </w:pPr>
      <w:r>
        <w:t>228. Виртуальный Reper-сертификат</w:t>
      </w:r>
    </w:p>
    <w:p>
      <w:r>
        <w:t>Для интеграции virtual geometry в KLT-RBD вводится не одиночное число, а типизированный сертификат</w:t>
      </w:r>
    </w:p>
    <w:p>
      <w:pPr>
        <w:pStyle w:val="Quote"/>
        <w:keepLines/>
      </w:pPr>
      <w:r>
        <w:t>VirtCert=(𝔐ᵈᵉʳ,E•,𝔠_𝔐,[𝔐]ᵛⁱʳ,α,or,prop,src,code,D,Dom).       (19.16)</w:t>
      </w:r>
    </w:p>
    <w:p>
      <w:r>
        <w:t>Его Reper-четвёрка имеет вид</w:t>
      </w:r>
    </w:p>
    <w:p>
      <w:pPr>
        <w:pStyle w:val="Quote"/>
        <w:keepLines/>
      </w:pPr>
      <w:r>
        <w:t>Rep_vir=(R_vir,I_vir,U_vir;D_vir),                             (19.17)</w:t>
      </w:r>
    </w:p>
    <w:p>
      <w:pPr>
        <w:pStyle w:val="ListBullet"/>
        <w:keepLines/>
      </w:pPr>
      <w:r>
        <w:t>R_vir: вычисленный virtual class и invariant в фиксированном carrier;</w:t>
      </w:r>
    </w:p>
    <w:p>
      <w:pPr>
        <w:pStyle w:val="ListBullet"/>
        <w:keepLines/>
      </w:pPr>
      <w:r>
        <w:t>I_vir: тип инварианта, insertions и правило сравнения;</w:t>
      </w:r>
    </w:p>
    <w:p>
      <w:pPr>
        <w:pStyle w:val="ListBullet"/>
        <w:keepLines/>
      </w:pPr>
      <w:r>
        <w:t>U_vir: допустимое семейство деформаций, камер и локализаций;</w:t>
      </w:r>
    </w:p>
    <w:p>
      <w:pPr>
        <w:pStyle w:val="ListBullet"/>
        <w:keepLines/>
      </w:pPr>
      <w:r>
        <w:t>D_vir: perfect obstruction theory, ориентация, properness, источники, код, данные и хеши.</w:t>
      </w:r>
    </w:p>
    <w:p>
      <w:r>
        <w:t>Проективно-гармоническая координата λ разрешена лишь после построения реперной четвёрки (19.17). Она не извлекается канонически из одного virtual degree. В частности, равенство λ=-1 не превращает Iᵛⁱʳ в вероятность и не закрывает вероятностный мост B_prob.</w:t>
      </w:r>
    </w:p>
    <w:p>
      <w:pPr>
        <w:pStyle w:val="Heading1"/>
        <w:keepNext/>
      </w:pPr>
      <w:r>
        <w:t>229. Проективно-гармонический и enumerative шлюз</w:t>
      </w:r>
    </w:p>
    <w:p>
      <w:pPr>
        <w:pStyle w:val="Quote"/>
        <w:keepLines/>
      </w:pPr>
      <w:r>
        <w:t>Gate_vir=1  ⇔  Cert_VFC=1 ∧ Valid(D)=1 ∧ Dom=1 ∧ Block_vir=∅. (19.18)</w:t>
      </w:r>
    </w:p>
    <w:p>
      <w:pPr>
        <w:pStyle w:val="Quote"/>
        <w:keepLines/>
      </w:pPr>
      <w:r>
        <w:t>Gate_prob=1 ⇔ Gate_vir=1 ∧ Cert_prob=1 ∧ Ext=1.                (19.19)</w:t>
      </w:r>
    </w:p>
    <w:p>
      <w:r>
        <w:t>Шлюз (19.18) разрешает только математический virtual/enumerative вывод. Шлюз (19.19) является дополнительным и разрешает вероятностный вывод. Ниже этого разделения прогнозная система обязана возвращать PROBABILITY-UNAVAILABLE, даже если virtual invariant вычислен точно до последнего знака.</w:t>
      </w:r>
    </w:p>
    <w:p>
      <w:pPr>
        <w:pStyle w:val="Heading1"/>
        <w:keepNext/>
      </w:pPr>
      <w:r>
        <w:t>230. Горизонты виртуального и вероятностного слоя</w:t>
      </w:r>
    </w:p>
    <w:p>
      <w:pPr>
        <w:pStyle w:val="Quote"/>
        <w:keepLines/>
      </w:pPr>
      <w:r>
        <w:t>Δ_VFC = Δ_POT ∪ Δ_amp ∪ Δ_prop ∪ Δ_or ∪ Δ_comp ∪ Δ_ins ∪ Δ_loc ∪ Δ_wall ∪ Δ_num.   (19.20)</w:t>
      </w:r>
    </w:p>
    <w:p>
      <w:r>
        <w:t>Здесь фиксируются потеря perfectness, смена amplitude, отказ properness, ориентационный дефект, нарушение compatibility, смена insertions, локализационный полюс, wall-crossing и численная несертифицированность.</w:t>
      </w:r>
    </w:p>
    <w:p>
      <w:pPr>
        <w:pStyle w:val="Quote"/>
        <w:keepLines/>
      </w:pPr>
      <w:r>
        <w:t>Δ_prob = Δ_Ω ∪ Δ_meas ∪ Δ_link ∪ Δ_cal ∪ Δ_shift ∪ Δ_sel ∪ Δ_ext.                  (19.21)</w:t>
      </w:r>
    </w:p>
    <w:p>
      <w:r>
        <w:t>Вероятностный горизонт отражает смену пространства исходов, меры, link-модели, калибровки, домена, селекционной процедуры и независимой валидации.</w:t>
      </w:r>
    </w:p>
    <w:p>
      <w:pPr>
        <w:pStyle w:val="Quote"/>
        <w:keepLines/>
      </w:pPr>
      <w:r>
        <w:t>Δ_safe^{v0.16}=Δ_safe^{v0.15}∪Δ_VFC∪Δ_prob.                    (19.22)</w:t>
      </w:r>
    </w:p>
    <w:p>
      <w:pPr>
        <w:pStyle w:val="Heading1"/>
        <w:keepNext/>
      </w:pPr>
      <w:r>
        <w:t>231. Главная условная теорема T2-RP-v0.16</w:t>
      </w:r>
    </w:p>
    <w:p>
      <w:r>
        <w:t>Теорема 19.6 (Virtual-cycle-safe predictive theorem). [COND] Пусть над связной камерой U выполнены условия:</w:t>
      </w:r>
    </w:p>
    <w:p>
      <w:pPr>
        <w:pStyle w:val="ListNumber"/>
        <w:keepLines/>
      </w:pPr>
      <w:r>
        <w:t>задано proper семейство global derived/stacky NAPG-carriers 𝔐→U;</w:t>
      </w:r>
    </w:p>
    <w:p>
      <w:pPr>
        <w:pStyle w:val="ListNumber"/>
        <w:keepLines/>
      </w:pPr>
      <w:r>
        <w:t>существует совместимая relative perfect obstruction theory постоянной amplitude;</w:t>
      </w:r>
    </w:p>
    <w:p>
      <w:pPr>
        <w:pStyle w:val="ListNumber"/>
        <w:keepLines/>
      </w:pPr>
      <w:r>
        <w:t>intrinsic normal cones и virtual classes совместимы с base change;</w:t>
      </w:r>
    </w:p>
    <w:p>
      <w:pPr>
        <w:pStyle w:val="ListNumber"/>
        <w:keepLines/>
      </w:pPr>
      <w:r>
        <w:t>ориентация, determinant data и stack normalization сохраняются;</w:t>
      </w:r>
    </w:p>
    <w:p>
      <w:pPr>
        <w:pStyle w:val="ListNumber"/>
        <w:keepLines/>
      </w:pPr>
      <w:r>
        <w:t>insertions и branch labels транспортируются без пересечения wall/ramification loci;</w:t>
      </w:r>
    </w:p>
    <w:p>
      <w:pPr>
        <w:pStyle w:val="ListNumber"/>
        <w:keepLines/>
      </w:pPr>
      <w:r>
        <w:t>Reper, λ, Evidence-D, Dom и внешний E-мост валидны;</w:t>
      </w:r>
    </w:p>
    <w:p>
      <w:pPr>
        <w:pStyle w:val="ListNumber"/>
        <w:keepLines/>
      </w:pPr>
      <w:r>
        <w:t>вычислительный сертификат VFC-ENUM воспроизводим;</w:t>
      </w:r>
    </w:p>
    <w:p>
      <w:pPr>
        <w:pStyle w:val="ListNumber"/>
        <w:keepLines/>
      </w:pPr>
      <w:r>
        <w:t>путь γ не пересекает Δ_safe^{v0.16}.</w:t>
      </w:r>
    </w:p>
    <w:p>
      <w:r>
        <w:t>Тогда virtual profile</w:t>
      </w:r>
    </w:p>
    <w:p>
      <w:pPr>
        <w:pStyle w:val="Quote"/>
        <w:keepLines/>
      </w:pPr>
      <w:r>
        <w:t>P_VFC(t)=([𝔐_t]ᵛⁱʳ, vdim, Iᵛⁱʳ_t, supp, sign, denom, chamber, λ_t, CGI_t)   (19.23)</w:t>
      </w:r>
    </w:p>
    <w:p>
      <w:r>
        <w:t>постоянен вдоль γ с точностью до доказанного transport. В частности, изменение Iᵛⁱʳ данного типа внутри модели невозможно:</w:t>
      </w:r>
    </w:p>
    <w:p>
      <w:pPr>
        <w:pStyle w:val="Quote"/>
        <w:keepLines/>
      </w:pPr>
      <w:r>
        <w:t>γ∩(Δ_safe^{v0.15}∪Δ_VFC)=∅  ⇒  NO-VIRTUAL-CHANGE-IN-MODEL.  (19.24)</w:t>
      </w:r>
    </w:p>
    <w:p>
      <w:r>
        <w:t>Вероятностное следствие не возникает автоматически. Оно разрешается только при Gate_prob=1 и отдельной проверке Δ_prob. При отсутствии B_prob вывод имеет форму PROBABILITY-UNAVAILABLE независимо от значения Iᵛⁱʳ.</w:t>
      </w:r>
    </w:p>
    <w:p>
      <w:pPr>
        <w:pStyle w:val="Heading1"/>
        <w:keepNext/>
      </w:pPr>
      <w:r>
        <w:t>232. Двухступенчатый blocker-safe вердикт</w:t>
      </w:r>
    </w:p>
    <w:tbl>
      <w:tblPr>
        <w:tblStyle w:val="TableGrid"/>
        <w:tblW w:type="auto" w:w="0"/>
        <w:tblLayout w:type="autofit"/>
        <w:tblLook w:firstColumn="1" w:firstRow="1" w:lastColumn="0" w:lastRow="0" w:noHBand="0" w:noVBand="1" w:val="04A0"/>
      </w:tblPr>
      <w:tblGrid>
        <w:gridCol w:w="3251"/>
        <w:gridCol w:w="3251"/>
        <w:gridCol w:w="3251"/>
      </w:tblGrid>
      <w:tr>
        <w:trPr>
          <w:tblHeader w:val="true"/>
        </w:trPr>
        <w:tc>
          <w:tcPr>
            <w:tcW w:type="dxa" w:w="1440"/>
            <w:vAlign w:val="center"/>
            <w:shd w:fill="17345F"/>
            <w:tcMar>
              <w:top w:w="80" w:type="dxa"/>
              <w:start w:w="100" w:type="dxa"/>
              <w:bottom w:w="80" w:type="dxa"/>
              <w:end w:w="100" w:type="dxa"/>
            </w:tcMar>
          </w:tcPr>
          <w:p>
            <w:pPr>
              <w:jc w:val="center"/>
            </w:pPr>
            <w:r/>
            <w:r>
              <w:rPr>
                <w:b/>
                <w:color w:val="FFFFFF"/>
                <w:sz w:val="17"/>
              </w:rPr>
              <w:t>Ступень</w:t>
            </w:r>
          </w:p>
        </w:tc>
        <w:tc>
          <w:tcPr>
            <w:tcW w:type="dxa" w:w="4608"/>
            <w:vAlign w:val="center"/>
            <w:shd w:fill="17345F"/>
            <w:tcMar>
              <w:top w:w="80" w:type="dxa"/>
              <w:start w:w="100" w:type="dxa"/>
              <w:bottom w:w="80" w:type="dxa"/>
              <w:end w:w="100" w:type="dxa"/>
            </w:tcMar>
          </w:tcPr>
          <w:p>
            <w:pPr>
              <w:jc w:val="center"/>
            </w:pPr>
            <w:r/>
            <w:r>
              <w:rPr>
                <w:b/>
                <w:color w:val="FFFFFF"/>
                <w:sz w:val="17"/>
              </w:rPr>
              <w:t>Условия</w:t>
            </w:r>
          </w:p>
        </w:tc>
        <w:tc>
          <w:tcPr>
            <w:tcW w:type="dxa" w:w="3168"/>
            <w:vAlign w:val="center"/>
            <w:shd w:fill="17345F"/>
            <w:tcMar>
              <w:top w:w="80" w:type="dxa"/>
              <w:start w:w="100" w:type="dxa"/>
              <w:bottom w:w="80" w:type="dxa"/>
              <w:end w:w="100" w:type="dxa"/>
            </w:tcMar>
          </w:tcPr>
          <w:p>
            <w:pPr>
              <w:jc w:val="center"/>
            </w:pPr>
            <w:r/>
            <w:r>
              <w:rPr>
                <w:b/>
                <w:color w:val="FFFFFF"/>
                <w:sz w:val="17"/>
              </w:rPr>
              <w:t>Допустимый вердикт</w:t>
            </w:r>
          </w:p>
        </w:tc>
      </w:tr>
      <w:tr>
        <w:tc>
          <w:tcPr>
            <w:tcW w:type="dxa" w:w="1440"/>
            <w:vAlign w:val="center"/>
            <w:shd w:fill="FFFFFF"/>
            <w:tcMar>
              <w:top w:w="80" w:type="dxa"/>
              <w:start w:w="100" w:type="dxa"/>
              <w:bottom w:w="80" w:type="dxa"/>
              <w:end w:w="100" w:type="dxa"/>
            </w:tcMar>
          </w:tcPr>
          <w:p>
            <w:pPr>
              <w:jc w:val="center"/>
            </w:pPr>
            <w:r/>
            <w:r>
              <w:rPr>
                <w:b w:val="0"/>
                <w:sz w:val="17"/>
              </w:rPr>
              <w:t>V: virtual</w:t>
            </w:r>
          </w:p>
        </w:tc>
        <w:tc>
          <w:tcPr>
            <w:tcW w:type="dxa" w:w="4608"/>
            <w:vAlign w:val="center"/>
            <w:shd w:fill="FFFFFF"/>
            <w:tcMar>
              <w:top w:w="80" w:type="dxa"/>
              <w:start w:w="100" w:type="dxa"/>
              <w:bottom w:w="80" w:type="dxa"/>
              <w:end w:w="100" w:type="dxa"/>
            </w:tcMar>
          </w:tcPr>
          <w:p>
            <w:pPr>
              <w:jc w:val="left"/>
            </w:pPr>
            <w:r/>
            <w:r>
              <w:rPr>
                <w:b w:val="0"/>
                <w:sz w:val="17"/>
              </w:rPr>
              <w:t>Δ_VFC не пересечён, POT/proper/orientation закрыты</w:t>
            </w:r>
          </w:p>
        </w:tc>
        <w:tc>
          <w:tcPr>
            <w:tcW w:type="dxa" w:w="3168"/>
            <w:vAlign w:val="center"/>
            <w:shd w:fill="FFFFFF"/>
            <w:tcMar>
              <w:top w:w="80" w:type="dxa"/>
              <w:start w:w="100" w:type="dxa"/>
              <w:bottom w:w="80" w:type="dxa"/>
              <w:end w:w="100" w:type="dxa"/>
            </w:tcMar>
          </w:tcPr>
          <w:p>
            <w:pPr>
              <w:jc w:val="left"/>
            </w:pPr>
            <w:r/>
            <w:r>
              <w:rPr>
                <w:b w:val="0"/>
                <w:sz w:val="17"/>
              </w:rPr>
              <w:t>NO-VIRTUAL-CHANGE-IN-MODEL</w:t>
            </w:r>
          </w:p>
        </w:tc>
      </w:tr>
      <w:tr>
        <w:tc>
          <w:tcPr>
            <w:tcW w:type="dxa" w:w="1440"/>
            <w:vAlign w:val="center"/>
            <w:shd w:fill="F2F4F7"/>
            <w:tcMar>
              <w:top w:w="80" w:type="dxa"/>
              <w:start w:w="100" w:type="dxa"/>
              <w:bottom w:w="80" w:type="dxa"/>
              <w:end w:w="100" w:type="dxa"/>
            </w:tcMar>
          </w:tcPr>
          <w:p>
            <w:pPr>
              <w:jc w:val="center"/>
            </w:pPr>
            <w:r/>
            <w:r>
              <w:rPr>
                <w:b w:val="0"/>
                <w:sz w:val="17"/>
              </w:rPr>
              <w:t>V: virtual</w:t>
            </w:r>
          </w:p>
        </w:tc>
        <w:tc>
          <w:tcPr>
            <w:tcW w:type="dxa" w:w="4608"/>
            <w:vAlign w:val="center"/>
            <w:shd w:fill="F2F4F7"/>
            <w:tcMar>
              <w:top w:w="80" w:type="dxa"/>
              <w:start w:w="100" w:type="dxa"/>
              <w:bottom w:w="80" w:type="dxa"/>
              <w:end w:w="100" w:type="dxa"/>
            </w:tcMar>
          </w:tcPr>
          <w:p>
            <w:pPr>
              <w:jc w:val="left"/>
            </w:pPr>
            <w:r/>
            <w:r>
              <w:rPr>
                <w:b w:val="0"/>
                <w:sz w:val="17"/>
              </w:rPr>
              <w:t>пересечён virtual horizon, но carrier сохранён</w:t>
            </w:r>
          </w:p>
        </w:tc>
        <w:tc>
          <w:tcPr>
            <w:tcW w:type="dxa" w:w="3168"/>
            <w:vAlign w:val="center"/>
            <w:shd w:fill="F2F4F7"/>
            <w:tcMar>
              <w:top w:w="80" w:type="dxa"/>
              <w:start w:w="100" w:type="dxa"/>
              <w:bottom w:w="80" w:type="dxa"/>
              <w:end w:w="100" w:type="dxa"/>
            </w:tcMar>
          </w:tcPr>
          <w:p>
            <w:pPr>
              <w:jc w:val="left"/>
            </w:pPr>
            <w:r/>
            <w:r>
              <w:rPr>
                <w:b w:val="0"/>
                <w:sz w:val="17"/>
              </w:rPr>
              <w:t>CANDIDATE-VIRTUAL-JUMP</w:t>
            </w:r>
          </w:p>
        </w:tc>
      </w:tr>
      <w:tr>
        <w:tc>
          <w:tcPr>
            <w:tcW w:type="dxa" w:w="1440"/>
            <w:vAlign w:val="center"/>
            <w:shd w:fill="FFFFFF"/>
            <w:tcMar>
              <w:top w:w="80" w:type="dxa"/>
              <w:start w:w="100" w:type="dxa"/>
              <w:bottom w:w="80" w:type="dxa"/>
              <w:end w:w="100" w:type="dxa"/>
            </w:tcMar>
          </w:tcPr>
          <w:p>
            <w:pPr>
              <w:jc w:val="center"/>
            </w:pPr>
            <w:r/>
            <w:r>
              <w:rPr>
                <w:b w:val="0"/>
                <w:sz w:val="17"/>
              </w:rPr>
              <w:t>V: virtual</w:t>
            </w:r>
          </w:p>
        </w:tc>
        <w:tc>
          <w:tcPr>
            <w:tcW w:type="dxa" w:w="4608"/>
            <w:vAlign w:val="center"/>
            <w:shd w:fill="FFFFFF"/>
            <w:tcMar>
              <w:top w:w="80" w:type="dxa"/>
              <w:start w:w="100" w:type="dxa"/>
              <w:bottom w:w="80" w:type="dxa"/>
              <w:end w:w="100" w:type="dxa"/>
            </w:tcMar>
          </w:tcPr>
          <w:p>
            <w:pPr>
              <w:jc w:val="left"/>
            </w:pPr>
            <w:r/>
            <w:r>
              <w:rPr>
                <w:b w:val="0"/>
                <w:sz w:val="17"/>
              </w:rPr>
              <w:t>есть неустранённый математический blocker</w:t>
            </w:r>
          </w:p>
        </w:tc>
        <w:tc>
          <w:tcPr>
            <w:tcW w:type="dxa" w:w="3168"/>
            <w:vAlign w:val="center"/>
            <w:shd w:fill="FFFFFF"/>
            <w:tcMar>
              <w:top w:w="80" w:type="dxa"/>
              <w:start w:w="100" w:type="dxa"/>
              <w:bottom w:w="80" w:type="dxa"/>
              <w:end w:w="100" w:type="dxa"/>
            </w:tcMar>
          </w:tcPr>
          <w:p>
            <w:pPr>
              <w:jc w:val="left"/>
            </w:pPr>
            <w:r/>
            <w:r>
              <w:rPr>
                <w:b w:val="0"/>
                <w:sz w:val="17"/>
              </w:rPr>
              <w:t>ABSTAIN</w:t>
            </w:r>
          </w:p>
        </w:tc>
      </w:tr>
      <w:tr>
        <w:tc>
          <w:tcPr>
            <w:tcW w:type="dxa" w:w="1440"/>
            <w:vAlign w:val="center"/>
            <w:shd w:fill="F2F4F7"/>
            <w:tcMar>
              <w:top w:w="80" w:type="dxa"/>
              <w:start w:w="100" w:type="dxa"/>
              <w:bottom w:w="80" w:type="dxa"/>
              <w:end w:w="100" w:type="dxa"/>
            </w:tcMar>
          </w:tcPr>
          <w:p>
            <w:pPr>
              <w:jc w:val="center"/>
            </w:pPr>
            <w:r/>
            <w:r>
              <w:rPr>
                <w:b w:val="0"/>
                <w:sz w:val="17"/>
              </w:rPr>
              <w:t>P: probability</w:t>
            </w:r>
          </w:p>
        </w:tc>
        <w:tc>
          <w:tcPr>
            <w:tcW w:type="dxa" w:w="4608"/>
            <w:vAlign w:val="center"/>
            <w:shd w:fill="F2F4F7"/>
            <w:tcMar>
              <w:top w:w="80" w:type="dxa"/>
              <w:start w:w="100" w:type="dxa"/>
              <w:bottom w:w="80" w:type="dxa"/>
              <w:end w:w="100" w:type="dxa"/>
            </w:tcMar>
          </w:tcPr>
          <w:p>
            <w:pPr>
              <w:jc w:val="left"/>
            </w:pPr>
            <w:r/>
            <w:r>
              <w:rPr>
                <w:b w:val="0"/>
                <w:sz w:val="17"/>
              </w:rPr>
              <w:t>Gate_prob=1, calibration и Ext закрыты</w:t>
            </w:r>
          </w:p>
        </w:tc>
        <w:tc>
          <w:tcPr>
            <w:tcW w:type="dxa" w:w="3168"/>
            <w:vAlign w:val="center"/>
            <w:shd w:fill="F2F4F7"/>
            <w:tcMar>
              <w:top w:w="80" w:type="dxa"/>
              <w:start w:w="100" w:type="dxa"/>
              <w:bottom w:w="80" w:type="dxa"/>
              <w:end w:w="100" w:type="dxa"/>
            </w:tcMar>
          </w:tcPr>
          <w:p>
            <w:pPr>
              <w:jc w:val="left"/>
            </w:pPr>
            <w:r/>
            <w:r>
              <w:rPr>
                <w:b w:val="0"/>
                <w:sz w:val="17"/>
              </w:rPr>
              <w:t>CALIBRATED-PROBABILITY</w:t>
            </w:r>
          </w:p>
        </w:tc>
      </w:tr>
      <w:tr>
        <w:tc>
          <w:tcPr>
            <w:tcW w:type="dxa" w:w="1440"/>
            <w:vAlign w:val="center"/>
            <w:shd w:fill="FFFFFF"/>
            <w:tcMar>
              <w:top w:w="80" w:type="dxa"/>
              <w:start w:w="100" w:type="dxa"/>
              <w:bottom w:w="80" w:type="dxa"/>
              <w:end w:w="100" w:type="dxa"/>
            </w:tcMar>
          </w:tcPr>
          <w:p>
            <w:pPr>
              <w:jc w:val="center"/>
            </w:pPr>
            <w:r/>
            <w:r>
              <w:rPr>
                <w:b w:val="0"/>
                <w:sz w:val="17"/>
              </w:rPr>
              <w:t>P: probability</w:t>
            </w:r>
          </w:p>
        </w:tc>
        <w:tc>
          <w:tcPr>
            <w:tcW w:type="dxa" w:w="4608"/>
            <w:vAlign w:val="center"/>
            <w:shd w:fill="FFFFFF"/>
            <w:tcMar>
              <w:top w:w="80" w:type="dxa"/>
              <w:start w:w="100" w:type="dxa"/>
              <w:bottom w:w="80" w:type="dxa"/>
              <w:end w:w="100" w:type="dxa"/>
            </w:tcMar>
          </w:tcPr>
          <w:p>
            <w:pPr>
              <w:jc w:val="left"/>
            </w:pPr>
            <w:r/>
            <w:r>
              <w:rPr>
                <w:b w:val="0"/>
                <w:sz w:val="17"/>
              </w:rPr>
              <w:t>virtual слой есть, B_prob отсутствует</w:t>
            </w:r>
          </w:p>
        </w:tc>
        <w:tc>
          <w:tcPr>
            <w:tcW w:type="dxa" w:w="3168"/>
            <w:vAlign w:val="center"/>
            <w:shd w:fill="FFFFFF"/>
            <w:tcMar>
              <w:top w:w="80" w:type="dxa"/>
              <w:start w:w="100" w:type="dxa"/>
              <w:bottom w:w="80" w:type="dxa"/>
              <w:end w:w="100" w:type="dxa"/>
            </w:tcMar>
          </w:tcPr>
          <w:p>
            <w:pPr>
              <w:jc w:val="left"/>
            </w:pPr>
            <w:r/>
            <w:r>
              <w:rPr>
                <w:b w:val="0"/>
                <w:sz w:val="17"/>
              </w:rPr>
              <w:t>PROBABILITY-UNAVAILABLE</w:t>
            </w:r>
          </w:p>
        </w:tc>
      </w:tr>
      <w:tr>
        <w:tc>
          <w:tcPr>
            <w:tcW w:type="dxa" w:w="1440"/>
            <w:vAlign w:val="center"/>
            <w:shd w:fill="F2F4F7"/>
            <w:tcMar>
              <w:top w:w="80" w:type="dxa"/>
              <w:start w:w="100" w:type="dxa"/>
              <w:bottom w:w="80" w:type="dxa"/>
              <w:end w:w="100" w:type="dxa"/>
            </w:tcMar>
          </w:tcPr>
          <w:p>
            <w:pPr>
              <w:jc w:val="center"/>
            </w:pPr>
            <w:r/>
            <w:r>
              <w:rPr>
                <w:b w:val="0"/>
                <w:sz w:val="17"/>
              </w:rPr>
              <w:t>P: probability</w:t>
            </w:r>
          </w:p>
        </w:tc>
        <w:tc>
          <w:tcPr>
            <w:tcW w:type="dxa" w:w="4608"/>
            <w:vAlign w:val="center"/>
            <w:shd w:fill="F2F4F7"/>
            <w:tcMar>
              <w:top w:w="80" w:type="dxa"/>
              <w:start w:w="100" w:type="dxa"/>
              <w:bottom w:w="80" w:type="dxa"/>
              <w:end w:w="100" w:type="dxa"/>
            </w:tcMar>
          </w:tcPr>
          <w:p>
            <w:pPr>
              <w:jc w:val="left"/>
            </w:pPr>
            <w:r/>
            <w:r>
              <w:rPr>
                <w:b w:val="0"/>
                <w:sz w:val="17"/>
              </w:rPr>
              <w:t>мост задан, но blocker не закрыт</w:t>
            </w:r>
          </w:p>
        </w:tc>
        <w:tc>
          <w:tcPr>
            <w:tcW w:type="dxa" w:w="3168"/>
            <w:vAlign w:val="center"/>
            <w:shd w:fill="F2F4F7"/>
            <w:tcMar>
              <w:top w:w="80" w:type="dxa"/>
              <w:start w:w="100" w:type="dxa"/>
              <w:bottom w:w="80" w:type="dxa"/>
              <w:end w:w="100" w:type="dxa"/>
            </w:tcMar>
          </w:tcPr>
          <w:p>
            <w:pPr>
              <w:jc w:val="left"/>
            </w:pPr>
            <w:r/>
            <w:r>
              <w:rPr>
                <w:b w:val="0"/>
                <w:sz w:val="17"/>
              </w:rPr>
              <w:t>ABSTAIN</w:t>
            </w:r>
          </w:p>
        </w:tc>
      </w:tr>
    </w:tbl>
    <w:p>
      <w:pPr>
        <w:keepLines/>
        <w:jc w:val="center"/>
      </w:pPr>
      <w:r>
        <w:drawing>
          <wp:inline xmlns:a="http://schemas.openxmlformats.org/drawingml/2006/main" xmlns:pic="http://schemas.openxmlformats.org/drawingml/2006/picture">
            <wp:extent cx="5806440" cy="3563597"/>
            <wp:docPr id="51" name="Picture 51"/>
            <wp:cNvGraphicFramePr>
              <a:graphicFrameLocks noChangeAspect="1"/>
            </wp:cNvGraphicFramePr>
            <a:graphic>
              <a:graphicData uri="http://schemas.openxmlformats.org/drawingml/2006/picture">
                <pic:pic>
                  <pic:nvPicPr>
                    <pic:cNvPr id="0" name="fig19_3.png"/>
                    <pic:cNvPicPr/>
                  </pic:nvPicPr>
                  <pic:blipFill>
                    <a:blip r:embed="rId88"/>
                    <a:stretch>
                      <a:fillRect/>
                    </a:stretch>
                  </pic:blipFill>
                  <pic:spPr>
                    <a:xfrm>
                      <a:off x="0" y="0"/>
                      <a:ext cx="5806440" cy="3563597"/>
                    </a:xfrm>
                    <a:prstGeom prst="rect"/>
                  </pic:spPr>
                </pic:pic>
              </a:graphicData>
            </a:graphic>
          </wp:inline>
        </w:drawing>
      </w:r>
    </w:p>
    <w:p>
      <w:pPr>
        <w:pStyle w:val="Caption"/>
        <w:keepNext w:val="0"/>
        <w:keepLines/>
      </w:pPr>
      <w:r>
        <w:t>Рисунок 19.3. Двухступенчатый virtual/probability verdict и запрет автоматического экспорта. Собственная схема Тома II.</w:t>
      </w:r>
    </w:p>
    <w:p>
      <w:pPr>
        <w:pStyle w:val="Heading1"/>
        <w:keepNext/>
      </w:pPr>
      <w:r>
        <w:t>233. Контрпримеры и разделяющие модели</w:t>
      </w:r>
    </w:p>
    <w:p>
      <w:pPr>
        <w:pStyle w:val="ListBullet"/>
        <w:keepLines/>
      </w:pPr>
      <w:r>
        <w:t>Virtual degree постоянен в деформации, но вероятностная частота меняется из-за смены sampling mechanism: V-слой устойчив, P-слой нарушен.</w:t>
      </w:r>
    </w:p>
    <w:p>
      <w:pPr>
        <w:pStyle w:val="ListBullet"/>
        <w:keepLines/>
      </w:pPr>
      <w:r>
        <w:t>Вероятность откалибрована в одном домене, но virtual class меняется при wall-crossing: эмпирический мост не сохраняет математический тип.</w:t>
      </w:r>
    </w:p>
    <w:p>
      <w:pPr>
        <w:pStyle w:val="ListBullet"/>
        <w:keepLines/>
      </w:pPr>
      <w:r>
        <w:t>Virtual invariant равен нулю из-за cancellation положительных и отрицательных вкладов, хотя решения существуют.</w:t>
      </w:r>
    </w:p>
    <w:p>
      <w:pPr>
        <w:pStyle w:val="ListBullet"/>
        <w:keepLines/>
      </w:pPr>
      <w:r>
        <w:t>Virtual invariant ненулевой, но moduli carrier неп proper: degree зависит от выбранной compactification.</w:t>
      </w:r>
    </w:p>
    <w:p>
      <w:pPr>
        <w:pStyle w:val="ListBullet"/>
        <w:keepLines/>
      </w:pPr>
      <w:r>
        <w:t>Localization sum конечна, но отдельные слагаемые имеют полюса; интерпретация каждого слагаемого как вероятности невозможна.</w:t>
      </w:r>
    </w:p>
    <w:p>
      <w:pPr>
        <w:pStyle w:val="ListBullet"/>
        <w:keepLines/>
      </w:pPr>
      <w:r>
        <w:t>Stack count 1/|G| совпадает численно с долей, но изменение стабилизатора меняет число без изменения частоты наблюдаемого события.</w:t>
      </w:r>
    </w:p>
    <w:p>
      <w:pPr>
        <w:pStyle w:val="ListBullet"/>
        <w:keepLines/>
      </w:pPr>
      <w:r>
        <w:t>λ=-1 для Rep_vir при отсутствующем B_prob: структурная гармония не создаёт меру P.</w:t>
      </w:r>
    </w:p>
    <w:p>
      <w:pPr>
        <w:pStyle w:val="ListBullet"/>
        <w:keepLines/>
      </w:pPr>
      <w:r>
        <w:t>Хорошая Brier-калибровка на post-selected sample исчезает на frozen external run: селекционный blocker делает прогноз недействительным.</w:t>
      </w:r>
    </w:p>
    <w:p>
      <w:pPr>
        <w:pStyle w:val="ListBullet"/>
        <w:keepLines/>
      </w:pPr>
      <w:r>
        <w:t>Одинаковый virtual degree при различных support cycles: число теряет геометрическое расположение и branch information.</w:t>
      </w:r>
    </w:p>
    <w:p>
      <w:pPr>
        <w:pStyle w:val="ListBullet"/>
        <w:keepLines/>
      </w:pPr>
      <w:r>
        <w:t>Одинаковая вероятность при различных virtual invariants: вероятностная модель сознательно сжимает математический профиль.</w:t>
      </w:r>
    </w:p>
    <w:p>
      <w:pPr>
        <w:pStyle w:val="Heading1"/>
        <w:keepNext/>
      </w:pPr>
      <w:r>
        <w:t>234. Вычислительный сертификат VFC-ENUM-PROB v0.16</w:t>
      </w:r>
    </w:p>
    <w:p>
      <w:pPr>
        <w:pStyle w:val="ListBullet"/>
        <w:keepLines/>
      </w:pPr>
      <w:r>
        <w:t>VFC-01 carrier inventory; VFC-02 properness/compact-support; VFC-03 perfect obstruction theory; VFC-04 amplitude;</w:t>
      </w:r>
    </w:p>
    <w:p>
      <w:pPr>
        <w:pStyle w:val="ListBullet"/>
        <w:keepLines/>
      </w:pPr>
      <w:r>
        <w:t>VFC-05 intrinsic normal cone; VFC-06 zero-section Gysin map; VFC-07 virtual dimension; VFC-08 orientation/determinant;</w:t>
      </w:r>
    </w:p>
    <w:p>
      <w:pPr>
        <w:pStyle w:val="ListBullet"/>
        <w:keepLines/>
      </w:pPr>
      <w:r>
        <w:t>VFC-09 stack stabilizers; VFC-10 virtual class construction; VFC-11 insertion typing; VFC-12 degree compatibility;</w:t>
      </w:r>
    </w:p>
    <w:p>
      <w:pPr>
        <w:pStyle w:val="ListBullet"/>
        <w:keepLines/>
      </w:pPr>
      <w:r>
        <w:t>VFC-13 base-change; VFC-14 deformation invariance; VFC-15 fixed loci; VFC-16 virtual normal Euler classes;</w:t>
      </w:r>
    </w:p>
    <w:p>
      <w:pPr>
        <w:pStyle w:val="ListBullet"/>
        <w:keepLines/>
      </w:pPr>
      <w:r>
        <w:t>VFC-17 localization sum; VFC-18 chamber/wall ledger; VFC-19 branch transport; VFC-20 exact/rational arithmetic;</w:t>
      </w:r>
    </w:p>
    <w:p>
      <w:pPr>
        <w:pStyle w:val="ListBullet"/>
        <w:keepLines/>
      </w:pPr>
      <w:r>
        <w:t>VFC-21 interval numerical certificate; VFC-22 VirtCert/Reper; VFC-23 λ/CGI gate; VFC-24 probability sample space;</w:t>
      </w:r>
    </w:p>
    <w:p>
      <w:pPr>
        <w:pStyle w:val="ListBullet"/>
        <w:keepLines/>
      </w:pPr>
      <w:r>
        <w:t>VFC-25 measure/link specification; VFC-26 calibration; VFC-27 domain shift; VFC-28 independent external run;</w:t>
      </w:r>
    </w:p>
    <w:p>
      <w:pPr>
        <w:pStyle w:val="ListBullet"/>
        <w:keepLines/>
      </w:pPr>
      <w:r>
        <w:t>VFC-29 two-stage blocker-safe verdict; VFC-30 code/data/environment/source hashes.</w:t>
      </w:r>
    </w:p>
    <w:p>
      <w:pPr>
        <w:pStyle w:val="Heading2"/>
        <w:keepNext/>
      </w:pPr>
      <w:r>
        <w:t>Псевдокод</w:t>
      </w:r>
    </w:p>
    <w:p>
      <w:pPr>
        <w:pStyle w:val="Quote"/>
        <w:keepLines/>
      </w:pPr>
      <w:r>
        <w:t>INPUT global carrier, POT, cone, orientation, insertions, family path γ, Reper/D/Dom/E, optional probability bridge</w:t>
        <w:br/>
        <w:t>CHECK properness; build [M]^vir; verify insertion degree; compute exact/interval invariant</w:t>
        <w:br/>
        <w:t>CHECK base-change, walls, localization denominators, branch transport and Δ_VFC</w:t>
        <w:br/>
        <w:t>IF virtual blocker: RETURN ABSTAIN</w:t>
        <w:br/>
        <w:t>IF γ avoids Δ_VFC and invariant has certified constant transport: V_VERDICT=NO-VIRTUAL-CHANGE-IN-MODEL</w:t>
        <w:br/>
        <w:t>ELSE V_VERDICT=CANDIDATE-VIRTUAL-JUMP</w:t>
        <w:br/>
        <w:t>IF probability bridge absent: P_VERDICT=PROBABILITY-UNAVAILABLE</w:t>
        <w:br/>
        <w:t>ELSE verify Ω,P,link,calibration,shift,external run and Δ_prob</w:t>
        <w:br/>
        <w:t>RETURN (V_VERDICT,P_VERDICT,certificate,hashes)</w:t>
      </w:r>
    </w:p>
    <w:p>
      <w:pPr>
        <w:pStyle w:val="Heading1"/>
        <w:keepNext/>
      </w:pPr>
      <w:r>
        <w:t>235. Доказательные обязательства T2-PO-253-T2-PO-282</w:t>
      </w:r>
    </w:p>
    <w:tbl>
      <w:tblPr>
        <w:tblStyle w:val="TableGrid"/>
        <w:tblW w:type="auto" w:w="0"/>
        <w:jc w:val="center"/>
        <w:tblLook w:firstColumn="1" w:firstRow="1" w:lastColumn="0" w:lastRow="0" w:noHBand="0" w:noVBand="1" w:val="04A0"/>
      </w:tblPr>
      <w:tblGrid>
        <w:gridCol w:w="2438"/>
        <w:gridCol w:w="2438"/>
        <w:gridCol w:w="2438"/>
        <w:gridCol w:w="2438"/>
      </w:tblGrid>
      <w:tr>
        <w:trPr>
          <w:tblHeader w:val="true"/>
          <w:cantSplit/>
          <w:tblHeader w:val="true"/>
        </w:trPr>
        <w:tc>
          <w:tcPr>
            <w:tcW w:type="dxa" w:w="2438"/>
            <w:vAlign w:val="center"/>
            <w:shd w:fill="17345F"/>
          </w:tcPr>
          <w:p>
            <w:pPr>
              <w:jc w:val="center"/>
            </w:pPr>
            <w:r/>
            <w:r>
              <w:rPr>
                <w:b/>
                <w:color w:val="FFFFFF"/>
                <w:sz w:val="17"/>
              </w:rPr>
              <w:t>PO</w:t>
            </w:r>
          </w:p>
        </w:tc>
        <w:tc>
          <w:tcPr>
            <w:tcW w:type="dxa" w:w="2438"/>
            <w:vAlign w:val="center"/>
            <w:shd w:fill="17345F"/>
          </w:tcPr>
          <w:p>
            <w:pPr>
              <w:jc w:val="center"/>
            </w:pPr>
            <w:r/>
            <w:r>
              <w:rPr>
                <w:b/>
                <w:color w:val="FFFFFF"/>
                <w:sz w:val="17"/>
              </w:rPr>
              <w:t>Обязательство</w:t>
            </w:r>
          </w:p>
        </w:tc>
        <w:tc>
          <w:tcPr>
            <w:tcW w:type="dxa" w:w="2438"/>
            <w:vAlign w:val="center"/>
            <w:shd w:fill="17345F"/>
          </w:tcPr>
          <w:p>
            <w:pPr>
              <w:jc w:val="center"/>
            </w:pPr>
            <w:r/>
            <w:r>
              <w:rPr>
                <w:b/>
                <w:color w:val="FFFFFF"/>
                <w:sz w:val="17"/>
              </w:rPr>
              <w:t>Статус</w:t>
            </w:r>
          </w:p>
        </w:tc>
        <w:tc>
          <w:tcPr>
            <w:tcW w:type="dxa" w:w="2438"/>
            <w:vAlign w:val="center"/>
            <w:shd w:fill="17345F"/>
          </w:tcPr>
          <w:p>
            <w:pPr>
              <w:jc w:val="center"/>
            </w:pPr>
            <w:r/>
            <w:r>
              <w:rPr>
                <w:b/>
                <w:color w:val="FFFFFF"/>
                <w:sz w:val="17"/>
              </w:rPr>
              <w:t>Условие закрытия</w:t>
            </w:r>
          </w:p>
        </w:tc>
      </w:tr>
      <w:tr>
        <w:trPr>
          <w:cantSplit/>
        </w:trPr>
        <w:tc>
          <w:tcPr>
            <w:tcW w:type="dxa" w:w="2438"/>
            <w:vAlign w:val="center"/>
            <w:tcMar>
              <w:top w:w="70" w:type="dxa"/>
              <w:start w:w="80" w:type="dxa"/>
              <w:bottom w:w="70" w:type="dxa"/>
              <w:end w:w="80" w:type="dxa"/>
            </w:tcMar>
            <w:shd w:fill="FFFFFF"/>
          </w:tcPr>
          <w:p>
            <w:pPr>
              <w:jc w:val="center"/>
            </w:pPr>
            <w:r/>
            <w:r>
              <w:rPr>
                <w:b w:val="0"/>
                <w:sz w:val="16"/>
              </w:rPr>
              <w:t>T2-PO-253</w:t>
            </w:r>
          </w:p>
        </w:tc>
        <w:tc>
          <w:tcPr>
            <w:tcW w:type="dxa" w:w="2438"/>
            <w:vAlign w:val="center"/>
            <w:tcMar>
              <w:top w:w="70" w:type="dxa"/>
              <w:start w:w="80" w:type="dxa"/>
              <w:bottom w:w="70" w:type="dxa"/>
              <w:end w:w="80" w:type="dxa"/>
            </w:tcMar>
            <w:shd w:fill="FFFFFF"/>
          </w:tcPr>
          <w:p>
            <w:pPr>
              <w:jc w:val="left"/>
            </w:pPr>
            <w:r/>
            <w:r>
              <w:rPr>
                <w:b w:val="0"/>
                <w:sz w:val="16"/>
              </w:rPr>
              <w:t>Зафиксировать cycle/homology carrier для virtual class.</w:t>
            </w:r>
          </w:p>
        </w:tc>
        <w:tc>
          <w:tcPr>
            <w:tcW w:type="dxa" w:w="2438"/>
            <w:vAlign w:val="center"/>
            <w:tcMar>
              <w:top w:w="70" w:type="dxa"/>
              <w:start w:w="80" w:type="dxa"/>
              <w:bottom w:w="70" w:type="dxa"/>
              <w:end w:w="80" w:type="dxa"/>
            </w:tcMar>
            <w:shd w:fill="FFFFFF"/>
          </w:tcPr>
          <w:p>
            <w:pPr>
              <w:jc w:val="center"/>
            </w:pPr>
            <w:r/>
            <w:r>
              <w:rPr>
                <w:b w:val="0"/>
                <w:sz w:val="16"/>
              </w:rPr>
              <w:t>CLOSED/CL</w:t>
            </w:r>
          </w:p>
        </w:tc>
        <w:tc>
          <w:tcPr>
            <w:tcW w:type="dxa" w:w="2438"/>
            <w:vAlign w:val="center"/>
            <w:tcMar>
              <w:top w:w="70" w:type="dxa"/>
              <w:start w:w="80" w:type="dxa"/>
              <w:bottom w:w="70" w:type="dxa"/>
              <w:end w:w="80" w:type="dxa"/>
            </w:tcMar>
            <w:shd w:fill="FFFFFF"/>
          </w:tcPr>
          <w:p>
            <w:pPr>
              <w:jc w:val="left"/>
            </w:pPr>
            <w:r/>
            <w:r>
              <w:rPr>
                <w:b w:val="0"/>
                <w:sz w:val="16"/>
              </w:rPr>
              <w:t>Chow/homology specification.</w:t>
            </w:r>
          </w:p>
        </w:tc>
      </w:tr>
      <w:tr>
        <w:trPr>
          <w:cantSplit/>
        </w:trPr>
        <w:tc>
          <w:tcPr>
            <w:tcW w:type="dxa" w:w="2438"/>
            <w:vAlign w:val="center"/>
            <w:tcMar>
              <w:top w:w="70" w:type="dxa"/>
              <w:start w:w="80" w:type="dxa"/>
              <w:bottom w:w="70" w:type="dxa"/>
              <w:end w:w="80" w:type="dxa"/>
            </w:tcMar>
            <w:shd w:fill="F2F4F7"/>
          </w:tcPr>
          <w:p>
            <w:pPr>
              <w:jc w:val="center"/>
            </w:pPr>
            <w:r/>
            <w:r>
              <w:rPr>
                <w:b w:val="0"/>
                <w:sz w:val="16"/>
              </w:rPr>
              <w:t>T2-PO-254</w:t>
            </w:r>
          </w:p>
        </w:tc>
        <w:tc>
          <w:tcPr>
            <w:tcW w:type="dxa" w:w="2438"/>
            <w:vAlign w:val="center"/>
            <w:tcMar>
              <w:top w:w="70" w:type="dxa"/>
              <w:start w:w="80" w:type="dxa"/>
              <w:bottom w:w="70" w:type="dxa"/>
              <w:end w:w="80" w:type="dxa"/>
            </w:tcMar>
            <w:shd w:fill="F2F4F7"/>
          </w:tcPr>
          <w:p>
            <w:pPr>
              <w:jc w:val="left"/>
            </w:pPr>
            <w:r/>
            <w:r>
              <w:rPr>
                <w:b w:val="0"/>
                <w:sz w:val="16"/>
              </w:rPr>
              <w:t>Построить global virtual fundamental class NAPG.</w:t>
            </w:r>
          </w:p>
        </w:tc>
        <w:tc>
          <w:tcPr>
            <w:tcW w:type="dxa" w:w="2438"/>
            <w:vAlign w:val="center"/>
            <w:tcMar>
              <w:top w:w="70" w:type="dxa"/>
              <w:start w:w="80" w:type="dxa"/>
              <w:bottom w:w="70" w:type="dxa"/>
              <w:end w:w="80" w:type="dxa"/>
            </w:tcMar>
            <w:shd w:fill="F2F4F7"/>
          </w:tcPr>
          <w:p>
            <w:pPr>
              <w:jc w:val="center"/>
            </w:pPr>
            <w:r/>
            <w:r>
              <w:rPr>
                <w:b w:val="0"/>
                <w:sz w:val="16"/>
              </w:rPr>
              <w:t>COND</w:t>
            </w:r>
          </w:p>
        </w:tc>
        <w:tc>
          <w:tcPr>
            <w:tcW w:type="dxa" w:w="2438"/>
            <w:vAlign w:val="center"/>
            <w:tcMar>
              <w:top w:w="70" w:type="dxa"/>
              <w:start w:w="80" w:type="dxa"/>
              <w:bottom w:w="70" w:type="dxa"/>
              <w:end w:w="80" w:type="dxa"/>
            </w:tcMar>
            <w:shd w:fill="F2F4F7"/>
          </w:tcPr>
          <w:p>
            <w:pPr>
              <w:jc w:val="left"/>
            </w:pPr>
            <w:r/>
            <w:r>
              <w:rPr>
                <w:b w:val="0"/>
                <w:sz w:val="16"/>
              </w:rPr>
              <w:t>Global POT + intrinsic cone.</w:t>
            </w:r>
          </w:p>
        </w:tc>
      </w:tr>
      <w:tr>
        <w:trPr>
          <w:cantSplit/>
        </w:trPr>
        <w:tc>
          <w:tcPr>
            <w:tcW w:type="dxa" w:w="2438"/>
            <w:vAlign w:val="center"/>
            <w:tcMar>
              <w:top w:w="70" w:type="dxa"/>
              <w:start w:w="80" w:type="dxa"/>
              <w:bottom w:w="70" w:type="dxa"/>
              <w:end w:w="80" w:type="dxa"/>
            </w:tcMar>
            <w:shd w:fill="FFFFFF"/>
          </w:tcPr>
          <w:p>
            <w:pPr>
              <w:jc w:val="center"/>
            </w:pPr>
            <w:r/>
            <w:r>
              <w:rPr>
                <w:b w:val="0"/>
                <w:sz w:val="16"/>
              </w:rPr>
              <w:t>T2-PO-255</w:t>
            </w:r>
          </w:p>
        </w:tc>
        <w:tc>
          <w:tcPr>
            <w:tcW w:type="dxa" w:w="2438"/>
            <w:vAlign w:val="center"/>
            <w:tcMar>
              <w:top w:w="70" w:type="dxa"/>
              <w:start w:w="80" w:type="dxa"/>
              <w:bottom w:w="70" w:type="dxa"/>
              <w:end w:w="80" w:type="dxa"/>
            </w:tcMar>
            <w:shd w:fill="FFFFFF"/>
          </w:tcPr>
          <w:p>
            <w:pPr>
              <w:jc w:val="left"/>
            </w:pPr>
            <w:r/>
            <w:r>
              <w:rPr>
                <w:b w:val="0"/>
                <w:sz w:val="16"/>
              </w:rPr>
              <w:t>Определить virtual dimension и grading.</w:t>
            </w:r>
          </w:p>
        </w:tc>
        <w:tc>
          <w:tcPr>
            <w:tcW w:type="dxa" w:w="2438"/>
            <w:vAlign w:val="center"/>
            <w:tcMar>
              <w:top w:w="70" w:type="dxa"/>
              <w:start w:w="80" w:type="dxa"/>
              <w:bottom w:w="70" w:type="dxa"/>
              <w:end w:w="80" w:type="dxa"/>
            </w:tcMar>
            <w:shd w:fill="FFFFFF"/>
          </w:tcPr>
          <w:p>
            <w:pPr>
              <w:jc w:val="center"/>
            </w:pPr>
            <w:r/>
            <w:r>
              <w:rPr>
                <w:b w:val="0"/>
                <w:sz w:val="16"/>
              </w:rPr>
              <w:t>CLOSED/CL</w:t>
            </w:r>
          </w:p>
        </w:tc>
        <w:tc>
          <w:tcPr>
            <w:tcW w:type="dxa" w:w="2438"/>
            <w:vAlign w:val="center"/>
            <w:tcMar>
              <w:top w:w="70" w:type="dxa"/>
              <w:start w:w="80" w:type="dxa"/>
              <w:bottom w:w="70" w:type="dxa"/>
              <w:end w:w="80" w:type="dxa"/>
            </w:tcMar>
            <w:shd w:fill="FFFFFF"/>
          </w:tcPr>
          <w:p>
            <w:pPr>
              <w:jc w:val="left"/>
            </w:pPr>
            <w:r/>
            <w:r>
              <w:rPr>
                <w:b w:val="0"/>
                <w:sz w:val="16"/>
              </w:rPr>
              <w:t>Rank/Euler characteristic.</w:t>
            </w:r>
          </w:p>
        </w:tc>
      </w:tr>
      <w:tr>
        <w:trPr>
          <w:cantSplit/>
        </w:trPr>
        <w:tc>
          <w:tcPr>
            <w:tcW w:type="dxa" w:w="2438"/>
            <w:vAlign w:val="center"/>
            <w:tcMar>
              <w:top w:w="70" w:type="dxa"/>
              <w:start w:w="80" w:type="dxa"/>
              <w:bottom w:w="70" w:type="dxa"/>
              <w:end w:w="80" w:type="dxa"/>
            </w:tcMar>
            <w:shd w:fill="F2F4F7"/>
          </w:tcPr>
          <w:p>
            <w:pPr>
              <w:jc w:val="center"/>
            </w:pPr>
            <w:r/>
            <w:r>
              <w:rPr>
                <w:b w:val="0"/>
                <w:sz w:val="16"/>
              </w:rPr>
              <w:t>T2-PO-256</w:t>
            </w:r>
          </w:p>
        </w:tc>
        <w:tc>
          <w:tcPr>
            <w:tcW w:type="dxa" w:w="2438"/>
            <w:vAlign w:val="center"/>
            <w:tcMar>
              <w:top w:w="70" w:type="dxa"/>
              <w:start w:w="80" w:type="dxa"/>
              <w:bottom w:w="70" w:type="dxa"/>
              <w:end w:w="80" w:type="dxa"/>
            </w:tcMar>
            <w:shd w:fill="F2F4F7"/>
          </w:tcPr>
          <w:p>
            <w:pPr>
              <w:jc w:val="left"/>
            </w:pPr>
            <w:r/>
            <w:r>
              <w:rPr>
                <w:b w:val="0"/>
                <w:sz w:val="16"/>
              </w:rPr>
              <w:t>Доказать properness либо compact-support substitute.</w:t>
            </w:r>
          </w:p>
        </w:tc>
        <w:tc>
          <w:tcPr>
            <w:tcW w:type="dxa" w:w="2438"/>
            <w:vAlign w:val="center"/>
            <w:tcMar>
              <w:top w:w="70" w:type="dxa"/>
              <w:start w:w="80" w:type="dxa"/>
              <w:bottom w:w="70" w:type="dxa"/>
              <w:end w:w="80" w:type="dxa"/>
            </w:tcMar>
            <w:shd w:fill="F2F4F7"/>
          </w:tcPr>
          <w:p>
            <w:pPr>
              <w:jc w:val="center"/>
            </w:pPr>
            <w:r/>
            <w:r>
              <w:rPr>
                <w:b w:val="0"/>
                <w:sz w:val="16"/>
              </w:rPr>
              <w:t>OPEN</w:t>
            </w:r>
          </w:p>
        </w:tc>
        <w:tc>
          <w:tcPr>
            <w:tcW w:type="dxa" w:w="2438"/>
            <w:vAlign w:val="center"/>
            <w:tcMar>
              <w:top w:w="70" w:type="dxa"/>
              <w:start w:w="80" w:type="dxa"/>
              <w:bottom w:w="70" w:type="dxa"/>
              <w:end w:w="80" w:type="dxa"/>
            </w:tcMar>
            <w:shd w:fill="F2F4F7"/>
          </w:tcPr>
          <w:p>
            <w:pPr>
              <w:jc w:val="left"/>
            </w:pPr>
            <w:r/>
            <w:r>
              <w:rPr>
                <w:b w:val="0"/>
                <w:sz w:val="16"/>
              </w:rPr>
              <w:t>Domain-specific compactness theorem.</w:t>
            </w:r>
          </w:p>
        </w:tc>
      </w:tr>
      <w:tr>
        <w:trPr>
          <w:cantSplit/>
        </w:trPr>
        <w:tc>
          <w:tcPr>
            <w:tcW w:type="dxa" w:w="2438"/>
            <w:vAlign w:val="center"/>
            <w:tcMar>
              <w:top w:w="70" w:type="dxa"/>
              <w:start w:w="80" w:type="dxa"/>
              <w:bottom w:w="70" w:type="dxa"/>
              <w:end w:w="80" w:type="dxa"/>
            </w:tcMar>
            <w:shd w:fill="FFFFFF"/>
          </w:tcPr>
          <w:p>
            <w:pPr>
              <w:jc w:val="center"/>
            </w:pPr>
            <w:r/>
            <w:r>
              <w:rPr>
                <w:b w:val="0"/>
                <w:sz w:val="16"/>
              </w:rPr>
              <w:t>T2-PO-257</w:t>
            </w:r>
          </w:p>
        </w:tc>
        <w:tc>
          <w:tcPr>
            <w:tcW w:type="dxa" w:w="2438"/>
            <w:vAlign w:val="center"/>
            <w:tcMar>
              <w:top w:w="70" w:type="dxa"/>
              <w:start w:w="80" w:type="dxa"/>
              <w:bottom w:w="70" w:type="dxa"/>
              <w:end w:w="80" w:type="dxa"/>
            </w:tcMar>
            <w:shd w:fill="FFFFFF"/>
          </w:tcPr>
          <w:p>
            <w:pPr>
              <w:jc w:val="left"/>
            </w:pPr>
            <w:r/>
            <w:r>
              <w:rPr>
                <w:b w:val="0"/>
                <w:sz w:val="16"/>
              </w:rPr>
              <w:t>Типизировать insertions и degree matching.</w:t>
            </w:r>
          </w:p>
        </w:tc>
        <w:tc>
          <w:tcPr>
            <w:tcW w:type="dxa" w:w="2438"/>
            <w:vAlign w:val="center"/>
            <w:tcMar>
              <w:top w:w="70" w:type="dxa"/>
              <w:start w:w="80" w:type="dxa"/>
              <w:bottom w:w="70" w:type="dxa"/>
              <w:end w:w="80" w:type="dxa"/>
            </w:tcMar>
            <w:shd w:fill="FFFFFF"/>
          </w:tcPr>
          <w:p>
            <w:pPr>
              <w:jc w:val="center"/>
            </w:pPr>
            <w:r/>
            <w:r>
              <w:rPr>
                <w:b w:val="0"/>
                <w:sz w:val="16"/>
              </w:rPr>
              <w:t>CLOSED/CL</w:t>
            </w:r>
          </w:p>
        </w:tc>
        <w:tc>
          <w:tcPr>
            <w:tcW w:type="dxa" w:w="2438"/>
            <w:vAlign w:val="center"/>
            <w:tcMar>
              <w:top w:w="70" w:type="dxa"/>
              <w:start w:w="80" w:type="dxa"/>
              <w:bottom w:w="70" w:type="dxa"/>
              <w:end w:w="80" w:type="dxa"/>
            </w:tcMar>
            <w:shd w:fill="FFFFFF"/>
          </w:tcPr>
          <w:p>
            <w:pPr>
              <w:jc w:val="left"/>
            </w:pPr>
            <w:r/>
            <w:r>
              <w:rPr>
                <w:b w:val="0"/>
                <w:sz w:val="16"/>
              </w:rPr>
              <w:t>Формулы (19.5)-(19.6).</w:t>
            </w:r>
          </w:p>
        </w:tc>
      </w:tr>
      <w:tr>
        <w:trPr>
          <w:cantSplit/>
        </w:trPr>
        <w:tc>
          <w:tcPr>
            <w:tcW w:type="dxa" w:w="2438"/>
            <w:vAlign w:val="center"/>
            <w:tcMar>
              <w:top w:w="70" w:type="dxa"/>
              <w:start w:w="80" w:type="dxa"/>
              <w:bottom w:w="70" w:type="dxa"/>
              <w:end w:w="80" w:type="dxa"/>
            </w:tcMar>
            <w:shd w:fill="F2F4F7"/>
          </w:tcPr>
          <w:p>
            <w:pPr>
              <w:jc w:val="center"/>
            </w:pPr>
            <w:r/>
            <w:r>
              <w:rPr>
                <w:b w:val="0"/>
                <w:sz w:val="16"/>
              </w:rPr>
              <w:t>T2-PO-258</w:t>
            </w:r>
          </w:p>
        </w:tc>
        <w:tc>
          <w:tcPr>
            <w:tcW w:type="dxa" w:w="2438"/>
            <w:vAlign w:val="center"/>
            <w:tcMar>
              <w:top w:w="70" w:type="dxa"/>
              <w:start w:w="80" w:type="dxa"/>
              <w:bottom w:w="70" w:type="dxa"/>
              <w:end w:w="80" w:type="dxa"/>
            </w:tcMar>
            <w:shd w:fill="F2F4F7"/>
          </w:tcPr>
          <w:p>
            <w:pPr>
              <w:jc w:val="left"/>
            </w:pPr>
            <w:r/>
            <w:r>
              <w:rPr>
                <w:b w:val="0"/>
                <w:sz w:val="16"/>
              </w:rPr>
              <w:t>Доказать base-change compatibility.</w:t>
            </w:r>
          </w:p>
        </w:tc>
        <w:tc>
          <w:tcPr>
            <w:tcW w:type="dxa" w:w="2438"/>
            <w:vAlign w:val="center"/>
            <w:tcMar>
              <w:top w:w="70" w:type="dxa"/>
              <w:start w:w="80" w:type="dxa"/>
              <w:bottom w:w="70" w:type="dxa"/>
              <w:end w:w="80" w:type="dxa"/>
            </w:tcMar>
            <w:shd w:fill="F2F4F7"/>
          </w:tcPr>
          <w:p>
            <w:pPr>
              <w:jc w:val="center"/>
            </w:pPr>
            <w:r/>
            <w:r>
              <w:rPr>
                <w:b w:val="0"/>
                <w:sz w:val="16"/>
              </w:rPr>
              <w:t>COND</w:t>
            </w:r>
          </w:p>
        </w:tc>
        <w:tc>
          <w:tcPr>
            <w:tcW w:type="dxa" w:w="2438"/>
            <w:vAlign w:val="center"/>
            <w:tcMar>
              <w:top w:w="70" w:type="dxa"/>
              <w:start w:w="80" w:type="dxa"/>
              <w:bottom w:w="70" w:type="dxa"/>
              <w:end w:w="80" w:type="dxa"/>
            </w:tcMar>
            <w:shd w:fill="F2F4F7"/>
          </w:tcPr>
          <w:p>
            <w:pPr>
              <w:jc w:val="left"/>
            </w:pPr>
            <w:r/>
            <w:r>
              <w:rPr>
                <w:b w:val="0"/>
                <w:sz w:val="16"/>
              </w:rPr>
              <w:t>Relative POT and refined Gysin.</w:t>
            </w:r>
          </w:p>
        </w:tc>
      </w:tr>
      <w:tr>
        <w:trPr>
          <w:cantSplit/>
        </w:trPr>
        <w:tc>
          <w:tcPr>
            <w:tcW w:type="dxa" w:w="2438"/>
            <w:vAlign w:val="center"/>
            <w:tcMar>
              <w:top w:w="70" w:type="dxa"/>
              <w:start w:w="80" w:type="dxa"/>
              <w:bottom w:w="70" w:type="dxa"/>
              <w:end w:w="80" w:type="dxa"/>
            </w:tcMar>
            <w:shd w:fill="FFFFFF"/>
          </w:tcPr>
          <w:p>
            <w:pPr>
              <w:jc w:val="center"/>
            </w:pPr>
            <w:r/>
            <w:r>
              <w:rPr>
                <w:b w:val="0"/>
                <w:sz w:val="16"/>
              </w:rPr>
              <w:t>T2-PO-259</w:t>
            </w:r>
          </w:p>
        </w:tc>
        <w:tc>
          <w:tcPr>
            <w:tcW w:type="dxa" w:w="2438"/>
            <w:vAlign w:val="center"/>
            <w:tcMar>
              <w:top w:w="70" w:type="dxa"/>
              <w:start w:w="80" w:type="dxa"/>
              <w:bottom w:w="70" w:type="dxa"/>
              <w:end w:w="80" w:type="dxa"/>
            </w:tcMar>
            <w:shd w:fill="FFFFFF"/>
          </w:tcPr>
          <w:p>
            <w:pPr>
              <w:jc w:val="left"/>
            </w:pPr>
            <w:r/>
            <w:r>
              <w:rPr>
                <w:b w:val="0"/>
                <w:sz w:val="16"/>
              </w:rPr>
              <w:t>Доказать deformation invariance.</w:t>
            </w:r>
          </w:p>
        </w:tc>
        <w:tc>
          <w:tcPr>
            <w:tcW w:type="dxa" w:w="2438"/>
            <w:vAlign w:val="center"/>
            <w:tcMar>
              <w:top w:w="70" w:type="dxa"/>
              <w:start w:w="80" w:type="dxa"/>
              <w:bottom w:w="70" w:type="dxa"/>
              <w:end w:w="80" w:type="dxa"/>
            </w:tcMar>
            <w:shd w:fill="FFFFFF"/>
          </w:tcPr>
          <w:p>
            <w:pPr>
              <w:jc w:val="center"/>
            </w:pPr>
            <w:r/>
            <w:r>
              <w:rPr>
                <w:b w:val="0"/>
                <w:sz w:val="16"/>
              </w:rPr>
              <w:t>COND</w:t>
            </w:r>
          </w:p>
        </w:tc>
        <w:tc>
          <w:tcPr>
            <w:tcW w:type="dxa" w:w="2438"/>
            <w:vAlign w:val="center"/>
            <w:tcMar>
              <w:top w:w="70" w:type="dxa"/>
              <w:start w:w="80" w:type="dxa"/>
              <w:bottom w:w="70" w:type="dxa"/>
              <w:end w:w="80" w:type="dxa"/>
            </w:tcMar>
            <w:shd w:fill="FFFFFF"/>
          </w:tcPr>
          <w:p>
            <w:pPr>
              <w:jc w:val="left"/>
            </w:pPr>
            <w:r/>
            <w:r>
              <w:rPr>
                <w:b w:val="0"/>
                <w:sz w:val="16"/>
              </w:rPr>
              <w:t>Theorem 19.3 hypotheses.</w:t>
            </w:r>
          </w:p>
        </w:tc>
      </w:tr>
      <w:tr>
        <w:trPr>
          <w:cantSplit/>
        </w:trPr>
        <w:tc>
          <w:tcPr>
            <w:tcW w:type="dxa" w:w="2438"/>
            <w:vAlign w:val="center"/>
            <w:tcMar>
              <w:top w:w="70" w:type="dxa"/>
              <w:start w:w="80" w:type="dxa"/>
              <w:bottom w:w="70" w:type="dxa"/>
              <w:end w:w="80" w:type="dxa"/>
            </w:tcMar>
            <w:shd w:fill="F2F4F7"/>
          </w:tcPr>
          <w:p>
            <w:pPr>
              <w:jc w:val="center"/>
            </w:pPr>
            <w:r/>
            <w:r>
              <w:rPr>
                <w:b w:val="0"/>
                <w:sz w:val="16"/>
              </w:rPr>
              <w:t>T2-PO-260</w:t>
            </w:r>
          </w:p>
        </w:tc>
        <w:tc>
          <w:tcPr>
            <w:tcW w:type="dxa" w:w="2438"/>
            <w:vAlign w:val="center"/>
            <w:tcMar>
              <w:top w:w="70" w:type="dxa"/>
              <w:start w:w="80" w:type="dxa"/>
              <w:bottom w:w="70" w:type="dxa"/>
              <w:end w:w="80" w:type="dxa"/>
            </w:tcMar>
            <w:shd w:fill="F2F4F7"/>
          </w:tcPr>
          <w:p>
            <w:pPr>
              <w:jc w:val="left"/>
            </w:pPr>
            <w:r/>
            <w:r>
              <w:rPr>
                <w:b w:val="0"/>
                <w:sz w:val="16"/>
              </w:rPr>
              <w:t>Построить equivariant virtual localization.</w:t>
            </w:r>
          </w:p>
        </w:tc>
        <w:tc>
          <w:tcPr>
            <w:tcW w:type="dxa" w:w="2438"/>
            <w:vAlign w:val="center"/>
            <w:tcMar>
              <w:top w:w="70" w:type="dxa"/>
              <w:start w:w="80" w:type="dxa"/>
              <w:bottom w:w="70" w:type="dxa"/>
              <w:end w:w="80" w:type="dxa"/>
            </w:tcMar>
            <w:shd w:fill="F2F4F7"/>
          </w:tcPr>
          <w:p>
            <w:pPr>
              <w:jc w:val="center"/>
            </w:pPr>
            <w:r/>
            <w:r>
              <w:rPr>
                <w:b w:val="0"/>
                <w:sz w:val="16"/>
              </w:rPr>
              <w:t>COND</w:t>
            </w:r>
          </w:p>
        </w:tc>
        <w:tc>
          <w:tcPr>
            <w:tcW w:type="dxa" w:w="2438"/>
            <w:vAlign w:val="center"/>
            <w:tcMar>
              <w:top w:w="70" w:type="dxa"/>
              <w:start w:w="80" w:type="dxa"/>
              <w:bottom w:w="70" w:type="dxa"/>
              <w:end w:w="80" w:type="dxa"/>
            </w:tcMar>
            <w:shd w:fill="F2F4F7"/>
          </w:tcPr>
          <w:p>
            <w:pPr>
              <w:jc w:val="left"/>
            </w:pPr>
            <w:r/>
            <w:r>
              <w:rPr>
                <w:b w:val="0"/>
                <w:sz w:val="16"/>
              </w:rPr>
              <w:t>T-action + equivariant POT.</w:t>
            </w:r>
          </w:p>
        </w:tc>
      </w:tr>
      <w:tr>
        <w:trPr>
          <w:cantSplit/>
        </w:trPr>
        <w:tc>
          <w:tcPr>
            <w:tcW w:type="dxa" w:w="2438"/>
            <w:vAlign w:val="center"/>
            <w:tcMar>
              <w:top w:w="70" w:type="dxa"/>
              <w:start w:w="80" w:type="dxa"/>
              <w:bottom w:w="70" w:type="dxa"/>
              <w:end w:w="80" w:type="dxa"/>
            </w:tcMar>
            <w:shd w:fill="FFFFFF"/>
          </w:tcPr>
          <w:p>
            <w:pPr>
              <w:jc w:val="center"/>
            </w:pPr>
            <w:r/>
            <w:r>
              <w:rPr>
                <w:b w:val="0"/>
                <w:sz w:val="16"/>
              </w:rPr>
              <w:t>T2-PO-261</w:t>
            </w:r>
          </w:p>
        </w:tc>
        <w:tc>
          <w:tcPr>
            <w:tcW w:type="dxa" w:w="2438"/>
            <w:vAlign w:val="center"/>
            <w:tcMar>
              <w:top w:w="70" w:type="dxa"/>
              <w:start w:w="80" w:type="dxa"/>
              <w:bottom w:w="70" w:type="dxa"/>
              <w:end w:w="80" w:type="dxa"/>
            </w:tcMar>
            <w:shd w:fill="FFFFFF"/>
          </w:tcPr>
          <w:p>
            <w:pPr>
              <w:jc w:val="left"/>
            </w:pPr>
            <w:r/>
            <w:r>
              <w:rPr>
                <w:b w:val="0"/>
                <w:sz w:val="16"/>
              </w:rPr>
              <w:t>Сертифицировать virtual normal Euler classes.</w:t>
            </w:r>
          </w:p>
        </w:tc>
        <w:tc>
          <w:tcPr>
            <w:tcW w:type="dxa" w:w="2438"/>
            <w:vAlign w:val="center"/>
            <w:tcMar>
              <w:top w:w="70" w:type="dxa"/>
              <w:start w:w="80" w:type="dxa"/>
              <w:bottom w:w="70" w:type="dxa"/>
              <w:end w:w="80" w:type="dxa"/>
            </w:tcMar>
            <w:shd w:fill="FFFFFF"/>
          </w:tcPr>
          <w:p>
            <w:pPr>
              <w:jc w:val="center"/>
            </w:pPr>
            <w:r/>
            <w:r>
              <w:rPr>
                <w:b w:val="0"/>
                <w:sz w:val="16"/>
              </w:rPr>
              <w:t>OPEN</w:t>
            </w:r>
          </w:p>
        </w:tc>
        <w:tc>
          <w:tcPr>
            <w:tcW w:type="dxa" w:w="2438"/>
            <w:vAlign w:val="center"/>
            <w:tcMar>
              <w:top w:w="70" w:type="dxa"/>
              <w:start w:w="80" w:type="dxa"/>
              <w:bottom w:w="70" w:type="dxa"/>
              <w:end w:w="80" w:type="dxa"/>
            </w:tcMar>
            <w:shd w:fill="FFFFFF"/>
          </w:tcPr>
          <w:p>
            <w:pPr>
              <w:jc w:val="left"/>
            </w:pPr>
            <w:r/>
            <w:r>
              <w:rPr>
                <w:b w:val="0"/>
                <w:sz w:val="16"/>
              </w:rPr>
              <w:t>No zero denominators in localization.</w:t>
            </w:r>
          </w:p>
        </w:tc>
      </w:tr>
      <w:tr>
        <w:trPr>
          <w:cantSplit/>
        </w:trPr>
        <w:tc>
          <w:tcPr>
            <w:tcW w:type="dxa" w:w="2438"/>
            <w:vAlign w:val="center"/>
            <w:tcMar>
              <w:top w:w="70" w:type="dxa"/>
              <w:start w:w="80" w:type="dxa"/>
              <w:bottom w:w="70" w:type="dxa"/>
              <w:end w:w="80" w:type="dxa"/>
            </w:tcMar>
            <w:shd w:fill="F2F4F7"/>
          </w:tcPr>
          <w:p>
            <w:pPr>
              <w:jc w:val="center"/>
            </w:pPr>
            <w:r/>
            <w:r>
              <w:rPr>
                <w:b w:val="0"/>
                <w:sz w:val="16"/>
              </w:rPr>
              <w:t>T2-PO-262</w:t>
            </w:r>
          </w:p>
        </w:tc>
        <w:tc>
          <w:tcPr>
            <w:tcW w:type="dxa" w:w="2438"/>
            <w:vAlign w:val="center"/>
            <w:tcMar>
              <w:top w:w="70" w:type="dxa"/>
              <w:start w:w="80" w:type="dxa"/>
              <w:bottom w:w="70" w:type="dxa"/>
              <w:end w:w="80" w:type="dxa"/>
            </w:tcMar>
            <w:shd w:fill="F2F4F7"/>
          </w:tcPr>
          <w:p>
            <w:pPr>
              <w:jc w:val="left"/>
            </w:pPr>
            <w:r/>
            <w:r>
              <w:rPr>
                <w:b w:val="0"/>
                <w:sz w:val="16"/>
              </w:rPr>
              <w:t>Зафиксировать orientation/determinant data.</w:t>
            </w:r>
          </w:p>
        </w:tc>
        <w:tc>
          <w:tcPr>
            <w:tcW w:type="dxa" w:w="2438"/>
            <w:vAlign w:val="center"/>
            <w:tcMar>
              <w:top w:w="70" w:type="dxa"/>
              <w:start w:w="80" w:type="dxa"/>
              <w:bottom w:w="70" w:type="dxa"/>
              <w:end w:w="80" w:type="dxa"/>
            </w:tcMar>
            <w:shd w:fill="F2F4F7"/>
          </w:tcPr>
          <w:p>
            <w:pPr>
              <w:jc w:val="center"/>
            </w:pPr>
            <w:r/>
            <w:r>
              <w:rPr>
                <w:b w:val="0"/>
                <w:sz w:val="16"/>
              </w:rPr>
              <w:t>OPEN</w:t>
            </w:r>
          </w:p>
        </w:tc>
        <w:tc>
          <w:tcPr>
            <w:tcW w:type="dxa" w:w="2438"/>
            <w:vAlign w:val="center"/>
            <w:tcMar>
              <w:top w:w="70" w:type="dxa"/>
              <w:start w:w="80" w:type="dxa"/>
              <w:bottom w:w="70" w:type="dxa"/>
              <w:end w:w="80" w:type="dxa"/>
            </w:tcMar>
            <w:shd w:fill="F2F4F7"/>
          </w:tcPr>
          <w:p>
            <w:pPr>
              <w:jc w:val="left"/>
            </w:pPr>
            <w:r/>
            <w:r>
              <w:rPr>
                <w:b w:val="0"/>
                <w:sz w:val="16"/>
              </w:rPr>
              <w:t>Global compatible orientation.</w:t>
            </w:r>
          </w:p>
        </w:tc>
      </w:tr>
      <w:tr>
        <w:trPr>
          <w:cantSplit/>
        </w:trPr>
        <w:tc>
          <w:tcPr>
            <w:tcW w:type="dxa" w:w="2438"/>
            <w:vAlign w:val="center"/>
            <w:tcMar>
              <w:top w:w="70" w:type="dxa"/>
              <w:start w:w="80" w:type="dxa"/>
              <w:bottom w:w="70" w:type="dxa"/>
              <w:end w:w="80" w:type="dxa"/>
            </w:tcMar>
            <w:shd w:fill="FFFFFF"/>
          </w:tcPr>
          <w:p>
            <w:pPr>
              <w:jc w:val="center"/>
            </w:pPr>
            <w:r/>
            <w:r>
              <w:rPr>
                <w:b w:val="0"/>
                <w:sz w:val="16"/>
              </w:rPr>
              <w:t>T2-PO-263</w:t>
            </w:r>
          </w:p>
        </w:tc>
        <w:tc>
          <w:tcPr>
            <w:tcW w:type="dxa" w:w="2438"/>
            <w:vAlign w:val="center"/>
            <w:tcMar>
              <w:top w:w="70" w:type="dxa"/>
              <w:start w:w="80" w:type="dxa"/>
              <w:bottom w:w="70" w:type="dxa"/>
              <w:end w:w="80" w:type="dxa"/>
            </w:tcMar>
            <w:shd w:fill="FFFFFF"/>
          </w:tcPr>
          <w:p>
            <w:pPr>
              <w:jc w:val="left"/>
            </w:pPr>
            <w:r/>
            <w:r>
              <w:rPr>
                <w:b w:val="0"/>
                <w:sz w:val="16"/>
              </w:rPr>
              <w:t>Учесть stabilizer weights.</w:t>
            </w:r>
          </w:p>
        </w:tc>
        <w:tc>
          <w:tcPr>
            <w:tcW w:type="dxa" w:w="2438"/>
            <w:vAlign w:val="center"/>
            <w:tcMar>
              <w:top w:w="70" w:type="dxa"/>
              <w:start w:w="80" w:type="dxa"/>
              <w:bottom w:w="70" w:type="dxa"/>
              <w:end w:w="80" w:type="dxa"/>
            </w:tcMar>
            <w:shd w:fill="FFFFFF"/>
          </w:tcPr>
          <w:p>
            <w:pPr>
              <w:jc w:val="center"/>
            </w:pPr>
            <w:r/>
            <w:r>
              <w:rPr>
                <w:b w:val="0"/>
                <w:sz w:val="16"/>
              </w:rPr>
              <w:t>COND</w:t>
            </w:r>
          </w:p>
        </w:tc>
        <w:tc>
          <w:tcPr>
            <w:tcW w:type="dxa" w:w="2438"/>
            <w:vAlign w:val="center"/>
            <w:tcMar>
              <w:top w:w="70" w:type="dxa"/>
              <w:start w:w="80" w:type="dxa"/>
              <w:bottom w:w="70" w:type="dxa"/>
              <w:end w:w="80" w:type="dxa"/>
            </w:tcMar>
            <w:shd w:fill="FFFFFF"/>
          </w:tcPr>
          <w:p>
            <w:pPr>
              <w:jc w:val="left"/>
            </w:pPr>
            <w:r/>
            <w:r>
              <w:rPr>
                <w:b w:val="0"/>
                <w:sz w:val="16"/>
              </w:rPr>
              <w:t>Stack integration convention.</w:t>
            </w:r>
          </w:p>
        </w:tc>
      </w:tr>
      <w:tr>
        <w:trPr>
          <w:cantSplit/>
        </w:trPr>
        <w:tc>
          <w:tcPr>
            <w:tcW w:type="dxa" w:w="2438"/>
            <w:vAlign w:val="center"/>
            <w:tcMar>
              <w:top w:w="70" w:type="dxa"/>
              <w:start w:w="80" w:type="dxa"/>
              <w:bottom w:w="70" w:type="dxa"/>
              <w:end w:w="80" w:type="dxa"/>
            </w:tcMar>
            <w:shd w:fill="F2F4F7"/>
          </w:tcPr>
          <w:p>
            <w:pPr>
              <w:jc w:val="center"/>
            </w:pPr>
            <w:r/>
            <w:r>
              <w:rPr>
                <w:b w:val="0"/>
                <w:sz w:val="16"/>
              </w:rPr>
              <w:t>T2-PO-264</w:t>
            </w:r>
          </w:p>
        </w:tc>
        <w:tc>
          <w:tcPr>
            <w:tcW w:type="dxa" w:w="2438"/>
            <w:vAlign w:val="center"/>
            <w:tcMar>
              <w:top w:w="70" w:type="dxa"/>
              <w:start w:w="80" w:type="dxa"/>
              <w:bottom w:w="70" w:type="dxa"/>
              <w:end w:w="80" w:type="dxa"/>
            </w:tcMar>
            <w:shd w:fill="F2F4F7"/>
          </w:tcPr>
          <w:p>
            <w:pPr>
              <w:jc w:val="left"/>
            </w:pPr>
            <w:r/>
            <w:r>
              <w:rPr>
                <w:b w:val="0"/>
                <w:sz w:val="16"/>
              </w:rPr>
              <w:t>Согласовать VFC с PredCar v0.15.</w:t>
            </w:r>
          </w:p>
        </w:tc>
        <w:tc>
          <w:tcPr>
            <w:tcW w:type="dxa" w:w="2438"/>
            <w:vAlign w:val="center"/>
            <w:tcMar>
              <w:top w:w="70" w:type="dxa"/>
              <w:start w:w="80" w:type="dxa"/>
              <w:bottom w:w="70" w:type="dxa"/>
              <w:end w:w="80" w:type="dxa"/>
            </w:tcMar>
            <w:shd w:fill="F2F4F7"/>
          </w:tcPr>
          <w:p>
            <w:pPr>
              <w:jc w:val="center"/>
            </w:pPr>
            <w:r/>
            <w:r>
              <w:rPr>
                <w:b w:val="0"/>
                <w:sz w:val="16"/>
              </w:rPr>
              <w:t>COND</w:t>
            </w:r>
          </w:p>
        </w:tc>
        <w:tc>
          <w:tcPr>
            <w:tcW w:type="dxa" w:w="2438"/>
            <w:vAlign w:val="center"/>
            <w:tcMar>
              <w:top w:w="70" w:type="dxa"/>
              <w:start w:w="80" w:type="dxa"/>
              <w:bottom w:w="70" w:type="dxa"/>
              <w:end w:w="80" w:type="dxa"/>
            </w:tcMar>
            <w:shd w:fill="F2F4F7"/>
          </w:tcPr>
          <w:p>
            <w:pPr>
              <w:jc w:val="left"/>
            </w:pPr>
            <w:r/>
            <w:r>
              <w:rPr>
                <w:b w:val="0"/>
                <w:sz w:val="16"/>
              </w:rPr>
              <w:t>Compatibility diagram.</w:t>
            </w:r>
          </w:p>
        </w:tc>
      </w:tr>
      <w:tr>
        <w:trPr>
          <w:cantSplit/>
        </w:trPr>
        <w:tc>
          <w:tcPr>
            <w:tcW w:type="dxa" w:w="2438"/>
            <w:vAlign w:val="center"/>
            <w:tcMar>
              <w:top w:w="70" w:type="dxa"/>
              <w:start w:w="80" w:type="dxa"/>
              <w:bottom w:w="70" w:type="dxa"/>
              <w:end w:w="80" w:type="dxa"/>
            </w:tcMar>
            <w:shd w:fill="FFFFFF"/>
          </w:tcPr>
          <w:p>
            <w:pPr>
              <w:jc w:val="center"/>
            </w:pPr>
            <w:r/>
            <w:r>
              <w:rPr>
                <w:b w:val="0"/>
                <w:sz w:val="16"/>
              </w:rPr>
              <w:t>T2-PO-265</w:t>
            </w:r>
          </w:p>
        </w:tc>
        <w:tc>
          <w:tcPr>
            <w:tcW w:type="dxa" w:w="2438"/>
            <w:vAlign w:val="center"/>
            <w:tcMar>
              <w:top w:w="70" w:type="dxa"/>
              <w:start w:w="80" w:type="dxa"/>
              <w:bottom w:w="70" w:type="dxa"/>
              <w:end w:w="80" w:type="dxa"/>
            </w:tcMar>
            <w:shd w:fill="FFFFFF"/>
          </w:tcPr>
          <w:p>
            <w:pPr>
              <w:jc w:val="left"/>
            </w:pPr>
            <w:r/>
            <w:r>
              <w:rPr>
                <w:b w:val="0"/>
                <w:sz w:val="16"/>
              </w:rPr>
              <w:t>Определить VirtCert и Reper_vir.</w:t>
            </w:r>
          </w:p>
        </w:tc>
        <w:tc>
          <w:tcPr>
            <w:tcW w:type="dxa" w:w="2438"/>
            <w:vAlign w:val="center"/>
            <w:tcMar>
              <w:top w:w="70" w:type="dxa"/>
              <w:start w:w="80" w:type="dxa"/>
              <w:bottom w:w="70" w:type="dxa"/>
              <w:end w:w="80" w:type="dxa"/>
            </w:tcMar>
            <w:shd w:fill="FFFFFF"/>
          </w:tcPr>
          <w:p>
            <w:pPr>
              <w:jc w:val="center"/>
            </w:pPr>
            <w:r/>
            <w:r>
              <w:rPr>
                <w:b w:val="0"/>
                <w:sz w:val="16"/>
              </w:rPr>
              <w:t>MODEL-CLOSED</w:t>
            </w:r>
          </w:p>
        </w:tc>
        <w:tc>
          <w:tcPr>
            <w:tcW w:type="dxa" w:w="2438"/>
            <w:vAlign w:val="center"/>
            <w:tcMar>
              <w:top w:w="70" w:type="dxa"/>
              <w:start w:w="80" w:type="dxa"/>
              <w:bottom w:w="70" w:type="dxa"/>
              <w:end w:w="80" w:type="dxa"/>
            </w:tcMar>
            <w:shd w:fill="FFFFFF"/>
          </w:tcPr>
          <w:p>
            <w:pPr>
              <w:jc w:val="left"/>
            </w:pPr>
            <w:r/>
            <w:r>
              <w:rPr>
                <w:b w:val="0"/>
                <w:sz w:val="16"/>
              </w:rPr>
              <w:t>Формулы (19.16)-(19.17).</w:t>
            </w:r>
          </w:p>
        </w:tc>
      </w:tr>
      <w:tr>
        <w:trPr>
          <w:cantSplit/>
        </w:trPr>
        <w:tc>
          <w:tcPr>
            <w:tcW w:type="dxa" w:w="2438"/>
            <w:vAlign w:val="center"/>
            <w:tcMar>
              <w:top w:w="70" w:type="dxa"/>
              <w:start w:w="80" w:type="dxa"/>
              <w:bottom w:w="70" w:type="dxa"/>
              <w:end w:w="80" w:type="dxa"/>
            </w:tcMar>
            <w:shd w:fill="F2F4F7"/>
          </w:tcPr>
          <w:p>
            <w:pPr>
              <w:jc w:val="center"/>
            </w:pPr>
            <w:r/>
            <w:r>
              <w:rPr>
                <w:b w:val="0"/>
                <w:sz w:val="16"/>
              </w:rPr>
              <w:t>T2-PO-266</w:t>
            </w:r>
          </w:p>
        </w:tc>
        <w:tc>
          <w:tcPr>
            <w:tcW w:type="dxa" w:w="2438"/>
            <w:vAlign w:val="center"/>
            <w:tcMar>
              <w:top w:w="70" w:type="dxa"/>
              <w:start w:w="80" w:type="dxa"/>
              <w:bottom w:w="70" w:type="dxa"/>
              <w:end w:w="80" w:type="dxa"/>
            </w:tcMar>
            <w:shd w:fill="F2F4F7"/>
          </w:tcPr>
          <w:p>
            <w:pPr>
              <w:jc w:val="left"/>
            </w:pPr>
            <w:r/>
            <w:r>
              <w:rPr>
                <w:b w:val="0"/>
                <w:sz w:val="16"/>
              </w:rPr>
              <w:t>Построить канонический λ-мост к virtual data.</w:t>
            </w:r>
          </w:p>
        </w:tc>
        <w:tc>
          <w:tcPr>
            <w:tcW w:type="dxa" w:w="2438"/>
            <w:vAlign w:val="center"/>
            <w:tcMar>
              <w:top w:w="70" w:type="dxa"/>
              <w:start w:w="80" w:type="dxa"/>
              <w:bottom w:w="70" w:type="dxa"/>
              <w:end w:w="80" w:type="dxa"/>
            </w:tcMar>
            <w:shd w:fill="F2F4F7"/>
          </w:tcPr>
          <w:p>
            <w:pPr>
              <w:jc w:val="center"/>
            </w:pPr>
            <w:r/>
            <w:r>
              <w:rPr>
                <w:b w:val="0"/>
                <w:sz w:val="16"/>
              </w:rPr>
              <w:t>OPEN</w:t>
            </w:r>
          </w:p>
        </w:tc>
        <w:tc>
          <w:tcPr>
            <w:tcW w:type="dxa" w:w="2438"/>
            <w:vAlign w:val="center"/>
            <w:tcMar>
              <w:top w:w="70" w:type="dxa"/>
              <w:start w:w="80" w:type="dxa"/>
              <w:bottom w:w="70" w:type="dxa"/>
              <w:end w:w="80" w:type="dxa"/>
            </w:tcMar>
            <w:shd w:fill="F2F4F7"/>
          </w:tcPr>
          <w:p>
            <w:pPr>
              <w:jc w:val="left"/>
            </w:pPr>
            <w:r/>
            <w:r>
              <w:rPr>
                <w:b w:val="0"/>
                <w:sz w:val="16"/>
              </w:rPr>
              <w:t>Нужна χ_vir; автоматизма нет.</w:t>
            </w:r>
          </w:p>
        </w:tc>
      </w:tr>
      <w:tr>
        <w:trPr>
          <w:cantSplit/>
        </w:trPr>
        <w:tc>
          <w:tcPr>
            <w:tcW w:type="dxa" w:w="2438"/>
            <w:vAlign w:val="center"/>
            <w:tcMar>
              <w:top w:w="70" w:type="dxa"/>
              <w:start w:w="80" w:type="dxa"/>
              <w:bottom w:w="70" w:type="dxa"/>
              <w:end w:w="80" w:type="dxa"/>
            </w:tcMar>
            <w:shd w:fill="FFFFFF"/>
          </w:tcPr>
          <w:p>
            <w:pPr>
              <w:jc w:val="center"/>
            </w:pPr>
            <w:r/>
            <w:r>
              <w:rPr>
                <w:b w:val="0"/>
                <w:sz w:val="16"/>
              </w:rPr>
              <w:t>T2-PO-267</w:t>
            </w:r>
          </w:p>
        </w:tc>
        <w:tc>
          <w:tcPr>
            <w:tcW w:type="dxa" w:w="2438"/>
            <w:vAlign w:val="center"/>
            <w:tcMar>
              <w:top w:w="70" w:type="dxa"/>
              <w:start w:w="80" w:type="dxa"/>
              <w:bottom w:w="70" w:type="dxa"/>
              <w:end w:w="80" w:type="dxa"/>
            </w:tcMar>
            <w:shd w:fill="FFFFFF"/>
          </w:tcPr>
          <w:p>
            <w:pPr>
              <w:jc w:val="left"/>
            </w:pPr>
            <w:r/>
            <w:r>
              <w:rPr>
                <w:b w:val="0"/>
                <w:sz w:val="16"/>
              </w:rPr>
              <w:t>Доказать additivity-probability no-go.</w:t>
            </w:r>
          </w:p>
        </w:tc>
        <w:tc>
          <w:tcPr>
            <w:tcW w:type="dxa" w:w="2438"/>
            <w:vAlign w:val="center"/>
            <w:tcMar>
              <w:top w:w="70" w:type="dxa"/>
              <w:start w:w="80" w:type="dxa"/>
              <w:bottom w:w="70" w:type="dxa"/>
              <w:end w:w="80" w:type="dxa"/>
            </w:tcMar>
            <w:shd w:fill="FFFFFF"/>
          </w:tcPr>
          <w:p>
            <w:pPr>
              <w:jc w:val="center"/>
            </w:pPr>
            <w:r/>
            <w:r>
              <w:rPr>
                <w:b w:val="0"/>
                <w:sz w:val="16"/>
              </w:rPr>
              <w:t>CLOSED</w:t>
            </w:r>
          </w:p>
        </w:tc>
        <w:tc>
          <w:tcPr>
            <w:tcW w:type="dxa" w:w="2438"/>
            <w:vAlign w:val="center"/>
            <w:tcMar>
              <w:top w:w="70" w:type="dxa"/>
              <w:start w:w="80" w:type="dxa"/>
              <w:bottom w:w="70" w:type="dxa"/>
              <w:end w:w="80" w:type="dxa"/>
            </w:tcMar>
            <w:shd w:fill="FFFFFF"/>
          </w:tcPr>
          <w:p>
            <w:pPr>
              <w:jc w:val="left"/>
            </w:pPr>
            <w:r/>
            <w:r>
              <w:rPr>
                <w:b w:val="0"/>
                <w:sz w:val="16"/>
              </w:rPr>
              <w:t>Theorem 19.4.</w:t>
            </w:r>
          </w:p>
        </w:tc>
      </w:tr>
      <w:tr>
        <w:trPr>
          <w:cantSplit/>
        </w:trPr>
        <w:tc>
          <w:tcPr>
            <w:tcW w:type="dxa" w:w="2438"/>
            <w:vAlign w:val="center"/>
            <w:tcMar>
              <w:top w:w="70" w:type="dxa"/>
              <w:start w:w="80" w:type="dxa"/>
              <w:bottom w:w="70" w:type="dxa"/>
              <w:end w:w="80" w:type="dxa"/>
            </w:tcMar>
            <w:shd w:fill="F2F4F7"/>
          </w:tcPr>
          <w:p>
            <w:pPr>
              <w:jc w:val="center"/>
            </w:pPr>
            <w:r/>
            <w:r>
              <w:rPr>
                <w:b w:val="0"/>
                <w:sz w:val="16"/>
              </w:rPr>
              <w:t>T2-PO-268</w:t>
            </w:r>
          </w:p>
        </w:tc>
        <w:tc>
          <w:tcPr>
            <w:tcW w:type="dxa" w:w="2438"/>
            <w:vAlign w:val="center"/>
            <w:tcMar>
              <w:top w:w="70" w:type="dxa"/>
              <w:start w:w="80" w:type="dxa"/>
              <w:bottom w:w="70" w:type="dxa"/>
              <w:end w:w="80" w:type="dxa"/>
            </w:tcMar>
            <w:shd w:fill="F2F4F7"/>
          </w:tcPr>
          <w:p>
            <w:pPr>
              <w:jc w:val="left"/>
            </w:pPr>
            <w:r/>
            <w:r>
              <w:rPr>
                <w:b w:val="0"/>
                <w:sz w:val="16"/>
              </w:rPr>
              <w:t>Задать пространство исходов Ω и σ-алгебру.</w:t>
            </w:r>
          </w:p>
        </w:tc>
        <w:tc>
          <w:tcPr>
            <w:tcW w:type="dxa" w:w="2438"/>
            <w:vAlign w:val="center"/>
            <w:tcMar>
              <w:top w:w="70" w:type="dxa"/>
              <w:start w:w="80" w:type="dxa"/>
              <w:bottom w:w="70" w:type="dxa"/>
              <w:end w:w="80" w:type="dxa"/>
            </w:tcMar>
            <w:shd w:fill="F2F4F7"/>
          </w:tcPr>
          <w:p>
            <w:pPr>
              <w:jc w:val="center"/>
            </w:pPr>
            <w:r/>
            <w:r>
              <w:rPr>
                <w:b w:val="0"/>
                <w:sz w:val="16"/>
              </w:rPr>
              <w:t>OPEN/EMP</w:t>
            </w:r>
          </w:p>
        </w:tc>
        <w:tc>
          <w:tcPr>
            <w:tcW w:type="dxa" w:w="2438"/>
            <w:vAlign w:val="center"/>
            <w:tcMar>
              <w:top w:w="70" w:type="dxa"/>
              <w:start w:w="80" w:type="dxa"/>
              <w:bottom w:w="70" w:type="dxa"/>
              <w:end w:w="80" w:type="dxa"/>
            </w:tcMar>
            <w:shd w:fill="F2F4F7"/>
          </w:tcPr>
          <w:p>
            <w:pPr>
              <w:jc w:val="left"/>
            </w:pPr>
            <w:r/>
            <w:r>
              <w:rPr>
                <w:b w:val="0"/>
                <w:sz w:val="16"/>
              </w:rPr>
              <w:t>Domain-specific event protocol.</w:t>
            </w:r>
          </w:p>
        </w:tc>
      </w:tr>
      <w:tr>
        <w:trPr>
          <w:cantSplit/>
        </w:trPr>
        <w:tc>
          <w:tcPr>
            <w:tcW w:type="dxa" w:w="2438"/>
            <w:vAlign w:val="center"/>
            <w:tcMar>
              <w:top w:w="70" w:type="dxa"/>
              <w:start w:w="80" w:type="dxa"/>
              <w:bottom w:w="70" w:type="dxa"/>
              <w:end w:w="80" w:type="dxa"/>
            </w:tcMar>
            <w:shd w:fill="FFFFFF"/>
          </w:tcPr>
          <w:p>
            <w:pPr>
              <w:jc w:val="center"/>
            </w:pPr>
            <w:r/>
            <w:r>
              <w:rPr>
                <w:b w:val="0"/>
                <w:sz w:val="16"/>
              </w:rPr>
              <w:t>T2-PO-269</w:t>
            </w:r>
          </w:p>
        </w:tc>
        <w:tc>
          <w:tcPr>
            <w:tcW w:type="dxa" w:w="2438"/>
            <w:vAlign w:val="center"/>
            <w:tcMar>
              <w:top w:w="70" w:type="dxa"/>
              <w:start w:w="80" w:type="dxa"/>
              <w:bottom w:w="70" w:type="dxa"/>
              <w:end w:w="80" w:type="dxa"/>
            </w:tcMar>
            <w:shd w:fill="FFFFFF"/>
          </w:tcPr>
          <w:p>
            <w:pPr>
              <w:jc w:val="left"/>
            </w:pPr>
            <w:r/>
            <w:r>
              <w:rPr>
                <w:b w:val="0"/>
                <w:sz w:val="16"/>
              </w:rPr>
              <w:t>Задать/оценить вероятностную меру P.</w:t>
            </w:r>
          </w:p>
        </w:tc>
        <w:tc>
          <w:tcPr>
            <w:tcW w:type="dxa" w:w="2438"/>
            <w:vAlign w:val="center"/>
            <w:tcMar>
              <w:top w:w="70" w:type="dxa"/>
              <w:start w:w="80" w:type="dxa"/>
              <w:bottom w:w="70" w:type="dxa"/>
              <w:end w:w="80" w:type="dxa"/>
            </w:tcMar>
            <w:shd w:fill="FFFFFF"/>
          </w:tcPr>
          <w:p>
            <w:pPr>
              <w:jc w:val="center"/>
            </w:pPr>
            <w:r/>
            <w:r>
              <w:rPr>
                <w:b w:val="0"/>
                <w:sz w:val="16"/>
              </w:rPr>
              <w:t>OPEN/EMP</w:t>
            </w:r>
          </w:p>
        </w:tc>
        <w:tc>
          <w:tcPr>
            <w:tcW w:type="dxa" w:w="2438"/>
            <w:vAlign w:val="center"/>
            <w:tcMar>
              <w:top w:w="70" w:type="dxa"/>
              <w:start w:w="80" w:type="dxa"/>
              <w:bottom w:w="70" w:type="dxa"/>
              <w:end w:w="80" w:type="dxa"/>
            </w:tcMar>
            <w:shd w:fill="FFFFFF"/>
          </w:tcPr>
          <w:p>
            <w:pPr>
              <w:jc w:val="left"/>
            </w:pPr>
            <w:r/>
            <w:r>
              <w:rPr>
                <w:b w:val="0"/>
                <w:sz w:val="16"/>
              </w:rPr>
              <w:t>Sampling/model assumptions.</w:t>
            </w:r>
          </w:p>
        </w:tc>
      </w:tr>
      <w:tr>
        <w:trPr>
          <w:cantSplit/>
        </w:trPr>
        <w:tc>
          <w:tcPr>
            <w:tcW w:type="dxa" w:w="2438"/>
            <w:vAlign w:val="center"/>
            <w:tcMar>
              <w:top w:w="70" w:type="dxa"/>
              <w:start w:w="80" w:type="dxa"/>
              <w:bottom w:w="70" w:type="dxa"/>
              <w:end w:w="80" w:type="dxa"/>
            </w:tcMar>
            <w:shd w:fill="F2F4F7"/>
          </w:tcPr>
          <w:p>
            <w:pPr>
              <w:jc w:val="center"/>
            </w:pPr>
            <w:r/>
            <w:r>
              <w:rPr>
                <w:b w:val="0"/>
                <w:sz w:val="16"/>
              </w:rPr>
              <w:t>T2-PO-270</w:t>
            </w:r>
          </w:p>
        </w:tc>
        <w:tc>
          <w:tcPr>
            <w:tcW w:type="dxa" w:w="2438"/>
            <w:vAlign w:val="center"/>
            <w:tcMar>
              <w:top w:w="70" w:type="dxa"/>
              <w:start w:w="80" w:type="dxa"/>
              <w:bottom w:w="70" w:type="dxa"/>
              <w:end w:w="80" w:type="dxa"/>
            </w:tcMar>
            <w:shd w:fill="F2F4F7"/>
          </w:tcPr>
          <w:p>
            <w:pPr>
              <w:jc w:val="left"/>
            </w:pPr>
            <w:r/>
            <w:r>
              <w:rPr>
                <w:b w:val="0"/>
                <w:sz w:val="16"/>
              </w:rPr>
              <w:t>Зафиксировать link model g_θ.</w:t>
            </w:r>
          </w:p>
        </w:tc>
        <w:tc>
          <w:tcPr>
            <w:tcW w:type="dxa" w:w="2438"/>
            <w:vAlign w:val="center"/>
            <w:tcMar>
              <w:top w:w="70" w:type="dxa"/>
              <w:start w:w="80" w:type="dxa"/>
              <w:bottom w:w="70" w:type="dxa"/>
              <w:end w:w="80" w:type="dxa"/>
            </w:tcMar>
            <w:shd w:fill="F2F4F7"/>
          </w:tcPr>
          <w:p>
            <w:pPr>
              <w:jc w:val="center"/>
            </w:pPr>
            <w:r/>
            <w:r>
              <w:rPr>
                <w:b w:val="0"/>
                <w:sz w:val="16"/>
              </w:rPr>
              <w:t>OPEN/EMP</w:t>
            </w:r>
          </w:p>
        </w:tc>
        <w:tc>
          <w:tcPr>
            <w:tcW w:type="dxa" w:w="2438"/>
            <w:vAlign w:val="center"/>
            <w:tcMar>
              <w:top w:w="70" w:type="dxa"/>
              <w:start w:w="80" w:type="dxa"/>
              <w:bottom w:w="70" w:type="dxa"/>
              <w:end w:w="80" w:type="dxa"/>
            </w:tcMar>
            <w:shd w:fill="F2F4F7"/>
          </w:tcPr>
          <w:p>
            <w:pPr>
              <w:jc w:val="left"/>
            </w:pPr>
            <w:r/>
            <w:r>
              <w:rPr>
                <w:b w:val="0"/>
                <w:sz w:val="16"/>
              </w:rPr>
              <w:t>Pre-registered functional form.</w:t>
            </w:r>
          </w:p>
        </w:tc>
      </w:tr>
      <w:tr>
        <w:trPr>
          <w:cantSplit/>
        </w:trPr>
        <w:tc>
          <w:tcPr>
            <w:tcW w:type="dxa" w:w="2438"/>
            <w:vAlign w:val="center"/>
            <w:tcMar>
              <w:top w:w="70" w:type="dxa"/>
              <w:start w:w="80" w:type="dxa"/>
              <w:bottom w:w="70" w:type="dxa"/>
              <w:end w:w="80" w:type="dxa"/>
            </w:tcMar>
            <w:shd w:fill="FFFFFF"/>
          </w:tcPr>
          <w:p>
            <w:pPr>
              <w:jc w:val="center"/>
            </w:pPr>
            <w:r/>
            <w:r>
              <w:rPr>
                <w:b w:val="0"/>
                <w:sz w:val="16"/>
              </w:rPr>
              <w:t>T2-PO-271</w:t>
            </w:r>
          </w:p>
        </w:tc>
        <w:tc>
          <w:tcPr>
            <w:tcW w:type="dxa" w:w="2438"/>
            <w:vAlign w:val="center"/>
            <w:tcMar>
              <w:top w:w="70" w:type="dxa"/>
              <w:start w:w="80" w:type="dxa"/>
              <w:bottom w:w="70" w:type="dxa"/>
              <w:end w:w="80" w:type="dxa"/>
            </w:tcMar>
            <w:shd w:fill="FFFFFF"/>
          </w:tcPr>
          <w:p>
            <w:pPr>
              <w:jc w:val="left"/>
            </w:pPr>
            <w:r/>
            <w:r>
              <w:rPr>
                <w:b w:val="0"/>
                <w:sz w:val="16"/>
              </w:rPr>
              <w:t>Доказать или проверить calibration.</w:t>
            </w:r>
          </w:p>
        </w:tc>
        <w:tc>
          <w:tcPr>
            <w:tcW w:type="dxa" w:w="2438"/>
            <w:vAlign w:val="center"/>
            <w:tcMar>
              <w:top w:w="70" w:type="dxa"/>
              <w:start w:w="80" w:type="dxa"/>
              <w:bottom w:w="70" w:type="dxa"/>
              <w:end w:w="80" w:type="dxa"/>
            </w:tcMar>
            <w:shd w:fill="FFFFFF"/>
          </w:tcPr>
          <w:p>
            <w:pPr>
              <w:jc w:val="center"/>
            </w:pPr>
            <w:r/>
            <w:r>
              <w:rPr>
                <w:b w:val="0"/>
                <w:sz w:val="16"/>
              </w:rPr>
              <w:t>OPEN/EMP</w:t>
            </w:r>
          </w:p>
        </w:tc>
        <w:tc>
          <w:tcPr>
            <w:tcW w:type="dxa" w:w="2438"/>
            <w:vAlign w:val="center"/>
            <w:tcMar>
              <w:top w:w="70" w:type="dxa"/>
              <w:start w:w="80" w:type="dxa"/>
              <w:bottom w:w="70" w:type="dxa"/>
              <w:end w:w="80" w:type="dxa"/>
            </w:tcMar>
            <w:shd w:fill="FFFFFF"/>
          </w:tcPr>
          <w:p>
            <w:pPr>
              <w:jc w:val="left"/>
            </w:pPr>
            <w:r/>
            <w:r>
              <w:rPr>
                <w:b w:val="0"/>
                <w:sz w:val="16"/>
              </w:rPr>
              <w:t>Frozen calibration protocol.</w:t>
            </w:r>
          </w:p>
        </w:tc>
      </w:tr>
      <w:tr>
        <w:trPr>
          <w:cantSplit/>
        </w:trPr>
        <w:tc>
          <w:tcPr>
            <w:tcW w:type="dxa" w:w="2438"/>
            <w:vAlign w:val="center"/>
            <w:tcMar>
              <w:top w:w="70" w:type="dxa"/>
              <w:start w:w="80" w:type="dxa"/>
              <w:bottom w:w="70" w:type="dxa"/>
              <w:end w:w="80" w:type="dxa"/>
            </w:tcMar>
            <w:shd w:fill="F2F4F7"/>
          </w:tcPr>
          <w:p>
            <w:pPr>
              <w:jc w:val="center"/>
            </w:pPr>
            <w:r/>
            <w:r>
              <w:rPr>
                <w:b w:val="0"/>
                <w:sz w:val="16"/>
              </w:rPr>
              <w:t>T2-PO-272</w:t>
            </w:r>
          </w:p>
        </w:tc>
        <w:tc>
          <w:tcPr>
            <w:tcW w:type="dxa" w:w="2438"/>
            <w:vAlign w:val="center"/>
            <w:tcMar>
              <w:top w:w="70" w:type="dxa"/>
              <w:start w:w="80" w:type="dxa"/>
              <w:bottom w:w="70" w:type="dxa"/>
              <w:end w:w="80" w:type="dxa"/>
            </w:tcMar>
            <w:shd w:fill="F2F4F7"/>
          </w:tcPr>
          <w:p>
            <w:pPr>
              <w:jc w:val="left"/>
            </w:pPr>
            <w:r/>
            <w:r>
              <w:rPr>
                <w:b w:val="0"/>
                <w:sz w:val="16"/>
              </w:rPr>
              <w:t>Проверить discrimination отдельно.</w:t>
            </w:r>
          </w:p>
        </w:tc>
        <w:tc>
          <w:tcPr>
            <w:tcW w:type="dxa" w:w="2438"/>
            <w:vAlign w:val="center"/>
            <w:tcMar>
              <w:top w:w="70" w:type="dxa"/>
              <w:start w:w="80" w:type="dxa"/>
              <w:bottom w:w="70" w:type="dxa"/>
              <w:end w:w="80" w:type="dxa"/>
            </w:tcMar>
            <w:shd w:fill="F2F4F7"/>
          </w:tcPr>
          <w:p>
            <w:pPr>
              <w:jc w:val="center"/>
            </w:pPr>
            <w:r/>
            <w:r>
              <w:rPr>
                <w:b w:val="0"/>
                <w:sz w:val="16"/>
              </w:rPr>
              <w:t>OPEN/EMP</w:t>
            </w:r>
          </w:p>
        </w:tc>
        <w:tc>
          <w:tcPr>
            <w:tcW w:type="dxa" w:w="2438"/>
            <w:vAlign w:val="center"/>
            <w:tcMar>
              <w:top w:w="70" w:type="dxa"/>
              <w:start w:w="80" w:type="dxa"/>
              <w:bottom w:w="70" w:type="dxa"/>
              <w:end w:w="80" w:type="dxa"/>
            </w:tcMar>
            <w:shd w:fill="F2F4F7"/>
          </w:tcPr>
          <w:p>
            <w:pPr>
              <w:jc w:val="left"/>
            </w:pPr>
            <w:r/>
            <w:r>
              <w:rPr>
                <w:b w:val="0"/>
                <w:sz w:val="16"/>
              </w:rPr>
              <w:t>Pre-specified metric.</w:t>
            </w:r>
          </w:p>
        </w:tc>
      </w:tr>
      <w:tr>
        <w:trPr>
          <w:cantSplit/>
        </w:trPr>
        <w:tc>
          <w:tcPr>
            <w:tcW w:type="dxa" w:w="2438"/>
            <w:vAlign w:val="center"/>
            <w:tcMar>
              <w:top w:w="70" w:type="dxa"/>
              <w:start w:w="80" w:type="dxa"/>
              <w:bottom w:w="70" w:type="dxa"/>
              <w:end w:w="80" w:type="dxa"/>
            </w:tcMar>
            <w:shd w:fill="FFFFFF"/>
          </w:tcPr>
          <w:p>
            <w:pPr>
              <w:jc w:val="center"/>
            </w:pPr>
            <w:r/>
            <w:r>
              <w:rPr>
                <w:b w:val="0"/>
                <w:sz w:val="16"/>
              </w:rPr>
              <w:t>T2-PO-273</w:t>
            </w:r>
          </w:p>
        </w:tc>
        <w:tc>
          <w:tcPr>
            <w:tcW w:type="dxa" w:w="2438"/>
            <w:vAlign w:val="center"/>
            <w:tcMar>
              <w:top w:w="70" w:type="dxa"/>
              <w:start w:w="80" w:type="dxa"/>
              <w:bottom w:w="70" w:type="dxa"/>
              <w:end w:w="80" w:type="dxa"/>
            </w:tcMar>
            <w:shd w:fill="FFFFFF"/>
          </w:tcPr>
          <w:p>
            <w:pPr>
              <w:jc w:val="left"/>
            </w:pPr>
            <w:r/>
            <w:r>
              <w:rPr>
                <w:b w:val="0"/>
                <w:sz w:val="16"/>
              </w:rPr>
              <w:t>Проверить transportability/domain shift.</w:t>
            </w:r>
          </w:p>
        </w:tc>
        <w:tc>
          <w:tcPr>
            <w:tcW w:type="dxa" w:w="2438"/>
            <w:vAlign w:val="center"/>
            <w:tcMar>
              <w:top w:w="70" w:type="dxa"/>
              <w:start w:w="80" w:type="dxa"/>
              <w:bottom w:w="70" w:type="dxa"/>
              <w:end w:w="80" w:type="dxa"/>
            </w:tcMar>
            <w:shd w:fill="FFFFFF"/>
          </w:tcPr>
          <w:p>
            <w:pPr>
              <w:jc w:val="center"/>
            </w:pPr>
            <w:r/>
            <w:r>
              <w:rPr>
                <w:b w:val="0"/>
                <w:sz w:val="16"/>
              </w:rPr>
              <w:t>OPEN/EMP</w:t>
            </w:r>
          </w:p>
        </w:tc>
        <w:tc>
          <w:tcPr>
            <w:tcW w:type="dxa" w:w="2438"/>
            <w:vAlign w:val="center"/>
            <w:tcMar>
              <w:top w:w="70" w:type="dxa"/>
              <w:start w:w="80" w:type="dxa"/>
              <w:bottom w:w="70" w:type="dxa"/>
              <w:end w:w="80" w:type="dxa"/>
            </w:tcMar>
            <w:shd w:fill="FFFFFF"/>
          </w:tcPr>
          <w:p>
            <w:pPr>
              <w:jc w:val="left"/>
            </w:pPr>
            <w:r/>
            <w:r>
              <w:rPr>
                <w:b w:val="0"/>
                <w:sz w:val="16"/>
              </w:rPr>
              <w:t>External target domain.</w:t>
            </w:r>
          </w:p>
        </w:tc>
      </w:tr>
      <w:tr>
        <w:trPr>
          <w:cantSplit/>
        </w:trPr>
        <w:tc>
          <w:tcPr>
            <w:tcW w:type="dxa" w:w="2438"/>
            <w:vAlign w:val="center"/>
            <w:tcMar>
              <w:top w:w="70" w:type="dxa"/>
              <w:start w:w="80" w:type="dxa"/>
              <w:bottom w:w="70" w:type="dxa"/>
              <w:end w:w="80" w:type="dxa"/>
            </w:tcMar>
            <w:shd w:fill="F2F4F7"/>
          </w:tcPr>
          <w:p>
            <w:pPr>
              <w:jc w:val="center"/>
            </w:pPr>
            <w:r/>
            <w:r>
              <w:rPr>
                <w:b w:val="0"/>
                <w:sz w:val="16"/>
              </w:rPr>
              <w:t>T2-PO-274</w:t>
            </w:r>
          </w:p>
        </w:tc>
        <w:tc>
          <w:tcPr>
            <w:tcW w:type="dxa" w:w="2438"/>
            <w:vAlign w:val="center"/>
            <w:tcMar>
              <w:top w:w="70" w:type="dxa"/>
              <w:start w:w="80" w:type="dxa"/>
              <w:bottom w:w="70" w:type="dxa"/>
              <w:end w:w="80" w:type="dxa"/>
            </w:tcMar>
            <w:shd w:fill="F2F4F7"/>
          </w:tcPr>
          <w:p>
            <w:pPr>
              <w:jc w:val="left"/>
            </w:pPr>
            <w:r/>
            <w:r>
              <w:rPr>
                <w:b w:val="0"/>
                <w:sz w:val="16"/>
              </w:rPr>
              <w:t>Исполнить independent external run.</w:t>
            </w:r>
          </w:p>
        </w:tc>
        <w:tc>
          <w:tcPr>
            <w:tcW w:type="dxa" w:w="2438"/>
            <w:vAlign w:val="center"/>
            <w:tcMar>
              <w:top w:w="70" w:type="dxa"/>
              <w:start w:w="80" w:type="dxa"/>
              <w:bottom w:w="70" w:type="dxa"/>
              <w:end w:w="80" w:type="dxa"/>
            </w:tcMar>
            <w:shd w:fill="F2F4F7"/>
          </w:tcPr>
          <w:p>
            <w:pPr>
              <w:jc w:val="center"/>
            </w:pPr>
            <w:r/>
            <w:r>
              <w:rPr>
                <w:b w:val="0"/>
                <w:sz w:val="16"/>
              </w:rPr>
              <w:t>OPEN/EMP</w:t>
            </w:r>
          </w:p>
        </w:tc>
        <w:tc>
          <w:tcPr>
            <w:tcW w:type="dxa" w:w="2438"/>
            <w:vAlign w:val="center"/>
            <w:tcMar>
              <w:top w:w="70" w:type="dxa"/>
              <w:start w:w="80" w:type="dxa"/>
              <w:bottom w:w="70" w:type="dxa"/>
              <w:end w:w="80" w:type="dxa"/>
            </w:tcMar>
            <w:shd w:fill="F2F4F7"/>
          </w:tcPr>
          <w:p>
            <w:pPr>
              <w:jc w:val="left"/>
            </w:pPr>
            <w:r/>
            <w:r>
              <w:rPr>
                <w:b w:val="0"/>
                <w:sz w:val="16"/>
              </w:rPr>
              <w:t>EXT-RUN with frozen code/data.</w:t>
            </w:r>
          </w:p>
        </w:tc>
      </w:tr>
      <w:tr>
        <w:trPr>
          <w:cantSplit/>
        </w:trPr>
        <w:tc>
          <w:tcPr>
            <w:tcW w:type="dxa" w:w="2438"/>
            <w:vAlign w:val="center"/>
            <w:tcMar>
              <w:top w:w="70" w:type="dxa"/>
              <w:start w:w="80" w:type="dxa"/>
              <w:bottom w:w="70" w:type="dxa"/>
              <w:end w:w="80" w:type="dxa"/>
            </w:tcMar>
            <w:shd w:fill="FFFFFF"/>
          </w:tcPr>
          <w:p>
            <w:pPr>
              <w:jc w:val="center"/>
            </w:pPr>
            <w:r/>
            <w:r>
              <w:rPr>
                <w:b w:val="0"/>
                <w:sz w:val="16"/>
              </w:rPr>
              <w:t>T2-PO-275</w:t>
            </w:r>
          </w:p>
        </w:tc>
        <w:tc>
          <w:tcPr>
            <w:tcW w:type="dxa" w:w="2438"/>
            <w:vAlign w:val="center"/>
            <w:tcMar>
              <w:top w:w="70" w:type="dxa"/>
              <w:start w:w="80" w:type="dxa"/>
              <w:bottom w:w="70" w:type="dxa"/>
              <w:end w:w="80" w:type="dxa"/>
            </w:tcMar>
            <w:shd w:fill="FFFFFF"/>
          </w:tcPr>
          <w:p>
            <w:pPr>
              <w:jc w:val="left"/>
            </w:pPr>
            <w:r/>
            <w:r>
              <w:rPr>
                <w:b w:val="0"/>
                <w:sz w:val="16"/>
              </w:rPr>
              <w:t>Построить Δ_VFC.</w:t>
            </w:r>
          </w:p>
        </w:tc>
        <w:tc>
          <w:tcPr>
            <w:tcW w:type="dxa" w:w="2438"/>
            <w:vAlign w:val="center"/>
            <w:tcMar>
              <w:top w:w="70" w:type="dxa"/>
              <w:start w:w="80" w:type="dxa"/>
              <w:bottom w:w="70" w:type="dxa"/>
              <w:end w:w="80" w:type="dxa"/>
            </w:tcMar>
            <w:shd w:fill="FFFFFF"/>
          </w:tcPr>
          <w:p>
            <w:pPr>
              <w:jc w:val="center"/>
            </w:pPr>
            <w:r/>
            <w:r>
              <w:rPr>
                <w:b w:val="0"/>
                <w:sz w:val="16"/>
              </w:rPr>
              <w:t>MODEL-CLOSED</w:t>
            </w:r>
          </w:p>
        </w:tc>
        <w:tc>
          <w:tcPr>
            <w:tcW w:type="dxa" w:w="2438"/>
            <w:vAlign w:val="center"/>
            <w:tcMar>
              <w:top w:w="70" w:type="dxa"/>
              <w:start w:w="80" w:type="dxa"/>
              <w:bottom w:w="70" w:type="dxa"/>
              <w:end w:w="80" w:type="dxa"/>
            </w:tcMar>
            <w:shd w:fill="FFFFFF"/>
          </w:tcPr>
          <w:p>
            <w:pPr>
              <w:jc w:val="left"/>
            </w:pPr>
            <w:r/>
            <w:r>
              <w:rPr>
                <w:b w:val="0"/>
                <w:sz w:val="16"/>
              </w:rPr>
              <w:t>Horizon ledger (19.20).</w:t>
            </w:r>
          </w:p>
        </w:tc>
      </w:tr>
      <w:tr>
        <w:trPr>
          <w:cantSplit/>
        </w:trPr>
        <w:tc>
          <w:tcPr>
            <w:tcW w:type="dxa" w:w="2438"/>
            <w:vAlign w:val="center"/>
            <w:tcMar>
              <w:top w:w="70" w:type="dxa"/>
              <w:start w:w="80" w:type="dxa"/>
              <w:bottom w:w="70" w:type="dxa"/>
              <w:end w:w="80" w:type="dxa"/>
            </w:tcMar>
            <w:shd w:fill="F2F4F7"/>
          </w:tcPr>
          <w:p>
            <w:pPr>
              <w:jc w:val="center"/>
            </w:pPr>
            <w:r/>
            <w:r>
              <w:rPr>
                <w:b w:val="0"/>
                <w:sz w:val="16"/>
              </w:rPr>
              <w:t>T2-PO-276</w:t>
            </w:r>
          </w:p>
        </w:tc>
        <w:tc>
          <w:tcPr>
            <w:tcW w:type="dxa" w:w="2438"/>
            <w:vAlign w:val="center"/>
            <w:tcMar>
              <w:top w:w="70" w:type="dxa"/>
              <w:start w:w="80" w:type="dxa"/>
              <w:bottom w:w="70" w:type="dxa"/>
              <w:end w:w="80" w:type="dxa"/>
            </w:tcMar>
            <w:shd w:fill="F2F4F7"/>
          </w:tcPr>
          <w:p>
            <w:pPr>
              <w:jc w:val="left"/>
            </w:pPr>
            <w:r/>
            <w:r>
              <w:rPr>
                <w:b w:val="0"/>
                <w:sz w:val="16"/>
              </w:rPr>
              <w:t>Построить Δ_prob.</w:t>
            </w:r>
          </w:p>
        </w:tc>
        <w:tc>
          <w:tcPr>
            <w:tcW w:type="dxa" w:w="2438"/>
            <w:vAlign w:val="center"/>
            <w:tcMar>
              <w:top w:w="70" w:type="dxa"/>
              <w:start w:w="80" w:type="dxa"/>
              <w:bottom w:w="70" w:type="dxa"/>
              <w:end w:w="80" w:type="dxa"/>
            </w:tcMar>
            <w:shd w:fill="F2F4F7"/>
          </w:tcPr>
          <w:p>
            <w:pPr>
              <w:jc w:val="center"/>
            </w:pPr>
            <w:r/>
            <w:r>
              <w:rPr>
                <w:b w:val="0"/>
                <w:sz w:val="16"/>
              </w:rPr>
              <w:t>MODEL-CLOSED</w:t>
            </w:r>
          </w:p>
        </w:tc>
        <w:tc>
          <w:tcPr>
            <w:tcW w:type="dxa" w:w="2438"/>
            <w:vAlign w:val="center"/>
            <w:tcMar>
              <w:top w:w="70" w:type="dxa"/>
              <w:start w:w="80" w:type="dxa"/>
              <w:bottom w:w="70" w:type="dxa"/>
              <w:end w:w="80" w:type="dxa"/>
            </w:tcMar>
            <w:shd w:fill="F2F4F7"/>
          </w:tcPr>
          <w:p>
            <w:pPr>
              <w:jc w:val="left"/>
            </w:pPr>
            <w:r/>
            <w:r>
              <w:rPr>
                <w:b w:val="0"/>
                <w:sz w:val="16"/>
              </w:rPr>
              <w:t>Horizon ledger (19.21).</w:t>
            </w:r>
          </w:p>
        </w:tc>
      </w:tr>
      <w:tr>
        <w:trPr>
          <w:cantSplit/>
        </w:trPr>
        <w:tc>
          <w:tcPr>
            <w:tcW w:type="dxa" w:w="2438"/>
            <w:vAlign w:val="center"/>
            <w:tcMar>
              <w:top w:w="70" w:type="dxa"/>
              <w:start w:w="80" w:type="dxa"/>
              <w:bottom w:w="70" w:type="dxa"/>
              <w:end w:w="80" w:type="dxa"/>
            </w:tcMar>
            <w:shd w:fill="FFFFFF"/>
          </w:tcPr>
          <w:p>
            <w:pPr>
              <w:jc w:val="center"/>
            </w:pPr>
            <w:r/>
            <w:r>
              <w:rPr>
                <w:b w:val="0"/>
                <w:sz w:val="16"/>
              </w:rPr>
              <w:t>T2-PO-277</w:t>
            </w:r>
          </w:p>
        </w:tc>
        <w:tc>
          <w:tcPr>
            <w:tcW w:type="dxa" w:w="2438"/>
            <w:vAlign w:val="center"/>
            <w:tcMar>
              <w:top w:w="70" w:type="dxa"/>
              <w:start w:w="80" w:type="dxa"/>
              <w:bottom w:w="70" w:type="dxa"/>
              <w:end w:w="80" w:type="dxa"/>
            </w:tcMar>
            <w:shd w:fill="FFFFFF"/>
          </w:tcPr>
          <w:p>
            <w:pPr>
              <w:jc w:val="left"/>
            </w:pPr>
            <w:r/>
            <w:r>
              <w:rPr>
                <w:b w:val="0"/>
                <w:sz w:val="16"/>
              </w:rPr>
              <w:t>Доказать virtual-profile constancy.</w:t>
            </w:r>
          </w:p>
        </w:tc>
        <w:tc>
          <w:tcPr>
            <w:tcW w:type="dxa" w:w="2438"/>
            <w:vAlign w:val="center"/>
            <w:tcMar>
              <w:top w:w="70" w:type="dxa"/>
              <w:start w:w="80" w:type="dxa"/>
              <w:bottom w:w="70" w:type="dxa"/>
              <w:end w:w="80" w:type="dxa"/>
            </w:tcMar>
            <w:shd w:fill="FFFFFF"/>
          </w:tcPr>
          <w:p>
            <w:pPr>
              <w:jc w:val="center"/>
            </w:pPr>
            <w:r/>
            <w:r>
              <w:rPr>
                <w:b w:val="0"/>
                <w:sz w:val="16"/>
              </w:rPr>
              <w:t>COND</w:t>
            </w:r>
          </w:p>
        </w:tc>
        <w:tc>
          <w:tcPr>
            <w:tcW w:type="dxa" w:w="2438"/>
            <w:vAlign w:val="center"/>
            <w:tcMar>
              <w:top w:w="70" w:type="dxa"/>
              <w:start w:w="80" w:type="dxa"/>
              <w:bottom w:w="70" w:type="dxa"/>
              <w:end w:w="80" w:type="dxa"/>
            </w:tcMar>
            <w:shd w:fill="FFFFFF"/>
          </w:tcPr>
          <w:p>
            <w:pPr>
              <w:jc w:val="left"/>
            </w:pPr>
            <w:r/>
            <w:r>
              <w:rPr>
                <w:b w:val="0"/>
                <w:sz w:val="16"/>
              </w:rPr>
              <w:t>Theorem 19.6 H1-H8.</w:t>
            </w:r>
          </w:p>
        </w:tc>
      </w:tr>
      <w:tr>
        <w:trPr>
          <w:cantSplit/>
        </w:trPr>
        <w:tc>
          <w:tcPr>
            <w:tcW w:type="dxa" w:w="2438"/>
            <w:vAlign w:val="center"/>
            <w:tcMar>
              <w:top w:w="70" w:type="dxa"/>
              <w:start w:w="80" w:type="dxa"/>
              <w:bottom w:w="70" w:type="dxa"/>
              <w:end w:w="80" w:type="dxa"/>
            </w:tcMar>
            <w:shd w:fill="F2F4F7"/>
          </w:tcPr>
          <w:p>
            <w:pPr>
              <w:jc w:val="center"/>
            </w:pPr>
            <w:r/>
            <w:r>
              <w:rPr>
                <w:b w:val="0"/>
                <w:sz w:val="16"/>
              </w:rPr>
              <w:t>T2-PO-278</w:t>
            </w:r>
          </w:p>
        </w:tc>
        <w:tc>
          <w:tcPr>
            <w:tcW w:type="dxa" w:w="2438"/>
            <w:vAlign w:val="center"/>
            <w:tcMar>
              <w:top w:w="70" w:type="dxa"/>
              <w:start w:w="80" w:type="dxa"/>
              <w:bottom w:w="70" w:type="dxa"/>
              <w:end w:w="80" w:type="dxa"/>
            </w:tcMar>
            <w:shd w:fill="F2F4F7"/>
          </w:tcPr>
          <w:p>
            <w:pPr>
              <w:jc w:val="left"/>
            </w:pPr>
            <w:r/>
            <w:r>
              <w:rPr>
                <w:b w:val="0"/>
                <w:sz w:val="16"/>
              </w:rPr>
              <w:t>Проверить wall-crossing jump formula.</w:t>
            </w:r>
          </w:p>
        </w:tc>
        <w:tc>
          <w:tcPr>
            <w:tcW w:type="dxa" w:w="2438"/>
            <w:vAlign w:val="center"/>
            <w:tcMar>
              <w:top w:w="70" w:type="dxa"/>
              <w:start w:w="80" w:type="dxa"/>
              <w:bottom w:w="70" w:type="dxa"/>
              <w:end w:w="80" w:type="dxa"/>
            </w:tcMar>
            <w:shd w:fill="F2F4F7"/>
          </w:tcPr>
          <w:p>
            <w:pPr>
              <w:jc w:val="center"/>
            </w:pPr>
            <w:r/>
            <w:r>
              <w:rPr>
                <w:b w:val="0"/>
                <w:sz w:val="16"/>
              </w:rPr>
              <w:t>OPEN</w:t>
            </w:r>
          </w:p>
        </w:tc>
        <w:tc>
          <w:tcPr>
            <w:tcW w:type="dxa" w:w="2438"/>
            <w:vAlign w:val="center"/>
            <w:tcMar>
              <w:top w:w="70" w:type="dxa"/>
              <w:start w:w="80" w:type="dxa"/>
              <w:bottom w:w="70" w:type="dxa"/>
              <w:end w:w="80" w:type="dxa"/>
            </w:tcMar>
            <w:shd w:fill="F2F4F7"/>
          </w:tcPr>
          <w:p>
            <w:pPr>
              <w:jc w:val="left"/>
            </w:pPr>
            <w:r/>
            <w:r>
              <w:rPr>
                <w:b w:val="0"/>
                <w:sz w:val="16"/>
              </w:rPr>
              <w:t>Domain-specific comparison.</w:t>
            </w:r>
          </w:p>
        </w:tc>
      </w:tr>
      <w:tr>
        <w:trPr>
          <w:cantSplit/>
        </w:trPr>
        <w:tc>
          <w:tcPr>
            <w:tcW w:type="dxa" w:w="2438"/>
            <w:vAlign w:val="center"/>
            <w:tcMar>
              <w:top w:w="70" w:type="dxa"/>
              <w:start w:w="80" w:type="dxa"/>
              <w:bottom w:w="70" w:type="dxa"/>
              <w:end w:w="80" w:type="dxa"/>
            </w:tcMar>
            <w:shd w:fill="FFFFFF"/>
          </w:tcPr>
          <w:p>
            <w:pPr>
              <w:jc w:val="center"/>
            </w:pPr>
            <w:r/>
            <w:r>
              <w:rPr>
                <w:b w:val="0"/>
                <w:sz w:val="16"/>
              </w:rPr>
              <w:t>T2-PO-279</w:t>
            </w:r>
          </w:p>
        </w:tc>
        <w:tc>
          <w:tcPr>
            <w:tcW w:type="dxa" w:w="2438"/>
            <w:vAlign w:val="center"/>
            <w:tcMar>
              <w:top w:w="70" w:type="dxa"/>
              <w:start w:w="80" w:type="dxa"/>
              <w:bottom w:w="70" w:type="dxa"/>
              <w:end w:w="80" w:type="dxa"/>
            </w:tcMar>
            <w:shd w:fill="FFFFFF"/>
          </w:tcPr>
          <w:p>
            <w:pPr>
              <w:jc w:val="left"/>
            </w:pPr>
            <w:r/>
            <w:r>
              <w:rPr>
                <w:b w:val="0"/>
                <w:sz w:val="16"/>
              </w:rPr>
              <w:t>Построить interval VFC computation.</w:t>
            </w:r>
          </w:p>
        </w:tc>
        <w:tc>
          <w:tcPr>
            <w:tcW w:type="dxa" w:w="2438"/>
            <w:vAlign w:val="center"/>
            <w:tcMar>
              <w:top w:w="70" w:type="dxa"/>
              <w:start w:w="80" w:type="dxa"/>
              <w:bottom w:w="70" w:type="dxa"/>
              <w:end w:w="80" w:type="dxa"/>
            </w:tcMar>
            <w:shd w:fill="FFFFFF"/>
          </w:tcPr>
          <w:p>
            <w:pPr>
              <w:jc w:val="center"/>
            </w:pPr>
            <w:r/>
            <w:r>
              <w:rPr>
                <w:b w:val="0"/>
                <w:sz w:val="16"/>
              </w:rPr>
              <w:t>COMP/OPEN</w:t>
            </w:r>
          </w:p>
        </w:tc>
        <w:tc>
          <w:tcPr>
            <w:tcW w:type="dxa" w:w="2438"/>
            <w:vAlign w:val="center"/>
            <w:tcMar>
              <w:top w:w="70" w:type="dxa"/>
              <w:start w:w="80" w:type="dxa"/>
              <w:bottom w:w="70" w:type="dxa"/>
              <w:end w:w="80" w:type="dxa"/>
            </w:tcMar>
            <w:shd w:fill="FFFFFF"/>
          </w:tcPr>
          <w:p>
            <w:pPr>
              <w:jc w:val="left"/>
            </w:pPr>
            <w:r/>
            <w:r>
              <w:rPr>
                <w:b w:val="0"/>
                <w:sz w:val="16"/>
              </w:rPr>
              <w:t>Exact arithmetic or certified bounds.</w:t>
            </w:r>
          </w:p>
        </w:tc>
      </w:tr>
      <w:tr>
        <w:trPr>
          <w:cantSplit/>
        </w:trPr>
        <w:tc>
          <w:tcPr>
            <w:tcW w:type="dxa" w:w="2438"/>
            <w:vAlign w:val="center"/>
            <w:tcMar>
              <w:top w:w="70" w:type="dxa"/>
              <w:start w:w="80" w:type="dxa"/>
              <w:bottom w:w="70" w:type="dxa"/>
              <w:end w:w="80" w:type="dxa"/>
            </w:tcMar>
            <w:shd w:fill="F2F4F7"/>
          </w:tcPr>
          <w:p>
            <w:pPr>
              <w:jc w:val="center"/>
            </w:pPr>
            <w:r/>
            <w:r>
              <w:rPr>
                <w:b w:val="0"/>
                <w:sz w:val="16"/>
              </w:rPr>
              <w:t>T2-PO-280</w:t>
            </w:r>
          </w:p>
        </w:tc>
        <w:tc>
          <w:tcPr>
            <w:tcW w:type="dxa" w:w="2438"/>
            <w:vAlign w:val="center"/>
            <w:tcMar>
              <w:top w:w="70" w:type="dxa"/>
              <w:start w:w="80" w:type="dxa"/>
              <w:bottom w:w="70" w:type="dxa"/>
              <w:end w:w="80" w:type="dxa"/>
            </w:tcMar>
            <w:shd w:fill="F2F4F7"/>
          </w:tcPr>
          <w:p>
            <w:pPr>
              <w:jc w:val="left"/>
            </w:pPr>
            <w:r/>
            <w:r>
              <w:rPr>
                <w:b w:val="0"/>
                <w:sz w:val="16"/>
              </w:rPr>
              <w:t>Заморозить VFC-ENUM-PROB certificate.</w:t>
            </w:r>
          </w:p>
        </w:tc>
        <w:tc>
          <w:tcPr>
            <w:tcW w:type="dxa" w:w="2438"/>
            <w:vAlign w:val="center"/>
            <w:tcMar>
              <w:top w:w="70" w:type="dxa"/>
              <w:start w:w="80" w:type="dxa"/>
              <w:bottom w:w="70" w:type="dxa"/>
              <w:end w:w="80" w:type="dxa"/>
            </w:tcMar>
            <w:shd w:fill="F2F4F7"/>
          </w:tcPr>
          <w:p>
            <w:pPr>
              <w:jc w:val="center"/>
            </w:pPr>
            <w:r/>
            <w:r>
              <w:rPr>
                <w:b w:val="0"/>
                <w:sz w:val="16"/>
              </w:rPr>
              <w:t>COMP</w:t>
            </w:r>
          </w:p>
        </w:tc>
        <w:tc>
          <w:tcPr>
            <w:tcW w:type="dxa" w:w="2438"/>
            <w:vAlign w:val="center"/>
            <w:tcMar>
              <w:top w:w="70" w:type="dxa"/>
              <w:start w:w="80" w:type="dxa"/>
              <w:bottom w:w="70" w:type="dxa"/>
              <w:end w:w="80" w:type="dxa"/>
            </w:tcMar>
            <w:shd w:fill="F2F4F7"/>
          </w:tcPr>
          <w:p>
            <w:pPr>
              <w:jc w:val="left"/>
            </w:pPr>
            <w:r/>
            <w:r>
              <w:rPr>
                <w:b w:val="0"/>
                <w:sz w:val="16"/>
              </w:rPr>
              <w:t>VFC-01-VFC-30 and hashes.</w:t>
            </w:r>
          </w:p>
        </w:tc>
      </w:tr>
      <w:tr>
        <w:trPr>
          <w:cantSplit/>
        </w:trPr>
        <w:tc>
          <w:tcPr>
            <w:tcW w:type="dxa" w:w="2438"/>
            <w:vAlign w:val="center"/>
            <w:tcMar>
              <w:top w:w="70" w:type="dxa"/>
              <w:start w:w="80" w:type="dxa"/>
              <w:bottom w:w="70" w:type="dxa"/>
              <w:end w:w="80" w:type="dxa"/>
            </w:tcMar>
            <w:shd w:fill="FFFFFF"/>
          </w:tcPr>
          <w:p>
            <w:pPr>
              <w:jc w:val="center"/>
            </w:pPr>
            <w:r/>
            <w:r>
              <w:rPr>
                <w:b w:val="0"/>
                <w:sz w:val="16"/>
              </w:rPr>
              <w:t>T2-PO-281</w:t>
            </w:r>
          </w:p>
        </w:tc>
        <w:tc>
          <w:tcPr>
            <w:tcW w:type="dxa" w:w="2438"/>
            <w:vAlign w:val="center"/>
            <w:tcMar>
              <w:top w:w="70" w:type="dxa"/>
              <w:start w:w="80" w:type="dxa"/>
              <w:bottom w:w="70" w:type="dxa"/>
              <w:end w:w="80" w:type="dxa"/>
            </w:tcMar>
            <w:shd w:fill="FFFFFF"/>
          </w:tcPr>
          <w:p>
            <w:pPr>
              <w:jc w:val="left"/>
            </w:pPr>
            <w:r/>
            <w:r>
              <w:rPr>
                <w:b w:val="0"/>
                <w:sz w:val="16"/>
              </w:rPr>
              <w:t>Заблокировать автоматический physical/probability export.</w:t>
            </w:r>
          </w:p>
        </w:tc>
        <w:tc>
          <w:tcPr>
            <w:tcW w:type="dxa" w:w="2438"/>
            <w:vAlign w:val="center"/>
            <w:tcMar>
              <w:top w:w="70" w:type="dxa"/>
              <w:start w:w="80" w:type="dxa"/>
              <w:bottom w:w="70" w:type="dxa"/>
              <w:end w:w="80" w:type="dxa"/>
            </w:tcMar>
            <w:shd w:fill="FFFFFF"/>
          </w:tcPr>
          <w:p>
            <w:pPr>
              <w:jc w:val="center"/>
            </w:pPr>
            <w:r/>
            <w:r>
              <w:rPr>
                <w:b w:val="0"/>
                <w:sz w:val="16"/>
              </w:rPr>
              <w:t>CLOSED</w:t>
            </w:r>
          </w:p>
        </w:tc>
        <w:tc>
          <w:tcPr>
            <w:tcW w:type="dxa" w:w="2438"/>
            <w:vAlign w:val="center"/>
            <w:tcMar>
              <w:top w:w="70" w:type="dxa"/>
              <w:start w:w="80" w:type="dxa"/>
              <w:bottom w:w="70" w:type="dxa"/>
              <w:end w:w="80" w:type="dxa"/>
            </w:tcMar>
            <w:shd w:fill="FFFFFF"/>
          </w:tcPr>
          <w:p>
            <w:pPr>
              <w:jc w:val="left"/>
            </w:pPr>
            <w:r/>
            <w:r>
              <w:rPr>
                <w:b w:val="0"/>
                <w:sz w:val="16"/>
              </w:rPr>
              <w:t>Probability firewall; B8.</w:t>
            </w:r>
          </w:p>
        </w:tc>
      </w:tr>
      <w:tr>
        <w:trPr>
          <w:cantSplit/>
        </w:trPr>
        <w:tc>
          <w:tcPr>
            <w:tcW w:type="dxa" w:w="2438"/>
            <w:vAlign w:val="center"/>
            <w:tcMar>
              <w:top w:w="70" w:type="dxa"/>
              <w:start w:w="80" w:type="dxa"/>
              <w:bottom w:w="70" w:type="dxa"/>
              <w:end w:w="80" w:type="dxa"/>
            </w:tcMar>
            <w:shd w:fill="F2F4F7"/>
          </w:tcPr>
          <w:p>
            <w:pPr>
              <w:jc w:val="center"/>
            </w:pPr>
            <w:r/>
            <w:r>
              <w:rPr>
                <w:b w:val="0"/>
                <w:sz w:val="16"/>
              </w:rPr>
              <w:t>T2-PO-282</w:t>
            </w:r>
          </w:p>
        </w:tc>
        <w:tc>
          <w:tcPr>
            <w:tcW w:type="dxa" w:w="2438"/>
            <w:vAlign w:val="center"/>
            <w:tcMar>
              <w:top w:w="70" w:type="dxa"/>
              <w:start w:w="80" w:type="dxa"/>
              <w:bottom w:w="70" w:type="dxa"/>
              <w:end w:w="80" w:type="dxa"/>
            </w:tcMar>
            <w:shd w:fill="F2F4F7"/>
          </w:tcPr>
          <w:p>
            <w:pPr>
              <w:jc w:val="left"/>
            </w:pPr>
            <w:r/>
            <w:r>
              <w:rPr>
                <w:b w:val="0"/>
                <w:sz w:val="16"/>
              </w:rPr>
              <w:t>Закрыть главную теорему v0.16.</w:t>
            </w:r>
          </w:p>
        </w:tc>
        <w:tc>
          <w:tcPr>
            <w:tcW w:type="dxa" w:w="2438"/>
            <w:vAlign w:val="center"/>
            <w:tcMar>
              <w:top w:w="70" w:type="dxa"/>
              <w:start w:w="80" w:type="dxa"/>
              <w:bottom w:w="70" w:type="dxa"/>
              <w:end w:w="80" w:type="dxa"/>
            </w:tcMar>
            <w:shd w:fill="F2F4F7"/>
          </w:tcPr>
          <w:p>
            <w:pPr>
              <w:jc w:val="center"/>
            </w:pPr>
            <w:r/>
            <w:r>
              <w:rPr>
                <w:b w:val="0"/>
                <w:sz w:val="16"/>
              </w:rPr>
              <w:t>COND</w:t>
            </w:r>
          </w:p>
        </w:tc>
        <w:tc>
          <w:tcPr>
            <w:tcW w:type="dxa" w:w="2438"/>
            <w:vAlign w:val="center"/>
            <w:tcMar>
              <w:top w:w="70" w:type="dxa"/>
              <w:start w:w="80" w:type="dxa"/>
              <w:bottom w:w="70" w:type="dxa"/>
              <w:end w:w="80" w:type="dxa"/>
            </w:tcMar>
            <w:shd w:fill="F2F4F7"/>
          </w:tcPr>
          <w:p>
            <w:pPr>
              <w:jc w:val="left"/>
            </w:pPr>
            <w:r/>
            <w:r>
              <w:rPr>
                <w:b w:val="0"/>
                <w:sz w:val="16"/>
              </w:rPr>
              <w:t>All mathematical and empirical bridges.</w:t>
            </w:r>
          </w:p>
        </w:tc>
      </w:tr>
    </w:tbl>
    <w:p>
      <w:pPr>
        <w:pStyle w:val="Heading1"/>
        <w:keepNext/>
      </w:pPr>
      <w:r>
        <w:t>236. Prior art и граница авторского вклада</w:t>
      </w:r>
    </w:p>
    <w:p>
      <w:r>
        <w:t>Классический prior art главы включает intersection theory и refined Gysin maps; intrinsic normal cone и perfect obstruction theory; virtual moduli cycles; Gromov-Witten classes; virtual localization; weighted Euler-characteristic интерпретацию Donaldson-Thomas invariants. Авторский вклад настоящей главы состоит не в переименовании virtual fundamental class, а в его встраивании в blocker-safe архитектуру KLT-RBD: отдельные VirtCert, Reper/D/Dom, два горизонта, двухступенчатый вердикт и доказанный запрет универсальной вероятностной интерпретации.</w:t>
      </w:r>
    </w:p>
    <w:p>
      <w:pPr/>
      <w:r>
        <w:t>[V0.16-1] Fulton, W. Intersection Theory. 2nd ed., Springer, 1998. DOI 10.1007/978-1-4612-1700-8. [классический источник]</w:t>
      </w:r>
    </w:p>
    <w:p>
      <w:pPr/>
      <w:r>
        <w:t>[V0.16-2] Behrend, K.; Fantechi, B. The Intrinsic Normal Cone. Invent. Math. 128 (1997), 45-88. arXiv: alg-geom/9601010. [первичный источник]</w:t>
      </w:r>
    </w:p>
    <w:p>
      <w:pPr/>
      <w:r>
        <w:t>[V0.16-3] Li, J.; Tian, G. Virtual Moduli Cycles and Gromov-Witten Invariants of Algebraic Varieties. JAMS 11 (1998), 119-174. arXiv: alg-geom/9602007. [первичный источник]</w:t>
      </w:r>
    </w:p>
    <w:p>
      <w:pPr/>
      <w:r>
        <w:t>[V0.16-4] Kontsevich, M.; Manin, Yu. Gromov-Witten Classes, Quantum Cohomology, and Enumerative Geometry. Comm. Math. Phys. 164 (1994), 525-562. arXiv: hep-th/9402147. [первичный источник]</w:t>
      </w:r>
    </w:p>
    <w:p>
      <w:pPr/>
      <w:r>
        <w:t>[V0.16-5] Graber, T.; Pandharipande, R. Localization of Virtual Classes. Invent. Math. 135 (1999), 487-518. arXiv: alg-geom/9708001. [первичный источник]</w:t>
      </w:r>
    </w:p>
    <w:p>
      <w:pPr/>
      <w:r>
        <w:t>[V0.16-6] Behrend, K. Donaldson-Thomas Type Invariants via Microlocal Geometry. Ann. Math. 170 (2009), 1307-1338. arXiv: math/0507523. [первичный источник]</w:t>
      </w:r>
    </w:p>
    <w:p>
      <w:pPr/>
      <w:r>
        <w:t>[V0.16-7] Behrend, K.; Fantechi, B. Symmetric Obstruction Theories and Hilbert Schemes of Points on Threefolds. Algebra Number Theory 2 (2008), 313-345. [первичный источник]</w:t>
      </w:r>
    </w:p>
    <w:p>
      <w:pPr/>
      <w:r>
        <w:t>[V0.16-8] Stacks Project. Chow Groups of Spaces; Cotangent Complex; Obstruction Theories; Gysin Maps. [справочный первичный корпус]</w:t>
      </w:r>
    </w:p>
    <w:p>
      <w:pPr/>
      <w:r>
        <w:t>[V0.16-9] Kurpishev, I. B. Том I v197 RU; Том II T2-RP-v0.1-v0.15. [внутренний авторский корпус]</w:t>
      </w:r>
    </w:p>
    <w:p>
      <w:pPr>
        <w:pStyle w:val="Heading1"/>
        <w:keepNext/>
      </w:pPr>
      <w:r>
        <w:t>237. Контрольная точка и граница вывода</w:t>
      </w:r>
    </w:p>
    <w:p>
      <w:pPr>
        <w:pStyle w:val="Quote"/>
        <w:keepLines/>
      </w:pPr>
      <w:r>
        <w:t>truth_layer_promotion=0; checkpoint=T2-RP-v0.16; next=T2-RP-v0.17.      (19.25)</w:t>
      </w:r>
    </w:p>
    <w:p>
      <w:r>
        <w:t>Глава 19 построила virtual/enumerative слой предсказательного метода и одновременно установила его жёсткий предел: virtual fundamental class и его интегралы являются математическими инвариантами при собственных гипотезах, но не вероятностями будущих событий. Вероятностный прогноз появляется только после отдельного пространства исходов, меры, link-модели, калибровки, transportability-аудита и независимого внешнего запуска. До этого система не “оценивает шанс”, а честно сообщает PROBABILITY-UNAVAILABLE.</w:t>
      </w:r>
    </w:p>
    <w:p>
      <w:pPr>
        <w:pStyle w:val="Small"/>
      </w:pPr>
      <w:r>
        <w:t>Следующая сборка tom2_v0_17 развивает категорифицированные, motivic и refined virtual invariants, generating series, функциональные уравнения и строгий запрет трактовать коэффициенты производящих рядов как временную динамику без эволюционного оператора и эмпирического моста.</w:t>
      </w:r>
    </w:p>
    <w:p>
      <w:pPr>
        <w:pStyle w:val="Small"/>
      </w:pPr>
      <w:r>
        <w:t>checkpoint=T2-RP-v0.16; source=T2-RP-v0.15; truth_layer_promotion=0; next=T2-RP-v0.17.</w:t>
      </w:r>
    </w:p>
    <w:p>
      <w:pPr>
        <w:pStyle w:val="Heading1"/>
        <w:keepNext/>
        <w:pageBreakBefore/>
      </w:pPr>
      <w:r>
        <w:t>Глава 20. Категорифицированные, мотивные и уточнённые виртуальные инварианты</w:t>
      </w:r>
    </w:p>
    <w:p>
      <w:pPr/>
      <w:r>
        <w:t>Глава 19 построила виртуальный цикл и запретила считать его степенью вероятности. Настоящая глава поднимает носитель на следующий уровень: от числа и класса к категории, мотиву, mixed-Hodge или cohomological объекту, а затем к completed generating series. Центральная задача состоит не в производстве ещё более впечатляющей формулы, а в точном учёте того, какие данные сохраняются при декатегорификации и какие не возникают вообще. Главный предел главы: grading, charge и степень модуля не являются временем до тех пор, пока не заданы временная шкала, оператор эволюции и наблюдательный мост.</w:t>
      </w:r>
    </w:p>
    <w:tbl>
      <w:tblPr>
        <w:tblStyle w:val="TableGrid"/>
        <w:tblW w:type="auto" w:w="0"/>
        <w:jc w:val="center"/>
        <w:tblLook w:firstColumn="1" w:firstRow="1" w:lastColumn="0" w:lastRow="0" w:noHBand="0" w:noVBand="1" w:val="04A0"/>
      </w:tblPr>
      <w:tblGrid>
        <w:gridCol w:w="4876"/>
        <w:gridCol w:w="4876"/>
      </w:tblGrid>
      <w:tr>
        <w:tc>
          <w:tcPr>
            <w:tcW w:type="dxa" w:w="4876"/>
            <w:shd w:fill="17345F"/>
            <w:tcMar>
              <w:top w:w="120" w:type="dxa"/>
              <w:start w:w="130" w:type="dxa"/>
              <w:bottom w:w="120" w:type="dxa"/>
              <w:end w:w="130" w:type="dxa"/>
            </w:tcMar>
            <w:vAlign w:val="center"/>
          </w:tcPr>
          <w:p>
            <w:pPr>
              <w:spacing w:after="0" w:line="252" w:lineRule="auto"/>
            </w:pPr>
            <w:r>
              <w:rPr>
                <w:b/>
                <w:color w:val="FFFFFF"/>
                <w:sz w:val="18"/>
              </w:rPr>
              <w:t>ОНТОЛОГИЯ</w:t>
            </w:r>
          </w:p>
        </w:tc>
        <w:tc>
          <w:tcPr>
            <w:tcW w:type="dxa" w:w="4876"/>
            <w:shd w:fill="E8EEF7"/>
            <w:tcMar>
              <w:top w:w="120" w:type="dxa"/>
              <w:start w:w="130" w:type="dxa"/>
              <w:bottom w:w="120" w:type="dxa"/>
              <w:end w:w="130" w:type="dxa"/>
            </w:tcMar>
            <w:vAlign w:val="center"/>
          </w:tcPr>
          <w:p>
            <w:pPr>
              <w:spacing w:after="0" w:line="252" w:lineRule="auto"/>
            </w:pPr>
            <w:r>
              <w:rPr>
                <w:b w:val="0"/>
                <w:sz w:val="18"/>
              </w:rPr>
              <w:t>Категорифицированный инвариант является объектом категории с морфизмами, расширениями, градуировками и возможными higher-структурами. Его класс в K₀, мотив, Hodge-полином и число являются разными уровнями бытия математического носителя.</w:t>
            </w:r>
          </w:p>
        </w:tc>
      </w:tr>
      <w:tr>
        <w:tc>
          <w:tcPr>
            <w:tcW w:type="dxa" w:w="4876"/>
            <w:shd w:fill="17345F"/>
            <w:tcMar>
              <w:top w:w="120" w:type="dxa"/>
              <w:start w:w="130" w:type="dxa"/>
              <w:bottom w:w="120" w:type="dxa"/>
              <w:end w:w="130" w:type="dxa"/>
            </w:tcMar>
            <w:vAlign w:val="center"/>
          </w:tcPr>
          <w:p>
            <w:pPr>
              <w:spacing w:after="0" w:line="252" w:lineRule="auto"/>
            </w:pPr>
            <w:r>
              <w:rPr>
                <w:b/>
                <w:color w:val="FFFFFF"/>
                <w:sz w:val="18"/>
              </w:rPr>
              <w:t>ГНОСЕОЛОГИЯ</w:t>
            </w:r>
          </w:p>
        </w:tc>
        <w:tc>
          <w:tcPr>
            <w:tcW w:type="dxa" w:w="4876"/>
            <w:shd w:fill="E8EEF7"/>
            <w:tcMar>
              <w:top w:w="120" w:type="dxa"/>
              <w:start w:w="130" w:type="dxa"/>
              <w:bottom w:w="120" w:type="dxa"/>
              <w:end w:w="130" w:type="dxa"/>
            </w:tcMar>
            <w:vAlign w:val="center"/>
          </w:tcPr>
          <w:p>
            <w:pPr>
              <w:spacing w:after="0" w:line="252" w:lineRule="auto"/>
            </w:pPr>
            <w:r>
              <w:rPr>
                <w:b w:val="0"/>
                <w:sz w:val="18"/>
              </w:rPr>
              <w:t>Каждый переход вниз по лестнице реализаций может быть неконсервативным. Равенство числовых специализаций не даёт права восстанавливать категорию или мотив без отдельной теоремы о консервативности.</w:t>
            </w:r>
          </w:p>
        </w:tc>
      </w:tr>
      <w:tr>
        <w:tc>
          <w:tcPr>
            <w:tcW w:type="dxa" w:w="4876"/>
            <w:shd w:fill="17345F"/>
            <w:tcMar>
              <w:top w:w="120" w:type="dxa"/>
              <w:start w:w="130" w:type="dxa"/>
              <w:bottom w:w="120" w:type="dxa"/>
              <w:end w:w="130" w:type="dxa"/>
            </w:tcMar>
            <w:vAlign w:val="center"/>
          </w:tcPr>
          <w:p>
            <w:pPr>
              <w:spacing w:after="0" w:line="252" w:lineRule="auto"/>
            </w:pPr>
            <w:r>
              <w:rPr>
                <w:b/>
                <w:color w:val="FFFFFF"/>
                <w:sz w:val="18"/>
              </w:rPr>
              <w:t>ФЕНОМЕНОЛОГИЯ</w:t>
            </w:r>
          </w:p>
        </w:tc>
        <w:tc>
          <w:tcPr>
            <w:tcW w:type="dxa" w:w="4876"/>
            <w:shd w:fill="E8EEF7"/>
            <w:tcMar>
              <w:top w:w="120" w:type="dxa"/>
              <w:start w:w="130" w:type="dxa"/>
              <w:bottom w:w="120" w:type="dxa"/>
              <w:end w:w="130" w:type="dxa"/>
            </w:tcMar>
            <w:vAlign w:val="center"/>
          </w:tcPr>
          <w:p>
            <w:pPr>
              <w:spacing w:after="0" w:line="252" w:lineRule="auto"/>
            </w:pPr>
            <w:r>
              <w:rPr>
                <w:b w:val="0"/>
                <w:sz w:val="18"/>
              </w:rPr>
              <w:t>Производящий ряд показывает распределение инвариантов по зарядам, степеням или классам. Последовательность коэффициентов похожа на “историю”, но это сходство является визуальным, а не динамическим.</w:t>
            </w:r>
          </w:p>
        </w:tc>
      </w:tr>
      <w:tr>
        <w:tc>
          <w:tcPr>
            <w:tcW w:type="dxa" w:w="4876"/>
            <w:shd w:fill="A87312"/>
            <w:tcMar>
              <w:top w:w="120" w:type="dxa"/>
              <w:start w:w="130" w:type="dxa"/>
              <w:bottom w:w="120" w:type="dxa"/>
              <w:end w:w="130" w:type="dxa"/>
            </w:tcMar>
            <w:vAlign w:val="center"/>
          </w:tcPr>
          <w:p>
            <w:pPr>
              <w:spacing w:after="0" w:line="252" w:lineRule="auto"/>
            </w:pPr>
            <w:r>
              <w:rPr>
                <w:b/>
                <w:color w:val="FFFFFF"/>
                <w:sz w:val="18"/>
              </w:rPr>
              <w:t>ГРАНИЦА</w:t>
            </w:r>
          </w:p>
        </w:tc>
        <w:tc>
          <w:tcPr>
            <w:tcW w:type="dxa" w:w="4876"/>
            <w:shd w:fill="F7EED8"/>
            <w:tcMar>
              <w:top w:w="120" w:type="dxa"/>
              <w:start w:w="130" w:type="dxa"/>
              <w:bottom w:w="120" w:type="dxa"/>
              <w:end w:w="130" w:type="dxa"/>
            </w:tcMar>
            <w:vAlign w:val="center"/>
          </w:tcPr>
          <w:p>
            <w:pPr>
              <w:spacing w:after="0" w:line="252" w:lineRule="auto"/>
            </w:pPr>
            <w:r>
              <w:rPr>
                <w:b w:val="0"/>
                <w:sz w:val="18"/>
              </w:rPr>
              <w:t>Глава не строит общую motivic Donaldson-Thomas theory для NAPG и не вводит физическую BPS-интерпретацию. Все такие мосты сохраняют статус COND. Коэффициент формального ряда не считается состоянием во времени без τ, U(t,s), наблюдаемой и EXT-RUN.</w:t>
            </w:r>
          </w:p>
        </w:tc>
      </w:tr>
    </w:tbl>
    <w:p>
      <w:pPr>
        <w:spacing w:after="0"/>
      </w:pPr>
    </w:p>
    <w:p>
      <w:pPr>
        <w:pStyle w:val="Heading1"/>
        <w:keepNext/>
      </w:pPr>
      <w:r>
        <w:t>238. Лестница носителей и правило неповышения статуса</w:t>
      </w:r>
    </w:p>
    <w:p>
      <w:pPr/>
      <w:r>
        <w:t>Определение 20.1. Лестницей refined-носителей называется диаграмма</w:t>
      </w:r>
    </w:p>
    <w:p>
      <w:pPr>
        <w:pStyle w:val="Quote"/>
        <w:jc w:val="center"/>
      </w:pPr>
      <w:r>
        <w:t>𝕍_γ ∈ 𝒞_γ  →  [𝕍_γ] ∈ K₀(𝒞_γ)  →  𝓜_γ ∈ R_mot  →  Real(𝓜_γ)  →  I_γ ∈ R_num.  (20.1)</w:t>
      </w:r>
    </w:p>
    <w:p>
      <w:pPr/>
      <w:r>
        <w:t>Здесь 𝒞_γ является категорией или стабильной ∞-категорией объектов класса γ; K₀ выполняет декатегорификацию; R_mot является выбранным мотивным кольцом или его локализацией/пополнением; Real обозначает Hodge-, ℓ-adic-, Poincaré- или Euler-реализацию; I_γ является числовым либо полиномиальным инвариантом.</w:t>
      </w:r>
    </w:p>
    <w:p>
      <w:pPr/>
      <w:r>
        <w:t>Правило 20.A. Стрелки (20.1) направлены от более богатого носителя к более грубому. Обратная стрелка не допускается без отдельно доказанного lifting/reconstruction theorem. В частности, равенство I_γ=I_γ′ не означает эквивалентности 𝕍_γ≃𝕍_γ′.</w:t>
      </w:r>
    </w:p>
    <w:p>
      <w:pPr>
        <w:jc w:val="center"/>
      </w:pPr>
      <w:r>
        <w:drawing>
          <wp:inline xmlns:a="http://schemas.openxmlformats.org/drawingml/2006/main" xmlns:pic="http://schemas.openxmlformats.org/drawingml/2006/picture">
            <wp:extent cx="5796000" cy="3401889"/>
            <wp:docPr id="52" name="Picture 52"/>
            <wp:cNvGraphicFramePr>
              <a:graphicFrameLocks noChangeAspect="1"/>
            </wp:cNvGraphicFramePr>
            <a:graphic>
              <a:graphicData uri="http://schemas.openxmlformats.org/drawingml/2006/picture">
                <pic:pic>
                  <pic:nvPicPr>
                    <pic:cNvPr id="0" name="fig20_1.png"/>
                    <pic:cNvPicPr/>
                  </pic:nvPicPr>
                  <pic:blipFill>
                    <a:blip r:embed="rId89"/>
                    <a:stretch>
                      <a:fillRect/>
                    </a:stretch>
                  </pic:blipFill>
                  <pic:spPr>
                    <a:xfrm>
                      <a:off x="0" y="0"/>
                      <a:ext cx="5796000" cy="3401889"/>
                    </a:xfrm>
                    <a:prstGeom prst="rect"/>
                  </pic:spPr>
                </pic:pic>
              </a:graphicData>
            </a:graphic>
          </wp:inline>
        </w:drawing>
      </w:r>
    </w:p>
    <w:p>
      <w:pPr>
        <w:pStyle w:val="Caption"/>
        <w:keepNext w:val="0"/>
        <w:jc w:val="center"/>
      </w:pPr>
      <w:r>
        <w:t>Рисунок 20.1. Лестница категорификации, мотивных реализаций и информационных потерь. Собственная схема Тома II.</w:t>
      </w:r>
    </w:p>
    <w:p>
      <w:pPr>
        <w:pStyle w:val="Heading1"/>
        <w:keepNext/>
      </w:pPr>
      <w:r>
        <w:t>239. Категорификация и декатегорификация</w:t>
      </w:r>
    </w:p>
    <w:p>
      <w:pPr/>
      <w:r>
        <w:t>Определение 20.2. Категорификацией числового или кольцевого инварианта A называется выбор категории 𝒞, дополнительной структуры на 𝒞 и отображения декатегорификации dec:K₀(𝒞)→A, при котором заданный инвариант получается из класса категоризированного объекта. Это определение фиксирует минимальную структуру; в конкретной теории могут потребоваться dg-, A∞-, stable-∞- или monoidal-данные.</w:t>
      </w:r>
    </w:p>
    <w:p>
      <w:pPr/>
      <w:r>
        <w:t>Grothendieck-группа аддитивной/триангулированной категории порождается символами [X] с отношениями аддитивности. Для точного треугольника X→Y→Z→X[1] действует</w:t>
      </w:r>
    </w:p>
    <w:p>
      <w:pPr>
        <w:pStyle w:val="Quote"/>
        <w:jc w:val="center"/>
      </w:pPr>
      <w:r>
        <w:t>[Y]=[X]+[Z].  (20.2)</w:t>
      </w:r>
    </w:p>
    <w:p>
      <w:pPr/>
      <w:r>
        <w:t>Отношение (20.2) намеренно стирает конкретный класс расширения. Поэтому K₀ хранит additive shadow, но не всю геометрию Hom, Ext, t-структур и higher compositions.</w:t>
      </w:r>
    </w:p>
    <w:p>
      <w:pPr/>
      <w:r>
        <w:t>Теорема 20.1 (Decategorification no-go). [THM] Функтор K₀ не является консервативным на естественных классах tensor-triangulated categories. Существуют неэквивалентные категории с изоморфными Grothendieck-группами.</w:t>
      </w:r>
    </w:p>
    <w:p>
      <w:pPr/>
      <w:r>
        <w:t>Доказательство. Для поля k рассмотрим Perf(k) и Perf(k[ε]/(ε²)). Оба базовых кольца локальны, поэтому K₀ их категорий совершенных комплексов изоморфен ℤ посредством ранга. Однако tensor-unit имеет кольцо эндоморфизмов k в первом случае и k[ε]/(ε²) во втором. Tensor-triangulated equivalence должна сохранять unit и его эндоморфизмы, что невозможно. Следовательно, совпадение K₀ не восстанавливает категорию.</w:t>
      </w:r>
    </w:p>
    <w:p>
      <w:pPr>
        <w:pStyle w:val="Heading1"/>
        <w:keepNext/>
      </w:pPr>
      <w:r>
        <w:t>240. Мотивный носитель и Grothendieck-кольцо разновидностей</w:t>
      </w:r>
    </w:p>
    <w:p>
      <w:pPr/>
      <w:r>
        <w:t>Пусть k — поле. Grothendieck-кольцо K₀(Var_k) порождается классами [X] k-разновидностей с scissors relation</w:t>
      </w:r>
    </w:p>
    <w:p>
      <w:pPr>
        <w:pStyle w:val="Quote"/>
        <w:jc w:val="center"/>
      </w:pPr>
      <w:r>
        <w:t>[X]=[Z]+[X∖Z]  для замкнутого Z⊂X,   [X]·[Y]=[X×Y].  (20.3)</w:t>
      </w:r>
    </w:p>
    <w:p>
      <w:pPr/>
      <w:r>
        <w:t>Обозначим 𝕃=[𝔸¹] классом аффинной прямой. В motivic DT- и vanishing-cycle контекстах обычно требуется локализация по 𝕃, присоединение 𝕃^{1/2}, μ̂-эквивариантность и пополнение относительно размерности или эффективного конуса. Каждая такая операция меняет носитель и обязана входить в Evidence-D.</w:t>
      </w:r>
    </w:p>
    <w:p>
      <w:pPr/>
      <w:r>
        <w:t>Определение 20.3. Motivic carrier NAPG-кандидата есть кортеж</w:t>
      </w:r>
    </w:p>
    <w:p>
      <w:pPr>
        <w:pStyle w:val="Quote"/>
        <w:jc w:val="center"/>
      </w:pPr>
      <w:r>
        <w:t>MotCar=(R_mot, 𝕃^{1/2}, Fil, Comp, μ̂, or, src, D, Dom),  (20.4)</w:t>
      </w:r>
    </w:p>
    <w:p>
      <w:pPr/>
      <w:r>
        <w:t>где явно указаны коэффициентное кольцо, выбранная квадратная корень-мера, фильтрация и пополнение, монодромический слой, orientation data, происхождение и домен.</w:t>
      </w:r>
    </w:p>
    <w:p>
      <w:pPr/>
      <w:r>
        <w:t>Граница. Символ [X] является классом в конкретном Grothendieck-кольце. Он не равен множеству точек X, числу точек, Euler characteristic или вероятности.</w:t>
      </w:r>
    </w:p>
    <w:p>
      <w:pPr>
        <w:pStyle w:val="Heading1"/>
        <w:keepNext/>
      </w:pPr>
      <w:r>
        <w:t>241. Реализации и теорема числовой неразличимости</w:t>
      </w:r>
    </w:p>
    <w:p>
      <w:pPr/>
      <w:r>
        <w:t>Реализацией называется кольцевой или групповой гомоморфизм из мотивного носителя в более вычислимый объект. Типичные примеры: Hodge-Deligne polynomial E_c(X;u,v), weight polynomial, Poincaré polynomial и compactly supported Euler characteristic χ_c.</w:t>
      </w:r>
    </w:p>
    <w:p>
      <w:pPr>
        <w:pStyle w:val="Quote"/>
        <w:jc w:val="center"/>
      </w:pPr>
      <w:r>
        <w:t>χ_c : K₀(Var_ℂ) → ℤ,      E_c : K₀(Var_ℂ) → ℤ[u,v].  (20.5)</w:t>
      </w:r>
    </w:p>
    <w:p>
      <w:pPr/>
      <w:r>
        <w:t>Теорема 20.2 (Numerical realization no-go). [THM] Euler-реализация χ_c не инъективна.</w:t>
      </w:r>
    </w:p>
    <w:p>
      <w:pPr/>
      <w:r>
        <w:t>Доказательство. Для точки pt и аффинной прямой 𝔸¹ имеем χ_c(pt)=1 и χ_c(𝔸¹)=1. Однако E_c(pt;u,v)=1, тогда как E_c(𝔸¹;u,v)=uv. Следовательно, их мотивные классы различаются по Hodge-реализации, хотя числовая Euler-реализация совпадает.</w:t>
      </w:r>
    </w:p>
    <w:p>
      <w:pPr/>
      <w:r>
        <w:t>Следствие. Числовой инвариант может быть устойчивым и воспроизводимым, но не быть полным. Предсказательный алгоритм обязан хранить realization ledger и запрещать обратное восстановление данных, потерянных специализацией.</w:t>
      </w:r>
    </w:p>
    <w:tbl>
      <w:tblPr>
        <w:tblStyle w:val="TableGrid"/>
        <w:tblW w:type="auto" w:w="0"/>
        <w:jc w:val="center"/>
        <w:tblLayout w:type="autofit"/>
        <w:tblLook w:firstColumn="1" w:firstRow="1" w:lastColumn="0" w:lastRow="0" w:noHBand="0" w:noVBand="1" w:val="04A0"/>
      </w:tblPr>
      <w:tblGrid>
        <w:gridCol w:w="2438"/>
        <w:gridCol w:w="2438"/>
        <w:gridCol w:w="2438"/>
        <w:gridCol w:w="2438"/>
      </w:tblGrid>
      <w:tr>
        <w:trPr>
          <w:tblHeader w:val="true"/>
        </w:trPr>
        <w:tc>
          <w:tcPr>
            <w:tcW w:type="dxa" w:w="680"/>
            <w:tcMar>
              <w:top w:w="90" w:type="dxa"/>
              <w:start w:w="110" w:type="dxa"/>
              <w:bottom w:w="90" w:type="dxa"/>
              <w:end w:w="110" w:type="dxa"/>
            </w:tcMar>
            <w:vAlign w:val="center"/>
            <w:shd w:fill="17345F"/>
          </w:tcPr>
          <w:p>
            <w:pPr>
              <w:spacing w:after="0" w:before="0" w:line="240" w:lineRule="auto"/>
            </w:pPr>
            <w:r>
              <w:rPr>
                <w:b/>
                <w:color w:val="FFFFFF"/>
                <w:sz w:val="16"/>
              </w:rPr>
              <w:t>Уровень</w:t>
            </w:r>
          </w:p>
        </w:tc>
        <w:tc>
          <w:tcPr>
            <w:tcW w:type="dxa" w:w="2154"/>
            <w:tcMar>
              <w:top w:w="90" w:type="dxa"/>
              <w:start w:w="110" w:type="dxa"/>
              <w:bottom w:w="90" w:type="dxa"/>
              <w:end w:w="110" w:type="dxa"/>
            </w:tcMar>
            <w:vAlign w:val="center"/>
            <w:shd w:fill="17345F"/>
          </w:tcPr>
          <w:p>
            <w:pPr>
              <w:spacing w:after="0" w:before="0" w:line="240" w:lineRule="auto"/>
            </w:pPr>
            <w:r>
              <w:rPr>
                <w:b/>
                <w:color w:val="FFFFFF"/>
                <w:sz w:val="16"/>
              </w:rPr>
              <w:t>Объект</w:t>
            </w:r>
          </w:p>
        </w:tc>
        <w:tc>
          <w:tcPr>
            <w:tcW w:type="dxa" w:w="2948"/>
            <w:tcMar>
              <w:top w:w="90" w:type="dxa"/>
              <w:start w:w="110" w:type="dxa"/>
              <w:bottom w:w="90" w:type="dxa"/>
              <w:end w:w="110" w:type="dxa"/>
            </w:tcMar>
            <w:vAlign w:val="center"/>
            <w:shd w:fill="17345F"/>
          </w:tcPr>
          <w:p>
            <w:pPr>
              <w:spacing w:after="0" w:before="0" w:line="240" w:lineRule="auto"/>
            </w:pPr>
            <w:r>
              <w:rPr>
                <w:b/>
                <w:color w:val="FFFFFF"/>
                <w:sz w:val="16"/>
              </w:rPr>
              <w:t>Сохраняет</w:t>
            </w:r>
          </w:p>
        </w:tc>
        <w:tc>
          <w:tcPr>
            <w:tcW w:type="dxa" w:w="3458"/>
            <w:tcMar>
              <w:top w:w="90" w:type="dxa"/>
              <w:start w:w="110" w:type="dxa"/>
              <w:bottom w:w="90" w:type="dxa"/>
              <w:end w:w="110" w:type="dxa"/>
            </w:tcMar>
            <w:vAlign w:val="center"/>
            <w:shd w:fill="17345F"/>
          </w:tcPr>
          <w:p>
            <w:pPr>
              <w:spacing w:after="0" w:before="0" w:line="240" w:lineRule="auto"/>
            </w:pPr>
            <w:r>
              <w:rPr>
                <w:b/>
                <w:color w:val="FFFFFF"/>
                <w:sz w:val="16"/>
              </w:rPr>
              <w:t>Может потерять</w:t>
            </w:r>
          </w:p>
        </w:tc>
      </w:tr>
      <w:tr>
        <w:tc>
          <w:tcPr>
            <w:tcW w:type="dxa" w:w="680"/>
            <w:tcMar>
              <w:top w:w="90" w:type="dxa"/>
              <w:start w:w="110" w:type="dxa"/>
              <w:bottom w:w="90" w:type="dxa"/>
              <w:end w:w="110" w:type="dxa"/>
            </w:tcMar>
            <w:vAlign w:val="center"/>
          </w:tcPr>
          <w:p>
            <w:pPr>
              <w:spacing w:after="0" w:before="0" w:line="240" w:lineRule="auto"/>
            </w:pPr>
            <w:r>
              <w:rPr>
                <w:b w:val="0"/>
                <w:sz w:val="16"/>
              </w:rPr>
              <w:t>C</w:t>
            </w:r>
          </w:p>
        </w:tc>
        <w:tc>
          <w:tcPr>
            <w:tcW w:type="dxa" w:w="2154"/>
            <w:tcMar>
              <w:top w:w="90" w:type="dxa"/>
              <w:start w:w="110" w:type="dxa"/>
              <w:bottom w:w="90" w:type="dxa"/>
              <w:end w:w="110" w:type="dxa"/>
            </w:tcMar>
            <w:vAlign w:val="center"/>
          </w:tcPr>
          <w:p>
            <w:pPr>
              <w:spacing w:after="0" w:before="0" w:line="240" w:lineRule="auto"/>
            </w:pPr>
            <w:r>
              <w:rPr>
                <w:b w:val="0"/>
                <w:sz w:val="16"/>
              </w:rPr>
              <w:t>𝕍γ∈𝒞γ</w:t>
            </w:r>
          </w:p>
        </w:tc>
        <w:tc>
          <w:tcPr>
            <w:tcW w:type="dxa" w:w="2948"/>
            <w:tcMar>
              <w:top w:w="90" w:type="dxa"/>
              <w:start w:w="110" w:type="dxa"/>
              <w:bottom w:w="90" w:type="dxa"/>
              <w:end w:w="110" w:type="dxa"/>
            </w:tcMar>
            <w:vAlign w:val="center"/>
          </w:tcPr>
          <w:p>
            <w:pPr>
              <w:spacing w:after="0" w:before="0" w:line="240" w:lineRule="auto"/>
            </w:pPr>
            <w:r>
              <w:rPr>
                <w:b w:val="0"/>
                <w:sz w:val="16"/>
              </w:rPr>
              <w:t>объекты, morphisms, extensions, higher structure</w:t>
            </w:r>
          </w:p>
        </w:tc>
        <w:tc>
          <w:tcPr>
            <w:tcW w:type="dxa" w:w="3458"/>
            <w:tcMar>
              <w:top w:w="90" w:type="dxa"/>
              <w:start w:w="110" w:type="dxa"/>
              <w:bottom w:w="90" w:type="dxa"/>
              <w:end w:w="110" w:type="dxa"/>
            </w:tcMar>
            <w:vAlign w:val="center"/>
          </w:tcPr>
          <w:p>
            <w:pPr>
              <w:spacing w:after="0" w:before="0" w:line="240" w:lineRule="auto"/>
            </w:pPr>
            <w:r>
              <w:rPr>
                <w:b w:val="0"/>
                <w:sz w:val="16"/>
              </w:rPr>
              <w:t>—</w:t>
            </w:r>
          </w:p>
        </w:tc>
      </w:tr>
      <w:tr>
        <w:tc>
          <w:tcPr>
            <w:tcW w:type="dxa" w:w="680"/>
            <w:tcMar>
              <w:top w:w="90" w:type="dxa"/>
              <w:start w:w="110" w:type="dxa"/>
              <w:bottom w:w="90" w:type="dxa"/>
              <w:end w:w="110" w:type="dxa"/>
            </w:tcMar>
            <w:vAlign w:val="center"/>
          </w:tcPr>
          <w:p>
            <w:pPr>
              <w:spacing w:after="0" w:before="0" w:line="240" w:lineRule="auto"/>
            </w:pPr>
            <w:r>
              <w:rPr>
                <w:b w:val="0"/>
                <w:sz w:val="16"/>
              </w:rPr>
              <w:t>K</w:t>
            </w:r>
          </w:p>
        </w:tc>
        <w:tc>
          <w:tcPr>
            <w:tcW w:type="dxa" w:w="2154"/>
            <w:tcMar>
              <w:top w:w="90" w:type="dxa"/>
              <w:start w:w="110" w:type="dxa"/>
              <w:bottom w:w="90" w:type="dxa"/>
              <w:end w:w="110" w:type="dxa"/>
            </w:tcMar>
            <w:vAlign w:val="center"/>
          </w:tcPr>
          <w:p>
            <w:pPr>
              <w:spacing w:after="0" w:before="0" w:line="240" w:lineRule="auto"/>
            </w:pPr>
            <w:r>
              <w:rPr>
                <w:b w:val="0"/>
                <w:sz w:val="16"/>
              </w:rPr>
              <w:t>[𝕍γ]∈K₀</w:t>
            </w:r>
          </w:p>
        </w:tc>
        <w:tc>
          <w:tcPr>
            <w:tcW w:type="dxa" w:w="2948"/>
            <w:tcMar>
              <w:top w:w="90" w:type="dxa"/>
              <w:start w:w="110" w:type="dxa"/>
              <w:bottom w:w="90" w:type="dxa"/>
              <w:end w:w="110" w:type="dxa"/>
            </w:tcMar>
            <w:vAlign w:val="center"/>
          </w:tcPr>
          <w:p>
            <w:pPr>
              <w:spacing w:after="0" w:before="0" w:line="240" w:lineRule="auto"/>
            </w:pPr>
            <w:r>
              <w:rPr>
                <w:b w:val="0"/>
                <w:sz w:val="16"/>
              </w:rPr>
              <w:t>аддитивные классы</w:t>
            </w:r>
          </w:p>
        </w:tc>
        <w:tc>
          <w:tcPr>
            <w:tcW w:type="dxa" w:w="3458"/>
            <w:tcMar>
              <w:top w:w="90" w:type="dxa"/>
              <w:start w:w="110" w:type="dxa"/>
              <w:bottom w:w="90" w:type="dxa"/>
              <w:end w:w="110" w:type="dxa"/>
            </w:tcMar>
            <w:vAlign w:val="center"/>
          </w:tcPr>
          <w:p>
            <w:pPr>
              <w:spacing w:after="0" w:before="0" w:line="240" w:lineRule="auto"/>
            </w:pPr>
            <w:r>
              <w:rPr>
                <w:b w:val="0"/>
                <w:sz w:val="16"/>
              </w:rPr>
              <w:t>extension classes, полный Hom/Ext</w:t>
            </w:r>
          </w:p>
        </w:tc>
      </w:tr>
      <w:tr>
        <w:tc>
          <w:tcPr>
            <w:tcW w:type="dxa" w:w="680"/>
            <w:tcMar>
              <w:top w:w="90" w:type="dxa"/>
              <w:start w:w="110" w:type="dxa"/>
              <w:bottom w:w="90" w:type="dxa"/>
              <w:end w:w="110" w:type="dxa"/>
            </w:tcMar>
            <w:vAlign w:val="center"/>
          </w:tcPr>
          <w:p>
            <w:pPr>
              <w:spacing w:after="0" w:before="0" w:line="240" w:lineRule="auto"/>
            </w:pPr>
            <w:r>
              <w:rPr>
                <w:b w:val="0"/>
                <w:sz w:val="16"/>
              </w:rPr>
              <w:t>M</w:t>
            </w:r>
          </w:p>
        </w:tc>
        <w:tc>
          <w:tcPr>
            <w:tcW w:type="dxa" w:w="2154"/>
            <w:tcMar>
              <w:top w:w="90" w:type="dxa"/>
              <w:start w:w="110" w:type="dxa"/>
              <w:bottom w:w="90" w:type="dxa"/>
              <w:end w:w="110" w:type="dxa"/>
            </w:tcMar>
            <w:vAlign w:val="center"/>
          </w:tcPr>
          <w:p>
            <w:pPr>
              <w:spacing w:after="0" w:before="0" w:line="240" w:lineRule="auto"/>
            </w:pPr>
            <w:r>
              <w:rPr>
                <w:b w:val="0"/>
                <w:sz w:val="16"/>
              </w:rPr>
              <w:t>𝓜γ∈R_mot</w:t>
            </w:r>
          </w:p>
        </w:tc>
        <w:tc>
          <w:tcPr>
            <w:tcW w:type="dxa" w:w="2948"/>
            <w:tcMar>
              <w:top w:w="90" w:type="dxa"/>
              <w:start w:w="110" w:type="dxa"/>
              <w:bottom w:w="90" w:type="dxa"/>
              <w:end w:w="110" w:type="dxa"/>
            </w:tcMar>
            <w:vAlign w:val="center"/>
          </w:tcPr>
          <w:p>
            <w:pPr>
              <w:spacing w:after="0" w:before="0" w:line="240" w:lineRule="auto"/>
            </w:pPr>
            <w:r>
              <w:rPr>
                <w:b w:val="0"/>
                <w:sz w:val="16"/>
              </w:rPr>
              <w:t>склейку, произведения, монодромию по выбранному носителю</w:t>
            </w:r>
          </w:p>
        </w:tc>
        <w:tc>
          <w:tcPr>
            <w:tcW w:type="dxa" w:w="3458"/>
            <w:tcMar>
              <w:top w:w="90" w:type="dxa"/>
              <w:start w:w="110" w:type="dxa"/>
              <w:bottom w:w="90" w:type="dxa"/>
              <w:end w:w="110" w:type="dxa"/>
            </w:tcMar>
            <w:vAlign w:val="center"/>
          </w:tcPr>
          <w:p>
            <w:pPr>
              <w:spacing w:after="0" w:before="0" w:line="240" w:lineRule="auto"/>
            </w:pPr>
            <w:r>
              <w:rPr>
                <w:b w:val="0"/>
                <w:sz w:val="16"/>
              </w:rPr>
              <w:t>конкретный категориальный lift</w:t>
            </w:r>
          </w:p>
        </w:tc>
      </w:tr>
      <w:tr>
        <w:tc>
          <w:tcPr>
            <w:tcW w:type="dxa" w:w="680"/>
            <w:tcMar>
              <w:top w:w="90" w:type="dxa"/>
              <w:start w:w="110" w:type="dxa"/>
              <w:bottom w:w="90" w:type="dxa"/>
              <w:end w:w="110" w:type="dxa"/>
            </w:tcMar>
            <w:vAlign w:val="center"/>
          </w:tcPr>
          <w:p>
            <w:pPr>
              <w:spacing w:after="0" w:before="0" w:line="240" w:lineRule="auto"/>
            </w:pPr>
            <w:r>
              <w:rPr>
                <w:b w:val="0"/>
                <w:sz w:val="16"/>
              </w:rPr>
              <w:t>R</w:t>
            </w:r>
          </w:p>
        </w:tc>
        <w:tc>
          <w:tcPr>
            <w:tcW w:type="dxa" w:w="2154"/>
            <w:tcMar>
              <w:top w:w="90" w:type="dxa"/>
              <w:start w:w="110" w:type="dxa"/>
              <w:bottom w:w="90" w:type="dxa"/>
              <w:end w:w="110" w:type="dxa"/>
            </w:tcMar>
            <w:vAlign w:val="center"/>
          </w:tcPr>
          <w:p>
            <w:pPr>
              <w:spacing w:after="0" w:before="0" w:line="240" w:lineRule="auto"/>
            </w:pPr>
            <w:r>
              <w:rPr>
                <w:b w:val="0"/>
                <w:sz w:val="16"/>
              </w:rPr>
              <w:t>E_c, P_t, W_t</w:t>
            </w:r>
          </w:p>
        </w:tc>
        <w:tc>
          <w:tcPr>
            <w:tcW w:type="dxa" w:w="2948"/>
            <w:tcMar>
              <w:top w:w="90" w:type="dxa"/>
              <w:start w:w="110" w:type="dxa"/>
              <w:bottom w:w="90" w:type="dxa"/>
              <w:end w:w="110" w:type="dxa"/>
            </w:tcMar>
            <w:vAlign w:val="center"/>
          </w:tcPr>
          <w:p>
            <w:pPr>
              <w:spacing w:after="0" w:before="0" w:line="240" w:lineRule="auto"/>
            </w:pPr>
            <w:r>
              <w:rPr>
                <w:b w:val="0"/>
                <w:sz w:val="16"/>
              </w:rPr>
              <w:t>градуированные размеры/веса</w:t>
            </w:r>
          </w:p>
        </w:tc>
        <w:tc>
          <w:tcPr>
            <w:tcW w:type="dxa" w:w="3458"/>
            <w:tcMar>
              <w:top w:w="90" w:type="dxa"/>
              <w:start w:w="110" w:type="dxa"/>
              <w:bottom w:w="90" w:type="dxa"/>
              <w:end w:w="110" w:type="dxa"/>
            </w:tcMar>
            <w:vAlign w:val="center"/>
          </w:tcPr>
          <w:p>
            <w:pPr>
              <w:spacing w:after="0" w:before="0" w:line="240" w:lineRule="auto"/>
            </w:pPr>
            <w:r>
              <w:rPr>
                <w:b w:val="0"/>
                <w:sz w:val="16"/>
              </w:rPr>
              <w:t>часть мотивной структуры</w:t>
            </w:r>
          </w:p>
        </w:tc>
      </w:tr>
      <w:tr>
        <w:tc>
          <w:tcPr>
            <w:tcW w:type="dxa" w:w="680"/>
            <w:tcMar>
              <w:top w:w="90" w:type="dxa"/>
              <w:start w:w="110" w:type="dxa"/>
              <w:bottom w:w="90" w:type="dxa"/>
              <w:end w:w="110" w:type="dxa"/>
            </w:tcMar>
            <w:vAlign w:val="center"/>
          </w:tcPr>
          <w:p>
            <w:pPr>
              <w:spacing w:after="0" w:before="0" w:line="240" w:lineRule="auto"/>
            </w:pPr>
            <w:r>
              <w:rPr>
                <w:b w:val="0"/>
                <w:sz w:val="16"/>
              </w:rPr>
              <w:t>N</w:t>
            </w:r>
          </w:p>
        </w:tc>
        <w:tc>
          <w:tcPr>
            <w:tcW w:type="dxa" w:w="2154"/>
            <w:tcMar>
              <w:top w:w="90" w:type="dxa"/>
              <w:start w:w="110" w:type="dxa"/>
              <w:bottom w:w="90" w:type="dxa"/>
              <w:end w:w="110" w:type="dxa"/>
            </w:tcMar>
            <w:vAlign w:val="center"/>
          </w:tcPr>
          <w:p>
            <w:pPr>
              <w:spacing w:after="0" w:before="0" w:line="240" w:lineRule="auto"/>
            </w:pPr>
            <w:r>
              <w:rPr>
                <w:b w:val="0"/>
                <w:sz w:val="16"/>
              </w:rPr>
              <w:t>χ_c, degree</w:t>
            </w:r>
          </w:p>
        </w:tc>
        <w:tc>
          <w:tcPr>
            <w:tcW w:type="dxa" w:w="2948"/>
            <w:tcMar>
              <w:top w:w="90" w:type="dxa"/>
              <w:start w:w="110" w:type="dxa"/>
              <w:bottom w:w="90" w:type="dxa"/>
              <w:end w:w="110" w:type="dxa"/>
            </w:tcMar>
            <w:vAlign w:val="center"/>
          </w:tcPr>
          <w:p>
            <w:pPr>
              <w:spacing w:after="0" w:before="0" w:line="240" w:lineRule="auto"/>
            </w:pPr>
            <w:r>
              <w:rPr>
                <w:b w:val="0"/>
                <w:sz w:val="16"/>
              </w:rPr>
              <w:t>одно число или конечный вектор</w:t>
            </w:r>
          </w:p>
        </w:tc>
        <w:tc>
          <w:tcPr>
            <w:tcW w:type="dxa" w:w="3458"/>
            <w:tcMar>
              <w:top w:w="90" w:type="dxa"/>
              <w:start w:w="110" w:type="dxa"/>
              <w:bottom w:w="90" w:type="dxa"/>
              <w:end w:w="110" w:type="dxa"/>
            </w:tcMar>
            <w:vAlign w:val="center"/>
          </w:tcPr>
          <w:p>
            <w:pPr>
              <w:spacing w:after="0" w:before="0" w:line="240" w:lineRule="auto"/>
            </w:pPr>
            <w:r>
              <w:rPr>
                <w:b w:val="0"/>
                <w:sz w:val="16"/>
              </w:rPr>
              <w:t>градуировки, знаки, носитель, branch data</w:t>
            </w:r>
          </w:p>
        </w:tc>
      </w:tr>
    </w:tbl>
    <w:p>
      <w:pPr>
        <w:spacing w:after="0"/>
      </w:pPr>
    </w:p>
    <w:p>
      <w:pPr>
        <w:pStyle w:val="Heading1"/>
        <w:keepNext/>
      </w:pPr>
      <w:r>
        <w:t>242. Power structures и плетистические операции</w:t>
      </w:r>
    </w:p>
    <w:p>
      <w:pPr/>
      <w:r>
        <w:t>Пусть R является полным λ-кольцом с Adams-операциями ψ_r и полным идеалом I. Для f∈I определяется plethystic exponential</w:t>
      </w:r>
    </w:p>
    <w:p>
      <w:pPr>
        <w:pStyle w:val="Quote"/>
        <w:jc w:val="center"/>
      </w:pPr>
      <w:r>
        <w:t>PExp(f)=exp(Σ_{r≥1} ψ_r(f)/r),     PLog=PExp^{-1}.  (20.6)</w:t>
      </w:r>
    </w:p>
    <w:p>
      <w:pPr/>
      <w:r>
        <w:t>Формула (20.6) корректна только после спецификации коэффициентного кольца, пополнения и делимости, необходимой для экспоненты. В геометрическом power structure выражение A(t)^{[X]} кодирует конфигурации точек на X и не является обычным возведением чисел в степень.</w:t>
      </w:r>
    </w:p>
    <w:p>
      <w:pPr/>
      <w:r>
        <w:t>Лемма 20.3. [THM] Если R полно относительно I и ψ_r(I)⊂I^r, то PExp задаёт биекцию между I и 1+I. Доказательство следует из формальной экспоненты и логарифма в полном фильтрованном кольце. При отсутствии полноты равенство является лишь формальным шаблоном и не разрешает подстановку числовых значений.</w:t>
      </w:r>
    </w:p>
    <w:p>
      <w:pPr>
        <w:pStyle w:val="Heading1"/>
        <w:keepNext/>
      </w:pPr>
      <w:r>
        <w:t>243. Motivic vanishing cycles и orientation data</w:t>
      </w:r>
    </w:p>
    <w:p>
      <w:pPr/>
      <w:r>
        <w:t>Для критического локуса X=Crit(f) гладкой пары (U,f) motivic vanishing cycle хранит больше информации, чем взвешенная Euler characteristic. В глобальном d-critical или derived-контексте локальные циклы склеиваются только при совместимых orientation data и переходных тождествах.</w:t>
      </w:r>
    </w:p>
    <w:p>
      <w:pPr>
        <w:pStyle w:val="Quote"/>
        <w:jc w:val="center"/>
      </w:pPr>
      <w:r>
        <w:t>MF^φ_{U,f} ∈ 𝓜_X^{μ̂},        Real(MF^φ_{U,f}) = vanishing-cycle realization.  (20.7)</w:t>
      </w:r>
    </w:p>
    <w:p>
      <w:pPr/>
      <w:r>
        <w:t>NAPG-импорт (20.7) получает статус COND. Требуются: критическая chart-модель; независимость от chart; orientation gerbe; совместимость с derived stack главы 18; связь с virtual class главы 19; доказанная functoriality по NAPG-морфизмам.</w:t>
      </w:r>
    </w:p>
    <w:p>
      <w:pPr/>
      <w:r>
        <w:t>Запрет 20.B. Наличие функции, похожей на потенциал, не даёт права использовать motivic vanishing cycles. Необходимо доказать, что локальный carrier действительно является критическим локусом и что переходы сохраняют заданную d-critical/derived структуру.</w:t>
      </w:r>
    </w:p>
    <w:p>
      <w:pPr>
        <w:pStyle w:val="Heading1"/>
        <w:keepNext/>
      </w:pPr>
      <w:r>
        <w:t>244. Refined-инварианты и реализационный паспорт</w:t>
      </w:r>
    </w:p>
    <w:p>
      <w:pPr/>
      <w:r>
        <w:t>Уточнённый инвариант сохраняет дополнительную градуировку, вес, spin, Hodge-тип или монодромию. В минимальном абстрактном виде</w:t>
      </w:r>
    </w:p>
    <w:p>
      <w:pPr>
        <w:pStyle w:val="Quote"/>
        <w:jc w:val="center"/>
      </w:pPr>
      <w:r>
        <w:t>Ω_γ^{ref}(y)=Σ_j (-1)^j dim 𝓗_γ^j · y^{j/2}.  (20.8)</w:t>
      </w:r>
    </w:p>
    <w:p>
      <w:pPr/>
      <w:r>
        <w:t>Конвенция знаков, полуцелых степеней и weight shifts зависит от теории. Поэтому объектом сравнения служит не голая формула, а паспорт RefCert=(𝓗_γ, grading, weight, shift, duality, realization, source, D, Dom).</w:t>
      </w:r>
    </w:p>
    <w:p>
      <w:pPr/>
      <w:r>
        <w:t>Specialization map y↦1 или y↦-1 может давать числовой индекс, но она обычно неинъективна. Например, Laurent-полиномы y+y^{-1} и 2 имеют одинаковое значение при y=1, хотя refined-профили различны.</w:t>
      </w:r>
    </w:p>
    <w:p>
      <w:pPr>
        <w:pStyle w:val="Heading1"/>
        <w:keepNext/>
      </w:pPr>
      <w:r>
        <w:t>245. Cohomological Hall algebra</w:t>
      </w:r>
    </w:p>
    <w:p>
      <w:pPr/>
      <w:r>
        <w:t>Для подходящего quiver-with-potential или 3-Calabi-Yau контекста cohomological Hall algebra имеет градуированное пространство</w:t>
      </w:r>
    </w:p>
    <w:p>
      <w:pPr>
        <w:pStyle w:val="Quote"/>
        <w:jc w:val="center"/>
      </w:pPr>
      <w:r>
        <w:t>CoHA=⊕_{γ∈Γ_+} H^•_{c,G_γ}(Rep_γ, φ_{Tr W}),  (20.9)</w:t>
      </w:r>
    </w:p>
    <w:p>
      <w:pPr/>
      <w:r>
        <w:t>а произведение строится через correspondences, pull-push operations и vanishing cycles. Ассоциативность произведения является теоремой конкретной CoHA-конструкции и не следует из одной аддитивной градуировки.</w:t>
      </w:r>
    </w:p>
    <w:p>
      <w:pPr/>
      <w:r>
        <w:t>Для NAPG возможный CoHA-мост требует: категории объектов/расширений; стеков коротких точных последовательностей; proper/smooth conditions для pull-push; orientation/vanishing-cycle data; proof of associativity; совместимости с частичным произведением ⊙. До закрытия этих пунктов обозначение CoHA_NAPG является OPEN-CANDIDATE.</w:t>
      </w:r>
    </w:p>
    <w:p>
      <w:pPr>
        <w:pStyle w:val="Heading1"/>
        <w:keepNext/>
      </w:pPr>
      <w:r>
        <w:t>246. BPS-cohomology и интегральность</w:t>
      </w:r>
    </w:p>
    <w:p>
      <w:pPr/>
      <w:r>
        <w:t>В cohomological DT theory числовые BPS-инварианты заменяются mixed Hodge structures или cohomological BPS spaces. Схематически</w:t>
      </w:r>
    </w:p>
    <w:p>
      <w:pPr>
        <w:pStyle w:val="Quote"/>
        <w:jc w:val="center"/>
      </w:pPr>
      <w:r>
        <w:t>BPS_γ ∈ MHM(M_γ),      Ω_γ^{ref}=Real(BPS_γ).  (20.10)</w:t>
      </w:r>
    </w:p>
    <w:p>
      <w:pPr/>
      <w:r>
        <w:t>Интегральность числового инварианта может быть следствием существования категоризированного носителя, но не означает существования физической частицы. Термин BPS в настоящей главе используется только как имя классического математического слоя DT-теории; физический экспорт требует отдельного тома и независимого моста.</w:t>
      </w:r>
    </w:p>
    <w:p>
      <w:pPr/>
      <w:r>
        <w:t>PBW/freeness statements для CoHA фиксируют структурную генерацию алгебры BPS-слоем при собственных гипотезах. Они не задают временной порядок рождения объектов: порядок в PBW-базисе является алгебраическим.</w:t>
      </w:r>
    </w:p>
    <w:p>
      <w:pPr>
        <w:pStyle w:val="Heading1"/>
        <w:keepNext/>
      </w:pPr>
      <w:r>
        <w:t>247. Производящие ряды как завершённые градуированные объекты</w:t>
      </w:r>
    </w:p>
    <w:p>
      <w:pPr/>
      <w:r>
        <w:t>Пусть Γ_+ — положительный конус классов, R — коэффициентное кольцо, а R[[Γ_+]] — его completion. Refined generating series определяется как</w:t>
      </w:r>
    </w:p>
    <w:p>
      <w:pPr>
        <w:pStyle w:val="Quote"/>
        <w:jc w:val="center"/>
      </w:pPr>
      <w:r>
        <w:t>Z_ref(𝐱;y,𝕃)=1+Σ_{0≠γ∈Γ_+} Ω_γ^{ref}(y,𝕃) 𝐱^γ ∈ 1+Î.  (20.11)</w:t>
      </w:r>
    </w:p>
    <w:p>
      <w:pPr/>
      <w:r>
        <w:t>Переменная 𝐱^γ маркирует класс γ. Она не является моментом времени, если отдельно не задана карта τ:Γ_+→T. Даже при Γ_+=ℕ индекс n может означать длину, заряд, степень, число точек, Chern character, размерность представления или порядок возмущения.</w:t>
      </w:r>
    </w:p>
    <w:tbl>
      <w:tblPr>
        <w:tblStyle w:val="TableGrid"/>
        <w:tblW w:type="auto" w:w="0"/>
        <w:jc w:val="center"/>
        <w:tblLayout w:type="autofit"/>
        <w:tblLook w:firstColumn="1" w:firstRow="1" w:lastColumn="0" w:lastRow="0" w:noHBand="0" w:noVBand="1" w:val="04A0"/>
      </w:tblPr>
      <w:tblGrid>
        <w:gridCol w:w="3251"/>
        <w:gridCol w:w="3251"/>
        <w:gridCol w:w="3251"/>
      </w:tblGrid>
      <w:tr>
        <w:trPr>
          <w:tblHeader w:val="true"/>
        </w:trPr>
        <w:tc>
          <w:tcPr>
            <w:tcW w:type="dxa" w:w="2041"/>
            <w:tcMar>
              <w:top w:w="90" w:type="dxa"/>
              <w:start w:w="110" w:type="dxa"/>
              <w:bottom w:w="90" w:type="dxa"/>
              <w:end w:w="110" w:type="dxa"/>
            </w:tcMar>
            <w:vAlign w:val="center"/>
            <w:shd w:fill="17345F"/>
          </w:tcPr>
          <w:p>
            <w:pPr>
              <w:spacing w:after="0" w:before="0" w:line="240" w:lineRule="auto"/>
            </w:pPr>
            <w:r>
              <w:rPr>
                <w:b/>
                <w:color w:val="FFFFFF"/>
                <w:sz w:val="17"/>
              </w:rPr>
              <w:t>Компонент ряда</w:t>
            </w:r>
          </w:p>
        </w:tc>
        <w:tc>
          <w:tcPr>
            <w:tcW w:type="dxa" w:w="3458"/>
            <w:tcMar>
              <w:top w:w="90" w:type="dxa"/>
              <w:start w:w="110" w:type="dxa"/>
              <w:bottom w:w="90" w:type="dxa"/>
              <w:end w:w="110" w:type="dxa"/>
            </w:tcMar>
            <w:vAlign w:val="center"/>
            <w:shd w:fill="17345F"/>
          </w:tcPr>
          <w:p>
            <w:pPr>
              <w:spacing w:after="0" w:before="0" w:line="240" w:lineRule="auto"/>
            </w:pPr>
            <w:r>
              <w:rPr>
                <w:b/>
                <w:color w:val="FFFFFF"/>
                <w:sz w:val="17"/>
              </w:rPr>
              <w:t>Математическая роль</w:t>
            </w:r>
          </w:p>
        </w:tc>
        <w:tc>
          <w:tcPr>
            <w:tcW w:type="dxa" w:w="3515"/>
            <w:tcMar>
              <w:top w:w="90" w:type="dxa"/>
              <w:start w:w="110" w:type="dxa"/>
              <w:bottom w:w="90" w:type="dxa"/>
              <w:end w:w="110" w:type="dxa"/>
            </w:tcMar>
            <w:vAlign w:val="center"/>
            <w:shd w:fill="17345F"/>
          </w:tcPr>
          <w:p>
            <w:pPr>
              <w:spacing w:after="0" w:before="0" w:line="240" w:lineRule="auto"/>
            </w:pPr>
            <w:r>
              <w:rPr>
                <w:b/>
                <w:color w:val="FFFFFF"/>
                <w:sz w:val="17"/>
              </w:rPr>
              <w:t>Чего он не задаёт</w:t>
            </w:r>
          </w:p>
        </w:tc>
      </w:tr>
      <w:tr>
        <w:tc>
          <w:tcPr>
            <w:tcW w:type="dxa" w:w="2041"/>
            <w:tcMar>
              <w:top w:w="90" w:type="dxa"/>
              <w:start w:w="110" w:type="dxa"/>
              <w:bottom w:w="90" w:type="dxa"/>
              <w:end w:w="110" w:type="dxa"/>
            </w:tcMar>
            <w:vAlign w:val="center"/>
          </w:tcPr>
          <w:p>
            <w:pPr>
              <w:spacing w:after="0" w:before="0" w:line="240" w:lineRule="auto"/>
            </w:pPr>
            <w:r>
              <w:rPr>
                <w:b w:val="0"/>
                <w:sz w:val="17"/>
              </w:rPr>
              <w:t>γ∈Γ</w:t>
            </w:r>
          </w:p>
        </w:tc>
        <w:tc>
          <w:tcPr>
            <w:tcW w:type="dxa" w:w="3458"/>
            <w:tcMar>
              <w:top w:w="90" w:type="dxa"/>
              <w:start w:w="110" w:type="dxa"/>
              <w:bottom w:w="90" w:type="dxa"/>
              <w:end w:w="110" w:type="dxa"/>
            </w:tcMar>
            <w:vAlign w:val="center"/>
          </w:tcPr>
          <w:p>
            <w:pPr>
              <w:spacing w:after="0" w:before="0" w:line="240" w:lineRule="auto"/>
            </w:pPr>
            <w:r>
              <w:rPr>
                <w:b w:val="0"/>
                <w:sz w:val="17"/>
              </w:rPr>
              <w:t>градуировка/заряд/класс</w:t>
            </w:r>
          </w:p>
        </w:tc>
        <w:tc>
          <w:tcPr>
            <w:tcW w:type="dxa" w:w="3515"/>
            <w:tcMar>
              <w:top w:w="90" w:type="dxa"/>
              <w:start w:w="110" w:type="dxa"/>
              <w:bottom w:w="90" w:type="dxa"/>
              <w:end w:w="110" w:type="dxa"/>
            </w:tcMar>
            <w:vAlign w:val="center"/>
          </w:tcPr>
          <w:p>
            <w:pPr>
              <w:spacing w:after="0" w:before="0" w:line="240" w:lineRule="auto"/>
            </w:pPr>
            <w:r>
              <w:rPr>
                <w:b w:val="0"/>
                <w:sz w:val="17"/>
              </w:rPr>
              <w:t>момент времени</w:t>
            </w:r>
          </w:p>
        </w:tc>
      </w:tr>
      <w:tr>
        <w:tc>
          <w:tcPr>
            <w:tcW w:type="dxa" w:w="2041"/>
            <w:tcMar>
              <w:top w:w="90" w:type="dxa"/>
              <w:start w:w="110" w:type="dxa"/>
              <w:bottom w:w="90" w:type="dxa"/>
              <w:end w:w="110" w:type="dxa"/>
            </w:tcMar>
            <w:vAlign w:val="center"/>
          </w:tcPr>
          <w:p>
            <w:pPr>
              <w:spacing w:after="0" w:before="0" w:line="240" w:lineRule="auto"/>
            </w:pPr>
            <w:r>
              <w:rPr>
                <w:b w:val="0"/>
                <w:sz w:val="17"/>
              </w:rPr>
              <w:t>Ωγ</w:t>
            </w:r>
          </w:p>
        </w:tc>
        <w:tc>
          <w:tcPr>
            <w:tcW w:type="dxa" w:w="3458"/>
            <w:tcMar>
              <w:top w:w="90" w:type="dxa"/>
              <w:start w:w="110" w:type="dxa"/>
              <w:bottom w:w="90" w:type="dxa"/>
              <w:end w:w="110" w:type="dxa"/>
            </w:tcMar>
            <w:vAlign w:val="center"/>
          </w:tcPr>
          <w:p>
            <w:pPr>
              <w:spacing w:after="0" w:before="0" w:line="240" w:lineRule="auto"/>
            </w:pPr>
            <w:r>
              <w:rPr>
                <w:b w:val="0"/>
                <w:sz w:val="17"/>
              </w:rPr>
              <w:t>коэффициентный invariant</w:t>
            </w:r>
          </w:p>
        </w:tc>
        <w:tc>
          <w:tcPr>
            <w:tcW w:type="dxa" w:w="3515"/>
            <w:tcMar>
              <w:top w:w="90" w:type="dxa"/>
              <w:start w:w="110" w:type="dxa"/>
              <w:bottom w:w="90" w:type="dxa"/>
              <w:end w:w="110" w:type="dxa"/>
            </w:tcMar>
            <w:vAlign w:val="center"/>
          </w:tcPr>
          <w:p>
            <w:pPr>
              <w:spacing w:after="0" w:before="0" w:line="240" w:lineRule="auto"/>
            </w:pPr>
            <w:r>
              <w:rPr>
                <w:b w:val="0"/>
                <w:sz w:val="17"/>
              </w:rPr>
              <w:t>вероятность или частоту</w:t>
            </w:r>
          </w:p>
        </w:tc>
      </w:tr>
      <w:tr>
        <w:tc>
          <w:tcPr>
            <w:tcW w:type="dxa" w:w="2041"/>
            <w:tcMar>
              <w:top w:w="90" w:type="dxa"/>
              <w:start w:w="110" w:type="dxa"/>
              <w:bottom w:w="90" w:type="dxa"/>
              <w:end w:w="110" w:type="dxa"/>
            </w:tcMar>
            <w:vAlign w:val="center"/>
          </w:tcPr>
          <w:p>
            <w:pPr>
              <w:spacing w:after="0" w:before="0" w:line="240" w:lineRule="auto"/>
            </w:pPr>
            <w:r>
              <w:rPr>
                <w:b w:val="0"/>
                <w:sz w:val="17"/>
              </w:rPr>
              <w:t>x^γ</w:t>
            </w:r>
          </w:p>
        </w:tc>
        <w:tc>
          <w:tcPr>
            <w:tcW w:type="dxa" w:w="3458"/>
            <w:tcMar>
              <w:top w:w="90" w:type="dxa"/>
              <w:start w:w="110" w:type="dxa"/>
              <w:bottom w:w="90" w:type="dxa"/>
              <w:end w:w="110" w:type="dxa"/>
            </w:tcMar>
            <w:vAlign w:val="center"/>
          </w:tcPr>
          <w:p>
            <w:pPr>
              <w:spacing w:after="0" w:before="0" w:line="240" w:lineRule="auto"/>
            </w:pPr>
            <w:r>
              <w:rPr>
                <w:b w:val="0"/>
                <w:sz w:val="17"/>
              </w:rPr>
              <w:t>формальный моном</w:t>
            </w:r>
          </w:p>
        </w:tc>
        <w:tc>
          <w:tcPr>
            <w:tcW w:type="dxa" w:w="3515"/>
            <w:tcMar>
              <w:top w:w="90" w:type="dxa"/>
              <w:start w:w="110" w:type="dxa"/>
              <w:bottom w:w="90" w:type="dxa"/>
              <w:end w:w="110" w:type="dxa"/>
            </w:tcMar>
            <w:vAlign w:val="center"/>
          </w:tcPr>
          <w:p>
            <w:pPr>
              <w:spacing w:after="0" w:before="0" w:line="240" w:lineRule="auto"/>
            </w:pPr>
            <w:r>
              <w:rPr>
                <w:b w:val="0"/>
                <w:sz w:val="17"/>
              </w:rPr>
              <w:t>состояние системы</w:t>
            </w:r>
          </w:p>
        </w:tc>
      </w:tr>
      <w:tr>
        <w:tc>
          <w:tcPr>
            <w:tcW w:type="dxa" w:w="2041"/>
            <w:tcMar>
              <w:top w:w="90" w:type="dxa"/>
              <w:start w:w="110" w:type="dxa"/>
              <w:bottom w:w="90" w:type="dxa"/>
              <w:end w:w="110" w:type="dxa"/>
            </w:tcMar>
            <w:vAlign w:val="center"/>
          </w:tcPr>
          <w:p>
            <w:pPr>
              <w:spacing w:after="0" w:before="0" w:line="240" w:lineRule="auto"/>
            </w:pPr>
            <w:r>
              <w:rPr>
                <w:b w:val="0"/>
                <w:sz w:val="17"/>
              </w:rPr>
              <w:t>PExp/PLog</w:t>
            </w:r>
          </w:p>
        </w:tc>
        <w:tc>
          <w:tcPr>
            <w:tcW w:type="dxa" w:w="3458"/>
            <w:tcMar>
              <w:top w:w="90" w:type="dxa"/>
              <w:start w:w="110" w:type="dxa"/>
              <w:bottom w:w="90" w:type="dxa"/>
              <w:end w:w="110" w:type="dxa"/>
            </w:tcMar>
            <w:vAlign w:val="center"/>
          </w:tcPr>
          <w:p>
            <w:pPr>
              <w:spacing w:after="0" w:before="0" w:line="240" w:lineRule="auto"/>
            </w:pPr>
            <w:r>
              <w:rPr>
                <w:b w:val="0"/>
                <w:sz w:val="17"/>
              </w:rPr>
              <w:t>упаковка multi-particle/combinatorial data</w:t>
            </w:r>
          </w:p>
        </w:tc>
        <w:tc>
          <w:tcPr>
            <w:tcW w:type="dxa" w:w="3515"/>
            <w:tcMar>
              <w:top w:w="90" w:type="dxa"/>
              <w:start w:w="110" w:type="dxa"/>
              <w:bottom w:w="90" w:type="dxa"/>
              <w:end w:w="110" w:type="dxa"/>
            </w:tcMar>
            <w:vAlign w:val="center"/>
          </w:tcPr>
          <w:p>
            <w:pPr>
              <w:spacing w:after="0" w:before="0" w:line="240" w:lineRule="auto"/>
            </w:pPr>
            <w:r>
              <w:rPr>
                <w:b w:val="0"/>
                <w:sz w:val="17"/>
              </w:rPr>
              <w:t>эволюционный оператор</w:t>
            </w:r>
          </w:p>
        </w:tc>
      </w:tr>
      <w:tr>
        <w:tc>
          <w:tcPr>
            <w:tcW w:type="dxa" w:w="2041"/>
            <w:tcMar>
              <w:top w:w="90" w:type="dxa"/>
              <w:start w:w="110" w:type="dxa"/>
              <w:bottom w:w="90" w:type="dxa"/>
              <w:end w:w="110" w:type="dxa"/>
            </w:tcMar>
            <w:vAlign w:val="center"/>
          </w:tcPr>
          <w:p>
            <w:pPr>
              <w:spacing w:after="0" w:before="0" w:line="240" w:lineRule="auto"/>
            </w:pPr>
            <w:r>
              <w:rPr>
                <w:b w:val="0"/>
                <w:sz w:val="17"/>
              </w:rPr>
              <w:t>functional equation</w:t>
            </w:r>
          </w:p>
        </w:tc>
        <w:tc>
          <w:tcPr>
            <w:tcW w:type="dxa" w:w="3458"/>
            <w:tcMar>
              <w:top w:w="90" w:type="dxa"/>
              <w:start w:w="110" w:type="dxa"/>
              <w:bottom w:w="90" w:type="dxa"/>
              <w:end w:w="110" w:type="dxa"/>
            </w:tcMar>
            <w:vAlign w:val="center"/>
          </w:tcPr>
          <w:p>
            <w:pPr>
              <w:spacing w:after="0" w:before="0" w:line="240" w:lineRule="auto"/>
            </w:pPr>
            <w:r>
              <w:rPr>
                <w:b w:val="0"/>
                <w:sz w:val="17"/>
              </w:rPr>
              <w:t>алгебраическая симметрия</w:t>
            </w:r>
          </w:p>
        </w:tc>
        <w:tc>
          <w:tcPr>
            <w:tcW w:type="dxa" w:w="3515"/>
            <w:tcMar>
              <w:top w:w="90" w:type="dxa"/>
              <w:start w:w="110" w:type="dxa"/>
              <w:bottom w:w="90" w:type="dxa"/>
              <w:end w:w="110" w:type="dxa"/>
            </w:tcMar>
            <w:vAlign w:val="center"/>
          </w:tcPr>
          <w:p>
            <w:pPr>
              <w:spacing w:after="0" w:before="0" w:line="240" w:lineRule="auto"/>
            </w:pPr>
            <w:r>
              <w:rPr>
                <w:b w:val="0"/>
                <w:sz w:val="17"/>
              </w:rPr>
              <w:t>причинность</w:t>
            </w:r>
          </w:p>
        </w:tc>
      </w:tr>
      <w:tr>
        <w:tc>
          <w:tcPr>
            <w:tcW w:type="dxa" w:w="2041"/>
            <w:tcMar>
              <w:top w:w="90" w:type="dxa"/>
              <w:start w:w="110" w:type="dxa"/>
              <w:bottom w:w="90" w:type="dxa"/>
              <w:end w:w="110" w:type="dxa"/>
            </w:tcMar>
            <w:vAlign w:val="center"/>
          </w:tcPr>
          <w:p>
            <w:pPr>
              <w:spacing w:after="0" w:before="0" w:line="240" w:lineRule="auto"/>
            </w:pPr>
            <w:r>
              <w:rPr>
                <w:b w:val="0"/>
                <w:sz w:val="17"/>
              </w:rPr>
              <w:t>radius of convergence</w:t>
            </w:r>
          </w:p>
        </w:tc>
        <w:tc>
          <w:tcPr>
            <w:tcW w:type="dxa" w:w="3458"/>
            <w:tcMar>
              <w:top w:w="90" w:type="dxa"/>
              <w:start w:w="110" w:type="dxa"/>
              <w:bottom w:w="90" w:type="dxa"/>
              <w:end w:w="110" w:type="dxa"/>
            </w:tcMar>
            <w:vAlign w:val="center"/>
          </w:tcPr>
          <w:p>
            <w:pPr>
              <w:spacing w:after="0" w:before="0" w:line="240" w:lineRule="auto"/>
            </w:pPr>
            <w:r>
              <w:rPr>
                <w:b w:val="0"/>
                <w:sz w:val="17"/>
              </w:rPr>
              <w:t>аналитическая область числовой реализации</w:t>
            </w:r>
          </w:p>
        </w:tc>
        <w:tc>
          <w:tcPr>
            <w:tcW w:type="dxa" w:w="3515"/>
            <w:tcMar>
              <w:top w:w="90" w:type="dxa"/>
              <w:start w:w="110" w:type="dxa"/>
              <w:bottom w:w="90" w:type="dxa"/>
              <w:end w:w="110" w:type="dxa"/>
            </w:tcMar>
            <w:vAlign w:val="center"/>
          </w:tcPr>
          <w:p>
            <w:pPr>
              <w:spacing w:after="0" w:before="0" w:line="240" w:lineRule="auto"/>
            </w:pPr>
            <w:r>
              <w:rPr>
                <w:b w:val="0"/>
                <w:sz w:val="17"/>
              </w:rPr>
              <w:t>физический горизонт без модели</w:t>
            </w:r>
          </w:p>
        </w:tc>
      </w:tr>
    </w:tbl>
    <w:p>
      <w:pPr>
        <w:spacing w:after="0"/>
      </w:pPr>
    </w:p>
    <w:p>
      <w:pPr>
        <w:pStyle w:val="Heading1"/>
        <w:keepNext/>
      </w:pPr>
      <w:r>
        <w:t>248. Квантовый тор и упорядоченные факторизации</w:t>
      </w:r>
    </w:p>
    <w:p>
      <w:pPr/>
      <w:r>
        <w:t>Если Γ снабжена кососимметрической формой ⟨·,·⟩, motivic DT series часто живёт в quantum torus с умножением</w:t>
      </w:r>
    </w:p>
    <w:p>
      <w:pPr>
        <w:pStyle w:val="Quote"/>
        <w:jc w:val="center"/>
      </w:pPr>
      <w:r>
        <w:t>𝐱^α 𝐱^β = 𝕃^{⟨α,β⟩/2} 𝐱^{α+β}.  (20.12)</w:t>
      </w:r>
    </w:p>
    <w:p>
      <w:pPr/>
      <w:r>
        <w:t>При ненулевой форме порядок множителей существенен. Wall-crossing утверждает инвариантность соответствующего ordered product при изменении стабильности, а не покадровую временную эволюцию каждого коэффициента. Лучи центрального заряда задают порядок в факторизации, но не физические даты.</w:t>
      </w:r>
    </w:p>
    <w:p>
      <w:pPr/>
      <w:r>
        <w:t>Определение 20.4. Series certificate включает (Γ,R,completion,pairing,ordering,chamber,PExp/PLog,convergence_status,D,Dom). Без этого произведение и перестановка факторов не считаются типизированными.</w:t>
      </w:r>
    </w:p>
    <w:p>
      <w:pPr>
        <w:pStyle w:val="Heading1"/>
        <w:keepNext/>
      </w:pPr>
      <w:r>
        <w:t>249. Rationality и функциональные уравнения</w:t>
      </w:r>
    </w:p>
    <w:p>
      <w:pPr/>
      <w:r>
        <w:t>В ряде curve-counting задач generating functions являются разложениями рациональных функций или удовлетворяют duality/functional equations. Эти свойства являются сильными структурными ограничениями, но не задают trajectory law.</w:t>
      </w:r>
    </w:p>
    <w:p>
      <w:pPr>
        <w:pStyle w:val="Quote"/>
        <w:jc w:val="center"/>
      </w:pPr>
      <w:r>
        <w:t>Z(q^{-1}) = q^a · ε · Z(q)    или    Z(q)=P(q)/Q(q).  (20.13)</w:t>
      </w:r>
    </w:p>
    <w:p>
      <w:pPr/>
      <w:r>
        <w:t>Формула (20.13) связывает коэффициенты как алгебраические данные. Она не сообщает, как состояние при времени t переходит в состояние при t+Δt. Даже recurrence relation для коэффициентов становится динамикой только после определения state vector, transition map и интерпретации шага индекса.</w:t>
      </w:r>
    </w:p>
    <w:p>
      <w:pPr>
        <w:pStyle w:val="Heading1"/>
        <w:keepNext/>
      </w:pPr>
      <w:r>
        <w:t>250. Теорема неидентифицируемости времени по коэффициентам</w:t>
      </w:r>
    </w:p>
    <w:p>
      <w:pPr/>
      <w:r>
        <w:t>Теорема 20.4 (Coefficient-time non-identifiability). [THM] Формальный ряд Z(q)=Σ_{n≥0}a_nq^n сам по себе не определяет временную шкалу, длительности между наблюдениями или эволюционный оператор.</w:t>
      </w:r>
    </w:p>
    <w:p>
      <w:pPr/>
      <w:r>
        <w:t>Доказательство. Ряд определяет функцию коэффициентов a:ℕ→R. Выберем две инъективные временные разметки τ₁(n)=n и τ₂(n)=n² в ℝ_{≥0}. Они присваивают одной и той же последовательности различные интервалы: τ₁(n+1)-τ₁(n)=1, тогда как τ₂(n+1)-τ₂(n)=2n+1. Никакое свойство коэффициентов не выбирает одну разметку. Более того, ряд не содержит операторов U(τ(n+1),τ(n)), поэтому не определяет переход между состояниями. Следовательно, time metric и dynamics неидентифицируемы.</w:t>
      </w:r>
    </w:p>
    <w:p>
      <w:pPr>
        <w:pStyle w:val="Quote"/>
        <w:jc w:val="center"/>
      </w:pPr>
      <w:r>
        <w:t>graded coefficient ≠ time-stamped state; generating series ≠ flow.  (20.14)</w:t>
      </w:r>
    </w:p>
    <w:p>
      <w:pPr>
        <w:jc w:val="center"/>
      </w:pPr>
      <w:r>
        <w:drawing>
          <wp:inline xmlns:a="http://schemas.openxmlformats.org/drawingml/2006/main" xmlns:pic="http://schemas.openxmlformats.org/drawingml/2006/picture">
            <wp:extent cx="5796000" cy="3401889"/>
            <wp:docPr id="53" name="Picture 53"/>
            <wp:cNvGraphicFramePr>
              <a:graphicFrameLocks noChangeAspect="1"/>
            </wp:cNvGraphicFramePr>
            <a:graphic>
              <a:graphicData uri="http://schemas.openxmlformats.org/drawingml/2006/picture">
                <pic:pic>
                  <pic:nvPicPr>
                    <pic:cNvPr id="0" name="fig20_2.png"/>
                    <pic:cNvPicPr/>
                  </pic:nvPicPr>
                  <pic:blipFill>
                    <a:blip r:embed="rId90"/>
                    <a:stretch>
                      <a:fillRect/>
                    </a:stretch>
                  </pic:blipFill>
                  <pic:spPr>
                    <a:xfrm>
                      <a:off x="0" y="0"/>
                      <a:ext cx="5796000" cy="3401889"/>
                    </a:xfrm>
                    <a:prstGeom prst="rect"/>
                  </pic:spPr>
                </pic:pic>
              </a:graphicData>
            </a:graphic>
          </wp:inline>
        </w:drawing>
      </w:r>
    </w:p>
    <w:p>
      <w:pPr>
        <w:pStyle w:val="Caption"/>
        <w:keepNext w:val="0"/>
        <w:jc w:val="center"/>
      </w:pPr>
      <w:r>
        <w:t>Рисунок 20.2. Типовой барьер между производящим рядом и временной динамикой. Собственная схема Тома II.</w:t>
      </w:r>
    </w:p>
    <w:p>
      <w:pPr>
        <w:pStyle w:val="Heading1"/>
        <w:keepNext/>
      </w:pPr>
      <w:r>
        <w:t>251. Минимальный динамический мост</w:t>
      </w:r>
    </w:p>
    <w:p>
      <w:pPr/>
      <w:r>
        <w:t>Определение 20.5. Динамический мост задаётся кортежем</w:t>
      </w:r>
    </w:p>
    <w:p>
      <w:pPr>
        <w:pStyle w:val="Quote"/>
        <w:jc w:val="center"/>
      </w:pPr>
      <w:r>
        <w:t>B_dyn=(T,S,τ,U,𝒢,ι,Obs,noise,Cal,Ext,D,Dom).  (20.15)</w:t>
      </w:r>
    </w:p>
    <w:p>
      <w:pPr>
        <w:pStyle w:val="ListBullet"/>
      </w:pPr>
      <w:r>
        <w:t>T — временной носитель с выбранной топологией/мерой и направлением;</w:t>
      </w:r>
    </w:p>
    <w:p>
      <w:pPr>
        <w:pStyle w:val="ListBullet"/>
      </w:pPr>
      <w:r>
        <w:t>S — пространство состояний;</w:t>
      </w:r>
    </w:p>
    <w:p>
      <w:pPr>
        <w:pStyle w:val="ListBullet"/>
      </w:pPr>
      <w:r>
        <w:t>τ:Γ→T связывает grading с моментами или интервалами;</w:t>
      </w:r>
    </w:p>
    <w:p>
      <w:pPr>
        <w:pStyle w:val="ListBullet"/>
      </w:pPr>
      <w:r>
        <w:t>U(t,s):S→S — evolution family, определённая при t≥s;</w:t>
      </w:r>
    </w:p>
    <w:p>
      <w:pPr>
        <w:pStyle w:val="ListBullet"/>
      </w:pPr>
      <w:r>
        <w:t>𝒢 — генератор, уравнение или kernel, если он существует;</w:t>
      </w:r>
    </w:p>
    <w:p>
      <w:pPr>
        <w:pStyle w:val="ListBullet"/>
      </w:pPr>
      <w:r>
        <w:t>ι — embedding refined/motivic data в state/parameter space;</w:t>
      </w:r>
    </w:p>
    <w:p>
      <w:pPr>
        <w:pStyle w:val="ListBullet"/>
      </w:pPr>
      <w:r>
        <w:t>Obs — наблюдательная карта;</w:t>
      </w:r>
    </w:p>
    <w:p>
      <w:pPr>
        <w:pStyle w:val="ListBullet"/>
      </w:pPr>
      <w:r>
        <w:t>noise — вероятностная или интервальная модель ошибок;</w:t>
      </w:r>
    </w:p>
    <w:p>
      <w:pPr>
        <w:pStyle w:val="ListBullet"/>
      </w:pPr>
      <w:r>
        <w:t>Cal и Ext — калибровка и независимый внешний запуск;</w:t>
      </w:r>
    </w:p>
    <w:p>
      <w:pPr>
        <w:pStyle w:val="ListBullet"/>
      </w:pPr>
      <w:r>
        <w:t>D/ Dom — достаточное основание и допустимая область.</w:t>
      </w:r>
    </w:p>
    <w:p>
      <w:pPr/>
      <w:r>
        <w:t>Основные тождества evolution family:</w:t>
      </w:r>
    </w:p>
    <w:p>
      <w:pPr>
        <w:pStyle w:val="Quote"/>
        <w:jc w:val="center"/>
      </w:pPr>
      <w:r>
        <w:t>U(t,t)=Id,       U(t,r)∘U(r,s)=U(t,s),       t≥r≥s.  (20.16)</w:t>
      </w:r>
    </w:p>
    <w:p>
      <w:pPr/>
      <w:r>
        <w:t>Без (20.16) символ “эволюция” остаётся метафорой или независимым набором операторов.</w:t>
      </w:r>
    </w:p>
    <w:p>
      <w:pPr>
        <w:pStyle w:val="Heading1"/>
        <w:keepNext/>
      </w:pPr>
      <w:r>
        <w:t>252. Полугруппы, генераторы и transfer operators</w:t>
      </w:r>
    </w:p>
    <w:p>
      <w:pPr/>
      <w:r>
        <w:t>Для автономной линейной модели может использоваться strongly continuous semigroup U(t)=e^{tA}. Генератор определяется пределом</w:t>
      </w:r>
    </w:p>
    <w:p>
      <w:pPr>
        <w:pStyle w:val="Quote"/>
        <w:jc w:val="center"/>
      </w:pPr>
      <w:r>
        <w:t>Ax = lim_{t↓0} (U(t)x-x)/t,  x∈Dom(A).  (20.17)</w:t>
      </w:r>
    </w:p>
    <w:p>
      <w:pPr/>
      <w:r>
        <w:t>Для неавтономной модели требуется двупараметрическое U(t,s), а для вероятностных состояний — Markov/transfer operator с сохранением положительности и массы. Ни одно из этих свойств не следует из positivity коэффициентов generating series: положительный коэффициент не является positive operator.</w:t>
      </w:r>
    </w:p>
    <w:p>
      <w:pPr/>
      <w:r>
        <w:t>NAPG-версия transfer bridge должна также сохранять реперные ограничения, D/Dom, partial operation domains и blocker-safe abstention. Существование такого оператора в общей NAPG остаётся OPEN.</w:t>
      </w:r>
    </w:p>
    <w:p>
      <w:pPr>
        <w:pStyle w:val="Heading1"/>
        <w:keepNext/>
      </w:pPr>
      <w:r>
        <w:t>253. Path-space carrier и причинный порядок</w:t>
      </w:r>
    </w:p>
    <w:p>
      <w:pPr/>
      <w:r>
        <w:t>Временной прогноз требует не только маргинальных состояний, но и допустимых путей. Вводится path-space 𝒫(S) и мера/множество допустимых траекторий 𝔔. Причинный kernel K_{t,s} должен удовлетворять композиции Чепмена–Колмогорова или её детерминированному аналогу.</w:t>
      </w:r>
    </w:p>
    <w:p>
      <w:pPr>
        <w:pStyle w:val="Quote"/>
        <w:jc w:val="center"/>
      </w:pPr>
      <w:r>
        <w:t>K_{t,s}=K_{t,r}∘K_{r,s}.  (20.18)</w:t>
      </w:r>
    </w:p>
    <w:p>
      <w:pPr/>
      <w:r>
        <w:t>Формальный ряд может кодировать суммы по путям после того, как path model уже задана. Обратный вывод “есть ряд, значит есть путь” недопустим. Один и тот же partition function допускает различные microscopic path models.</w:t>
      </w:r>
    </w:p>
    <w:p>
      <w:pPr>
        <w:pStyle w:val="Heading1"/>
        <w:keepNext/>
      </w:pPr>
      <w:r>
        <w:t>254. Эмпирический мост и операционализация</w:t>
      </w:r>
    </w:p>
    <w:p>
      <w:pPr/>
      <w:r>
        <w:t>Динамический мост становится эмпирическим только после спецификации наблюдаемой Y_t, частоты измерения, censoring, selection mechanism, train/validation/test split и критериев фальсификации. Внешний слой имеет вид</w:t>
      </w:r>
    </w:p>
    <w:p>
      <w:pPr>
        <w:pStyle w:val="Quote"/>
        <w:jc w:val="center"/>
      </w:pPr>
      <w:r>
        <w:t>Y_t = Obs(U(t,t₀)ι(𝓜_ref)) + ε_t.  (20.19)</w:t>
      </w:r>
    </w:p>
    <w:p>
      <w:pPr/>
      <w:r>
        <w:t>Формула (20.19) является моделью измерения. Она не выводится из мотивного кольца. Параметры Obs, ε_t и τ должны быть определены до раскрытия контрольного результата, иначе коэффициенты ряда могут быть постфактум переименованы во “временные признаки”.</w:t>
      </w:r>
    </w:p>
    <w:p>
      <w:pPr>
        <w:pStyle w:val="Heading1"/>
        <w:keepNext/>
      </w:pPr>
      <w:r>
        <w:t>255. Мотивно-refined Reper-сертификат</w:t>
      </w:r>
    </w:p>
    <w:p>
      <w:pPr/>
      <w:r>
        <w:t>Определение 20.6. Полный сертификат главы имеет вид</w:t>
      </w:r>
    </w:p>
    <w:p>
      <w:pPr>
        <w:pStyle w:val="Quote"/>
        <w:jc w:val="center"/>
      </w:pPr>
      <w:r>
        <w:t>MotRefCert=(𝕍,K₀,𝓜,Real,Ω_ref,Z_ref,B_dyn,B_emp,src,code,D,Dom).  (20.20)</w:t>
      </w:r>
    </w:p>
    <w:p>
      <w:pPr/>
      <w:r>
        <w:t>Ему сопоставляется Reper-четвёрка</w:t>
      </w:r>
    </w:p>
    <w:p>
      <w:pPr>
        <w:pStyle w:val="Quote"/>
        <w:jc w:val="center"/>
      </w:pPr>
      <w:r>
        <w:t>Rep_mot=(R_mot,I_mot,U_mot;D_mot),  (20.21)</w:t>
      </w:r>
    </w:p>
    <w:p>
      <w:pPr>
        <w:pStyle w:val="ListBullet"/>
      </w:pPr>
      <w:r>
        <w:t>R_mot: фактически построенный категориальный/мотивный/refined carrier;</w:t>
      </w:r>
    </w:p>
    <w:p>
      <w:pPr>
        <w:pStyle w:val="ListBullet"/>
      </w:pPr>
      <w:r>
        <w:t>I_mot: выбранный invariant, realization и правило сравнения;</w:t>
      </w:r>
    </w:p>
    <w:p>
      <w:pPr>
        <w:pStyle w:val="ListBullet"/>
      </w:pPr>
      <w:r>
        <w:t>U_mot: допустимые chamber, grading, completion, specialization и dynamic bridges;</w:t>
      </w:r>
    </w:p>
    <w:p>
      <w:pPr>
        <w:pStyle w:val="ListBullet"/>
      </w:pPr>
      <w:r>
        <w:t>D_mot: orientation, source provenance, software, exact/interval arithmetic, time map, evolution law и external evidence.</w:t>
      </w:r>
    </w:p>
    <w:p>
      <w:pPr/>
      <w:r>
        <w:t>Проективно-гармоническая координата λ вычисляется только для типизированной четвёрки (20.21). Она не извлекается из одного коэффициента и не назначает индексу временной смысл.</w:t>
      </w:r>
    </w:p>
    <w:p>
      <w:pPr>
        <w:pStyle w:val="Heading1"/>
        <w:keepNext/>
      </w:pPr>
      <w:r>
        <w:t>256. Информационные остатки и refined-CGI</w:t>
      </w:r>
    </w:p>
    <w:p>
      <w:pPr/>
      <w:r>
        <w:t>Вместо преждевременного сведения всех ошибок к одному числу вводится вектор остатков</w:t>
      </w:r>
    </w:p>
    <w:p>
      <w:pPr>
        <w:pStyle w:val="Quote"/>
        <w:jc w:val="center"/>
      </w:pPr>
      <w:r>
        <w:t>R_ref=(r_cat,r_K₀,r_mot,r_real,r_spec,r_series,r_time,r_evol,r_obs,r_ext).  (20.22)</w:t>
      </w:r>
    </w:p>
    <w:p>
      <w:pPr/>
      <w:r>
        <w:t>Компоненты измеряют соответственно потерю категориальных данных, неопределённость декатегорификации, motivic orientation/gluing, неконсервативность realization, ошибку специализации, дефект completed series, отсутствие time map, нарушение evolution law, observational mismatch и внешний validation gap.</w:t>
      </w:r>
    </w:p>
    <w:p>
      <w:pPr/>
      <w:r>
        <w:t>Скалярный индекс CGI_ref=∥W R_ref∥ разрешён только после публикации весового оператора W и анализа чувствительности. Изменение W может менять ranking кандидатов, поэтому W входит в D и контрольный хеш.</w:t>
      </w:r>
    </w:p>
    <w:p>
      <w:pPr>
        <w:pStyle w:val="Heading1"/>
        <w:keepNext/>
      </w:pPr>
      <w:r>
        <w:t>257. Три переходных горизонта v0.17</w:t>
      </w:r>
    </w:p>
    <w:p>
      <w:pPr>
        <w:pStyle w:val="Quote"/>
        <w:jc w:val="center"/>
      </w:pPr>
      <w:r>
        <w:t>Δ_mot = Δ_cat ∪ Δ_or ∪ Δ_glue ∪ Δ_comp ∪ Δ_real ∪ Δ_spec.  (20.23)</w:t>
      </w:r>
    </w:p>
    <w:p>
      <w:pPr>
        <w:pStyle w:val="Quote"/>
        <w:jc w:val="center"/>
      </w:pPr>
      <w:r>
        <w:t>Δ_series = Δ_ring ∪ Δ_order ∪ Δ_wall ∪ Δ_PExp ∪ Δ_conv ∪ Δ_func.  (20.24)</w:t>
      </w:r>
    </w:p>
    <w:p>
      <w:pPr>
        <w:pStyle w:val="Quote"/>
        <w:jc w:val="center"/>
      </w:pPr>
      <w:r>
        <w:t>Δ_dyn = Δ_time ∪ Δ_state ∪ Δ_U ∪ Δ_gen ∪ Δ_path ∪ Δ_obs ∪ Δ_cal ∪ Δ_ext.  (20.25)</w:t>
      </w:r>
    </w:p>
    <w:p>
      <w:pPr/>
      <w:r>
        <w:t>Первый горизонт фиксирует смену категориального/мотивного carrier, orientation, gluing, completion, realization и specialization. Второй — смену coefficient ring, порядка в quantum torus, wall, plethystic admissibility, режима сходимости и functional equation. Третий — изменение времени, state space, evolution family, generator, path model, observation, calibration и внешней проверки.</w:t>
      </w:r>
    </w:p>
    <w:p>
      <w:pPr>
        <w:pStyle w:val="Quote"/>
        <w:jc w:val="center"/>
      </w:pPr>
      <w:r>
        <w:t>Δ_safe^{v0.17}=Δ_safe^{v0.16}∪Δ_mot∪Δ_series∪Δ_dyn.  (20.26)</w:t>
      </w:r>
    </w:p>
    <w:p>
      <w:pPr>
        <w:pStyle w:val="Heading1"/>
        <w:keepNext/>
      </w:pPr>
      <w:r>
        <w:t>258. Главная условная теорема T2-RP-v0.17</w:t>
      </w:r>
    </w:p>
    <w:p>
      <w:pPr/>
      <w:r>
        <w:t>Теорема 20.5 (Motivic-series-dynamic safe theorem). [COND] Пусть над связной камерой параметров выполнены условия:</w:t>
      </w:r>
    </w:p>
    <w:p>
      <w:pPr>
        <w:pStyle w:val="ListNumber"/>
      </w:pPr>
      <w:r>
        <w:t>существует глобальный categorified/refined carrier 𝕍_γ с доказанным descent;</w:t>
      </w:r>
    </w:p>
    <w:p>
      <w:pPr>
        <w:pStyle w:val="ListNumber"/>
      </w:pPr>
      <w:r>
        <w:t>orientation и motivic vanishing-cycle data согласованы;</w:t>
      </w:r>
    </w:p>
    <w:p>
      <w:pPr>
        <w:pStyle w:val="ListNumber"/>
      </w:pPr>
      <w:r>
        <w:t>Grothendieck, motivic и realization maps типизированы и естественны;</w:t>
      </w:r>
    </w:p>
    <w:p>
      <w:pPr>
        <w:pStyle w:val="ListNumber"/>
      </w:pPr>
      <w:r>
        <w:t>coefficient ring complete, а PExp/PLog и ordered products определены;</w:t>
      </w:r>
    </w:p>
    <w:p>
      <w:pPr>
        <w:pStyle w:val="ListNumber"/>
      </w:pPr>
      <w:r>
        <w:t>grading cone, chamber и wall-crossing transport фиксированы;</w:t>
      </w:r>
    </w:p>
    <w:p>
      <w:pPr>
        <w:pStyle w:val="ListNumber"/>
      </w:pPr>
      <w:r>
        <w:t>MotRefCert, Evidence-D и Dom валидны;</w:t>
      </w:r>
    </w:p>
    <w:p>
      <w:pPr>
        <w:pStyle w:val="ListNumber"/>
      </w:pPr>
      <w:r>
        <w:t>если заявлен временной вывод, то задан B_dyn с (20.16) и B_emp с (20.19);</w:t>
      </w:r>
    </w:p>
    <w:p>
      <w:pPr>
        <w:pStyle w:val="ListNumber"/>
      </w:pPr>
      <w:r>
        <w:t>путь γ(I) не пересекает Δ_safe^{v0.17}.</w:t>
      </w:r>
    </w:p>
    <w:p>
      <w:pPr/>
      <w:r>
        <w:t>Тогда motivic/refined profile</w:t>
      </w:r>
    </w:p>
    <w:p>
      <w:pPr>
        <w:pStyle w:val="Quote"/>
        <w:jc w:val="center"/>
      </w:pPr>
      <w:r>
        <w:t>P_ref(t)=([𝕍_t],𝓜_t,Real_t,Ω_t^{ref},Z_t,chamber_t,λ_t,CGI_ref,t)  (20.27)</w:t>
      </w:r>
    </w:p>
    <w:p>
      <w:pPr/>
      <w:r>
        <w:t>постоянен вдоль пути с точностью до доказанного transport. Если временной мост отсутствует, допустим только вывод</w:t>
      </w:r>
    </w:p>
    <w:p>
      <w:pPr>
        <w:pStyle w:val="Quote"/>
        <w:jc w:val="center"/>
      </w:pPr>
      <w:r>
        <w:t>NO-REFINED-CHANGE-IN-MODEL  или  FORMAL-SERIES-ONLY.  (20.28)</w:t>
      </w:r>
    </w:p>
    <w:p>
      <w:pPr/>
      <w:r>
        <w:t>Если B_dyn и B_emp закрыты, дополнительно разрешается проверка динамического профиля. Даже тогда теорема не утверждает физическую универсальность: она ограничена выбранными state space, time map, evolution law, observation и доменом.</w:t>
      </w:r>
    </w:p>
    <w:p>
      <w:pPr>
        <w:pStyle w:val="Heading1"/>
        <w:keepNext/>
      </w:pPr>
      <w:r>
        <w:t>259. Трёхступенчатый blocker-safe вердикт</w:t>
      </w:r>
    </w:p>
    <w:tbl>
      <w:tblPr>
        <w:tblStyle w:val="TableGrid"/>
        <w:tblW w:type="auto" w:w="0"/>
        <w:jc w:val="center"/>
        <w:tblLayout w:type="autofit"/>
        <w:tblLook w:firstColumn="1" w:firstRow="1" w:lastColumn="0" w:lastRow="0" w:noHBand="0" w:noVBand="1" w:val="04A0"/>
      </w:tblPr>
      <w:tblGrid>
        <w:gridCol w:w="3251"/>
        <w:gridCol w:w="3251"/>
        <w:gridCol w:w="3251"/>
      </w:tblGrid>
      <w:tr>
        <w:trPr>
          <w:tblHeader w:val="true"/>
        </w:trPr>
        <w:tc>
          <w:tcPr>
            <w:tcW w:type="dxa" w:w="1531"/>
            <w:tcMar>
              <w:top w:w="90" w:type="dxa"/>
              <w:start w:w="110" w:type="dxa"/>
              <w:bottom w:w="90" w:type="dxa"/>
              <w:end w:w="110" w:type="dxa"/>
            </w:tcMar>
            <w:vAlign w:val="center"/>
            <w:shd w:fill="17345F"/>
          </w:tcPr>
          <w:p>
            <w:pPr>
              <w:spacing w:after="0" w:before="0" w:line="240" w:lineRule="auto"/>
            </w:pPr>
            <w:r>
              <w:rPr>
                <w:b/>
                <w:color w:val="FFFFFF"/>
                <w:sz w:val="17"/>
              </w:rPr>
              <w:t>Ступень</w:t>
            </w:r>
          </w:p>
        </w:tc>
        <w:tc>
          <w:tcPr>
            <w:tcW w:type="dxa" w:w="4025"/>
            <w:tcMar>
              <w:top w:w="90" w:type="dxa"/>
              <w:start w:w="110" w:type="dxa"/>
              <w:bottom w:w="90" w:type="dxa"/>
              <w:end w:w="110" w:type="dxa"/>
            </w:tcMar>
            <w:vAlign w:val="center"/>
            <w:shd w:fill="17345F"/>
          </w:tcPr>
          <w:p>
            <w:pPr>
              <w:spacing w:after="0" w:before="0" w:line="240" w:lineRule="auto"/>
            </w:pPr>
            <w:r>
              <w:rPr>
                <w:b/>
                <w:color w:val="FFFFFF"/>
                <w:sz w:val="17"/>
              </w:rPr>
              <w:t>Необходимые условия</w:t>
            </w:r>
          </w:p>
        </w:tc>
        <w:tc>
          <w:tcPr>
            <w:tcW w:type="dxa" w:w="3515"/>
            <w:tcMar>
              <w:top w:w="90" w:type="dxa"/>
              <w:start w:w="110" w:type="dxa"/>
              <w:bottom w:w="90" w:type="dxa"/>
              <w:end w:w="110" w:type="dxa"/>
            </w:tcMar>
            <w:vAlign w:val="center"/>
            <w:shd w:fill="17345F"/>
          </w:tcPr>
          <w:p>
            <w:pPr>
              <w:spacing w:after="0" w:before="0" w:line="240" w:lineRule="auto"/>
            </w:pPr>
            <w:r>
              <w:rPr>
                <w:b/>
                <w:color w:val="FFFFFF"/>
                <w:sz w:val="17"/>
              </w:rPr>
              <w:t>Допустимый результат</w:t>
            </w:r>
          </w:p>
        </w:tc>
      </w:tr>
      <w:tr>
        <w:tc>
          <w:tcPr>
            <w:tcW w:type="dxa" w:w="1531"/>
            <w:tcMar>
              <w:top w:w="90" w:type="dxa"/>
              <w:start w:w="110" w:type="dxa"/>
              <w:bottom w:w="90" w:type="dxa"/>
              <w:end w:w="110" w:type="dxa"/>
            </w:tcMar>
            <w:vAlign w:val="center"/>
          </w:tcPr>
          <w:p>
            <w:pPr>
              <w:spacing w:after="0" w:before="0" w:line="240" w:lineRule="auto"/>
            </w:pPr>
            <w:r>
              <w:rPr>
                <w:b w:val="0"/>
                <w:sz w:val="17"/>
              </w:rPr>
              <w:t>M: categorified/motivic</w:t>
            </w:r>
          </w:p>
        </w:tc>
        <w:tc>
          <w:tcPr>
            <w:tcW w:type="dxa" w:w="4025"/>
            <w:tcMar>
              <w:top w:w="90" w:type="dxa"/>
              <w:start w:w="110" w:type="dxa"/>
              <w:bottom w:w="90" w:type="dxa"/>
              <w:end w:w="110" w:type="dxa"/>
            </w:tcMar>
            <w:vAlign w:val="center"/>
          </w:tcPr>
          <w:p>
            <w:pPr>
              <w:spacing w:after="0" w:before="0" w:line="240" w:lineRule="auto"/>
            </w:pPr>
            <w:r>
              <w:rPr>
                <w:b w:val="0"/>
                <w:sz w:val="17"/>
              </w:rPr>
              <w:t>carrier, orientation, descent, realization</w:t>
            </w:r>
          </w:p>
        </w:tc>
        <w:tc>
          <w:tcPr>
            <w:tcW w:type="dxa" w:w="3515"/>
            <w:tcMar>
              <w:top w:w="90" w:type="dxa"/>
              <w:start w:w="110" w:type="dxa"/>
              <w:bottom w:w="90" w:type="dxa"/>
              <w:end w:w="110" w:type="dxa"/>
            </w:tcMar>
            <w:vAlign w:val="center"/>
          </w:tcPr>
          <w:p>
            <w:pPr>
              <w:spacing w:after="0" w:before="0" w:line="240" w:lineRule="auto"/>
            </w:pPr>
            <w:r>
              <w:rPr>
                <w:b w:val="0"/>
                <w:sz w:val="17"/>
              </w:rPr>
              <w:t>MOTIVIC-STABLE / CANDIDATE-MOTIVIC-JUMP / ABSTAIN</w:t>
            </w:r>
          </w:p>
        </w:tc>
      </w:tr>
      <w:tr>
        <w:tc>
          <w:tcPr>
            <w:tcW w:type="dxa" w:w="1531"/>
            <w:tcMar>
              <w:top w:w="90" w:type="dxa"/>
              <w:start w:w="110" w:type="dxa"/>
              <w:bottom w:w="90" w:type="dxa"/>
              <w:end w:w="110" w:type="dxa"/>
            </w:tcMar>
            <w:vAlign w:val="center"/>
          </w:tcPr>
          <w:p>
            <w:pPr>
              <w:spacing w:after="0" w:before="0" w:line="240" w:lineRule="auto"/>
            </w:pPr>
            <w:r>
              <w:rPr>
                <w:b w:val="0"/>
                <w:sz w:val="17"/>
              </w:rPr>
              <w:t>S: generating series</w:t>
            </w:r>
          </w:p>
        </w:tc>
        <w:tc>
          <w:tcPr>
            <w:tcW w:type="dxa" w:w="4025"/>
            <w:tcMar>
              <w:top w:w="90" w:type="dxa"/>
              <w:start w:w="110" w:type="dxa"/>
              <w:bottom w:w="90" w:type="dxa"/>
              <w:end w:w="110" w:type="dxa"/>
            </w:tcMar>
            <w:vAlign w:val="center"/>
          </w:tcPr>
          <w:p>
            <w:pPr>
              <w:spacing w:after="0" w:before="0" w:line="240" w:lineRule="auto"/>
            </w:pPr>
            <w:r>
              <w:rPr>
                <w:b w:val="0"/>
                <w:sz w:val="17"/>
              </w:rPr>
              <w:t>completion, ordering, PExp/PLog, chamber</w:t>
            </w:r>
          </w:p>
        </w:tc>
        <w:tc>
          <w:tcPr>
            <w:tcW w:type="dxa" w:w="3515"/>
            <w:tcMar>
              <w:top w:w="90" w:type="dxa"/>
              <w:start w:w="110" w:type="dxa"/>
              <w:bottom w:w="90" w:type="dxa"/>
              <w:end w:w="110" w:type="dxa"/>
            </w:tcMar>
            <w:vAlign w:val="center"/>
          </w:tcPr>
          <w:p>
            <w:pPr>
              <w:spacing w:after="0" w:before="0" w:line="240" w:lineRule="auto"/>
            </w:pPr>
            <w:r>
              <w:rPr>
                <w:b w:val="0"/>
                <w:sz w:val="17"/>
              </w:rPr>
              <w:t>SERIES-STABLE / CANDIDATE-SERIES-JUMP / FORMAL-SERIES-ONLY</w:t>
            </w:r>
          </w:p>
        </w:tc>
      </w:tr>
      <w:tr>
        <w:tc>
          <w:tcPr>
            <w:tcW w:type="dxa" w:w="1531"/>
            <w:tcMar>
              <w:top w:w="90" w:type="dxa"/>
              <w:start w:w="110" w:type="dxa"/>
              <w:bottom w:w="90" w:type="dxa"/>
              <w:end w:w="110" w:type="dxa"/>
            </w:tcMar>
            <w:vAlign w:val="center"/>
          </w:tcPr>
          <w:p>
            <w:pPr>
              <w:spacing w:after="0" w:before="0" w:line="240" w:lineRule="auto"/>
            </w:pPr>
            <w:r>
              <w:rPr>
                <w:b w:val="0"/>
                <w:sz w:val="17"/>
              </w:rPr>
              <w:t>D: dynamics</w:t>
            </w:r>
          </w:p>
        </w:tc>
        <w:tc>
          <w:tcPr>
            <w:tcW w:type="dxa" w:w="4025"/>
            <w:tcMar>
              <w:top w:w="90" w:type="dxa"/>
              <w:start w:w="110" w:type="dxa"/>
              <w:bottom w:w="90" w:type="dxa"/>
              <w:end w:w="110" w:type="dxa"/>
            </w:tcMar>
            <w:vAlign w:val="center"/>
          </w:tcPr>
          <w:p>
            <w:pPr>
              <w:spacing w:after="0" w:before="0" w:line="240" w:lineRule="auto"/>
            </w:pPr>
            <w:r>
              <w:rPr>
                <w:b w:val="0"/>
                <w:sz w:val="17"/>
              </w:rPr>
              <w:t>τ, state space, U(t,s), generator/path law</w:t>
            </w:r>
          </w:p>
        </w:tc>
        <w:tc>
          <w:tcPr>
            <w:tcW w:type="dxa" w:w="3515"/>
            <w:tcMar>
              <w:top w:w="90" w:type="dxa"/>
              <w:start w:w="110" w:type="dxa"/>
              <w:bottom w:w="90" w:type="dxa"/>
              <w:end w:w="110" w:type="dxa"/>
            </w:tcMar>
            <w:vAlign w:val="center"/>
          </w:tcPr>
          <w:p>
            <w:pPr>
              <w:spacing w:after="0" w:before="0" w:line="240" w:lineRule="auto"/>
            </w:pPr>
            <w:r>
              <w:rPr>
                <w:b w:val="0"/>
                <w:sz w:val="17"/>
              </w:rPr>
              <w:t>DYNAMIC-CANDIDATE / NO-DYNAMIC-CHANGE-IN-MODEL / ABSTAIN</w:t>
            </w:r>
          </w:p>
        </w:tc>
      </w:tr>
      <w:tr>
        <w:tc>
          <w:tcPr>
            <w:tcW w:type="dxa" w:w="1531"/>
            <w:tcMar>
              <w:top w:w="90" w:type="dxa"/>
              <w:start w:w="110" w:type="dxa"/>
              <w:bottom w:w="90" w:type="dxa"/>
              <w:end w:w="110" w:type="dxa"/>
            </w:tcMar>
            <w:vAlign w:val="center"/>
          </w:tcPr>
          <w:p>
            <w:pPr>
              <w:spacing w:after="0" w:before="0" w:line="240" w:lineRule="auto"/>
            </w:pPr>
            <w:r>
              <w:rPr>
                <w:b w:val="0"/>
                <w:sz w:val="17"/>
              </w:rPr>
              <w:t>E: empirical</w:t>
            </w:r>
          </w:p>
        </w:tc>
        <w:tc>
          <w:tcPr>
            <w:tcW w:type="dxa" w:w="4025"/>
            <w:tcMar>
              <w:top w:w="90" w:type="dxa"/>
              <w:start w:w="110" w:type="dxa"/>
              <w:bottom w:w="90" w:type="dxa"/>
              <w:end w:w="110" w:type="dxa"/>
            </w:tcMar>
            <w:vAlign w:val="center"/>
          </w:tcPr>
          <w:p>
            <w:pPr>
              <w:spacing w:after="0" w:before="0" w:line="240" w:lineRule="auto"/>
            </w:pPr>
            <w:r>
              <w:rPr>
                <w:b w:val="0"/>
                <w:sz w:val="17"/>
              </w:rPr>
              <w:t>Obs, calibration, frozen split, EXT-RUN</w:t>
            </w:r>
          </w:p>
        </w:tc>
        <w:tc>
          <w:tcPr>
            <w:tcW w:type="dxa" w:w="3515"/>
            <w:tcMar>
              <w:top w:w="90" w:type="dxa"/>
              <w:start w:w="110" w:type="dxa"/>
              <w:bottom w:w="90" w:type="dxa"/>
              <w:end w:w="110" w:type="dxa"/>
            </w:tcMar>
            <w:vAlign w:val="center"/>
          </w:tcPr>
          <w:p>
            <w:pPr>
              <w:spacing w:after="0" w:before="0" w:line="240" w:lineRule="auto"/>
            </w:pPr>
            <w:r>
              <w:rPr>
                <w:b w:val="0"/>
                <w:sz w:val="17"/>
              </w:rPr>
              <w:t>EMPIRICALLY-VALIDATED / FALSIFIED-IN-DOMAIN / ABSTAIN</w:t>
            </w:r>
          </w:p>
        </w:tc>
      </w:tr>
    </w:tbl>
    <w:p>
      <w:pPr>
        <w:spacing w:after="0"/>
      </w:pPr>
    </w:p>
    <w:p>
      <w:pPr>
        <w:jc w:val="center"/>
      </w:pPr>
      <w:r>
        <w:drawing>
          <wp:inline xmlns:a="http://schemas.openxmlformats.org/drawingml/2006/main" xmlns:pic="http://schemas.openxmlformats.org/drawingml/2006/picture">
            <wp:extent cx="5796000" cy="3623844"/>
            <wp:docPr id="54" name="Picture 54"/>
            <wp:cNvGraphicFramePr>
              <a:graphicFrameLocks noChangeAspect="1"/>
            </wp:cNvGraphicFramePr>
            <a:graphic>
              <a:graphicData uri="http://schemas.openxmlformats.org/drawingml/2006/picture">
                <pic:pic>
                  <pic:nvPicPr>
                    <pic:cNvPr id="0" name="fig20_3.png"/>
                    <pic:cNvPicPr/>
                  </pic:nvPicPr>
                  <pic:blipFill>
                    <a:blip r:embed="rId91"/>
                    <a:stretch>
                      <a:fillRect/>
                    </a:stretch>
                  </pic:blipFill>
                  <pic:spPr>
                    <a:xfrm>
                      <a:off x="0" y="0"/>
                      <a:ext cx="5796000" cy="3623844"/>
                    </a:xfrm>
                    <a:prstGeom prst="rect"/>
                  </pic:spPr>
                </pic:pic>
              </a:graphicData>
            </a:graphic>
          </wp:inline>
        </w:drawing>
      </w:r>
    </w:p>
    <w:p>
      <w:pPr>
        <w:pStyle w:val="Caption"/>
        <w:keepNext w:val="0"/>
        <w:jc w:val="center"/>
      </w:pPr>
      <w:r>
        <w:t>Рисунок 20.3. Трёхступенчатый motivic/series/dynamic verdict. Собственная схема Тома II.</w:t>
      </w:r>
    </w:p>
    <w:p>
      <w:pPr>
        <w:pStyle w:val="Heading1"/>
        <w:keepNext/>
      </w:pPr>
      <w:r>
        <w:t>260. Контрпримеры и разделяющие модели</w:t>
      </w:r>
    </w:p>
    <w:p>
      <w:pPr>
        <w:pStyle w:val="ListBullet"/>
      </w:pPr>
      <w:r>
        <w:t>Perf(k) и Perf(k[ε]/ε²) имеют K₀≅ℤ, но не эквивалентны как tensor-triangulated categories.</w:t>
      </w:r>
    </w:p>
    <w:p>
      <w:pPr>
        <w:pStyle w:val="ListBullet"/>
      </w:pPr>
      <w:r>
        <w:t>𝔸¹ и pt имеют одинаковую χ_c, но разные Hodge-Deligne realizations uv и 1.</w:t>
      </w:r>
    </w:p>
    <w:p>
      <w:pPr>
        <w:pStyle w:val="ListBullet"/>
      </w:pPr>
      <w:r>
        <w:t>Разные refined polynomials могут иметь одинаковую specialization при y=1.</w:t>
      </w:r>
    </w:p>
    <w:p>
      <w:pPr>
        <w:pStyle w:val="ListBullet"/>
      </w:pPr>
      <w:r>
        <w:t>Один и тот же ряд Z(q) допускает временные разметки τ(n)=n и τ(n)=n².</w:t>
      </w:r>
    </w:p>
    <w:p>
      <w:pPr>
        <w:pStyle w:val="ListBullet"/>
      </w:pPr>
      <w:r>
        <w:t>Рекуррентность коэффициентов не задаёт state space: scalar recurrence и companion-matrix system имеют разные carriers.</w:t>
      </w:r>
    </w:p>
    <w:p>
      <w:pPr>
        <w:pStyle w:val="ListBullet"/>
      </w:pPr>
      <w:r>
        <w:t>Рациональная функция может иметь несколько Laurent-разложений в разных камерах; их порядок не является временем.</w:t>
      </w:r>
    </w:p>
    <w:p>
      <w:pPr>
        <w:pStyle w:val="ListBullet"/>
      </w:pPr>
      <w:r>
        <w:t>Положительные коэффициенты не гарантируют Markov property и нормировку суммы к единице.</w:t>
      </w:r>
    </w:p>
    <w:p>
      <w:pPr>
        <w:pStyle w:val="ListBullet"/>
      </w:pPr>
      <w:r>
        <w:t>Quantum-torus product зависит от порядка, но ordered ray factorization является wall-crossing datum, а не chronology.</w:t>
      </w:r>
    </w:p>
    <w:p>
      <w:pPr>
        <w:pStyle w:val="ListBullet"/>
      </w:pPr>
      <w:r>
        <w:t>Нулевой числовой индекс может возникать из cancellation ненулевых cohomological pieces.</w:t>
      </w:r>
    </w:p>
    <w:p>
      <w:pPr>
        <w:pStyle w:val="ListBullet"/>
      </w:pPr>
      <w:r>
        <w:t>Ненулевой motivic class может иметь нулевую Euler realization.</w:t>
      </w:r>
    </w:p>
    <w:p>
      <w:pPr>
        <w:pStyle w:val="ListBullet"/>
      </w:pPr>
      <w:r>
        <w:t>Функциональное уравнение q↦q^{-1} выражает duality, а не обратимость временной эволюции.</w:t>
      </w:r>
    </w:p>
    <w:p>
      <w:pPr>
        <w:pStyle w:val="ListBullet"/>
      </w:pPr>
      <w:r>
        <w:t>λ=-1 для Rep_mot не создаёт τ, U(t,s), Obs или EXT-RUN.</w:t>
      </w:r>
    </w:p>
    <w:p>
      <w:pPr>
        <w:pStyle w:val="Heading1"/>
        <w:keepNext/>
      </w:pPr>
      <w:r>
        <w:t>261. Вычислительный сертификат MOT-REF-SER-DYN v0.17</w:t>
      </w:r>
    </w:p>
    <w:p>
      <w:pPr>
        <w:pStyle w:val="ListBullet"/>
      </w:pPr>
      <w:r>
        <w:t>MOT-01 category/carrier inventory; MOT-02 morphism and Ext typing; MOT-03 K₀ relations; MOT-04 tensor/monoidal data;</w:t>
      </w:r>
    </w:p>
    <w:p>
      <w:pPr>
        <w:pStyle w:val="ListBullet"/>
      </w:pPr>
      <w:r>
        <w:t>MOT-05 Grothendieck motivic ring; MOT-06 localization by 𝕃; MOT-07 square-root convention; MOT-08 completion/filtration;</w:t>
      </w:r>
    </w:p>
    <w:p>
      <w:pPr>
        <w:pStyle w:val="ListBullet"/>
      </w:pPr>
      <w:r>
        <w:t>MOT-09 vanishing-cycle chart; MOT-10 orientation data; MOT-11 descent/gluing; MOT-12 realization ledger;</w:t>
      </w:r>
    </w:p>
    <w:p>
      <w:pPr>
        <w:pStyle w:val="ListBullet"/>
      </w:pPr>
      <w:r>
        <w:t>MOT-13 Hodge/weight/Poincaré data; MOT-14 numerical specialization; MOT-15 information-loss tests; MOT-16 refined invariant;</w:t>
      </w:r>
    </w:p>
    <w:p>
      <w:pPr>
        <w:pStyle w:val="ListBullet"/>
      </w:pPr>
      <w:r>
        <w:t>MOT-17 CoHA correspondence; MOT-18 associativity/PBW test; MOT-19 BPS carrier; MOT-20 integrality certificate;</w:t>
      </w:r>
    </w:p>
    <w:p>
      <w:pPr>
        <w:pStyle w:val="ListBullet"/>
      </w:pPr>
      <w:r>
        <w:t>MOT-21 generating series; MOT-22 coefficient monoid; MOT-23 PExp/PLog; MOT-24 quantum-torus ordering;</w:t>
      </w:r>
    </w:p>
    <w:p>
      <w:pPr>
        <w:pStyle w:val="ListBullet"/>
      </w:pPr>
      <w:r>
        <w:t>MOT-25 wall/functional equation; MOT-26 exact/formal/convergent status; MOT-27 time map τ; MOT-28 state space;</w:t>
      </w:r>
    </w:p>
    <w:p>
      <w:pPr>
        <w:pStyle w:val="ListBullet"/>
      </w:pPr>
      <w:r>
        <w:t>MOT-29 evolution cocycle; MOT-30 observation/calibration/EXT-RUN; MOT-31 blocker-safe verdict; MOT-32 source/code/data/environment hashes.</w:t>
      </w:r>
    </w:p>
    <w:p>
      <w:pPr>
        <w:pStyle w:val="Heading2"/>
        <w:keepNext/>
      </w:pPr>
      <w:r>
        <w:t>Псевдокод</w:t>
      </w:r>
    </w:p>
    <w:p>
      <w:pPr>
        <w:pStyle w:val="Quote"/>
        <w:jc w:val="center"/>
      </w:pPr>
      <w:r>
        <w:t>INPUT categorified carrier, motivic ring, realizations, refined coefficients, chamber, optional dynamic bridge</w:t>
        <w:br/>
        <w:t>CHECK category/K₀/motive/realization types and information-loss ledger</w:t>
        <w:br/>
        <w:t>BUILD Z_ref in certified completion; CHECK ordering, PExp/PLog and wall data</w:t>
        <w:br/>
        <w:t>IF no τ or U(t,s): RETURN FORMAL-SERIES-ONLY</w:t>
        <w:br/>
        <w:t>CHECK evolution cocycle, observation model, calibration and EXT-RUN</w:t>
        <w:br/>
        <w:t>IF any blocker: RETURN ABSTAIN</w:t>
        <w:br/>
        <w:t>ELSE RETURN domain-bounded refined/dynamic verdict + hashes</w:t>
      </w:r>
    </w:p>
    <w:p>
      <w:pPr>
        <w:pStyle w:val="Heading1"/>
        <w:keepNext/>
      </w:pPr>
      <w:r>
        <w:t>262. Доказательные обязательства T2-PO-283–T2-PO-314</w:t>
      </w:r>
    </w:p>
    <w:tbl>
      <w:tblPr>
        <w:tblStyle w:val="TableGrid"/>
        <w:tblW w:type="auto" w:w="0"/>
        <w:jc w:val="center"/>
        <w:tblLayout w:type="autofit"/>
        <w:tblLook w:firstColumn="1" w:firstRow="1" w:lastColumn="0" w:lastRow="0" w:noHBand="0" w:noVBand="1" w:val="04A0"/>
      </w:tblPr>
      <w:tblGrid>
        <w:gridCol w:w="2438"/>
        <w:gridCol w:w="2438"/>
        <w:gridCol w:w="2438"/>
        <w:gridCol w:w="2438"/>
      </w:tblGrid>
      <w:tr>
        <w:trPr>
          <w:tblHeader w:val="true"/>
        </w:trPr>
        <w:tc>
          <w:tcPr>
            <w:tcW w:type="dxa" w:w="1304"/>
            <w:tcMar>
              <w:top w:w="90" w:type="dxa"/>
              <w:start w:w="110" w:type="dxa"/>
              <w:bottom w:w="90" w:type="dxa"/>
              <w:end w:w="110" w:type="dxa"/>
            </w:tcMar>
            <w:vAlign w:val="center"/>
            <w:shd w:fill="17345F"/>
          </w:tcPr>
          <w:p>
            <w:pPr>
              <w:spacing w:after="0" w:before="0" w:line="240" w:lineRule="auto"/>
            </w:pPr>
            <w:r>
              <w:rPr>
                <w:b/>
                <w:color w:val="FFFFFF"/>
                <w:sz w:val="15"/>
              </w:rPr>
              <w:t>PO</w:t>
            </w:r>
          </w:p>
        </w:tc>
        <w:tc>
          <w:tcPr>
            <w:tcW w:type="dxa" w:w="3685"/>
            <w:tcMar>
              <w:top w:w="90" w:type="dxa"/>
              <w:start w:w="110" w:type="dxa"/>
              <w:bottom w:w="90" w:type="dxa"/>
              <w:end w:w="110" w:type="dxa"/>
            </w:tcMar>
            <w:vAlign w:val="center"/>
            <w:shd w:fill="17345F"/>
          </w:tcPr>
          <w:p>
            <w:pPr>
              <w:spacing w:after="0" w:before="0" w:line="240" w:lineRule="auto"/>
            </w:pPr>
            <w:r>
              <w:rPr>
                <w:b/>
                <w:color w:val="FFFFFF"/>
                <w:sz w:val="15"/>
              </w:rPr>
              <w:t>Обязательство</w:t>
            </w:r>
          </w:p>
        </w:tc>
        <w:tc>
          <w:tcPr>
            <w:tcW w:type="dxa" w:w="1417"/>
            <w:tcMar>
              <w:top w:w="90" w:type="dxa"/>
              <w:start w:w="110" w:type="dxa"/>
              <w:bottom w:w="90" w:type="dxa"/>
              <w:end w:w="110" w:type="dxa"/>
            </w:tcMar>
            <w:vAlign w:val="center"/>
            <w:shd w:fill="17345F"/>
          </w:tcPr>
          <w:p>
            <w:pPr>
              <w:spacing w:after="0" w:before="0" w:line="240" w:lineRule="auto"/>
            </w:pPr>
            <w:r>
              <w:rPr>
                <w:b/>
                <w:color w:val="FFFFFF"/>
                <w:sz w:val="15"/>
              </w:rPr>
              <w:t>Статус</w:t>
            </w:r>
          </w:p>
        </w:tc>
        <w:tc>
          <w:tcPr>
            <w:tcW w:type="dxa" w:w="2835"/>
            <w:tcMar>
              <w:top w:w="90" w:type="dxa"/>
              <w:start w:w="110" w:type="dxa"/>
              <w:bottom w:w="90" w:type="dxa"/>
              <w:end w:w="110" w:type="dxa"/>
            </w:tcMar>
            <w:vAlign w:val="center"/>
            <w:shd w:fill="17345F"/>
          </w:tcPr>
          <w:p>
            <w:pPr>
              <w:spacing w:after="0" w:before="0" w:line="240" w:lineRule="auto"/>
            </w:pPr>
            <w:r>
              <w:rPr>
                <w:b/>
                <w:color w:val="FFFFFF"/>
                <w:sz w:val="15"/>
              </w:rPr>
              <w:t>Условие закрытия</w:t>
            </w:r>
          </w:p>
        </w:tc>
      </w:tr>
      <w:tr>
        <w:tc>
          <w:tcPr>
            <w:tcW w:type="dxa" w:w="1304"/>
            <w:tcMar>
              <w:top w:w="90" w:type="dxa"/>
              <w:start w:w="110" w:type="dxa"/>
              <w:bottom w:w="90" w:type="dxa"/>
              <w:end w:w="110" w:type="dxa"/>
            </w:tcMar>
            <w:vAlign w:val="center"/>
          </w:tcPr>
          <w:p>
            <w:pPr>
              <w:spacing w:after="0" w:before="0" w:line="240" w:lineRule="auto"/>
            </w:pPr>
            <w:r>
              <w:rPr>
                <w:b w:val="0"/>
                <w:sz w:val="15"/>
              </w:rPr>
              <w:t>T2-PO-283</w:t>
            </w:r>
          </w:p>
        </w:tc>
        <w:tc>
          <w:tcPr>
            <w:tcW w:type="dxa" w:w="3685"/>
            <w:tcMar>
              <w:top w:w="90" w:type="dxa"/>
              <w:start w:w="110" w:type="dxa"/>
              <w:bottom w:w="90" w:type="dxa"/>
              <w:end w:w="110" w:type="dxa"/>
            </w:tcMar>
            <w:vAlign w:val="center"/>
          </w:tcPr>
          <w:p>
            <w:pPr>
              <w:spacing w:after="0" w:before="0" w:line="240" w:lineRule="auto"/>
            </w:pPr>
            <w:r>
              <w:rPr>
                <w:b w:val="0"/>
                <w:sz w:val="15"/>
              </w:rPr>
              <w:t>Определить категориальный carrier общей NAPG.</w:t>
            </w:r>
          </w:p>
        </w:tc>
        <w:tc>
          <w:tcPr>
            <w:tcW w:type="dxa" w:w="1417"/>
            <w:tcMar>
              <w:top w:w="90" w:type="dxa"/>
              <w:start w:w="110" w:type="dxa"/>
              <w:bottom w:w="90" w:type="dxa"/>
              <w:end w:w="110" w:type="dxa"/>
            </w:tcMar>
            <w:vAlign w:val="center"/>
          </w:tcPr>
          <w:p>
            <w:pPr>
              <w:spacing w:after="0" w:before="0" w:line="240" w:lineRule="auto"/>
            </w:pPr>
            <w:r>
              <w:rPr>
                <w:b w:val="0"/>
                <w:sz w:val="15"/>
              </w:rPr>
              <w:t>OPEN</w:t>
            </w:r>
          </w:p>
        </w:tc>
        <w:tc>
          <w:tcPr>
            <w:tcW w:type="dxa" w:w="2835"/>
            <w:tcMar>
              <w:top w:w="90" w:type="dxa"/>
              <w:start w:w="110" w:type="dxa"/>
              <w:bottom w:w="90" w:type="dxa"/>
              <w:end w:w="110" w:type="dxa"/>
            </w:tcMar>
            <w:vAlign w:val="center"/>
          </w:tcPr>
          <w:p>
            <w:pPr>
              <w:spacing w:after="0" w:before="0" w:line="240" w:lineRule="auto"/>
            </w:pPr>
            <w:r>
              <w:rPr>
                <w:b w:val="0"/>
                <w:sz w:val="15"/>
              </w:rPr>
              <w:t>Concrete stable/dg/∞ category.</w:t>
            </w:r>
          </w:p>
        </w:tc>
      </w:tr>
      <w:tr>
        <w:tc>
          <w:tcPr>
            <w:tcW w:type="dxa" w:w="1304"/>
            <w:tcMar>
              <w:top w:w="90" w:type="dxa"/>
              <w:start w:w="110" w:type="dxa"/>
              <w:bottom w:w="90" w:type="dxa"/>
              <w:end w:w="110" w:type="dxa"/>
            </w:tcMar>
            <w:vAlign w:val="center"/>
          </w:tcPr>
          <w:p>
            <w:pPr>
              <w:spacing w:after="0" w:before="0" w:line="240" w:lineRule="auto"/>
            </w:pPr>
            <w:r>
              <w:rPr>
                <w:b w:val="0"/>
                <w:sz w:val="15"/>
              </w:rPr>
              <w:t>T2-PO-284</w:t>
            </w:r>
          </w:p>
        </w:tc>
        <w:tc>
          <w:tcPr>
            <w:tcW w:type="dxa" w:w="3685"/>
            <w:tcMar>
              <w:top w:w="90" w:type="dxa"/>
              <w:start w:w="110" w:type="dxa"/>
              <w:bottom w:w="90" w:type="dxa"/>
              <w:end w:w="110" w:type="dxa"/>
            </w:tcMar>
            <w:vAlign w:val="center"/>
          </w:tcPr>
          <w:p>
            <w:pPr>
              <w:spacing w:after="0" w:before="0" w:line="240" w:lineRule="auto"/>
            </w:pPr>
            <w:r>
              <w:rPr>
                <w:b w:val="0"/>
                <w:sz w:val="15"/>
              </w:rPr>
              <w:t>Построить functorial K₀.</w:t>
            </w:r>
          </w:p>
        </w:tc>
        <w:tc>
          <w:tcPr>
            <w:tcW w:type="dxa" w:w="1417"/>
            <w:tcMar>
              <w:top w:w="90" w:type="dxa"/>
              <w:start w:w="110" w:type="dxa"/>
              <w:bottom w:w="90" w:type="dxa"/>
              <w:end w:w="110" w:type="dxa"/>
            </w:tcMar>
            <w:vAlign w:val="center"/>
          </w:tcPr>
          <w:p>
            <w:pPr>
              <w:spacing w:after="0" w:before="0" w:line="240" w:lineRule="auto"/>
            </w:pPr>
            <w:r>
              <w:rPr>
                <w:b w:val="0"/>
                <w:sz w:val="15"/>
              </w:rPr>
              <w:t>COND</w:t>
            </w:r>
          </w:p>
        </w:tc>
        <w:tc>
          <w:tcPr>
            <w:tcW w:type="dxa" w:w="2835"/>
            <w:tcMar>
              <w:top w:w="90" w:type="dxa"/>
              <w:start w:w="110" w:type="dxa"/>
              <w:bottom w:w="90" w:type="dxa"/>
              <w:end w:w="110" w:type="dxa"/>
            </w:tcMar>
            <w:vAlign w:val="center"/>
          </w:tcPr>
          <w:p>
            <w:pPr>
              <w:spacing w:after="0" w:before="0" w:line="240" w:lineRule="auto"/>
            </w:pPr>
            <w:r>
              <w:rPr>
                <w:b w:val="0"/>
                <w:sz w:val="15"/>
              </w:rPr>
              <w:t>Exact/triangulated structure and naturality.</w:t>
            </w:r>
          </w:p>
        </w:tc>
      </w:tr>
      <w:tr>
        <w:tc>
          <w:tcPr>
            <w:tcW w:type="dxa" w:w="1304"/>
            <w:tcMar>
              <w:top w:w="90" w:type="dxa"/>
              <w:start w:w="110" w:type="dxa"/>
              <w:bottom w:w="90" w:type="dxa"/>
              <w:end w:w="110" w:type="dxa"/>
            </w:tcMar>
            <w:vAlign w:val="center"/>
          </w:tcPr>
          <w:p>
            <w:pPr>
              <w:spacing w:after="0" w:before="0" w:line="240" w:lineRule="auto"/>
            </w:pPr>
            <w:r>
              <w:rPr>
                <w:b w:val="0"/>
                <w:sz w:val="15"/>
              </w:rPr>
              <w:t>T2-PO-285</w:t>
            </w:r>
          </w:p>
        </w:tc>
        <w:tc>
          <w:tcPr>
            <w:tcW w:type="dxa" w:w="3685"/>
            <w:tcMar>
              <w:top w:w="90" w:type="dxa"/>
              <w:start w:w="110" w:type="dxa"/>
              <w:bottom w:w="90" w:type="dxa"/>
              <w:end w:w="110" w:type="dxa"/>
            </w:tcMar>
            <w:vAlign w:val="center"/>
          </w:tcPr>
          <w:p>
            <w:pPr>
              <w:spacing w:after="0" w:before="0" w:line="240" w:lineRule="auto"/>
            </w:pPr>
            <w:r>
              <w:rPr>
                <w:b w:val="0"/>
                <w:sz w:val="15"/>
              </w:rPr>
              <w:t>Доказать tensor compatibility декатегорификации.</w:t>
            </w:r>
          </w:p>
        </w:tc>
        <w:tc>
          <w:tcPr>
            <w:tcW w:type="dxa" w:w="1417"/>
            <w:tcMar>
              <w:top w:w="90" w:type="dxa"/>
              <w:start w:w="110" w:type="dxa"/>
              <w:bottom w:w="90" w:type="dxa"/>
              <w:end w:w="110" w:type="dxa"/>
            </w:tcMar>
            <w:vAlign w:val="center"/>
          </w:tcPr>
          <w:p>
            <w:pPr>
              <w:spacing w:after="0" w:before="0" w:line="240" w:lineRule="auto"/>
            </w:pPr>
            <w:r>
              <w:rPr>
                <w:b w:val="0"/>
                <w:sz w:val="15"/>
              </w:rPr>
              <w:t>OPEN</w:t>
            </w:r>
          </w:p>
        </w:tc>
        <w:tc>
          <w:tcPr>
            <w:tcW w:type="dxa" w:w="2835"/>
            <w:tcMar>
              <w:top w:w="90" w:type="dxa"/>
              <w:start w:w="110" w:type="dxa"/>
              <w:bottom w:w="90" w:type="dxa"/>
              <w:end w:w="110" w:type="dxa"/>
            </w:tcMar>
            <w:vAlign w:val="center"/>
          </w:tcPr>
          <w:p>
            <w:pPr>
              <w:spacing w:after="0" w:before="0" w:line="240" w:lineRule="auto"/>
            </w:pPr>
            <w:r>
              <w:rPr>
                <w:b w:val="0"/>
                <w:sz w:val="15"/>
              </w:rPr>
              <w:t>Monoidal enhancement.</w:t>
            </w:r>
          </w:p>
        </w:tc>
      </w:tr>
      <w:tr>
        <w:tc>
          <w:tcPr>
            <w:tcW w:type="dxa" w:w="1304"/>
            <w:tcMar>
              <w:top w:w="90" w:type="dxa"/>
              <w:start w:w="110" w:type="dxa"/>
              <w:bottom w:w="90" w:type="dxa"/>
              <w:end w:w="110" w:type="dxa"/>
            </w:tcMar>
            <w:vAlign w:val="center"/>
          </w:tcPr>
          <w:p>
            <w:pPr>
              <w:spacing w:after="0" w:before="0" w:line="240" w:lineRule="auto"/>
            </w:pPr>
            <w:r>
              <w:rPr>
                <w:b w:val="0"/>
                <w:sz w:val="15"/>
              </w:rPr>
              <w:t>T2-PO-286</w:t>
            </w:r>
          </w:p>
        </w:tc>
        <w:tc>
          <w:tcPr>
            <w:tcW w:type="dxa" w:w="3685"/>
            <w:tcMar>
              <w:top w:w="90" w:type="dxa"/>
              <w:start w:w="110" w:type="dxa"/>
              <w:bottom w:w="90" w:type="dxa"/>
              <w:end w:w="110" w:type="dxa"/>
            </w:tcMar>
            <w:vAlign w:val="center"/>
          </w:tcPr>
          <w:p>
            <w:pPr>
              <w:spacing w:after="0" w:before="0" w:line="240" w:lineRule="auto"/>
            </w:pPr>
            <w:r>
              <w:rPr>
                <w:b w:val="0"/>
                <w:sz w:val="15"/>
              </w:rPr>
              <w:t>Зафиксировать motivic coefficient ring.</w:t>
            </w:r>
          </w:p>
        </w:tc>
        <w:tc>
          <w:tcPr>
            <w:tcW w:type="dxa" w:w="1417"/>
            <w:tcMar>
              <w:top w:w="90" w:type="dxa"/>
              <w:start w:w="110" w:type="dxa"/>
              <w:bottom w:w="90" w:type="dxa"/>
              <w:end w:w="110" w:type="dxa"/>
            </w:tcMar>
            <w:vAlign w:val="center"/>
          </w:tcPr>
          <w:p>
            <w:pPr>
              <w:spacing w:after="0" w:before="0" w:line="240" w:lineRule="auto"/>
            </w:pPr>
            <w:r>
              <w:rPr>
                <w:b w:val="0"/>
                <w:sz w:val="15"/>
              </w:rPr>
              <w:t>MODEL-CLOSED</w:t>
            </w:r>
          </w:p>
        </w:tc>
        <w:tc>
          <w:tcPr>
            <w:tcW w:type="dxa" w:w="2835"/>
            <w:tcMar>
              <w:top w:w="90" w:type="dxa"/>
              <w:start w:w="110" w:type="dxa"/>
              <w:bottom w:w="90" w:type="dxa"/>
              <w:end w:w="110" w:type="dxa"/>
            </w:tcMar>
            <w:vAlign w:val="center"/>
          </w:tcPr>
          <w:p>
            <w:pPr>
              <w:spacing w:after="0" w:before="0" w:line="240" w:lineRule="auto"/>
            </w:pPr>
            <w:r>
              <w:rPr>
                <w:b w:val="0"/>
                <w:sz w:val="15"/>
              </w:rPr>
              <w:t>Ring/localization/completion passport.</w:t>
            </w:r>
          </w:p>
        </w:tc>
      </w:tr>
      <w:tr>
        <w:tc>
          <w:tcPr>
            <w:tcW w:type="dxa" w:w="1304"/>
            <w:tcMar>
              <w:top w:w="90" w:type="dxa"/>
              <w:start w:w="110" w:type="dxa"/>
              <w:bottom w:w="90" w:type="dxa"/>
              <w:end w:w="110" w:type="dxa"/>
            </w:tcMar>
            <w:vAlign w:val="center"/>
          </w:tcPr>
          <w:p>
            <w:pPr>
              <w:spacing w:after="0" w:before="0" w:line="240" w:lineRule="auto"/>
            </w:pPr>
            <w:r>
              <w:rPr>
                <w:b w:val="0"/>
                <w:sz w:val="15"/>
              </w:rPr>
              <w:t>T2-PO-287</w:t>
            </w:r>
          </w:p>
        </w:tc>
        <w:tc>
          <w:tcPr>
            <w:tcW w:type="dxa" w:w="3685"/>
            <w:tcMar>
              <w:top w:w="90" w:type="dxa"/>
              <w:start w:w="110" w:type="dxa"/>
              <w:bottom w:w="90" w:type="dxa"/>
              <w:end w:w="110" w:type="dxa"/>
            </w:tcMar>
            <w:vAlign w:val="center"/>
          </w:tcPr>
          <w:p>
            <w:pPr>
              <w:spacing w:after="0" w:before="0" w:line="240" w:lineRule="auto"/>
            </w:pPr>
            <w:r>
              <w:rPr>
                <w:b w:val="0"/>
                <w:sz w:val="15"/>
              </w:rPr>
              <w:t>Построить motivic measure NAPG.</w:t>
            </w:r>
          </w:p>
        </w:tc>
        <w:tc>
          <w:tcPr>
            <w:tcW w:type="dxa" w:w="1417"/>
            <w:tcMar>
              <w:top w:w="90" w:type="dxa"/>
              <w:start w:w="110" w:type="dxa"/>
              <w:bottom w:w="90" w:type="dxa"/>
              <w:end w:w="110" w:type="dxa"/>
            </w:tcMar>
            <w:vAlign w:val="center"/>
          </w:tcPr>
          <w:p>
            <w:pPr>
              <w:spacing w:after="0" w:before="0" w:line="240" w:lineRule="auto"/>
            </w:pPr>
            <w:r>
              <w:rPr>
                <w:b w:val="0"/>
                <w:sz w:val="15"/>
              </w:rPr>
              <w:t>OPEN</w:t>
            </w:r>
          </w:p>
        </w:tc>
        <w:tc>
          <w:tcPr>
            <w:tcW w:type="dxa" w:w="2835"/>
            <w:tcMar>
              <w:top w:w="90" w:type="dxa"/>
              <w:start w:w="110" w:type="dxa"/>
              <w:bottom w:w="90" w:type="dxa"/>
              <w:end w:w="110" w:type="dxa"/>
            </w:tcMar>
            <w:vAlign w:val="center"/>
          </w:tcPr>
          <w:p>
            <w:pPr>
              <w:spacing w:after="0" w:before="0" w:line="240" w:lineRule="auto"/>
            </w:pPr>
            <w:r>
              <w:rPr>
                <w:b w:val="0"/>
                <w:sz w:val="15"/>
              </w:rPr>
              <w:t>Scissors/product theorem.</w:t>
            </w:r>
          </w:p>
        </w:tc>
      </w:tr>
      <w:tr>
        <w:tc>
          <w:tcPr>
            <w:tcW w:type="dxa" w:w="1304"/>
            <w:tcMar>
              <w:top w:w="90" w:type="dxa"/>
              <w:start w:w="110" w:type="dxa"/>
              <w:bottom w:w="90" w:type="dxa"/>
              <w:end w:w="110" w:type="dxa"/>
            </w:tcMar>
            <w:vAlign w:val="center"/>
          </w:tcPr>
          <w:p>
            <w:pPr>
              <w:spacing w:after="0" w:before="0" w:line="240" w:lineRule="auto"/>
            </w:pPr>
            <w:r>
              <w:rPr>
                <w:b w:val="0"/>
                <w:sz w:val="15"/>
              </w:rPr>
              <w:t>T2-PO-288</w:t>
            </w:r>
          </w:p>
        </w:tc>
        <w:tc>
          <w:tcPr>
            <w:tcW w:type="dxa" w:w="3685"/>
            <w:tcMar>
              <w:top w:w="90" w:type="dxa"/>
              <w:start w:w="110" w:type="dxa"/>
              <w:bottom w:w="90" w:type="dxa"/>
              <w:end w:w="110" w:type="dxa"/>
            </w:tcMar>
            <w:vAlign w:val="center"/>
          </w:tcPr>
          <w:p>
            <w:pPr>
              <w:spacing w:after="0" w:before="0" w:line="240" w:lineRule="auto"/>
            </w:pPr>
            <w:r>
              <w:rPr>
                <w:b w:val="0"/>
                <w:sz w:val="15"/>
              </w:rPr>
              <w:t>Проверить 𝕃^{1/2} convention.</w:t>
            </w:r>
          </w:p>
        </w:tc>
        <w:tc>
          <w:tcPr>
            <w:tcW w:type="dxa" w:w="1417"/>
            <w:tcMar>
              <w:top w:w="90" w:type="dxa"/>
              <w:start w:w="110" w:type="dxa"/>
              <w:bottom w:w="90" w:type="dxa"/>
              <w:end w:w="110" w:type="dxa"/>
            </w:tcMar>
            <w:vAlign w:val="center"/>
          </w:tcPr>
          <w:p>
            <w:pPr>
              <w:spacing w:after="0" w:before="0" w:line="240" w:lineRule="auto"/>
            </w:pPr>
            <w:r>
              <w:rPr>
                <w:b w:val="0"/>
                <w:sz w:val="15"/>
              </w:rPr>
              <w:t>COND</w:t>
            </w:r>
          </w:p>
        </w:tc>
        <w:tc>
          <w:tcPr>
            <w:tcW w:type="dxa" w:w="2835"/>
            <w:tcMar>
              <w:top w:w="90" w:type="dxa"/>
              <w:start w:w="110" w:type="dxa"/>
              <w:bottom w:w="90" w:type="dxa"/>
              <w:end w:w="110" w:type="dxa"/>
            </w:tcMar>
            <w:vAlign w:val="center"/>
          </w:tcPr>
          <w:p>
            <w:pPr>
              <w:spacing w:after="0" w:before="0" w:line="240" w:lineRule="auto"/>
            </w:pPr>
            <w:r>
              <w:rPr>
                <w:b w:val="0"/>
                <w:sz w:val="15"/>
              </w:rPr>
              <w:t>Orientation and coefficient extension.</w:t>
            </w:r>
          </w:p>
        </w:tc>
      </w:tr>
      <w:tr>
        <w:tc>
          <w:tcPr>
            <w:tcW w:type="dxa" w:w="1304"/>
            <w:tcMar>
              <w:top w:w="90" w:type="dxa"/>
              <w:start w:w="110" w:type="dxa"/>
              <w:bottom w:w="90" w:type="dxa"/>
              <w:end w:w="110" w:type="dxa"/>
            </w:tcMar>
            <w:vAlign w:val="center"/>
          </w:tcPr>
          <w:p>
            <w:pPr>
              <w:spacing w:after="0" w:before="0" w:line="240" w:lineRule="auto"/>
            </w:pPr>
            <w:r>
              <w:rPr>
                <w:b w:val="0"/>
                <w:sz w:val="15"/>
              </w:rPr>
              <w:t>T2-PO-289</w:t>
            </w:r>
          </w:p>
        </w:tc>
        <w:tc>
          <w:tcPr>
            <w:tcW w:type="dxa" w:w="3685"/>
            <w:tcMar>
              <w:top w:w="90" w:type="dxa"/>
              <w:start w:w="110" w:type="dxa"/>
              <w:bottom w:w="90" w:type="dxa"/>
              <w:end w:w="110" w:type="dxa"/>
            </w:tcMar>
            <w:vAlign w:val="center"/>
          </w:tcPr>
          <w:p>
            <w:pPr>
              <w:spacing w:after="0" w:before="0" w:line="240" w:lineRule="auto"/>
            </w:pPr>
            <w:r>
              <w:rPr>
                <w:b w:val="0"/>
                <w:sz w:val="15"/>
              </w:rPr>
              <w:t>Построить motivic vanishing cycles.</w:t>
            </w:r>
          </w:p>
        </w:tc>
        <w:tc>
          <w:tcPr>
            <w:tcW w:type="dxa" w:w="1417"/>
            <w:tcMar>
              <w:top w:w="90" w:type="dxa"/>
              <w:start w:w="110" w:type="dxa"/>
              <w:bottom w:w="90" w:type="dxa"/>
              <w:end w:w="110" w:type="dxa"/>
            </w:tcMar>
            <w:vAlign w:val="center"/>
          </w:tcPr>
          <w:p>
            <w:pPr>
              <w:spacing w:after="0" w:before="0" w:line="240" w:lineRule="auto"/>
            </w:pPr>
            <w:r>
              <w:rPr>
                <w:b w:val="0"/>
                <w:sz w:val="15"/>
              </w:rPr>
              <w:t>OPEN</w:t>
            </w:r>
          </w:p>
        </w:tc>
        <w:tc>
          <w:tcPr>
            <w:tcW w:type="dxa" w:w="2835"/>
            <w:tcMar>
              <w:top w:w="90" w:type="dxa"/>
              <w:start w:w="110" w:type="dxa"/>
              <w:bottom w:w="90" w:type="dxa"/>
              <w:end w:w="110" w:type="dxa"/>
            </w:tcMar>
            <w:vAlign w:val="center"/>
          </w:tcPr>
          <w:p>
            <w:pPr>
              <w:spacing w:after="0" w:before="0" w:line="240" w:lineRule="auto"/>
            </w:pPr>
            <w:r>
              <w:rPr>
                <w:b w:val="0"/>
                <w:sz w:val="15"/>
              </w:rPr>
              <w:t>Critical charts + orientation data.</w:t>
            </w:r>
          </w:p>
        </w:tc>
      </w:tr>
      <w:tr>
        <w:tc>
          <w:tcPr>
            <w:tcW w:type="dxa" w:w="1304"/>
            <w:tcMar>
              <w:top w:w="90" w:type="dxa"/>
              <w:start w:w="110" w:type="dxa"/>
              <w:bottom w:w="90" w:type="dxa"/>
              <w:end w:w="110" w:type="dxa"/>
            </w:tcMar>
            <w:vAlign w:val="center"/>
          </w:tcPr>
          <w:p>
            <w:pPr>
              <w:spacing w:after="0" w:before="0" w:line="240" w:lineRule="auto"/>
            </w:pPr>
            <w:r>
              <w:rPr>
                <w:b w:val="0"/>
                <w:sz w:val="15"/>
              </w:rPr>
              <w:t>T2-PO-290</w:t>
            </w:r>
          </w:p>
        </w:tc>
        <w:tc>
          <w:tcPr>
            <w:tcW w:type="dxa" w:w="3685"/>
            <w:tcMar>
              <w:top w:w="90" w:type="dxa"/>
              <w:start w:w="110" w:type="dxa"/>
              <w:bottom w:w="90" w:type="dxa"/>
              <w:end w:w="110" w:type="dxa"/>
            </w:tcMar>
            <w:vAlign w:val="center"/>
          </w:tcPr>
          <w:p>
            <w:pPr>
              <w:spacing w:after="0" w:before="0" w:line="240" w:lineRule="auto"/>
            </w:pPr>
            <w:r>
              <w:rPr>
                <w:b w:val="0"/>
                <w:sz w:val="15"/>
              </w:rPr>
              <w:t>Доказать chart independence.</w:t>
            </w:r>
          </w:p>
        </w:tc>
        <w:tc>
          <w:tcPr>
            <w:tcW w:type="dxa" w:w="1417"/>
            <w:tcMar>
              <w:top w:w="90" w:type="dxa"/>
              <w:start w:w="110" w:type="dxa"/>
              <w:bottom w:w="90" w:type="dxa"/>
              <w:end w:w="110" w:type="dxa"/>
            </w:tcMar>
            <w:vAlign w:val="center"/>
          </w:tcPr>
          <w:p>
            <w:pPr>
              <w:spacing w:after="0" w:before="0" w:line="240" w:lineRule="auto"/>
            </w:pPr>
            <w:r>
              <w:rPr>
                <w:b w:val="0"/>
                <w:sz w:val="15"/>
              </w:rPr>
              <w:t>OPEN</w:t>
            </w:r>
          </w:p>
        </w:tc>
        <w:tc>
          <w:tcPr>
            <w:tcW w:type="dxa" w:w="2835"/>
            <w:tcMar>
              <w:top w:w="90" w:type="dxa"/>
              <w:start w:w="110" w:type="dxa"/>
              <w:bottom w:w="90" w:type="dxa"/>
              <w:end w:w="110" w:type="dxa"/>
            </w:tcMar>
            <w:vAlign w:val="center"/>
          </w:tcPr>
          <w:p>
            <w:pPr>
              <w:spacing w:after="0" w:before="0" w:line="240" w:lineRule="auto"/>
            </w:pPr>
            <w:r>
              <w:rPr>
                <w:b w:val="0"/>
                <w:sz w:val="15"/>
              </w:rPr>
              <w:t>d-critical/derived comparison theorem.</w:t>
            </w:r>
          </w:p>
        </w:tc>
      </w:tr>
      <w:tr>
        <w:tc>
          <w:tcPr>
            <w:tcW w:type="dxa" w:w="1304"/>
            <w:tcMar>
              <w:top w:w="90" w:type="dxa"/>
              <w:start w:w="110" w:type="dxa"/>
              <w:bottom w:w="90" w:type="dxa"/>
              <w:end w:w="110" w:type="dxa"/>
            </w:tcMar>
            <w:vAlign w:val="center"/>
          </w:tcPr>
          <w:p>
            <w:pPr>
              <w:spacing w:after="0" w:before="0" w:line="240" w:lineRule="auto"/>
            </w:pPr>
            <w:r>
              <w:rPr>
                <w:b w:val="0"/>
                <w:sz w:val="15"/>
              </w:rPr>
              <w:t>T2-PO-291</w:t>
            </w:r>
          </w:p>
        </w:tc>
        <w:tc>
          <w:tcPr>
            <w:tcW w:type="dxa" w:w="3685"/>
            <w:tcMar>
              <w:top w:w="90" w:type="dxa"/>
              <w:start w:w="110" w:type="dxa"/>
              <w:bottom w:w="90" w:type="dxa"/>
              <w:end w:w="110" w:type="dxa"/>
            </w:tcMar>
            <w:vAlign w:val="center"/>
          </w:tcPr>
          <w:p>
            <w:pPr>
              <w:spacing w:after="0" w:before="0" w:line="240" w:lineRule="auto"/>
            </w:pPr>
            <w:r>
              <w:rPr>
                <w:b w:val="0"/>
                <w:sz w:val="15"/>
              </w:rPr>
              <w:t>Построить realization functors.</w:t>
            </w:r>
          </w:p>
        </w:tc>
        <w:tc>
          <w:tcPr>
            <w:tcW w:type="dxa" w:w="1417"/>
            <w:tcMar>
              <w:top w:w="90" w:type="dxa"/>
              <w:start w:w="110" w:type="dxa"/>
              <w:bottom w:w="90" w:type="dxa"/>
              <w:end w:w="110" w:type="dxa"/>
            </w:tcMar>
            <w:vAlign w:val="center"/>
          </w:tcPr>
          <w:p>
            <w:pPr>
              <w:spacing w:after="0" w:before="0" w:line="240" w:lineRule="auto"/>
            </w:pPr>
            <w:r>
              <w:rPr>
                <w:b w:val="0"/>
                <w:sz w:val="15"/>
              </w:rPr>
              <w:t>COND</w:t>
            </w:r>
          </w:p>
        </w:tc>
        <w:tc>
          <w:tcPr>
            <w:tcW w:type="dxa" w:w="2835"/>
            <w:tcMar>
              <w:top w:w="90" w:type="dxa"/>
              <w:start w:w="110" w:type="dxa"/>
              <w:bottom w:w="90" w:type="dxa"/>
              <w:end w:w="110" w:type="dxa"/>
            </w:tcMar>
            <w:vAlign w:val="center"/>
          </w:tcPr>
          <w:p>
            <w:pPr>
              <w:spacing w:after="0" w:before="0" w:line="240" w:lineRule="auto"/>
            </w:pPr>
            <w:r>
              <w:rPr>
                <w:b w:val="0"/>
                <w:sz w:val="15"/>
              </w:rPr>
              <w:t>Hodge/weight/ℓ-adic realization.</w:t>
            </w:r>
          </w:p>
        </w:tc>
      </w:tr>
      <w:tr>
        <w:tc>
          <w:tcPr>
            <w:tcW w:type="dxa" w:w="1304"/>
            <w:tcMar>
              <w:top w:w="90" w:type="dxa"/>
              <w:start w:w="110" w:type="dxa"/>
              <w:bottom w:w="90" w:type="dxa"/>
              <w:end w:w="110" w:type="dxa"/>
            </w:tcMar>
            <w:vAlign w:val="center"/>
          </w:tcPr>
          <w:p>
            <w:pPr>
              <w:spacing w:after="0" w:before="0" w:line="240" w:lineRule="auto"/>
            </w:pPr>
            <w:r>
              <w:rPr>
                <w:b w:val="0"/>
                <w:sz w:val="15"/>
              </w:rPr>
              <w:t>T2-PO-292</w:t>
            </w:r>
          </w:p>
        </w:tc>
        <w:tc>
          <w:tcPr>
            <w:tcW w:type="dxa" w:w="3685"/>
            <w:tcMar>
              <w:top w:w="90" w:type="dxa"/>
              <w:start w:w="110" w:type="dxa"/>
              <w:bottom w:w="90" w:type="dxa"/>
              <w:end w:w="110" w:type="dxa"/>
            </w:tcMar>
            <w:vAlign w:val="center"/>
          </w:tcPr>
          <w:p>
            <w:pPr>
              <w:spacing w:after="0" w:before="0" w:line="240" w:lineRule="auto"/>
            </w:pPr>
            <w:r>
              <w:rPr>
                <w:b w:val="0"/>
                <w:sz w:val="15"/>
              </w:rPr>
              <w:t>Вести information-loss ledger.</w:t>
            </w:r>
          </w:p>
        </w:tc>
        <w:tc>
          <w:tcPr>
            <w:tcW w:type="dxa" w:w="1417"/>
            <w:tcMar>
              <w:top w:w="90" w:type="dxa"/>
              <w:start w:w="110" w:type="dxa"/>
              <w:bottom w:w="90" w:type="dxa"/>
              <w:end w:w="110" w:type="dxa"/>
            </w:tcMar>
            <w:vAlign w:val="center"/>
          </w:tcPr>
          <w:p>
            <w:pPr>
              <w:spacing w:after="0" w:before="0" w:line="240" w:lineRule="auto"/>
            </w:pPr>
            <w:r>
              <w:rPr>
                <w:b w:val="0"/>
                <w:sz w:val="15"/>
              </w:rPr>
              <w:t>CLOSED/PROTO</w:t>
            </w:r>
          </w:p>
        </w:tc>
        <w:tc>
          <w:tcPr>
            <w:tcW w:type="dxa" w:w="2835"/>
            <w:tcMar>
              <w:top w:w="90" w:type="dxa"/>
              <w:start w:w="110" w:type="dxa"/>
              <w:bottom w:w="90" w:type="dxa"/>
              <w:end w:w="110" w:type="dxa"/>
            </w:tcMar>
            <w:vAlign w:val="center"/>
          </w:tcPr>
          <w:p>
            <w:pPr>
              <w:spacing w:after="0" w:before="0" w:line="240" w:lineRule="auto"/>
            </w:pPr>
            <w:r>
              <w:rPr>
                <w:b w:val="0"/>
                <w:sz w:val="15"/>
              </w:rPr>
              <w:t>MOT-15 tests.</w:t>
            </w:r>
          </w:p>
        </w:tc>
      </w:tr>
      <w:tr>
        <w:tc>
          <w:tcPr>
            <w:tcW w:type="dxa" w:w="1304"/>
            <w:tcMar>
              <w:top w:w="90" w:type="dxa"/>
              <w:start w:w="110" w:type="dxa"/>
              <w:bottom w:w="90" w:type="dxa"/>
              <w:end w:w="110" w:type="dxa"/>
            </w:tcMar>
            <w:vAlign w:val="center"/>
          </w:tcPr>
          <w:p>
            <w:pPr>
              <w:spacing w:after="0" w:before="0" w:line="240" w:lineRule="auto"/>
            </w:pPr>
            <w:r>
              <w:rPr>
                <w:b w:val="0"/>
                <w:sz w:val="15"/>
              </w:rPr>
              <w:t>T2-PO-293</w:t>
            </w:r>
          </w:p>
        </w:tc>
        <w:tc>
          <w:tcPr>
            <w:tcW w:type="dxa" w:w="3685"/>
            <w:tcMar>
              <w:top w:w="90" w:type="dxa"/>
              <w:start w:w="110" w:type="dxa"/>
              <w:bottom w:w="90" w:type="dxa"/>
              <w:end w:w="110" w:type="dxa"/>
            </w:tcMar>
            <w:vAlign w:val="center"/>
          </w:tcPr>
          <w:p>
            <w:pPr>
              <w:spacing w:after="0" w:before="0" w:line="240" w:lineRule="auto"/>
            </w:pPr>
            <w:r>
              <w:rPr>
                <w:b w:val="0"/>
                <w:sz w:val="15"/>
              </w:rPr>
              <w:t>Определить refined invariant.</w:t>
            </w:r>
          </w:p>
        </w:tc>
        <w:tc>
          <w:tcPr>
            <w:tcW w:type="dxa" w:w="1417"/>
            <w:tcMar>
              <w:top w:w="90" w:type="dxa"/>
              <w:start w:w="110" w:type="dxa"/>
              <w:bottom w:w="90" w:type="dxa"/>
              <w:end w:w="110" w:type="dxa"/>
            </w:tcMar>
            <w:vAlign w:val="center"/>
          </w:tcPr>
          <w:p>
            <w:pPr>
              <w:spacing w:after="0" w:before="0" w:line="240" w:lineRule="auto"/>
            </w:pPr>
            <w:r>
              <w:rPr>
                <w:b w:val="0"/>
                <w:sz w:val="15"/>
              </w:rPr>
              <w:t>MODEL-CLOSED</w:t>
            </w:r>
          </w:p>
        </w:tc>
        <w:tc>
          <w:tcPr>
            <w:tcW w:type="dxa" w:w="2835"/>
            <w:tcMar>
              <w:top w:w="90" w:type="dxa"/>
              <w:start w:w="110" w:type="dxa"/>
              <w:bottom w:w="90" w:type="dxa"/>
              <w:end w:w="110" w:type="dxa"/>
            </w:tcMar>
            <w:vAlign w:val="center"/>
          </w:tcPr>
          <w:p>
            <w:pPr>
              <w:spacing w:after="0" w:before="0" w:line="240" w:lineRule="auto"/>
            </w:pPr>
            <w:r>
              <w:rPr>
                <w:b w:val="0"/>
                <w:sz w:val="15"/>
              </w:rPr>
              <w:t>Grading, sign, shift, duality.</w:t>
            </w:r>
          </w:p>
        </w:tc>
      </w:tr>
      <w:tr>
        <w:tc>
          <w:tcPr>
            <w:tcW w:type="dxa" w:w="1304"/>
            <w:tcMar>
              <w:top w:w="90" w:type="dxa"/>
              <w:start w:w="110" w:type="dxa"/>
              <w:bottom w:w="90" w:type="dxa"/>
              <w:end w:w="110" w:type="dxa"/>
            </w:tcMar>
            <w:vAlign w:val="center"/>
          </w:tcPr>
          <w:p>
            <w:pPr>
              <w:spacing w:after="0" w:before="0" w:line="240" w:lineRule="auto"/>
            </w:pPr>
            <w:r>
              <w:rPr>
                <w:b w:val="0"/>
                <w:sz w:val="15"/>
              </w:rPr>
              <w:t>T2-PO-294</w:t>
            </w:r>
          </w:p>
        </w:tc>
        <w:tc>
          <w:tcPr>
            <w:tcW w:type="dxa" w:w="3685"/>
            <w:tcMar>
              <w:top w:w="90" w:type="dxa"/>
              <w:start w:w="110" w:type="dxa"/>
              <w:bottom w:w="90" w:type="dxa"/>
              <w:end w:w="110" w:type="dxa"/>
            </w:tcMar>
            <w:vAlign w:val="center"/>
          </w:tcPr>
          <w:p>
            <w:pPr>
              <w:spacing w:after="0" w:before="0" w:line="240" w:lineRule="auto"/>
            </w:pPr>
            <w:r>
              <w:rPr>
                <w:b w:val="0"/>
                <w:sz w:val="15"/>
              </w:rPr>
              <w:t>Построить CoHA_NAPG.</w:t>
            </w:r>
          </w:p>
        </w:tc>
        <w:tc>
          <w:tcPr>
            <w:tcW w:type="dxa" w:w="1417"/>
            <w:tcMar>
              <w:top w:w="90" w:type="dxa"/>
              <w:start w:w="110" w:type="dxa"/>
              <w:bottom w:w="90" w:type="dxa"/>
              <w:end w:w="110" w:type="dxa"/>
            </w:tcMar>
            <w:vAlign w:val="center"/>
          </w:tcPr>
          <w:p>
            <w:pPr>
              <w:spacing w:after="0" w:before="0" w:line="240" w:lineRule="auto"/>
            </w:pPr>
            <w:r>
              <w:rPr>
                <w:b w:val="0"/>
                <w:sz w:val="15"/>
              </w:rPr>
              <w:t>OPEN</w:t>
            </w:r>
          </w:p>
        </w:tc>
        <w:tc>
          <w:tcPr>
            <w:tcW w:type="dxa" w:w="2835"/>
            <w:tcMar>
              <w:top w:w="90" w:type="dxa"/>
              <w:start w:w="110" w:type="dxa"/>
              <w:bottom w:w="90" w:type="dxa"/>
              <w:end w:w="110" w:type="dxa"/>
            </w:tcMar>
            <w:vAlign w:val="center"/>
          </w:tcPr>
          <w:p>
            <w:pPr>
              <w:spacing w:after="0" w:before="0" w:line="240" w:lineRule="auto"/>
            </w:pPr>
            <w:r>
              <w:rPr>
                <w:b w:val="0"/>
                <w:sz w:val="15"/>
              </w:rPr>
              <w:t>Extension stacks and pull-push.</w:t>
            </w:r>
          </w:p>
        </w:tc>
      </w:tr>
      <w:tr>
        <w:tc>
          <w:tcPr>
            <w:tcW w:type="dxa" w:w="1304"/>
            <w:tcMar>
              <w:top w:w="90" w:type="dxa"/>
              <w:start w:w="110" w:type="dxa"/>
              <w:bottom w:w="90" w:type="dxa"/>
              <w:end w:w="110" w:type="dxa"/>
            </w:tcMar>
            <w:vAlign w:val="center"/>
          </w:tcPr>
          <w:p>
            <w:pPr>
              <w:spacing w:after="0" w:before="0" w:line="240" w:lineRule="auto"/>
            </w:pPr>
            <w:r>
              <w:rPr>
                <w:b w:val="0"/>
                <w:sz w:val="15"/>
              </w:rPr>
              <w:t>T2-PO-295</w:t>
            </w:r>
          </w:p>
        </w:tc>
        <w:tc>
          <w:tcPr>
            <w:tcW w:type="dxa" w:w="3685"/>
            <w:tcMar>
              <w:top w:w="90" w:type="dxa"/>
              <w:start w:w="110" w:type="dxa"/>
              <w:bottom w:w="90" w:type="dxa"/>
              <w:end w:w="110" w:type="dxa"/>
            </w:tcMar>
            <w:vAlign w:val="center"/>
          </w:tcPr>
          <w:p>
            <w:pPr>
              <w:spacing w:after="0" w:before="0" w:line="240" w:lineRule="auto"/>
            </w:pPr>
            <w:r>
              <w:rPr>
                <w:b w:val="0"/>
                <w:sz w:val="15"/>
              </w:rPr>
              <w:t>Доказать ассоциативность CoHA.</w:t>
            </w:r>
          </w:p>
        </w:tc>
        <w:tc>
          <w:tcPr>
            <w:tcW w:type="dxa" w:w="1417"/>
            <w:tcMar>
              <w:top w:w="90" w:type="dxa"/>
              <w:start w:w="110" w:type="dxa"/>
              <w:bottom w:w="90" w:type="dxa"/>
              <w:end w:w="110" w:type="dxa"/>
            </w:tcMar>
            <w:vAlign w:val="center"/>
          </w:tcPr>
          <w:p>
            <w:pPr>
              <w:spacing w:after="0" w:before="0" w:line="240" w:lineRule="auto"/>
            </w:pPr>
            <w:r>
              <w:rPr>
                <w:b w:val="0"/>
                <w:sz w:val="15"/>
              </w:rPr>
              <w:t>OPEN</w:t>
            </w:r>
          </w:p>
        </w:tc>
        <w:tc>
          <w:tcPr>
            <w:tcW w:type="dxa" w:w="2835"/>
            <w:tcMar>
              <w:top w:w="90" w:type="dxa"/>
              <w:start w:w="110" w:type="dxa"/>
              <w:bottom w:w="90" w:type="dxa"/>
              <w:end w:w="110" w:type="dxa"/>
            </w:tcMar>
            <w:vAlign w:val="center"/>
          </w:tcPr>
          <w:p>
            <w:pPr>
              <w:spacing w:after="0" w:before="0" w:line="240" w:lineRule="auto"/>
            </w:pPr>
            <w:r>
              <w:rPr>
                <w:b w:val="0"/>
                <w:sz w:val="15"/>
              </w:rPr>
              <w:t>Correspondence composition.</w:t>
            </w:r>
          </w:p>
        </w:tc>
      </w:tr>
      <w:tr>
        <w:tc>
          <w:tcPr>
            <w:tcW w:type="dxa" w:w="1304"/>
            <w:tcMar>
              <w:top w:w="90" w:type="dxa"/>
              <w:start w:w="110" w:type="dxa"/>
              <w:bottom w:w="90" w:type="dxa"/>
              <w:end w:w="110" w:type="dxa"/>
            </w:tcMar>
            <w:vAlign w:val="center"/>
          </w:tcPr>
          <w:p>
            <w:pPr>
              <w:spacing w:after="0" w:before="0" w:line="240" w:lineRule="auto"/>
            </w:pPr>
            <w:r>
              <w:rPr>
                <w:b w:val="0"/>
                <w:sz w:val="15"/>
              </w:rPr>
              <w:t>T2-PO-296</w:t>
            </w:r>
          </w:p>
        </w:tc>
        <w:tc>
          <w:tcPr>
            <w:tcW w:type="dxa" w:w="3685"/>
            <w:tcMar>
              <w:top w:w="90" w:type="dxa"/>
              <w:start w:w="110" w:type="dxa"/>
              <w:bottom w:w="90" w:type="dxa"/>
              <w:end w:w="110" w:type="dxa"/>
            </w:tcMar>
            <w:vAlign w:val="center"/>
          </w:tcPr>
          <w:p>
            <w:pPr>
              <w:spacing w:after="0" w:before="0" w:line="240" w:lineRule="auto"/>
            </w:pPr>
            <w:r>
              <w:rPr>
                <w:b w:val="0"/>
                <w:sz w:val="15"/>
              </w:rPr>
              <w:t>Построить BPS-cohomology carrier.</w:t>
            </w:r>
          </w:p>
        </w:tc>
        <w:tc>
          <w:tcPr>
            <w:tcW w:type="dxa" w:w="1417"/>
            <w:tcMar>
              <w:top w:w="90" w:type="dxa"/>
              <w:start w:w="110" w:type="dxa"/>
              <w:bottom w:w="90" w:type="dxa"/>
              <w:end w:w="110" w:type="dxa"/>
            </w:tcMar>
            <w:vAlign w:val="center"/>
          </w:tcPr>
          <w:p>
            <w:pPr>
              <w:spacing w:after="0" w:before="0" w:line="240" w:lineRule="auto"/>
            </w:pPr>
            <w:r>
              <w:rPr>
                <w:b w:val="0"/>
                <w:sz w:val="15"/>
              </w:rPr>
              <w:t>OPEN</w:t>
            </w:r>
          </w:p>
        </w:tc>
        <w:tc>
          <w:tcPr>
            <w:tcW w:type="dxa" w:w="2835"/>
            <w:tcMar>
              <w:top w:w="90" w:type="dxa"/>
              <w:start w:w="110" w:type="dxa"/>
              <w:bottom w:w="90" w:type="dxa"/>
              <w:end w:w="110" w:type="dxa"/>
            </w:tcMar>
            <w:vAlign w:val="center"/>
          </w:tcPr>
          <w:p>
            <w:pPr>
              <w:spacing w:after="0" w:before="0" w:line="240" w:lineRule="auto"/>
            </w:pPr>
            <w:r>
              <w:rPr>
                <w:b w:val="0"/>
                <w:sz w:val="15"/>
              </w:rPr>
              <w:t>PBW/integrality package.</w:t>
            </w:r>
          </w:p>
        </w:tc>
      </w:tr>
      <w:tr>
        <w:tc>
          <w:tcPr>
            <w:tcW w:type="dxa" w:w="1304"/>
            <w:tcMar>
              <w:top w:w="90" w:type="dxa"/>
              <w:start w:w="110" w:type="dxa"/>
              <w:bottom w:w="90" w:type="dxa"/>
              <w:end w:w="110" w:type="dxa"/>
            </w:tcMar>
            <w:vAlign w:val="center"/>
          </w:tcPr>
          <w:p>
            <w:pPr>
              <w:spacing w:after="0" w:before="0" w:line="240" w:lineRule="auto"/>
            </w:pPr>
            <w:r>
              <w:rPr>
                <w:b w:val="0"/>
                <w:sz w:val="15"/>
              </w:rPr>
              <w:t>T2-PO-297</w:t>
            </w:r>
          </w:p>
        </w:tc>
        <w:tc>
          <w:tcPr>
            <w:tcW w:type="dxa" w:w="3685"/>
            <w:tcMar>
              <w:top w:w="90" w:type="dxa"/>
              <w:start w:w="110" w:type="dxa"/>
              <w:bottom w:w="90" w:type="dxa"/>
              <w:end w:w="110" w:type="dxa"/>
            </w:tcMar>
            <w:vAlign w:val="center"/>
          </w:tcPr>
          <w:p>
            <w:pPr>
              <w:spacing w:after="0" w:before="0" w:line="240" w:lineRule="auto"/>
            </w:pPr>
            <w:r>
              <w:rPr>
                <w:b w:val="0"/>
                <w:sz w:val="15"/>
              </w:rPr>
              <w:t>Зафиксировать grading monoid Γ.</w:t>
            </w:r>
          </w:p>
        </w:tc>
        <w:tc>
          <w:tcPr>
            <w:tcW w:type="dxa" w:w="1417"/>
            <w:tcMar>
              <w:top w:w="90" w:type="dxa"/>
              <w:start w:w="110" w:type="dxa"/>
              <w:bottom w:w="90" w:type="dxa"/>
              <w:end w:w="110" w:type="dxa"/>
            </w:tcMar>
            <w:vAlign w:val="center"/>
          </w:tcPr>
          <w:p>
            <w:pPr>
              <w:spacing w:after="0" w:before="0" w:line="240" w:lineRule="auto"/>
            </w:pPr>
            <w:r>
              <w:rPr>
                <w:b w:val="0"/>
                <w:sz w:val="15"/>
              </w:rPr>
              <w:t>CLOSED/TYPE</w:t>
            </w:r>
          </w:p>
        </w:tc>
        <w:tc>
          <w:tcPr>
            <w:tcW w:type="dxa" w:w="2835"/>
            <w:tcMar>
              <w:top w:w="90" w:type="dxa"/>
              <w:start w:w="110" w:type="dxa"/>
              <w:bottom w:w="90" w:type="dxa"/>
              <w:end w:w="110" w:type="dxa"/>
            </w:tcMar>
            <w:vAlign w:val="center"/>
          </w:tcPr>
          <w:p>
            <w:pPr>
              <w:spacing w:after="0" w:before="0" w:line="240" w:lineRule="auto"/>
            </w:pPr>
            <w:r>
              <w:rPr>
                <w:b w:val="0"/>
                <w:sz w:val="15"/>
              </w:rPr>
              <w:t>Positive cone and support.</w:t>
            </w:r>
          </w:p>
        </w:tc>
      </w:tr>
      <w:tr>
        <w:tc>
          <w:tcPr>
            <w:tcW w:type="dxa" w:w="1304"/>
            <w:tcMar>
              <w:top w:w="90" w:type="dxa"/>
              <w:start w:w="110" w:type="dxa"/>
              <w:bottom w:w="90" w:type="dxa"/>
              <w:end w:w="110" w:type="dxa"/>
            </w:tcMar>
            <w:vAlign w:val="center"/>
          </w:tcPr>
          <w:p>
            <w:pPr>
              <w:spacing w:after="0" w:before="0" w:line="240" w:lineRule="auto"/>
            </w:pPr>
            <w:r>
              <w:rPr>
                <w:b w:val="0"/>
                <w:sz w:val="15"/>
              </w:rPr>
              <w:t>T2-PO-298</w:t>
            </w:r>
          </w:p>
        </w:tc>
        <w:tc>
          <w:tcPr>
            <w:tcW w:type="dxa" w:w="3685"/>
            <w:tcMar>
              <w:top w:w="90" w:type="dxa"/>
              <w:start w:w="110" w:type="dxa"/>
              <w:bottom w:w="90" w:type="dxa"/>
              <w:end w:w="110" w:type="dxa"/>
            </w:tcMar>
            <w:vAlign w:val="center"/>
          </w:tcPr>
          <w:p>
            <w:pPr>
              <w:spacing w:after="0" w:before="0" w:line="240" w:lineRule="auto"/>
            </w:pPr>
            <w:r>
              <w:rPr>
                <w:b w:val="0"/>
                <w:sz w:val="15"/>
              </w:rPr>
              <w:t>Определить completed series ring.</w:t>
            </w:r>
          </w:p>
        </w:tc>
        <w:tc>
          <w:tcPr>
            <w:tcW w:type="dxa" w:w="1417"/>
            <w:tcMar>
              <w:top w:w="90" w:type="dxa"/>
              <w:start w:w="110" w:type="dxa"/>
              <w:bottom w:w="90" w:type="dxa"/>
              <w:end w:w="110" w:type="dxa"/>
            </w:tcMar>
            <w:vAlign w:val="center"/>
          </w:tcPr>
          <w:p>
            <w:pPr>
              <w:spacing w:after="0" w:before="0" w:line="240" w:lineRule="auto"/>
            </w:pPr>
            <w:r>
              <w:rPr>
                <w:b w:val="0"/>
                <w:sz w:val="15"/>
              </w:rPr>
              <w:t>CLOSED/TYPE</w:t>
            </w:r>
          </w:p>
        </w:tc>
        <w:tc>
          <w:tcPr>
            <w:tcW w:type="dxa" w:w="2835"/>
            <w:tcMar>
              <w:top w:w="90" w:type="dxa"/>
              <w:start w:w="110" w:type="dxa"/>
              <w:bottom w:w="90" w:type="dxa"/>
              <w:end w:w="110" w:type="dxa"/>
            </w:tcMar>
            <w:vAlign w:val="center"/>
          </w:tcPr>
          <w:p>
            <w:pPr>
              <w:spacing w:after="0" w:before="0" w:line="240" w:lineRule="auto"/>
            </w:pPr>
            <w:r>
              <w:rPr>
                <w:b w:val="0"/>
                <w:sz w:val="15"/>
              </w:rPr>
              <w:t>Filtration and completeness.</w:t>
            </w:r>
          </w:p>
        </w:tc>
      </w:tr>
      <w:tr>
        <w:tc>
          <w:tcPr>
            <w:tcW w:type="dxa" w:w="1304"/>
            <w:tcMar>
              <w:top w:w="90" w:type="dxa"/>
              <w:start w:w="110" w:type="dxa"/>
              <w:bottom w:w="90" w:type="dxa"/>
              <w:end w:w="110" w:type="dxa"/>
            </w:tcMar>
            <w:vAlign w:val="center"/>
          </w:tcPr>
          <w:p>
            <w:pPr>
              <w:spacing w:after="0" w:before="0" w:line="240" w:lineRule="auto"/>
            </w:pPr>
            <w:r>
              <w:rPr>
                <w:b w:val="0"/>
                <w:sz w:val="15"/>
              </w:rPr>
              <w:t>T2-PO-299</w:t>
            </w:r>
          </w:p>
        </w:tc>
        <w:tc>
          <w:tcPr>
            <w:tcW w:type="dxa" w:w="3685"/>
            <w:tcMar>
              <w:top w:w="90" w:type="dxa"/>
              <w:start w:w="110" w:type="dxa"/>
              <w:bottom w:w="90" w:type="dxa"/>
              <w:end w:w="110" w:type="dxa"/>
            </w:tcMar>
            <w:vAlign w:val="center"/>
          </w:tcPr>
          <w:p>
            <w:pPr>
              <w:spacing w:after="0" w:before="0" w:line="240" w:lineRule="auto"/>
            </w:pPr>
            <w:r>
              <w:rPr>
                <w:b w:val="0"/>
                <w:sz w:val="15"/>
              </w:rPr>
              <w:t>Проверить PExp/PLog.</w:t>
            </w:r>
          </w:p>
        </w:tc>
        <w:tc>
          <w:tcPr>
            <w:tcW w:type="dxa" w:w="1417"/>
            <w:tcMar>
              <w:top w:w="90" w:type="dxa"/>
              <w:start w:w="110" w:type="dxa"/>
              <w:bottom w:w="90" w:type="dxa"/>
              <w:end w:w="110" w:type="dxa"/>
            </w:tcMar>
            <w:vAlign w:val="center"/>
          </w:tcPr>
          <w:p>
            <w:pPr>
              <w:spacing w:after="0" w:before="0" w:line="240" w:lineRule="auto"/>
            </w:pPr>
            <w:r>
              <w:rPr>
                <w:b w:val="0"/>
                <w:sz w:val="15"/>
              </w:rPr>
              <w:t>COND</w:t>
            </w:r>
          </w:p>
        </w:tc>
        <w:tc>
          <w:tcPr>
            <w:tcW w:type="dxa" w:w="2835"/>
            <w:tcMar>
              <w:top w:w="90" w:type="dxa"/>
              <w:start w:w="110" w:type="dxa"/>
              <w:bottom w:w="90" w:type="dxa"/>
              <w:end w:w="110" w:type="dxa"/>
            </w:tcMar>
            <w:vAlign w:val="center"/>
          </w:tcPr>
          <w:p>
            <w:pPr>
              <w:spacing w:after="0" w:before="0" w:line="240" w:lineRule="auto"/>
            </w:pPr>
            <w:r>
              <w:rPr>
                <w:b w:val="0"/>
                <w:sz w:val="15"/>
              </w:rPr>
              <w:t>λ-ring/Adams hypotheses.</w:t>
            </w:r>
          </w:p>
        </w:tc>
      </w:tr>
      <w:tr>
        <w:tc>
          <w:tcPr>
            <w:tcW w:type="dxa" w:w="1304"/>
            <w:tcMar>
              <w:top w:w="90" w:type="dxa"/>
              <w:start w:w="110" w:type="dxa"/>
              <w:bottom w:w="90" w:type="dxa"/>
              <w:end w:w="110" w:type="dxa"/>
            </w:tcMar>
            <w:vAlign w:val="center"/>
          </w:tcPr>
          <w:p>
            <w:pPr>
              <w:spacing w:after="0" w:before="0" w:line="240" w:lineRule="auto"/>
            </w:pPr>
            <w:r>
              <w:rPr>
                <w:b w:val="0"/>
                <w:sz w:val="15"/>
              </w:rPr>
              <w:t>T2-PO-300</w:t>
            </w:r>
          </w:p>
        </w:tc>
        <w:tc>
          <w:tcPr>
            <w:tcW w:type="dxa" w:w="3685"/>
            <w:tcMar>
              <w:top w:w="90" w:type="dxa"/>
              <w:start w:w="110" w:type="dxa"/>
              <w:bottom w:w="90" w:type="dxa"/>
              <w:end w:w="110" w:type="dxa"/>
            </w:tcMar>
            <w:vAlign w:val="center"/>
          </w:tcPr>
          <w:p>
            <w:pPr>
              <w:spacing w:after="0" w:before="0" w:line="240" w:lineRule="auto"/>
            </w:pPr>
            <w:r>
              <w:rPr>
                <w:b w:val="0"/>
                <w:sz w:val="15"/>
              </w:rPr>
              <w:t>Построить quantum-torus pairing.</w:t>
            </w:r>
          </w:p>
        </w:tc>
        <w:tc>
          <w:tcPr>
            <w:tcW w:type="dxa" w:w="1417"/>
            <w:tcMar>
              <w:top w:w="90" w:type="dxa"/>
              <w:start w:w="110" w:type="dxa"/>
              <w:bottom w:w="90" w:type="dxa"/>
              <w:end w:w="110" w:type="dxa"/>
            </w:tcMar>
            <w:vAlign w:val="center"/>
          </w:tcPr>
          <w:p>
            <w:pPr>
              <w:spacing w:after="0" w:before="0" w:line="240" w:lineRule="auto"/>
            </w:pPr>
            <w:r>
              <w:rPr>
                <w:b w:val="0"/>
                <w:sz w:val="15"/>
              </w:rPr>
              <w:t>OPEN</w:t>
            </w:r>
          </w:p>
        </w:tc>
        <w:tc>
          <w:tcPr>
            <w:tcW w:type="dxa" w:w="2835"/>
            <w:tcMar>
              <w:top w:w="90" w:type="dxa"/>
              <w:start w:w="110" w:type="dxa"/>
              <w:bottom w:w="90" w:type="dxa"/>
              <w:end w:w="110" w:type="dxa"/>
            </w:tcMar>
            <w:vAlign w:val="center"/>
          </w:tcPr>
          <w:p>
            <w:pPr>
              <w:spacing w:after="0" w:before="0" w:line="240" w:lineRule="auto"/>
            </w:pPr>
            <w:r>
              <w:rPr>
                <w:b w:val="0"/>
                <w:sz w:val="15"/>
              </w:rPr>
              <w:t>Skew form and ordering.</w:t>
            </w:r>
          </w:p>
        </w:tc>
      </w:tr>
      <w:tr>
        <w:tc>
          <w:tcPr>
            <w:tcW w:type="dxa" w:w="1304"/>
            <w:tcMar>
              <w:top w:w="90" w:type="dxa"/>
              <w:start w:w="110" w:type="dxa"/>
              <w:bottom w:w="90" w:type="dxa"/>
              <w:end w:w="110" w:type="dxa"/>
            </w:tcMar>
            <w:vAlign w:val="center"/>
          </w:tcPr>
          <w:p>
            <w:pPr>
              <w:spacing w:after="0" w:before="0" w:line="240" w:lineRule="auto"/>
            </w:pPr>
            <w:r>
              <w:rPr>
                <w:b w:val="0"/>
                <w:sz w:val="15"/>
              </w:rPr>
              <w:t>T2-PO-301</w:t>
            </w:r>
          </w:p>
        </w:tc>
        <w:tc>
          <w:tcPr>
            <w:tcW w:type="dxa" w:w="3685"/>
            <w:tcMar>
              <w:top w:w="90" w:type="dxa"/>
              <w:start w:w="110" w:type="dxa"/>
              <w:bottom w:w="90" w:type="dxa"/>
              <w:end w:w="110" w:type="dxa"/>
            </w:tcMar>
            <w:vAlign w:val="center"/>
          </w:tcPr>
          <w:p>
            <w:pPr>
              <w:spacing w:after="0" w:before="0" w:line="240" w:lineRule="auto"/>
            </w:pPr>
            <w:r>
              <w:rPr>
                <w:b w:val="0"/>
                <w:sz w:val="15"/>
              </w:rPr>
              <w:t>Доказать wall-crossing factorization.</w:t>
            </w:r>
          </w:p>
        </w:tc>
        <w:tc>
          <w:tcPr>
            <w:tcW w:type="dxa" w:w="1417"/>
            <w:tcMar>
              <w:top w:w="90" w:type="dxa"/>
              <w:start w:w="110" w:type="dxa"/>
              <w:bottom w:w="90" w:type="dxa"/>
              <w:end w:w="110" w:type="dxa"/>
            </w:tcMar>
            <w:vAlign w:val="center"/>
          </w:tcPr>
          <w:p>
            <w:pPr>
              <w:spacing w:after="0" w:before="0" w:line="240" w:lineRule="auto"/>
            </w:pPr>
            <w:r>
              <w:rPr>
                <w:b w:val="0"/>
                <w:sz w:val="15"/>
              </w:rPr>
              <w:t>OPEN</w:t>
            </w:r>
          </w:p>
        </w:tc>
        <w:tc>
          <w:tcPr>
            <w:tcW w:type="dxa" w:w="2835"/>
            <w:tcMar>
              <w:top w:w="90" w:type="dxa"/>
              <w:start w:w="110" w:type="dxa"/>
              <w:bottom w:w="90" w:type="dxa"/>
              <w:end w:w="110" w:type="dxa"/>
            </w:tcMar>
            <w:vAlign w:val="center"/>
          </w:tcPr>
          <w:p>
            <w:pPr>
              <w:spacing w:after="0" w:before="0" w:line="240" w:lineRule="auto"/>
            </w:pPr>
            <w:r>
              <w:rPr>
                <w:b w:val="0"/>
                <w:sz w:val="15"/>
              </w:rPr>
              <w:t>Stability structure and transport.</w:t>
            </w:r>
          </w:p>
        </w:tc>
      </w:tr>
      <w:tr>
        <w:tc>
          <w:tcPr>
            <w:tcW w:type="dxa" w:w="1304"/>
            <w:tcMar>
              <w:top w:w="90" w:type="dxa"/>
              <w:start w:w="110" w:type="dxa"/>
              <w:bottom w:w="90" w:type="dxa"/>
              <w:end w:w="110" w:type="dxa"/>
            </w:tcMar>
            <w:vAlign w:val="center"/>
          </w:tcPr>
          <w:p>
            <w:pPr>
              <w:spacing w:after="0" w:before="0" w:line="240" w:lineRule="auto"/>
            </w:pPr>
            <w:r>
              <w:rPr>
                <w:b w:val="0"/>
                <w:sz w:val="15"/>
              </w:rPr>
              <w:t>T2-PO-302</w:t>
            </w:r>
          </w:p>
        </w:tc>
        <w:tc>
          <w:tcPr>
            <w:tcW w:type="dxa" w:w="3685"/>
            <w:tcMar>
              <w:top w:w="90" w:type="dxa"/>
              <w:start w:w="110" w:type="dxa"/>
              <w:bottom w:w="90" w:type="dxa"/>
              <w:end w:w="110" w:type="dxa"/>
            </w:tcMar>
            <w:vAlign w:val="center"/>
          </w:tcPr>
          <w:p>
            <w:pPr>
              <w:spacing w:after="0" w:before="0" w:line="240" w:lineRule="auto"/>
            </w:pPr>
            <w:r>
              <w:rPr>
                <w:b w:val="0"/>
                <w:sz w:val="15"/>
              </w:rPr>
              <w:t>Классифицировать формальный/аналитический статус ряда.</w:t>
            </w:r>
          </w:p>
        </w:tc>
        <w:tc>
          <w:tcPr>
            <w:tcW w:type="dxa" w:w="1417"/>
            <w:tcMar>
              <w:top w:w="90" w:type="dxa"/>
              <w:start w:w="110" w:type="dxa"/>
              <w:bottom w:w="90" w:type="dxa"/>
              <w:end w:w="110" w:type="dxa"/>
            </w:tcMar>
            <w:vAlign w:val="center"/>
          </w:tcPr>
          <w:p>
            <w:pPr>
              <w:spacing w:after="0" w:before="0" w:line="240" w:lineRule="auto"/>
            </w:pPr>
            <w:r>
              <w:rPr>
                <w:b w:val="0"/>
                <w:sz w:val="15"/>
              </w:rPr>
              <w:t>MODEL-CLOSED</w:t>
            </w:r>
          </w:p>
        </w:tc>
        <w:tc>
          <w:tcPr>
            <w:tcW w:type="dxa" w:w="2835"/>
            <w:tcMar>
              <w:top w:w="90" w:type="dxa"/>
              <w:start w:w="110" w:type="dxa"/>
              <w:bottom w:w="90" w:type="dxa"/>
              <w:end w:w="110" w:type="dxa"/>
            </w:tcMar>
            <w:vAlign w:val="center"/>
          </w:tcPr>
          <w:p>
            <w:pPr>
              <w:spacing w:after="0" w:before="0" w:line="240" w:lineRule="auto"/>
            </w:pPr>
            <w:r>
              <w:rPr>
                <w:b w:val="0"/>
                <w:sz w:val="15"/>
              </w:rPr>
              <w:t>Convergence ledger.</w:t>
            </w:r>
          </w:p>
        </w:tc>
      </w:tr>
      <w:tr>
        <w:tc>
          <w:tcPr>
            <w:tcW w:type="dxa" w:w="1304"/>
            <w:tcMar>
              <w:top w:w="90" w:type="dxa"/>
              <w:start w:w="110" w:type="dxa"/>
              <w:bottom w:w="90" w:type="dxa"/>
              <w:end w:w="110" w:type="dxa"/>
            </w:tcMar>
            <w:vAlign w:val="center"/>
          </w:tcPr>
          <w:p>
            <w:pPr>
              <w:spacing w:after="0" w:before="0" w:line="240" w:lineRule="auto"/>
            </w:pPr>
            <w:r>
              <w:rPr>
                <w:b w:val="0"/>
                <w:sz w:val="15"/>
              </w:rPr>
              <w:t>T2-PO-303</w:t>
            </w:r>
          </w:p>
        </w:tc>
        <w:tc>
          <w:tcPr>
            <w:tcW w:type="dxa" w:w="3685"/>
            <w:tcMar>
              <w:top w:w="90" w:type="dxa"/>
              <w:start w:w="110" w:type="dxa"/>
              <w:bottom w:w="90" w:type="dxa"/>
              <w:end w:w="110" w:type="dxa"/>
            </w:tcMar>
            <w:vAlign w:val="center"/>
          </w:tcPr>
          <w:p>
            <w:pPr>
              <w:spacing w:after="0" w:before="0" w:line="240" w:lineRule="auto"/>
            </w:pPr>
            <w:r>
              <w:rPr>
                <w:b w:val="0"/>
                <w:sz w:val="15"/>
              </w:rPr>
              <w:t>Доказать no-time theorem.</w:t>
            </w:r>
          </w:p>
        </w:tc>
        <w:tc>
          <w:tcPr>
            <w:tcW w:type="dxa" w:w="1417"/>
            <w:tcMar>
              <w:top w:w="90" w:type="dxa"/>
              <w:start w:w="110" w:type="dxa"/>
              <w:bottom w:w="90" w:type="dxa"/>
              <w:end w:w="110" w:type="dxa"/>
            </w:tcMar>
            <w:vAlign w:val="center"/>
          </w:tcPr>
          <w:p>
            <w:pPr>
              <w:spacing w:after="0" w:before="0" w:line="240" w:lineRule="auto"/>
            </w:pPr>
            <w:r>
              <w:rPr>
                <w:b w:val="0"/>
                <w:sz w:val="15"/>
              </w:rPr>
              <w:t>CLOSED</w:t>
            </w:r>
          </w:p>
        </w:tc>
        <w:tc>
          <w:tcPr>
            <w:tcW w:type="dxa" w:w="2835"/>
            <w:tcMar>
              <w:top w:w="90" w:type="dxa"/>
              <w:start w:w="110" w:type="dxa"/>
              <w:bottom w:w="90" w:type="dxa"/>
              <w:end w:w="110" w:type="dxa"/>
            </w:tcMar>
            <w:vAlign w:val="center"/>
          </w:tcPr>
          <w:p>
            <w:pPr>
              <w:spacing w:after="0" w:before="0" w:line="240" w:lineRule="auto"/>
            </w:pPr>
            <w:r>
              <w:rPr>
                <w:b w:val="0"/>
                <w:sz w:val="15"/>
              </w:rPr>
              <w:t>Theorem 20.4.</w:t>
            </w:r>
          </w:p>
        </w:tc>
      </w:tr>
      <w:tr>
        <w:tc>
          <w:tcPr>
            <w:tcW w:type="dxa" w:w="1304"/>
            <w:tcMar>
              <w:top w:w="90" w:type="dxa"/>
              <w:start w:w="110" w:type="dxa"/>
              <w:bottom w:w="90" w:type="dxa"/>
              <w:end w:w="110" w:type="dxa"/>
            </w:tcMar>
            <w:vAlign w:val="center"/>
          </w:tcPr>
          <w:p>
            <w:pPr>
              <w:spacing w:after="0" w:before="0" w:line="240" w:lineRule="auto"/>
            </w:pPr>
            <w:r>
              <w:rPr>
                <w:b w:val="0"/>
                <w:sz w:val="15"/>
              </w:rPr>
              <w:t>T2-PO-304</w:t>
            </w:r>
          </w:p>
        </w:tc>
        <w:tc>
          <w:tcPr>
            <w:tcW w:type="dxa" w:w="3685"/>
            <w:tcMar>
              <w:top w:w="90" w:type="dxa"/>
              <w:start w:w="110" w:type="dxa"/>
              <w:bottom w:w="90" w:type="dxa"/>
              <w:end w:w="110" w:type="dxa"/>
            </w:tcMar>
            <w:vAlign w:val="center"/>
          </w:tcPr>
          <w:p>
            <w:pPr>
              <w:spacing w:after="0" w:before="0" w:line="240" w:lineRule="auto"/>
            </w:pPr>
            <w:r>
              <w:rPr>
                <w:b w:val="0"/>
                <w:sz w:val="15"/>
              </w:rPr>
              <w:t>Задать time map τ.</w:t>
            </w:r>
          </w:p>
        </w:tc>
        <w:tc>
          <w:tcPr>
            <w:tcW w:type="dxa" w:w="1417"/>
            <w:tcMar>
              <w:top w:w="90" w:type="dxa"/>
              <w:start w:w="110" w:type="dxa"/>
              <w:bottom w:w="90" w:type="dxa"/>
              <w:end w:w="110" w:type="dxa"/>
            </w:tcMar>
            <w:vAlign w:val="center"/>
          </w:tcPr>
          <w:p>
            <w:pPr>
              <w:spacing w:after="0" w:before="0" w:line="240" w:lineRule="auto"/>
            </w:pPr>
            <w:r>
              <w:rPr>
                <w:b w:val="0"/>
                <w:sz w:val="15"/>
              </w:rPr>
              <w:t>OPEN-DOMAIN</w:t>
            </w:r>
          </w:p>
        </w:tc>
        <w:tc>
          <w:tcPr>
            <w:tcW w:type="dxa" w:w="2835"/>
            <w:tcMar>
              <w:top w:w="90" w:type="dxa"/>
              <w:start w:w="110" w:type="dxa"/>
              <w:bottom w:w="90" w:type="dxa"/>
              <w:end w:w="110" w:type="dxa"/>
            </w:tcMar>
            <w:vAlign w:val="center"/>
          </w:tcPr>
          <w:p>
            <w:pPr>
              <w:spacing w:after="0" w:before="0" w:line="240" w:lineRule="auto"/>
            </w:pPr>
            <w:r>
              <w:rPr>
                <w:b w:val="0"/>
                <w:sz w:val="15"/>
              </w:rPr>
              <w:t>External temporal semantics.</w:t>
            </w:r>
          </w:p>
        </w:tc>
      </w:tr>
      <w:tr>
        <w:tc>
          <w:tcPr>
            <w:tcW w:type="dxa" w:w="1304"/>
            <w:tcMar>
              <w:top w:w="90" w:type="dxa"/>
              <w:start w:w="110" w:type="dxa"/>
              <w:bottom w:w="90" w:type="dxa"/>
              <w:end w:w="110" w:type="dxa"/>
            </w:tcMar>
            <w:vAlign w:val="center"/>
          </w:tcPr>
          <w:p>
            <w:pPr>
              <w:spacing w:after="0" w:before="0" w:line="240" w:lineRule="auto"/>
            </w:pPr>
            <w:r>
              <w:rPr>
                <w:b w:val="0"/>
                <w:sz w:val="15"/>
              </w:rPr>
              <w:t>T2-PO-305</w:t>
            </w:r>
          </w:p>
        </w:tc>
        <w:tc>
          <w:tcPr>
            <w:tcW w:type="dxa" w:w="3685"/>
            <w:tcMar>
              <w:top w:w="90" w:type="dxa"/>
              <w:start w:w="110" w:type="dxa"/>
              <w:bottom w:w="90" w:type="dxa"/>
              <w:end w:w="110" w:type="dxa"/>
            </w:tcMar>
            <w:vAlign w:val="center"/>
          </w:tcPr>
          <w:p>
            <w:pPr>
              <w:spacing w:after="0" w:before="0" w:line="240" w:lineRule="auto"/>
            </w:pPr>
            <w:r>
              <w:rPr>
                <w:b w:val="0"/>
                <w:sz w:val="15"/>
              </w:rPr>
              <w:t>Задать state space S.</w:t>
            </w:r>
          </w:p>
        </w:tc>
        <w:tc>
          <w:tcPr>
            <w:tcW w:type="dxa" w:w="1417"/>
            <w:tcMar>
              <w:top w:w="90" w:type="dxa"/>
              <w:start w:w="110" w:type="dxa"/>
              <w:bottom w:w="90" w:type="dxa"/>
              <w:end w:w="110" w:type="dxa"/>
            </w:tcMar>
            <w:vAlign w:val="center"/>
          </w:tcPr>
          <w:p>
            <w:pPr>
              <w:spacing w:after="0" w:before="0" w:line="240" w:lineRule="auto"/>
            </w:pPr>
            <w:r>
              <w:rPr>
                <w:b w:val="0"/>
                <w:sz w:val="15"/>
              </w:rPr>
              <w:t>OPEN-DOMAIN</w:t>
            </w:r>
          </w:p>
        </w:tc>
        <w:tc>
          <w:tcPr>
            <w:tcW w:type="dxa" w:w="2835"/>
            <w:tcMar>
              <w:top w:w="90" w:type="dxa"/>
              <w:start w:w="110" w:type="dxa"/>
              <w:bottom w:w="90" w:type="dxa"/>
              <w:end w:w="110" w:type="dxa"/>
            </w:tcMar>
            <w:vAlign w:val="center"/>
          </w:tcPr>
          <w:p>
            <w:pPr>
              <w:spacing w:after="0" w:before="0" w:line="240" w:lineRule="auto"/>
            </w:pPr>
            <w:r>
              <w:rPr>
                <w:b w:val="0"/>
                <w:sz w:val="15"/>
              </w:rPr>
              <w:t>Domain-specific states.</w:t>
            </w:r>
          </w:p>
        </w:tc>
      </w:tr>
      <w:tr>
        <w:tc>
          <w:tcPr>
            <w:tcW w:type="dxa" w:w="1304"/>
            <w:tcMar>
              <w:top w:w="90" w:type="dxa"/>
              <w:start w:w="110" w:type="dxa"/>
              <w:bottom w:w="90" w:type="dxa"/>
              <w:end w:w="110" w:type="dxa"/>
            </w:tcMar>
            <w:vAlign w:val="center"/>
          </w:tcPr>
          <w:p>
            <w:pPr>
              <w:spacing w:after="0" w:before="0" w:line="240" w:lineRule="auto"/>
            </w:pPr>
            <w:r>
              <w:rPr>
                <w:b w:val="0"/>
                <w:sz w:val="15"/>
              </w:rPr>
              <w:t>T2-PO-306</w:t>
            </w:r>
          </w:p>
        </w:tc>
        <w:tc>
          <w:tcPr>
            <w:tcW w:type="dxa" w:w="3685"/>
            <w:tcMar>
              <w:top w:w="90" w:type="dxa"/>
              <w:start w:w="110" w:type="dxa"/>
              <w:bottom w:w="90" w:type="dxa"/>
              <w:end w:w="110" w:type="dxa"/>
            </w:tcMar>
            <w:vAlign w:val="center"/>
          </w:tcPr>
          <w:p>
            <w:pPr>
              <w:spacing w:after="0" w:before="0" w:line="240" w:lineRule="auto"/>
            </w:pPr>
            <w:r>
              <w:rPr>
                <w:b w:val="0"/>
                <w:sz w:val="15"/>
              </w:rPr>
              <w:t>Построить evolution family U(t,s).</w:t>
            </w:r>
          </w:p>
        </w:tc>
        <w:tc>
          <w:tcPr>
            <w:tcW w:type="dxa" w:w="1417"/>
            <w:tcMar>
              <w:top w:w="90" w:type="dxa"/>
              <w:start w:w="110" w:type="dxa"/>
              <w:bottom w:w="90" w:type="dxa"/>
              <w:end w:w="110" w:type="dxa"/>
            </w:tcMar>
            <w:vAlign w:val="center"/>
          </w:tcPr>
          <w:p>
            <w:pPr>
              <w:spacing w:after="0" w:before="0" w:line="240" w:lineRule="auto"/>
            </w:pPr>
            <w:r>
              <w:rPr>
                <w:b w:val="0"/>
                <w:sz w:val="15"/>
              </w:rPr>
              <w:t>OPEN</w:t>
            </w:r>
          </w:p>
        </w:tc>
        <w:tc>
          <w:tcPr>
            <w:tcW w:type="dxa" w:w="2835"/>
            <w:tcMar>
              <w:top w:w="90" w:type="dxa"/>
              <w:start w:w="110" w:type="dxa"/>
              <w:bottom w:w="90" w:type="dxa"/>
              <w:end w:w="110" w:type="dxa"/>
            </w:tcMar>
            <w:vAlign w:val="center"/>
          </w:tcPr>
          <w:p>
            <w:pPr>
              <w:spacing w:after="0" w:before="0" w:line="240" w:lineRule="auto"/>
            </w:pPr>
            <w:r>
              <w:rPr>
                <w:b w:val="0"/>
                <w:sz w:val="15"/>
              </w:rPr>
              <w:t>Cocycle and regularity.</w:t>
            </w:r>
          </w:p>
        </w:tc>
      </w:tr>
      <w:tr>
        <w:tc>
          <w:tcPr>
            <w:tcW w:type="dxa" w:w="1304"/>
            <w:tcMar>
              <w:top w:w="90" w:type="dxa"/>
              <w:start w:w="110" w:type="dxa"/>
              <w:bottom w:w="90" w:type="dxa"/>
              <w:end w:w="110" w:type="dxa"/>
            </w:tcMar>
            <w:vAlign w:val="center"/>
          </w:tcPr>
          <w:p>
            <w:pPr>
              <w:spacing w:after="0" w:before="0" w:line="240" w:lineRule="auto"/>
            </w:pPr>
            <w:r>
              <w:rPr>
                <w:b w:val="0"/>
                <w:sz w:val="15"/>
              </w:rPr>
              <w:t>T2-PO-307</w:t>
            </w:r>
          </w:p>
        </w:tc>
        <w:tc>
          <w:tcPr>
            <w:tcW w:type="dxa" w:w="3685"/>
            <w:tcMar>
              <w:top w:w="90" w:type="dxa"/>
              <w:start w:w="110" w:type="dxa"/>
              <w:bottom w:w="90" w:type="dxa"/>
              <w:end w:w="110" w:type="dxa"/>
            </w:tcMar>
            <w:vAlign w:val="center"/>
          </w:tcPr>
          <w:p>
            <w:pPr>
              <w:spacing w:after="0" w:before="0" w:line="240" w:lineRule="auto"/>
            </w:pPr>
            <w:r>
              <w:rPr>
                <w:b w:val="0"/>
                <w:sz w:val="15"/>
              </w:rPr>
              <w:t>Построить generator/path kernel.</w:t>
            </w:r>
          </w:p>
        </w:tc>
        <w:tc>
          <w:tcPr>
            <w:tcW w:type="dxa" w:w="1417"/>
            <w:tcMar>
              <w:top w:w="90" w:type="dxa"/>
              <w:start w:w="110" w:type="dxa"/>
              <w:bottom w:w="90" w:type="dxa"/>
              <w:end w:w="110" w:type="dxa"/>
            </w:tcMar>
            <w:vAlign w:val="center"/>
          </w:tcPr>
          <w:p>
            <w:pPr>
              <w:spacing w:after="0" w:before="0" w:line="240" w:lineRule="auto"/>
            </w:pPr>
            <w:r>
              <w:rPr>
                <w:b w:val="0"/>
                <w:sz w:val="15"/>
              </w:rPr>
              <w:t>OPEN</w:t>
            </w:r>
          </w:p>
        </w:tc>
        <w:tc>
          <w:tcPr>
            <w:tcW w:type="dxa" w:w="2835"/>
            <w:tcMar>
              <w:top w:w="90" w:type="dxa"/>
              <w:start w:w="110" w:type="dxa"/>
              <w:bottom w:w="90" w:type="dxa"/>
              <w:end w:w="110" w:type="dxa"/>
            </w:tcMar>
            <w:vAlign w:val="center"/>
          </w:tcPr>
          <w:p>
            <w:pPr>
              <w:spacing w:after="0" w:before="0" w:line="240" w:lineRule="auto"/>
            </w:pPr>
            <w:r>
              <w:rPr>
                <w:b w:val="0"/>
                <w:sz w:val="15"/>
              </w:rPr>
              <w:t>Semigroup or nonautonomous theorem.</w:t>
            </w:r>
          </w:p>
        </w:tc>
      </w:tr>
      <w:tr>
        <w:tc>
          <w:tcPr>
            <w:tcW w:type="dxa" w:w="1304"/>
            <w:tcMar>
              <w:top w:w="90" w:type="dxa"/>
              <w:start w:w="110" w:type="dxa"/>
              <w:bottom w:w="90" w:type="dxa"/>
              <w:end w:w="110" w:type="dxa"/>
            </w:tcMar>
            <w:vAlign w:val="center"/>
          </w:tcPr>
          <w:p>
            <w:pPr>
              <w:spacing w:after="0" w:before="0" w:line="240" w:lineRule="auto"/>
            </w:pPr>
            <w:r>
              <w:rPr>
                <w:b w:val="0"/>
                <w:sz w:val="15"/>
              </w:rPr>
              <w:t>T2-PO-308</w:t>
            </w:r>
          </w:p>
        </w:tc>
        <w:tc>
          <w:tcPr>
            <w:tcW w:type="dxa" w:w="3685"/>
            <w:tcMar>
              <w:top w:w="90" w:type="dxa"/>
              <w:start w:w="110" w:type="dxa"/>
              <w:bottom w:w="90" w:type="dxa"/>
              <w:end w:w="110" w:type="dxa"/>
            </w:tcMar>
            <w:vAlign w:val="center"/>
          </w:tcPr>
          <w:p>
            <w:pPr>
              <w:spacing w:after="0" w:before="0" w:line="240" w:lineRule="auto"/>
            </w:pPr>
            <w:r>
              <w:rPr>
                <w:b w:val="0"/>
                <w:sz w:val="15"/>
              </w:rPr>
              <w:t>Доказать NAPG-совместимость эволюции.</w:t>
            </w:r>
          </w:p>
        </w:tc>
        <w:tc>
          <w:tcPr>
            <w:tcW w:type="dxa" w:w="1417"/>
            <w:tcMar>
              <w:top w:w="90" w:type="dxa"/>
              <w:start w:w="110" w:type="dxa"/>
              <w:bottom w:w="90" w:type="dxa"/>
              <w:end w:w="110" w:type="dxa"/>
            </w:tcMar>
            <w:vAlign w:val="center"/>
          </w:tcPr>
          <w:p>
            <w:pPr>
              <w:spacing w:after="0" w:before="0" w:line="240" w:lineRule="auto"/>
            </w:pPr>
            <w:r>
              <w:rPr>
                <w:b w:val="0"/>
                <w:sz w:val="15"/>
              </w:rPr>
              <w:t>OPEN</w:t>
            </w:r>
          </w:p>
        </w:tc>
        <w:tc>
          <w:tcPr>
            <w:tcW w:type="dxa" w:w="2835"/>
            <w:tcMar>
              <w:top w:w="90" w:type="dxa"/>
              <w:start w:w="110" w:type="dxa"/>
              <w:bottom w:w="90" w:type="dxa"/>
              <w:end w:w="110" w:type="dxa"/>
            </w:tcMar>
            <w:vAlign w:val="center"/>
          </w:tcPr>
          <w:p>
            <w:pPr>
              <w:spacing w:after="0" w:before="0" w:line="240" w:lineRule="auto"/>
            </w:pPr>
            <w:r>
              <w:rPr>
                <w:b w:val="0"/>
                <w:sz w:val="15"/>
              </w:rPr>
              <w:t>Preservation of D/Dom/⊙.</w:t>
            </w:r>
          </w:p>
        </w:tc>
      </w:tr>
      <w:tr>
        <w:tc>
          <w:tcPr>
            <w:tcW w:type="dxa" w:w="1304"/>
            <w:tcMar>
              <w:top w:w="90" w:type="dxa"/>
              <w:start w:w="110" w:type="dxa"/>
              <w:bottom w:w="90" w:type="dxa"/>
              <w:end w:w="110" w:type="dxa"/>
            </w:tcMar>
            <w:vAlign w:val="center"/>
          </w:tcPr>
          <w:p>
            <w:pPr>
              <w:spacing w:after="0" w:before="0" w:line="240" w:lineRule="auto"/>
            </w:pPr>
            <w:r>
              <w:rPr>
                <w:b w:val="0"/>
                <w:sz w:val="15"/>
              </w:rPr>
              <w:t>T2-PO-309</w:t>
            </w:r>
          </w:p>
        </w:tc>
        <w:tc>
          <w:tcPr>
            <w:tcW w:type="dxa" w:w="3685"/>
            <w:tcMar>
              <w:top w:w="90" w:type="dxa"/>
              <w:start w:w="110" w:type="dxa"/>
              <w:bottom w:w="90" w:type="dxa"/>
              <w:end w:w="110" w:type="dxa"/>
            </w:tcMar>
            <w:vAlign w:val="center"/>
          </w:tcPr>
          <w:p>
            <w:pPr>
              <w:spacing w:after="0" w:before="0" w:line="240" w:lineRule="auto"/>
            </w:pPr>
            <w:r>
              <w:rPr>
                <w:b w:val="0"/>
                <w:sz w:val="15"/>
              </w:rPr>
              <w:t>Задать observation map.</w:t>
            </w:r>
          </w:p>
        </w:tc>
        <w:tc>
          <w:tcPr>
            <w:tcW w:type="dxa" w:w="1417"/>
            <w:tcMar>
              <w:top w:w="90" w:type="dxa"/>
              <w:start w:w="110" w:type="dxa"/>
              <w:bottom w:w="90" w:type="dxa"/>
              <w:end w:w="110" w:type="dxa"/>
            </w:tcMar>
            <w:vAlign w:val="center"/>
          </w:tcPr>
          <w:p>
            <w:pPr>
              <w:spacing w:after="0" w:before="0" w:line="240" w:lineRule="auto"/>
            </w:pPr>
            <w:r>
              <w:rPr>
                <w:b w:val="0"/>
                <w:sz w:val="15"/>
              </w:rPr>
              <w:t>OPEN-DOMAIN</w:t>
            </w:r>
          </w:p>
        </w:tc>
        <w:tc>
          <w:tcPr>
            <w:tcW w:type="dxa" w:w="2835"/>
            <w:tcMar>
              <w:top w:w="90" w:type="dxa"/>
              <w:start w:w="110" w:type="dxa"/>
              <w:bottom w:w="90" w:type="dxa"/>
              <w:end w:w="110" w:type="dxa"/>
            </w:tcMar>
            <w:vAlign w:val="center"/>
          </w:tcPr>
          <w:p>
            <w:pPr>
              <w:spacing w:after="0" w:before="0" w:line="240" w:lineRule="auto"/>
            </w:pPr>
            <w:r>
              <w:rPr>
                <w:b w:val="0"/>
                <w:sz w:val="15"/>
              </w:rPr>
              <w:t>Operational measurement model.</w:t>
            </w:r>
          </w:p>
        </w:tc>
      </w:tr>
      <w:tr>
        <w:tc>
          <w:tcPr>
            <w:tcW w:type="dxa" w:w="1304"/>
            <w:tcMar>
              <w:top w:w="90" w:type="dxa"/>
              <w:start w:w="110" w:type="dxa"/>
              <w:bottom w:w="90" w:type="dxa"/>
              <w:end w:w="110" w:type="dxa"/>
            </w:tcMar>
            <w:vAlign w:val="center"/>
          </w:tcPr>
          <w:p>
            <w:pPr>
              <w:spacing w:after="0" w:before="0" w:line="240" w:lineRule="auto"/>
            </w:pPr>
            <w:r>
              <w:rPr>
                <w:b w:val="0"/>
                <w:sz w:val="15"/>
              </w:rPr>
              <w:t>T2-PO-310</w:t>
            </w:r>
          </w:p>
        </w:tc>
        <w:tc>
          <w:tcPr>
            <w:tcW w:type="dxa" w:w="3685"/>
            <w:tcMar>
              <w:top w:w="90" w:type="dxa"/>
              <w:start w:w="110" w:type="dxa"/>
              <w:bottom w:w="90" w:type="dxa"/>
              <w:end w:w="110" w:type="dxa"/>
            </w:tcMar>
            <w:vAlign w:val="center"/>
          </w:tcPr>
          <w:p>
            <w:pPr>
              <w:spacing w:after="0" w:before="0" w:line="240" w:lineRule="auto"/>
            </w:pPr>
            <w:r>
              <w:rPr>
                <w:b w:val="0"/>
                <w:sz w:val="15"/>
              </w:rPr>
              <w:t>Провести calibration/validation.</w:t>
            </w:r>
          </w:p>
        </w:tc>
        <w:tc>
          <w:tcPr>
            <w:tcW w:type="dxa" w:w="1417"/>
            <w:tcMar>
              <w:top w:w="90" w:type="dxa"/>
              <w:start w:w="110" w:type="dxa"/>
              <w:bottom w:w="90" w:type="dxa"/>
              <w:end w:w="110" w:type="dxa"/>
            </w:tcMar>
            <w:vAlign w:val="center"/>
          </w:tcPr>
          <w:p>
            <w:pPr>
              <w:spacing w:after="0" w:before="0" w:line="240" w:lineRule="auto"/>
            </w:pPr>
            <w:r>
              <w:rPr>
                <w:b w:val="0"/>
                <w:sz w:val="15"/>
              </w:rPr>
              <w:t>OPEN-EMP</w:t>
            </w:r>
          </w:p>
        </w:tc>
        <w:tc>
          <w:tcPr>
            <w:tcW w:type="dxa" w:w="2835"/>
            <w:tcMar>
              <w:top w:w="90" w:type="dxa"/>
              <w:start w:w="110" w:type="dxa"/>
              <w:bottom w:w="90" w:type="dxa"/>
              <w:end w:w="110" w:type="dxa"/>
            </w:tcMar>
            <w:vAlign w:val="center"/>
          </w:tcPr>
          <w:p>
            <w:pPr>
              <w:spacing w:after="0" w:before="0" w:line="240" w:lineRule="auto"/>
            </w:pPr>
            <w:r>
              <w:rPr>
                <w:b w:val="0"/>
                <w:sz w:val="15"/>
              </w:rPr>
              <w:t>Frozen protocol and data.</w:t>
            </w:r>
          </w:p>
        </w:tc>
      </w:tr>
      <w:tr>
        <w:tc>
          <w:tcPr>
            <w:tcW w:type="dxa" w:w="1304"/>
            <w:tcMar>
              <w:top w:w="90" w:type="dxa"/>
              <w:start w:w="110" w:type="dxa"/>
              <w:bottom w:w="90" w:type="dxa"/>
              <w:end w:w="110" w:type="dxa"/>
            </w:tcMar>
            <w:vAlign w:val="center"/>
          </w:tcPr>
          <w:p>
            <w:pPr>
              <w:spacing w:after="0" w:before="0" w:line="240" w:lineRule="auto"/>
            </w:pPr>
            <w:r>
              <w:rPr>
                <w:b w:val="0"/>
                <w:sz w:val="15"/>
              </w:rPr>
              <w:t>T2-PO-311</w:t>
            </w:r>
          </w:p>
        </w:tc>
        <w:tc>
          <w:tcPr>
            <w:tcW w:type="dxa" w:w="3685"/>
            <w:tcMar>
              <w:top w:w="90" w:type="dxa"/>
              <w:start w:w="110" w:type="dxa"/>
              <w:bottom w:w="90" w:type="dxa"/>
              <w:end w:w="110" w:type="dxa"/>
            </w:tcMar>
            <w:vAlign w:val="center"/>
          </w:tcPr>
          <w:p>
            <w:pPr>
              <w:spacing w:after="0" w:before="0" w:line="240" w:lineRule="auto"/>
            </w:pPr>
            <w:r>
              <w:rPr>
                <w:b w:val="0"/>
                <w:sz w:val="15"/>
              </w:rPr>
              <w:t>Выполнить независимый EXT-RUN.</w:t>
            </w:r>
          </w:p>
        </w:tc>
        <w:tc>
          <w:tcPr>
            <w:tcW w:type="dxa" w:w="1417"/>
            <w:tcMar>
              <w:top w:w="90" w:type="dxa"/>
              <w:start w:w="110" w:type="dxa"/>
              <w:bottom w:w="90" w:type="dxa"/>
              <w:end w:w="110" w:type="dxa"/>
            </w:tcMar>
            <w:vAlign w:val="center"/>
          </w:tcPr>
          <w:p>
            <w:pPr>
              <w:spacing w:after="0" w:before="0" w:line="240" w:lineRule="auto"/>
            </w:pPr>
            <w:r>
              <w:rPr>
                <w:b w:val="0"/>
                <w:sz w:val="15"/>
              </w:rPr>
              <w:t>OPEN-EMP</w:t>
            </w:r>
          </w:p>
        </w:tc>
        <w:tc>
          <w:tcPr>
            <w:tcW w:type="dxa" w:w="2835"/>
            <w:tcMar>
              <w:top w:w="90" w:type="dxa"/>
              <w:start w:w="110" w:type="dxa"/>
              <w:bottom w:w="90" w:type="dxa"/>
              <w:end w:w="110" w:type="dxa"/>
            </w:tcMar>
            <w:vAlign w:val="center"/>
          </w:tcPr>
          <w:p>
            <w:pPr>
              <w:spacing w:after="0" w:before="0" w:line="240" w:lineRule="auto"/>
            </w:pPr>
            <w:r>
              <w:rPr>
                <w:b w:val="0"/>
                <w:sz w:val="15"/>
              </w:rPr>
              <w:t>External preregistered run.</w:t>
            </w:r>
          </w:p>
        </w:tc>
      </w:tr>
      <w:tr>
        <w:tc>
          <w:tcPr>
            <w:tcW w:type="dxa" w:w="1304"/>
            <w:tcMar>
              <w:top w:w="90" w:type="dxa"/>
              <w:start w:w="110" w:type="dxa"/>
              <w:bottom w:w="90" w:type="dxa"/>
              <w:end w:w="110" w:type="dxa"/>
            </w:tcMar>
            <w:vAlign w:val="center"/>
          </w:tcPr>
          <w:p>
            <w:pPr>
              <w:spacing w:after="0" w:before="0" w:line="240" w:lineRule="auto"/>
            </w:pPr>
            <w:r>
              <w:rPr>
                <w:b w:val="0"/>
                <w:sz w:val="15"/>
              </w:rPr>
              <w:t>T2-PO-312</w:t>
            </w:r>
          </w:p>
        </w:tc>
        <w:tc>
          <w:tcPr>
            <w:tcW w:type="dxa" w:w="3685"/>
            <w:tcMar>
              <w:top w:w="90" w:type="dxa"/>
              <w:start w:w="110" w:type="dxa"/>
              <w:bottom w:w="90" w:type="dxa"/>
              <w:end w:w="110" w:type="dxa"/>
            </w:tcMar>
            <w:vAlign w:val="center"/>
          </w:tcPr>
          <w:p>
            <w:pPr>
              <w:spacing w:after="0" w:before="0" w:line="240" w:lineRule="auto"/>
            </w:pPr>
            <w:r>
              <w:rPr>
                <w:b w:val="0"/>
                <w:sz w:val="15"/>
              </w:rPr>
              <w:t>Согласовать λ и CGI_ref.</w:t>
            </w:r>
          </w:p>
        </w:tc>
        <w:tc>
          <w:tcPr>
            <w:tcW w:type="dxa" w:w="1417"/>
            <w:tcMar>
              <w:top w:w="90" w:type="dxa"/>
              <w:start w:w="110" w:type="dxa"/>
              <w:bottom w:w="90" w:type="dxa"/>
              <w:end w:w="110" w:type="dxa"/>
            </w:tcMar>
            <w:vAlign w:val="center"/>
          </w:tcPr>
          <w:p>
            <w:pPr>
              <w:spacing w:after="0" w:before="0" w:line="240" w:lineRule="auto"/>
            </w:pPr>
            <w:r>
              <w:rPr>
                <w:b w:val="0"/>
                <w:sz w:val="15"/>
              </w:rPr>
              <w:t>COND</w:t>
            </w:r>
          </w:p>
        </w:tc>
        <w:tc>
          <w:tcPr>
            <w:tcW w:type="dxa" w:w="2835"/>
            <w:tcMar>
              <w:top w:w="90" w:type="dxa"/>
              <w:start w:w="110" w:type="dxa"/>
              <w:bottom w:w="90" w:type="dxa"/>
              <w:end w:w="110" w:type="dxa"/>
            </w:tcMar>
            <w:vAlign w:val="center"/>
          </w:tcPr>
          <w:p>
            <w:pPr>
              <w:spacing w:after="0" w:before="0" w:line="240" w:lineRule="auto"/>
            </w:pPr>
            <w:r>
              <w:rPr>
                <w:b w:val="0"/>
                <w:sz w:val="15"/>
              </w:rPr>
              <w:t>Weight/source sensitivity certificate.</w:t>
            </w:r>
          </w:p>
        </w:tc>
      </w:tr>
      <w:tr>
        <w:tc>
          <w:tcPr>
            <w:tcW w:type="dxa" w:w="1304"/>
            <w:tcMar>
              <w:top w:w="90" w:type="dxa"/>
              <w:start w:w="110" w:type="dxa"/>
              <w:bottom w:w="90" w:type="dxa"/>
              <w:end w:w="110" w:type="dxa"/>
            </w:tcMar>
            <w:vAlign w:val="center"/>
          </w:tcPr>
          <w:p>
            <w:pPr>
              <w:spacing w:after="0" w:before="0" w:line="240" w:lineRule="auto"/>
            </w:pPr>
            <w:r>
              <w:rPr>
                <w:b w:val="0"/>
                <w:sz w:val="15"/>
              </w:rPr>
              <w:t>T2-PO-313</w:t>
            </w:r>
          </w:p>
        </w:tc>
        <w:tc>
          <w:tcPr>
            <w:tcW w:type="dxa" w:w="3685"/>
            <w:tcMar>
              <w:top w:w="90" w:type="dxa"/>
              <w:start w:w="110" w:type="dxa"/>
              <w:bottom w:w="90" w:type="dxa"/>
              <w:end w:w="110" w:type="dxa"/>
            </w:tcMar>
            <w:vAlign w:val="center"/>
          </w:tcPr>
          <w:p>
            <w:pPr>
              <w:spacing w:after="0" w:before="0" w:line="240" w:lineRule="auto"/>
            </w:pPr>
            <w:r>
              <w:rPr>
                <w:b w:val="0"/>
                <w:sz w:val="15"/>
              </w:rPr>
              <w:t>Реализовать MOT-REF-SER-DYN код.</w:t>
            </w:r>
          </w:p>
        </w:tc>
        <w:tc>
          <w:tcPr>
            <w:tcW w:type="dxa" w:w="1417"/>
            <w:tcMar>
              <w:top w:w="90" w:type="dxa"/>
              <w:start w:w="110" w:type="dxa"/>
              <w:bottom w:w="90" w:type="dxa"/>
              <w:end w:w="110" w:type="dxa"/>
            </w:tcMar>
            <w:vAlign w:val="center"/>
          </w:tcPr>
          <w:p>
            <w:pPr>
              <w:spacing w:after="0" w:before="0" w:line="240" w:lineRule="auto"/>
            </w:pPr>
            <w:r>
              <w:rPr>
                <w:b w:val="0"/>
                <w:sz w:val="15"/>
              </w:rPr>
              <w:t>OPEN-COMP</w:t>
            </w:r>
          </w:p>
        </w:tc>
        <w:tc>
          <w:tcPr>
            <w:tcW w:type="dxa" w:w="2835"/>
            <w:tcMar>
              <w:top w:w="90" w:type="dxa"/>
              <w:start w:w="110" w:type="dxa"/>
              <w:bottom w:w="90" w:type="dxa"/>
              <w:end w:w="110" w:type="dxa"/>
            </w:tcMar>
            <w:vAlign w:val="center"/>
          </w:tcPr>
          <w:p>
            <w:pPr>
              <w:spacing w:after="0" w:before="0" w:line="240" w:lineRule="auto"/>
            </w:pPr>
            <w:r>
              <w:rPr>
                <w:b w:val="0"/>
                <w:sz w:val="15"/>
              </w:rPr>
              <w:t>Exact/interval executable package.</w:t>
            </w:r>
          </w:p>
        </w:tc>
      </w:tr>
      <w:tr>
        <w:tc>
          <w:tcPr>
            <w:tcW w:type="dxa" w:w="1304"/>
            <w:tcMar>
              <w:top w:w="90" w:type="dxa"/>
              <w:start w:w="110" w:type="dxa"/>
              <w:bottom w:w="90" w:type="dxa"/>
              <w:end w:w="110" w:type="dxa"/>
            </w:tcMar>
            <w:vAlign w:val="center"/>
          </w:tcPr>
          <w:p>
            <w:pPr>
              <w:spacing w:after="0" w:before="0" w:line="240" w:lineRule="auto"/>
            </w:pPr>
            <w:r>
              <w:rPr>
                <w:b w:val="0"/>
                <w:sz w:val="15"/>
              </w:rPr>
              <w:t>T2-PO-314</w:t>
            </w:r>
          </w:p>
        </w:tc>
        <w:tc>
          <w:tcPr>
            <w:tcW w:type="dxa" w:w="3685"/>
            <w:tcMar>
              <w:top w:w="90" w:type="dxa"/>
              <w:start w:w="110" w:type="dxa"/>
              <w:bottom w:w="90" w:type="dxa"/>
              <w:end w:w="110" w:type="dxa"/>
            </w:tcMar>
            <w:vAlign w:val="center"/>
          </w:tcPr>
          <w:p>
            <w:pPr>
              <w:spacing w:after="0" w:before="0" w:line="240" w:lineRule="auto"/>
            </w:pPr>
            <w:r>
              <w:rPr>
                <w:b w:val="0"/>
                <w:sz w:val="15"/>
              </w:rPr>
              <w:t>Закрыть главную теорему v0.17.</w:t>
            </w:r>
          </w:p>
        </w:tc>
        <w:tc>
          <w:tcPr>
            <w:tcW w:type="dxa" w:w="1417"/>
            <w:tcMar>
              <w:top w:w="90" w:type="dxa"/>
              <w:start w:w="110" w:type="dxa"/>
              <w:bottom w:w="90" w:type="dxa"/>
              <w:end w:w="110" w:type="dxa"/>
            </w:tcMar>
            <w:vAlign w:val="center"/>
          </w:tcPr>
          <w:p>
            <w:pPr>
              <w:spacing w:after="0" w:before="0" w:line="240" w:lineRule="auto"/>
            </w:pPr>
            <w:r>
              <w:rPr>
                <w:b w:val="0"/>
                <w:sz w:val="15"/>
              </w:rPr>
              <w:t>COND</w:t>
            </w:r>
          </w:p>
        </w:tc>
        <w:tc>
          <w:tcPr>
            <w:tcW w:type="dxa" w:w="2835"/>
            <w:tcMar>
              <w:top w:w="90" w:type="dxa"/>
              <w:start w:w="110" w:type="dxa"/>
              <w:bottom w:w="90" w:type="dxa"/>
              <w:end w:w="110" w:type="dxa"/>
            </w:tcMar>
            <w:vAlign w:val="center"/>
          </w:tcPr>
          <w:p>
            <w:pPr>
              <w:spacing w:after="0" w:before="0" w:line="240" w:lineRule="auto"/>
            </w:pPr>
            <w:r>
              <w:rPr>
                <w:b w:val="0"/>
                <w:sz w:val="15"/>
              </w:rPr>
              <w:t>All categorified, series, dynamic and empirical bridges.</w:t>
            </w:r>
          </w:p>
        </w:tc>
      </w:tr>
    </w:tbl>
    <w:p>
      <w:pPr>
        <w:spacing w:after="0"/>
      </w:pPr>
    </w:p>
    <w:p>
      <w:pPr>
        <w:pStyle w:val="Heading1"/>
        <w:keepNext/>
      </w:pPr>
      <w:r>
        <w:t>263. Prior art и граница авторского вклада</w:t>
      </w:r>
    </w:p>
    <w:p>
      <w:pPr/>
      <w:r>
        <w:t>Классический prior art главы включает Grothendieck-кольца и power structures; motivic zeta functions и vanishing cycles; motivic Donaldson–Thomas invariants и wall-crossing; cohomological Hall algebras; generalized DT theory; cohomological BPS-categorification; Hall-algebraic curve counting. Авторский слой Тома II состоит в их типизированном включении в NAPG/KLT-RBD, информационном ledger, тройном motivic-series-dynamic firewall, Reper/D/Dom-сертификате и отрицательной теореме о неидентифицируемости времени по коэффициентам.</w:t>
      </w:r>
    </w:p>
    <w:p>
      <w:pPr/>
      <w:r>
        <w:t>[V0.17-1] Kontsevich, M.; Soibelman, Y. Stability structures, motivic Donaldson–Thomas invariants and cluster transformations. arXiv:0811.2435. [первичный источник]</w:t>
      </w:r>
    </w:p>
    <w:p>
      <w:pPr/>
      <w:r>
        <w:t>[V0.17-2] Kontsevich, M.; Soibelman, Y. Cohomological Hall algebra, exponential Hodge structures and motivic Donaldson–Thomas invariants. arXiv:1006.2706. [первичный источник]</w:t>
      </w:r>
    </w:p>
    <w:p>
      <w:pPr/>
      <w:r>
        <w:t>[V0.17-3] Joyce, D.; Song, Y. A theory of generalized Donaldson–Thomas invariants. arXiv:0810.5645. [первичный источник]</w:t>
      </w:r>
    </w:p>
    <w:p>
      <w:pPr/>
      <w:r>
        <w:t>[V0.17-4] Bridgeland, T. Hall algebras and curve-counting invariants. arXiv:1002.4374. [первичный источник]</w:t>
      </w:r>
    </w:p>
    <w:p>
      <w:pPr/>
      <w:r>
        <w:t>[V0.17-5] Davison, B.; Meinhardt, S. Cohomological Donaldson–Thomas theory of a quiver with potential and quantum enveloping algebras. arXiv:1601.02479. [первичный источник]</w:t>
      </w:r>
    </w:p>
    <w:p>
      <w:pPr/>
      <w:r>
        <w:t>[V0.17-6] Bussi, V.; Joyce, D.; Meinhardt, S. On motivic vanishing cycles of critical loci. arXiv:1305.6428. [первичный источник]</w:t>
      </w:r>
    </w:p>
    <w:p>
      <w:pPr/>
      <w:r>
        <w:t>[V0.17-7] Denef, J.; Loeser, F. Motivic Igusa zeta functions. arXiv:math/9803040. [первичный источник]</w:t>
      </w:r>
    </w:p>
    <w:p>
      <w:pPr/>
      <w:r>
        <w:t>[V0.17-8] Gusein-Zade, S. M.; Luengo, I.; Melle-Hernández, A. On the power structure over the Grothendieck ring of varieties and its applications. arXiv:math/0605467. [первичный источник]</w:t>
      </w:r>
    </w:p>
    <w:p>
      <w:pPr/>
      <w:r>
        <w:t>[V0.17-9] Behrend, K. Donaldson–Thomas type invariants via microlocal geometry. arXiv:math/0507523. [первичный источник]</w:t>
      </w:r>
    </w:p>
    <w:p>
      <w:pPr/>
      <w:r>
        <w:t>[V0.17-10] Kurpishev, I. B. Том I v197 RU; Том II T2-RP-v0.1–v0.16. [внутренний авторский корпус]</w:t>
      </w:r>
    </w:p>
    <w:p>
      <w:pPr>
        <w:pStyle w:val="Heading1"/>
        <w:keepNext/>
      </w:pPr>
      <w:r>
        <w:t>264. Контрольная точка и граница вывода</w:t>
      </w:r>
    </w:p>
    <w:p>
      <w:pPr>
        <w:pStyle w:val="Quote"/>
        <w:jc w:val="center"/>
      </w:pPr>
      <w:r>
        <w:t>truth_layer_promotion=0; checkpoint=T2-RP-v0.17; next=T2-RP-v0.18.  (20.29)</w:t>
      </w:r>
    </w:p>
    <w:p>
      <w:pPr/>
      <w:r>
        <w:t>Глава 20 построила лестницу categorified→motivic→refined→numerical, формализовала производящие ряды и установила их предел: grading не является временем, а коэффициенты не задают evolution law. Для динамического вывода необходимы отдельные τ, state space, U(t,s), path/observation model, calibration и независимый внешний запуск. До их построения результат остаётся математическим профилем и не получает физического статуса.</w:t>
      </w:r>
    </w:p>
    <w:p>
      <w:pPr>
        <w:pStyle w:val="Small"/>
      </w:pPr>
      <w:r>
        <w:t>Следующая сборка tom2_v0_18 развивает нелинейные эволюционные полугруппы, transfer operators, path-space carriers, causal kernels и связь с реперным прогнозом при явной временной, вероятностной и эмпирической спецификации.</w:t>
      </w:r>
    </w:p>
    <w:p>
      <w:pPr>
        <w:pStyle w:val="Small"/>
      </w:pPr>
      <w:r>
        <w:t>checkpoint=T2-RP-v0.17; source=T2-RP-v0.16; truth_layer_promotion=0; next=T2-RP-v0.18.</w:t>
      </w:r>
    </w:p>
    <w:p>
      <w:r>
        <w:br w:type="page"/>
      </w:r>
    </w:p>
    <w:p>
      <w:pPr>
        <w:pStyle w:val="Heading1"/>
      </w:pPr>
      <w:r>
        <w:t>Глава 21. Нелинейные эволюционные полугруппы, transfer operators, path-space carriers и причинные ядра</w:t>
      </w:r>
    </w:p>
    <w:tbl>
      <w:tblPr>
        <w:tblStyle w:val="TableGrid"/>
        <w:tblW w:type="auto" w:w="0"/>
        <w:jc w:val="center"/>
        <w:tblLook w:firstColumn="1" w:firstRow="1" w:lastColumn="0" w:lastRow="0" w:noHBand="0" w:noVBand="1" w:val="04A0"/>
      </w:tblPr>
      <w:tblGrid>
        <w:gridCol w:w="4876"/>
        <w:gridCol w:w="4876"/>
      </w:tblGrid>
      <w:tr>
        <w:tc>
          <w:tcPr>
            <w:tcW w:type="dxa" w:w="2232"/>
            <w:shd w:fill="1f426b"/>
            <w:vAlign w:val="center"/>
            <w:tcMar>
              <w:top w:w="90" w:type="dxa"/>
              <w:start w:w="100" w:type="dxa"/>
              <w:bottom w:w="90" w:type="dxa"/>
              <w:end w:w="100" w:type="dxa"/>
            </w:tcMar>
          </w:tcPr>
          <w:p>
            <w:r>
              <w:rPr>
                <w:b/>
                <w:color w:val="FFFFFF"/>
              </w:rPr>
              <w:t>ОНТОЛОГИЯ</w:t>
            </w:r>
          </w:p>
        </w:tc>
        <w:tc>
          <w:tcPr>
            <w:tcW w:type="dxa" w:w="7416"/>
            <w:shd w:fill="f4f7fb"/>
            <w:vAlign w:val="center"/>
            <w:tcMar>
              <w:top w:w="90" w:type="dxa"/>
              <w:start w:w="100" w:type="dxa"/>
              <w:bottom w:w="90" w:type="dxa"/>
              <w:end w:w="100" w:type="dxa"/>
            </w:tcMar>
          </w:tcPr>
          <w:p>
            <w:r>
              <w:t>Временная структура начинается не с последовательности индексов, а с пространства состояний, направленного временного носителя и правила перехода. Траектория существует лишь после задания совместимых переходов или меры на пространстве путей.</w:t>
            </w:r>
          </w:p>
        </w:tc>
      </w:tr>
      <w:tr>
        <w:tc>
          <w:tcPr>
            <w:tcW w:type="dxa" w:w="2232"/>
            <w:shd w:fill="244f79"/>
            <w:vAlign w:val="center"/>
            <w:tcMar>
              <w:top w:w="90" w:type="dxa"/>
              <w:start w:w="100" w:type="dxa"/>
              <w:bottom w:w="90" w:type="dxa"/>
              <w:end w:w="100" w:type="dxa"/>
            </w:tcMar>
          </w:tcPr>
          <w:p>
            <w:r>
              <w:rPr>
                <w:b/>
                <w:color w:val="FFFFFF"/>
              </w:rPr>
              <w:t>ГНОСЕОЛОГИЯ</w:t>
            </w:r>
          </w:p>
        </w:tc>
        <w:tc>
          <w:tcPr>
            <w:tcW w:type="dxa" w:w="7416"/>
            <w:shd w:fill="f4f7fb"/>
            <w:vAlign w:val="center"/>
            <w:tcMar>
              <w:top w:w="90" w:type="dxa"/>
              <w:start w:w="100" w:type="dxa"/>
              <w:bottom w:w="90" w:type="dxa"/>
              <w:end w:w="100" w:type="dxa"/>
            </w:tcMar>
          </w:tcPr>
          <w:p>
            <w:r>
              <w:t>Оператор эволюции сообщает, как модель переносит состояние; transfer-оператор сообщает, как переносятся наблюдаемые или меры; эмпирическая причинность требует ещё наблюдений, интервенций, контроля смешения и независимой проверки.</w:t>
            </w:r>
          </w:p>
        </w:tc>
      </w:tr>
      <w:tr>
        <w:tc>
          <w:tcPr>
            <w:tcW w:type="dxa" w:w="2232"/>
            <w:shd w:fill="b2872f"/>
            <w:vAlign w:val="center"/>
            <w:tcMar>
              <w:top w:w="90" w:type="dxa"/>
              <w:start w:w="100" w:type="dxa"/>
              <w:bottom w:w="90" w:type="dxa"/>
              <w:end w:w="100" w:type="dxa"/>
            </w:tcMar>
          </w:tcPr>
          <w:p>
            <w:r>
              <w:rPr>
                <w:b/>
                <w:color w:val="FFFFFF"/>
              </w:rPr>
              <w:t>ФЕНОМЕНОЛОГИЯ</w:t>
            </w:r>
          </w:p>
        </w:tc>
        <w:tc>
          <w:tcPr>
            <w:tcW w:type="dxa" w:w="7416"/>
            <w:shd w:fill="f4f7fb"/>
            <w:vAlign w:val="center"/>
            <w:tcMar>
              <w:top w:w="90" w:type="dxa"/>
              <w:start w:w="100" w:type="dxa"/>
              <w:bottom w:w="90" w:type="dxa"/>
              <w:end w:w="100" w:type="dxa"/>
            </w:tcMar>
          </w:tcPr>
          <w:p>
            <w:r>
              <w:t>Наблюдаемый поток данных является проекцией скрытой или расширенной траектории. Память, запаздывание и ветвление могут требовать увеличения состояния до истории, поэтому одно текущее значение не всегда является достаточным носителем будущего.</w:t>
            </w:r>
          </w:p>
        </w:tc>
      </w:tr>
      <w:tr>
        <w:tc>
          <w:tcPr>
            <w:tcW w:type="dxa" w:w="2232"/>
            <w:shd w:fill="f4e6c3"/>
            <w:vAlign w:val="center"/>
            <w:tcMar>
              <w:top w:w="90" w:type="dxa"/>
              <w:start w:w="100" w:type="dxa"/>
              <w:bottom w:w="90" w:type="dxa"/>
              <w:end w:w="100" w:type="dxa"/>
            </w:tcMar>
          </w:tcPr>
          <w:p>
            <w:r>
              <w:rPr>
                <w:b/>
                <w:color w:val="5B3B00"/>
              </w:rPr>
              <w:t>ГРАНИЦА</w:t>
            </w:r>
          </w:p>
        </w:tc>
        <w:tc>
          <w:tcPr>
            <w:tcW w:type="dxa" w:w="7416"/>
            <w:shd w:fill="fff8e7"/>
            <w:vAlign w:val="center"/>
            <w:tcMar>
              <w:top w:w="90" w:type="dxa"/>
              <w:start w:w="100" w:type="dxa"/>
              <w:bottom w:w="90" w:type="dxa"/>
              <w:end w:w="100" w:type="dxa"/>
            </w:tcMar>
          </w:tcPr>
          <w:p>
            <w:r>
              <w:t>Полугруппа, Markov kernel, Volterra kernel, Koopman-спектр, λ=-1 или низкий CGI сами по себе не доказывают физическую причинность, вероятность будущего события или переносимость за пределы заявленного Dom.</w:t>
            </w:r>
          </w:p>
        </w:tc>
      </w:tr>
    </w:tbl>
    <w:p>
      <w:pPr>
        <w:pStyle w:val="Lead"/>
      </w:pPr>
      <w:r>
        <w:t>Статус главы: theorem/conditional/computational package. В ней строится математический временной интерфейс, необходимый после динамического firewall главы 20. Физическая и эмпирическая интерпретации остаются отдельными слоями. ПН.2 и F-1–F-14 статуса не меняют.</w:t>
      </w:r>
    </w:p>
    <w:p>
      <w:pPr>
        <w:pStyle w:val="Quote"/>
        <w:jc w:val="center"/>
      </w:pPr>
      <w:r>
        <w:t>truth_layer_promotion=0; source=T2-RP-v0.17; checkpoint=T2-RP-v0.18.  (21.1)</w:t>
      </w:r>
    </w:p>
    <w:p>
      <w:pPr>
        <w:pStyle w:val="Heading1"/>
      </w:pPr>
      <w:r>
        <w:t>265. Типы времени, состояния и эволюции</w:t>
      </w:r>
    </w:p>
    <w:p>
      <w:pPr/>
      <w:r>
        <w:t>Определение 21.1. Временным носителем называется ориентированное частично упорядоченное множество (T,≤), снабжённое топологией или измеримой структурой, достаточной для выбранного класса эволюций. Пространство состояний S может быть метрическим, банаховым, гильбертовым, стратифицированным или категориальным объектом, но его тип фиксируется до определения перехода.</w:t>
      </w:r>
    </w:p>
    <w:p>
      <w:pPr/>
      <w:r>
        <w:t>Чтобы не смешивать компонент U реперной четвёрки с оператором эволюции, в настоящей главе оператор обозначается каллиграфической буквой 𝒰. Для t≥s вводится частично определённая карта</w:t>
      </w:r>
    </w:p>
    <w:p>
      <w:pPr>
        <w:pStyle w:val="Quote"/>
        <w:jc w:val="center"/>
      </w:pPr>
      <w:r>
        <w:t>𝒰(t,s): Dom_{t,s}⊆S_s → S_t.  (21.2)</w:t>
      </w:r>
    </w:p>
    <w:p>
      <w:pPr/>
      <w:r>
        <w:t>Автономный случай задаётся S_t=S и 𝒰(t,s)=𝒮(t-s). Неавтономный случай требует двух параметров, потому что переход зависит не только от длительности, но и от положения интервала на временной оси.</w:t>
      </w:r>
    </w:p>
    <w:p>
      <w:pPr>
        <w:pStyle w:val="Heading2"/>
      </w:pPr>
      <w:r>
        <w:t>Минимальный реестр типов</w:t>
      </w:r>
    </w:p>
    <w:tbl>
      <w:tblPr>
        <w:tblStyle w:val="TableGrid"/>
        <w:tblW w:type="auto" w:w="0"/>
        <w:jc w:val="center"/>
        <w:tblLook w:firstColumn="1" w:firstRow="1" w:lastColumn="0" w:lastRow="0" w:noHBand="0" w:noVBand="1" w:val="04A0"/>
      </w:tblPr>
      <w:tblGrid>
        <w:gridCol w:w="4876"/>
        <w:gridCol w:w="4876"/>
      </w:tblGrid>
      <w:tr>
        <w:trPr>
          <w:tblHeader w:val="true"/>
        </w:trPr>
        <w:tc>
          <w:tcPr>
            <w:tcW w:type="dxa" w:w="3168"/>
            <w:shd w:fill="1f426b"/>
            <w:tcMar>
              <w:top w:w="90" w:type="dxa"/>
              <w:start w:w="100" w:type="dxa"/>
              <w:bottom w:w="90" w:type="dxa"/>
              <w:end w:w="100" w:type="dxa"/>
            </w:tcMar>
          </w:tcPr>
          <w:p>
            <w:r>
              <w:rPr>
                <w:b/>
                <w:color w:val="FFFFFF"/>
              </w:rPr>
              <w:t>Объект</w:t>
            </w:r>
          </w:p>
        </w:tc>
        <w:tc>
          <w:tcPr>
            <w:tcW w:type="dxa" w:w="6480"/>
            <w:shd w:fill="1f426b"/>
            <w:tcMar>
              <w:top w:w="90" w:type="dxa"/>
              <w:start w:w="100" w:type="dxa"/>
              <w:bottom w:w="90" w:type="dxa"/>
              <w:end w:w="100" w:type="dxa"/>
            </w:tcMar>
          </w:tcPr>
          <w:p>
            <w:r>
              <w:rPr>
                <w:b/>
                <w:color w:val="FFFFFF"/>
              </w:rPr>
              <w:t>Строгая роль и ограничение</w:t>
            </w:r>
          </w:p>
        </w:tc>
      </w:tr>
      <w:tr>
        <w:tc>
          <w:tcPr>
            <w:tcW w:type="dxa" w:w="3168"/>
            <w:tcMar>
              <w:top w:w="90" w:type="dxa"/>
              <w:start w:w="100" w:type="dxa"/>
              <w:bottom w:w="90" w:type="dxa"/>
              <w:end w:w="100" w:type="dxa"/>
            </w:tcMar>
            <w:vAlign w:val="center"/>
          </w:tcPr>
          <w:p>
            <w:r>
              <w:t>T</w:t>
            </w:r>
          </w:p>
        </w:tc>
        <w:tc>
          <w:tcPr>
            <w:tcW w:type="dxa" w:w="6480"/>
            <w:tcMar>
              <w:top w:w="90" w:type="dxa"/>
              <w:start w:w="100" w:type="dxa"/>
              <w:bottom w:w="90" w:type="dxa"/>
              <w:end w:w="100" w:type="dxa"/>
            </w:tcMar>
            <w:vAlign w:val="center"/>
          </w:tcPr>
          <w:p>
            <w:r>
              <w:t>Временной носитель; индекс, физическое время, логическое время и порядок раскрытия данных не отождествляются автоматически.</w:t>
            </w:r>
          </w:p>
        </w:tc>
      </w:tr>
      <w:tr>
        <w:tc>
          <w:tcPr>
            <w:tcW w:type="dxa" w:w="3168"/>
            <w:tcMar>
              <w:top w:w="90" w:type="dxa"/>
              <w:start w:w="100" w:type="dxa"/>
              <w:bottom w:w="90" w:type="dxa"/>
              <w:end w:w="100" w:type="dxa"/>
            </w:tcMar>
            <w:vAlign w:val="center"/>
          </w:tcPr>
          <w:p>
            <w:r>
              <w:t>S_t</w:t>
            </w:r>
          </w:p>
        </w:tc>
        <w:tc>
          <w:tcPr>
            <w:tcW w:type="dxa" w:w="6480"/>
            <w:tcMar>
              <w:top w:w="90" w:type="dxa"/>
              <w:start w:w="100" w:type="dxa"/>
              <w:bottom w:w="90" w:type="dxa"/>
              <w:end w:w="100" w:type="dxa"/>
            </w:tcMar>
            <w:vAlign w:val="center"/>
          </w:tcPr>
          <w:p>
            <w:r>
              <w:t>Состояние в момент t; при изменении носителя требуется state bundle или поле состояний.</w:t>
            </w:r>
          </w:p>
        </w:tc>
      </w:tr>
      <w:tr>
        <w:tc>
          <w:tcPr>
            <w:tcW w:type="dxa" w:w="3168"/>
            <w:tcMar>
              <w:top w:w="90" w:type="dxa"/>
              <w:start w:w="100" w:type="dxa"/>
              <w:bottom w:w="90" w:type="dxa"/>
              <w:end w:w="100" w:type="dxa"/>
            </w:tcMar>
            <w:vAlign w:val="center"/>
          </w:tcPr>
          <w:p>
            <w:r>
              <w:t>𝒰(t,s)</w:t>
            </w:r>
          </w:p>
        </w:tc>
        <w:tc>
          <w:tcPr>
            <w:tcW w:type="dxa" w:w="6480"/>
            <w:tcMar>
              <w:top w:w="90" w:type="dxa"/>
              <w:start w:w="100" w:type="dxa"/>
              <w:bottom w:w="90" w:type="dxa"/>
              <w:end w:w="100" w:type="dxa"/>
            </w:tcMar>
            <w:vAlign w:val="center"/>
          </w:tcPr>
          <w:p>
            <w:r>
              <w:t>Evolution family с явным Dom; композиция допускается только при совместимости промежуточных областей.</w:t>
            </w:r>
          </w:p>
        </w:tc>
      </w:tr>
      <w:tr>
        <w:tc>
          <w:tcPr>
            <w:tcW w:type="dxa" w:w="3168"/>
            <w:tcMar>
              <w:top w:w="90" w:type="dxa"/>
              <w:start w:w="100" w:type="dxa"/>
              <w:bottom w:w="90" w:type="dxa"/>
              <w:end w:w="100" w:type="dxa"/>
            </w:tcMar>
            <w:vAlign w:val="center"/>
          </w:tcPr>
          <w:p>
            <w:r>
              <w:t>Obs_t</w:t>
            </w:r>
          </w:p>
        </w:tc>
        <w:tc>
          <w:tcPr>
            <w:tcW w:type="dxa" w:w="6480"/>
            <w:tcMar>
              <w:top w:w="90" w:type="dxa"/>
              <w:start w:w="100" w:type="dxa"/>
              <w:bottom w:w="90" w:type="dxa"/>
              <w:end w:w="100" w:type="dxa"/>
            </w:tcMar>
            <w:vAlign w:val="center"/>
          </w:tcPr>
          <w:p>
            <w:r>
              <w:t>Наблюдательная карта; без неё состояние модели не становится измерением.</w:t>
            </w:r>
          </w:p>
        </w:tc>
      </w:tr>
      <w:tr>
        <w:tc>
          <w:tcPr>
            <w:tcW w:type="dxa" w:w="3168"/>
            <w:tcMar>
              <w:top w:w="90" w:type="dxa"/>
              <w:start w:w="100" w:type="dxa"/>
              <w:bottom w:w="90" w:type="dxa"/>
              <w:end w:w="100" w:type="dxa"/>
            </w:tcMar>
            <w:vAlign w:val="center"/>
          </w:tcPr>
          <w:p>
            <w:r>
              <w:t>D_t / Dom_t</w:t>
            </w:r>
          </w:p>
        </w:tc>
        <w:tc>
          <w:tcPr>
            <w:tcW w:type="dxa" w:w="6480"/>
            <w:tcMar>
              <w:top w:w="90" w:type="dxa"/>
              <w:start w:w="100" w:type="dxa"/>
              <w:bottom w:w="90" w:type="dxa"/>
              <w:end w:w="100" w:type="dxa"/>
            </w:tcMar>
            <w:vAlign w:val="center"/>
          </w:tcPr>
          <w:p>
            <w:r>
              <w:t>Достаточное основание, provenance, допустимый режим и ограничения применимости.</w:t>
            </w:r>
          </w:p>
        </w:tc>
      </w:tr>
    </w:tbl>
    <w:p>
      <w:pPr>
        <w:pStyle w:val="Heading1"/>
      </w:pPr>
      <w:r>
        <w:t>266. Нелинейная эволюционная полугруппа</w:t>
      </w:r>
    </w:p>
    <w:p>
      <w:pPr/>
      <w:r>
        <w:t>Определение 21.2. Нелинейной полугруппой на замкнутом множестве C банахова пространства X называется семейство отображений {𝒮(t)}_{t≥0}, для которого</w:t>
      </w:r>
    </w:p>
    <w:p>
      <w:pPr>
        <w:pStyle w:val="Quote"/>
        <w:jc w:val="center"/>
      </w:pPr>
      <w:r>
        <w:t>𝒮(0)=Id_C,    𝒮(t+s)=𝒮(t)∘𝒮(s),    lim_{t↓0}𝒮(t)x=x.  (21.3)</w:t>
      </w:r>
    </w:p>
    <w:p>
      <w:pPr/>
      <w:r>
        <w:t>Контрактивность означает ∥𝒮(t)x-𝒮(t)y∥≤∥x-y∥. Квазиконтрактивность допускает множитель e^{ωt}. Для частичной NAPG-операции дополнительно требуется инвариантность допустимого сектора: 𝒮(t)C_adm⊆C_adm и сохранение D/Dom.</w:t>
      </w:r>
    </w:p>
    <w:p>
      <w:pPr/>
      <w:r>
        <w:t>Полугрупповое тождество является свойством композиции переходов. Оно не определяет единицу времени, не выбирает наблюдаемую и не сообщает, является ли параметр t физическим, вычислительным или деформационным.</w:t>
      </w:r>
    </w:p>
    <w:p>
      <w:pPr>
        <w:jc w:val="center"/>
      </w:pPr>
      <w:r>
        <w:drawing>
          <wp:inline xmlns:a="http://schemas.openxmlformats.org/drawingml/2006/main" xmlns:pic="http://schemas.openxmlformats.org/drawingml/2006/picture">
            <wp:extent cx="6126480" cy="3274260"/>
            <wp:docPr id="55" name="Picture 55"/>
            <wp:cNvGraphicFramePr>
              <a:graphicFrameLocks noChangeAspect="1"/>
            </wp:cNvGraphicFramePr>
            <a:graphic>
              <a:graphicData uri="http://schemas.openxmlformats.org/drawingml/2006/picture">
                <pic:pic>
                  <pic:nvPicPr>
                    <pic:cNvPr id="0" name="fig21_1.png"/>
                    <pic:cNvPicPr/>
                  </pic:nvPicPr>
                  <pic:blipFill>
                    <a:blip r:embed="rId92"/>
                    <a:stretch>
                      <a:fillRect/>
                    </a:stretch>
                  </pic:blipFill>
                  <pic:spPr>
                    <a:xfrm>
                      <a:off x="0" y="0"/>
                      <a:ext cx="6126480" cy="3274260"/>
                    </a:xfrm>
                    <a:prstGeom prst="rect"/>
                  </pic:spPr>
                </pic:pic>
              </a:graphicData>
            </a:graphic>
          </wp:inline>
        </w:drawing>
      </w:r>
    </w:p>
    <w:p>
      <w:pPr>
        <w:pStyle w:val="Caption"/>
        <w:jc w:val="center"/>
      </w:pPr>
      <w:r>
        <w:t>Рисунок 21.1. Нелинейная полугруппа: генератор, резольвента и неявная Euler-схема. Собственная схема Тома II.</w:t>
      </w:r>
    </w:p>
    <w:p>
      <w:pPr>
        <w:pStyle w:val="Heading1"/>
      </w:pPr>
      <w:r>
        <w:t>267. Аккретивные и m-аккретивные генераторы</w:t>
      </w:r>
    </w:p>
    <w:p>
      <w:pPr/>
      <w:r>
        <w:t>Для многозначного оператора A⊆X×X резольвента определяется формально как J_h=(I+hA)^{-1}. Оператор аккретивен, если его резольвента не расширяет расстояния на своей области. Он m-аккретивен, если дополнительно Range(I+hA)=X для всех h&gt;0 в соответствующем режиме.</w:t>
      </w:r>
    </w:p>
    <w:p>
      <w:pPr/>
      <w:r>
        <w:t>Теорема 21.1 (Crandall–Liggett generation, специализированная форма). [THM/prior art] Пусть X — банахово пространство, A — m-аккретивный оператор и x∈cl Dom(A). Тогда предел неявных Euler-приближений</w:t>
      </w:r>
    </w:p>
    <w:p>
      <w:pPr>
        <w:pStyle w:val="Quote"/>
        <w:jc w:val="center"/>
      </w:pPr>
      <w:r>
        <w:t>𝒮(t)x = lim_{m→∞}(I+(t/m)A)^{-m}x  (21.4)</w:t>
      </w:r>
    </w:p>
    <w:p>
      <w:pPr/>
      <w:r>
        <w:t>существует равномерно на компактных временных интервалах и задаёт нелинейную контрактивную полугруппу. В NAPG данная теорема применима только после доказательства m-аккретивности конкретного оператора, замкнутости допустимого сектора и совместимости резольвенты с пакетной структурой.</w:t>
      </w:r>
    </w:p>
    <w:p>
      <w:pPr/>
      <w:r>
        <w:t>Следствие 21.1. Вычислительная схема может сертифицировать переход лишь при контроле ошибки дискретизации, устойчивости резольвенты и неизменности Dom. Запись exp(-tA)x без этих условий является обозначением цели, а не доказанным объектом.</w:t>
      </w:r>
    </w:p>
    <w:p>
      <w:pPr>
        <w:pStyle w:val="Heading1"/>
      </w:pPr>
      <w:r>
        <w:t>268. Неавтономные evolution families и интерфейс Като</w:t>
      </w:r>
    </w:p>
    <w:p>
      <w:pPr/>
      <w:r>
        <w:t>Определение 21.3. Неавтономным evolution family называется семейство 𝒰(t,s), t≥s, удовлетворяющее</w:t>
      </w:r>
    </w:p>
    <w:p>
      <w:pPr>
        <w:pStyle w:val="Quote"/>
        <w:jc w:val="center"/>
      </w:pPr>
      <w:r>
        <w:t>𝒰(s,s)=Id,    𝒰(t,r)∘𝒰(r,s)=𝒰(t,s).  (21.5)</w:t>
      </w:r>
    </w:p>
    <w:p>
      <w:pPr/>
      <w:r>
        <w:t>Для уравнения u′(t)+A(t)u(t)=0 необходимо контролировать зависимость Dom A(t), устойчивость семейства резольвент, измеримость или регулярность t↦A(t) и существование общего admissible core. Исходная теория Като показывает, что эволюционные операторы требуют самостоятельного пакета условий и не сводятся к подстановке t в автономную экспоненту.</w:t>
      </w:r>
    </w:p>
    <w:p>
      <w:pPr/>
      <w:r>
        <w:t>NAPG-версия вводит transport-domain condition: если x∈Dom_{r,s}, то 𝒰(r,s)x должно принадлежать Dom_{t,r}; иначе композиция (21.5) не типизирована. На стратифицированной базе дополнительно требуется совместимость с переходами между стратами.</w:t>
      </w:r>
    </w:p>
    <w:p>
      <w:pPr>
        <w:pStyle w:val="Heading1"/>
      </w:pPr>
      <w:r>
        <w:t>269. Динамика состояний и Koopman-оператор наблюдаемых</w:t>
      </w:r>
    </w:p>
    <w:p>
      <w:pPr/>
      <w:r>
        <w:t>Пусть Φ_t:S→S — измеримое отображение состояния. Koopman-оператор действует не на состояниях, а на наблюдаемых f:S→ℂ:</w:t>
      </w:r>
    </w:p>
    <w:p>
      <w:pPr>
        <w:pStyle w:val="Quote"/>
        <w:jc w:val="center"/>
      </w:pPr>
      <w:r>
        <w:t>(𝒦_t f)(x)=f(Φ_t(x)).  (21.6)</w:t>
      </w:r>
    </w:p>
    <w:p>
      <w:pPr/>
      <w:r>
        <w:t>Даже если Φ_t нелинейно, 𝒦_t линеен по f. Если Φ_{t+s}=Φ_t∘Φ_s, то с выбранной convention выполняется 𝒦_{t+s}=𝒦_s𝒦_t либо обратный порядок; convention фиксируется в сертификате. Спектр Koopman-оператора может выявлять моды наблюдаемых, но не создаёт причинного механизма и не идентифицирует скрытые состояния без условия наблюдаемости.</w:t>
      </w:r>
    </w:p>
    <w:p>
      <w:pPr/>
      <w:r>
        <w:t>Теорема 21.2 (no-state-reconstruction). [THM] Если семейство наблюдаемых не разделяет точки S, то из всех значений 𝒦_t f в данном семействе нельзя однозначно восстановить состояние. Доказательство следует из существования x≠y с f(x)=f(y) для всех выбранных f.</w:t>
      </w:r>
    </w:p>
    <w:p>
      <w:pPr>
        <w:pStyle w:val="Heading1"/>
      </w:pPr>
      <w:r>
        <w:t>270. Perron–Frobenius и transfer-операторы</w:t>
      </w:r>
    </w:p>
    <w:p>
      <w:pPr/>
      <w:r>
        <w:t>Для меры μ pushforward задаётся</w:t>
      </w:r>
    </w:p>
    <w:p>
      <w:pPr>
        <w:pStyle w:val="Quote"/>
        <w:jc w:val="center"/>
      </w:pPr>
      <w:r>
        <w:t>𝒫_t μ=(Φ_t)_#μ,    (𝒫_t μ)(B)=μ(Φ_t^{-1}(B)).  (21.7)</w:t>
      </w:r>
    </w:p>
    <w:p>
      <w:pPr/>
      <w:r>
        <w:t>В подходящем L¹-секторе 𝒫_t действует на плотностях и дуален Koopman-оператору:</w:t>
      </w:r>
    </w:p>
    <w:p>
      <w:pPr>
        <w:pStyle w:val="Quote"/>
        <w:jc w:val="center"/>
      </w:pPr>
      <w:r>
        <w:t>∫_S f d(𝒫_t μ)=∫_S (𝒦_t f)dμ.  (21.8)</w:t>
      </w:r>
    </w:p>
    <w:p>
      <w:pPr/>
      <w:r>
        <w:t>Ключевое различение: нелинейность Φ_t не делает pushforward нелинейным как оператор на мерах. Transfer-оператор может быть положительным и сохранять массу, но это свойства операторного представления, а не доказательство того, что физическая система действительно следует Φ_t.</w:t>
      </w:r>
    </w:p>
    <w:p>
      <w:pPr/>
      <w:r>
        <w:t>Для piecewise monotone maps классическая линия Lasota–Yorke связывает transfer-операторы с существованием инвариантных мер при дополнительных вариационных оценках. В NAPG аналогичная оценка должна включать вариацию по реперному carrier, сохранение Dom и отсутствие перехода через структурный горизонт.</w:t>
      </w:r>
    </w:p>
    <w:p>
      <w:pPr>
        <w:jc w:val="center"/>
      </w:pPr>
      <w:r>
        <w:drawing>
          <wp:inline xmlns:a="http://schemas.openxmlformats.org/drawingml/2006/main" xmlns:pic="http://schemas.openxmlformats.org/drawingml/2006/picture">
            <wp:extent cx="6126480" cy="3577688"/>
            <wp:docPr id="56" name="Picture 56"/>
            <wp:cNvGraphicFramePr>
              <a:graphicFrameLocks noChangeAspect="1"/>
            </wp:cNvGraphicFramePr>
            <a:graphic>
              <a:graphicData uri="http://schemas.openxmlformats.org/drawingml/2006/picture">
                <pic:pic>
                  <pic:nvPicPr>
                    <pic:cNvPr id="0" name="fig21_2.png"/>
                    <pic:cNvPicPr/>
                  </pic:nvPicPr>
                  <pic:blipFill>
                    <a:blip r:embed="rId93"/>
                    <a:stretch>
                      <a:fillRect/>
                    </a:stretch>
                  </pic:blipFill>
                  <pic:spPr>
                    <a:xfrm>
                      <a:off x="0" y="0"/>
                      <a:ext cx="6126480" cy="3577688"/>
                    </a:xfrm>
                    <a:prstGeom prst="rect"/>
                  </pic:spPr>
                </pic:pic>
              </a:graphicData>
            </a:graphic>
          </wp:inline>
        </w:drawing>
      </w:r>
    </w:p>
    <w:p>
      <w:pPr>
        <w:pStyle w:val="Caption"/>
        <w:jc w:val="center"/>
      </w:pPr>
      <w:r>
        <w:t>Рисунок 21.2. Динамика состояний, Koopman/Perron–Frobenius duality и переход к path-space carrier. Собственная схема Тома II.</w:t>
      </w:r>
    </w:p>
    <w:p>
      <w:pPr>
        <w:pStyle w:val="Heading1"/>
      </w:pPr>
      <w:r>
        <w:t>271. Markov kernels и Chapman–Kolmogorov</w:t>
      </w:r>
    </w:p>
    <w:p>
      <w:pPr/>
      <w:r>
        <w:t>Определение 21.4. Переходным Markov kernel называется K_{t,s}(x,B), который для фиксированного x является вероятностной мерой по B, а для фиксированного B измерим по x. Согласованность требует</w:t>
      </w:r>
    </w:p>
    <w:p>
      <w:pPr>
        <w:pStyle w:val="Quote"/>
        <w:jc w:val="center"/>
      </w:pPr>
      <w:r>
        <w:t>K_{t,s}(x,B)=∫_S K_{t,r}(y,B)K_{r,s}(x,dy),    t≥r≥s.  (21.9)</w:t>
      </w:r>
    </w:p>
    <w:p>
      <w:pPr/>
      <w:r>
        <w:t>Формула (21.9) является вероятностным аналогом evolution-family identity. Она не следует из одного набора одномоментных распределений и не устанавливает причинную интерпретацию без фильтрации, non-anticipation и модели вмешательств.</w:t>
      </w:r>
    </w:p>
    <w:p>
      <w:pPr/>
      <w:r>
        <w:t>Для детерминированной эволюции K_{t,s}(x,·)=δ_{𝒰(t,s)x}. Обратное неверно: общий Markov kernel не обязан быть порождён единственным детерминированным потоком.</w:t>
      </w:r>
    </w:p>
    <w:p>
      <w:pPr>
        <w:pStyle w:val="Heading1"/>
      </w:pPr>
      <w:r>
        <w:t>272. Path-space carrier и цилиндрическая согласованность</w:t>
      </w:r>
    </w:p>
    <w:p>
      <w:pPr/>
      <w:r>
        <w:t>Пусть Ω является пространством путей: C(T,S), D(T,S) либо S^T с цилиндрической σ-алгеброй. Координатный процесс X_t(ω)=ω(t) переводит меру Q на Ω в конечномерные распределения</w:t>
      </w:r>
    </w:p>
    <w:p>
      <w:pPr>
        <w:pStyle w:val="Quote"/>
        <w:jc w:val="center"/>
      </w:pPr>
      <w:r>
        <w:t>μ_{t₁,…,t_m}=Q∘(X_{t₁},…,X_{t_m})^{-1}.  (21.10)</w:t>
      </w:r>
    </w:p>
    <w:p>
      <w:pPr/>
      <w:r>
        <w:t>Теорема 21.3 (Kolmogorov consistency, стандартная форма). [THM/prior art] Для стандартных борелевских пространств согласованное семейство конечномерных распределений определяет меру на цилиндрическом path space. Согласованность включает инвариантность относительно перестановок и маргинализацию при удалении координат.</w:t>
      </w:r>
    </w:p>
    <w:p>
      <w:pPr/>
      <w:r>
        <w:t>Гладкость, непрерывность или càdlàg-свойство траекторий не следуют из одной extension theorem. Для концентрации меры на C(T,S) или D(T,S) требуются отдельные moment/tightness estimates.</w:t>
      </w:r>
    </w:p>
    <w:p>
      <w:pPr/>
      <w:r>
        <w:t>Следствие 21.2. Одномоментные распределения {μ_t} не определяют совместный закон пути. В частности, независимый Bernoulli-процесс и процесс X_t=Z с одной случайной величиной Z имеют одинаковые Bernoulli-маргиналы, но радикально различную временную зависимость.</w:t>
      </w:r>
    </w:p>
    <w:p>
      <w:pPr>
        <w:pStyle w:val="Heading1"/>
      </w:pPr>
      <w:r>
        <w:t>273. Детерминированные path carriers и орбиты</w:t>
      </w:r>
    </w:p>
    <w:p>
      <w:pPr/>
      <w:r>
        <w:t>Для детерминированного evolution family каждой начальной точке x сопоставляется путь</w:t>
      </w:r>
    </w:p>
    <w:p>
      <w:pPr>
        <w:pStyle w:val="Quote"/>
        <w:jc w:val="center"/>
      </w:pPr>
      <w:r>
        <w:t>ω_x(t)=𝒰(t,t₀)x.  (21.11)</w:t>
      </w:r>
    </w:p>
    <w:p>
      <w:pPr/>
      <w:r>
        <w:t>Отображение x↦ω_x определяет орбитный carrier. Его инъективность не гарантируется: различные начальные состояния могут сливаться при необратимой динамике. Поэтому восстановление прошлого требует отдельной обратимости или observability theorem.</w:t>
      </w:r>
    </w:p>
    <w:p>
      <w:pPr/>
      <w:r>
        <w:t>Для нелинейной контрактивной полугруппы слияние траекторий допустимо. Следовательно, текущий Reper-узел может не содержать достаточной информации для единственного ретро-Reper восстановления.</w:t>
      </w:r>
    </w:p>
    <w:p>
      <w:pPr>
        <w:pStyle w:val="Heading1"/>
      </w:pPr>
      <w:r>
        <w:t>274. Причинные Volterra kernels и память</w:t>
      </w:r>
    </w:p>
    <w:p>
      <w:pPr/>
      <w:r>
        <w:t>Markov kernel описывает переход условного распределения. Volterra kernel описывает направленную память. Типовая интегральная эволюция имеет вид</w:t>
      </w:r>
    </w:p>
    <w:p>
      <w:pPr>
        <w:pStyle w:val="Quote"/>
        <w:jc w:val="center"/>
      </w:pPr>
      <w:r>
        <w:t>x(t)=f(t)+∫_{t₀}^{t} B(t,s,x(s)) ds.  (21.12)</w:t>
      </w:r>
    </w:p>
    <w:p>
      <w:pPr/>
      <w:r>
        <w:t>Причинность здесь выражена треугольной областью s≤t. Для линейного ядра B(t,s) условие B(t,s)=0 при s&gt;t является support-level non-anticipation. Резольвентное ядро требует собственного существования и сходимости; оно не совпадает с Markov transition kernel и обычно не удовлетворяет Chapman–Kolmogorov.</w:t>
      </w:r>
    </w:p>
    <w:p>
      <w:pPr/>
      <w:r>
        <w:t>Система с памятью может быть немарковской на S, но марковской на расширенном пространстве историй H_t={x|_{[t₀,t]}}. Это расширение является математической конструкцией, а не доказательством того, что эмпирическая система хранит именно такую память.</w:t>
      </w:r>
    </w:p>
    <w:p>
      <w:pPr>
        <w:pStyle w:val="Heading1"/>
      </w:pPr>
      <w:r>
        <w:t>275. Non-anticipation как строгий причинный firewall</w:t>
      </w:r>
    </w:p>
    <w:p>
      <w:pPr/>
      <w:r>
        <w:t>Определение 21.5. Оператор F на пространстве путей не предвосхищает будущее, если для любых ω,ω′, совпадающих на [t₀,t], выполняется</w:t>
      </w:r>
    </w:p>
    <w:p>
      <w:pPr>
        <w:pStyle w:val="Quote"/>
        <w:jc w:val="center"/>
      </w:pPr>
      <w:r>
        <w:t>(Fω)(t)=(Fω′)(t).  (21.13)</w:t>
      </w:r>
    </w:p>
    <w:p>
      <w:pPr/>
      <w:r>
        <w:t>Для интегрального оператора с достаточно регулярным ядром triangular support s≤t является достаточным условием (21.13). Если ядро имеет ненулевую часть при s&gt;t, оператор использует будущие значения и не является причинным относительно данной временной ориентации.</w:t>
      </w:r>
    </w:p>
    <w:p>
      <w:pPr/>
      <w:r>
        <w:t>Теорема 21.4 (kernel non-anticipation). [THM] Пусть (Fω)(t)=∫_T B(t,s)ω(s)ds и B(t,s)=0 почти всюду при s&gt;t. Тогда F не предвосхищает будущее. Если существует измеримое множество положительной меры с s&gt;t и B(t,s)≠0, то при подходящем выборе двух путей, совпадающих до t, non-anticipation нарушается.</w:t>
      </w:r>
    </w:p>
    <w:p>
      <w:pPr>
        <w:pStyle w:val="Heading1"/>
      </w:pPr>
      <w:r>
        <w:t>276. Фильтрации, адаптированность и наблюдаемость</w:t>
      </w:r>
    </w:p>
    <w:p>
      <w:pPr/>
      <w:r>
        <w:t>В вероятностном path-space вводится фильтрация 𝔽_t=σ(X_s:s≤t) либо её завершение. Процесс Y_t адаптирован, если Y_t измерим относительно 𝔽_t. Адаптированность запрещает явное использование будущих координат, но сама по себе не доказывает причинность: общая скрытая причина может порождать адаптированные корреляции.</w:t>
      </w:r>
    </w:p>
    <w:p>
      <w:pPr/>
      <w:r>
        <w:t>Наблюдаемость означает возможность восстановить существенный класс состояний по истории Obs_s(x_s), s≤t. Идентифицируемость параметров и наблюдаемость состояния являются разными обязательствами и получают отдельные PO.</w:t>
      </w:r>
    </w:p>
    <w:p>
      <w:pPr>
        <w:pStyle w:val="Heading1"/>
      </w:pPr>
      <w:r>
        <w:t>277. Причинный kernel не равен причинному механизму</w:t>
      </w:r>
    </w:p>
    <w:p>
      <w:pPr/>
      <w:r>
        <w:t>Даже корректный K_{t,s} задаёт условный переход в выбранной модели. Для вывода о вмешательстве необходима спецификация action/intervention map, различение наблюдательного и интервенционного законов и проверка transportability. Поэтому</w:t>
      </w:r>
    </w:p>
    <w:p>
      <w:pPr>
        <w:pStyle w:val="Quote"/>
        <w:jc w:val="center"/>
      </w:pPr>
      <w:r>
        <w:t>transition kernel ≠ intervention kernel ≠ physical cause.  (21.14)</w:t>
      </w:r>
    </w:p>
    <w:p>
      <w:pPr/>
      <w:r>
        <w:t>Статистическая зависимость, semigroup composition и temporal precedence являются необходимыми или полезными структурами, но ни одна из них отдельно не является достаточной для причинного утверждения.</w:t>
      </w:r>
    </w:p>
    <w:p>
      <w:pPr>
        <w:pStyle w:val="Heading1"/>
      </w:pPr>
      <w:r>
        <w:t>278. Реперная траектория и временной Reper</w:t>
      </w:r>
    </w:p>
    <w:p>
      <w:pPr/>
      <w:r>
        <w:t>Определение 21.6. Временной Reper в момент t имеет вид</w:t>
      </w:r>
    </w:p>
    <w:p>
      <w:pPr>
        <w:pStyle w:val="Quote"/>
        <w:jc w:val="center"/>
      </w:pPr>
      <w:r>
        <w:t>Rep_t=(R_t,I_t,U_t;D_t),    λ_t=cr(U_t,I_t;R_t,D_t).  (21.15)</w:t>
      </w:r>
    </w:p>
    <w:p>
      <w:pPr/>
      <w:r>
        <w:t>Реперной траекторией называется путь t↦Rep_t, для которого определены transport maps всех компонентов и доказана их совместимость с 𝒰(t,s), D/Dom и obstruction layers. Компонент U_t в (21.15) обозначает поле возможностей и не тождественна evolution operator 𝒰(t,s).</w:t>
      </w:r>
    </w:p>
    <w:p>
      <w:pPr/>
      <w:r>
        <w:t>Точечное выполнение λ_t=-1 для всех t не задаёт траекторию, если отсутствуют переходы между Rep_s и Rep_t. Аналогично, существование 𝒰(t,s) не гарантирует гармоничность, Evidence-D или отсутствие препятствий.</w:t>
      </w:r>
    </w:p>
    <w:p>
      <w:pPr>
        <w:pStyle w:val="Heading1"/>
      </w:pPr>
      <w:r>
        <w:t>279. Path-Reper carrier</w:t>
      </w:r>
    </w:p>
    <w:p>
      <w:pPr/>
      <w:r>
        <w:t>Полный носитель пути задаётся кортежем</w:t>
      </w:r>
    </w:p>
    <w:p>
      <w:pPr>
        <w:pStyle w:val="Quote"/>
        <w:jc w:val="center"/>
      </w:pPr>
      <w:r>
        <w:t>PathRep=(Ω,Q/𝔄,{Rep_t},𝒰,K,B,Obs,𝔽,D,Dom,src,code).  (21.16)</w:t>
      </w:r>
    </w:p>
    <w:p>
      <w:pPr/>
      <w:r>
        <w:t>Здесь Q является вероятностной мерой либо 𝔄 — детерминированным/интервальным множеством допустимых путей; K обозначает Markov/transfer channel; B — memory kernel; 𝔽 — filtration. Нельзя одновременно использовать Q и 𝔄 как взаимозаменяемые объекты: первый кодирует вероятности, второй — допустимость без вероятностной массы.</w:t>
      </w:r>
    </w:p>
    <w:p>
      <w:pPr>
        <w:jc w:val="center"/>
      </w:pPr>
      <w:r>
        <w:drawing>
          <wp:inline xmlns:a="http://schemas.openxmlformats.org/drawingml/2006/main" xmlns:pic="http://schemas.openxmlformats.org/drawingml/2006/picture">
            <wp:extent cx="6126480" cy="3881115"/>
            <wp:docPr id="57" name="Picture 57"/>
            <wp:cNvGraphicFramePr>
              <a:graphicFrameLocks noChangeAspect="1"/>
            </wp:cNvGraphicFramePr>
            <a:graphic>
              <a:graphicData uri="http://schemas.openxmlformats.org/drawingml/2006/picture">
                <pic:pic>
                  <pic:nvPicPr>
                    <pic:cNvPr id="0" name="fig21_3.png"/>
                    <pic:cNvPicPr/>
                  </pic:nvPicPr>
                  <pic:blipFill>
                    <a:blip r:embed="rId94"/>
                    <a:stretch>
                      <a:fillRect/>
                    </a:stretch>
                  </pic:blipFill>
                  <pic:spPr>
                    <a:xfrm>
                      <a:off x="0" y="0"/>
                      <a:ext cx="6126480" cy="3881115"/>
                    </a:xfrm>
                    <a:prstGeom prst="rect"/>
                  </pic:spPr>
                </pic:pic>
              </a:graphicData>
            </a:graphic>
          </wp:inline>
        </w:drawing>
      </w:r>
    </w:p>
    <w:p>
      <w:pPr>
        <w:pStyle w:val="Caption"/>
        <w:jc w:val="center"/>
      </w:pPr>
      <w:r>
        <w:t>Рисунок 21.3. Строгий временной интерфейс предсказательного реперного метода. Собственная схема Тома II.</w:t>
      </w:r>
    </w:p>
    <w:p>
      <w:pPr>
        <w:pStyle w:val="Heading1"/>
      </w:pPr>
      <w:r>
        <w:t>280. Динамическая проективно-гармоническая координата</w:t>
      </w:r>
    </w:p>
    <w:p>
      <w:pPr/>
      <w:r>
        <w:t>Пусть компоненты Rep_t лежат в projective-Reper atlas и не пересекают полюсный локус. Тогда λ_t является наблюдаемой структурной координатой пути. При достаточной регулярности</w:t>
      </w:r>
    </w:p>
    <w:p>
      <w:pPr>
        <w:pStyle w:val="Quote"/>
        <w:jc w:val="center"/>
      </w:pPr>
      <w:r>
        <w:t>dλ_t/dt = Dλ(Rep_t)·Ṙep_t.  (21.17)</w:t>
      </w:r>
    </w:p>
    <w:p>
      <w:pPr/>
      <w:r>
        <w:t>Формула (21.17) требует differentiable lift и не действует на произвольном path space. Для càdlàg-путей используется jump decomposition, для интервальных данных — enclosure Λ_t, для стохастических процессов — отдельный calculus.</w:t>
      </w:r>
    </w:p>
    <w:p>
      <w:pPr/>
      <w:r>
        <w:t>Гармонический hitting time τ_H=inf{t:λ_t=-1} является случайной или детерминированной величиной только после задания path law или trajectory. Из ряда коэффициентов, статического carrier или набора независимых snapshots τ_H не определяется.</w:t>
      </w:r>
    </w:p>
    <w:p>
      <w:pPr>
        <w:pStyle w:val="Heading1"/>
      </w:pPr>
      <w:r>
        <w:t>281. Transfer-оператор реперной базы</w:t>
      </w:r>
    </w:p>
    <w:p>
      <w:pPr/>
      <w:r>
        <w:t>Для RBD-графа с состояниями z=(Rep,Evidence,Dom,obstruction) вводится transition/transfer operator 𝒯_{t,s}. Он считается допустимым, если сохраняет типы узлов, provenance, запрещённые переходы и массу только в вероятностном режиме.</w:t>
      </w:r>
    </w:p>
    <w:p>
      <w:pPr>
        <w:pStyle w:val="Quote"/>
        <w:jc w:val="center"/>
      </w:pPr>
      <w:r>
        <w:t>𝒯_{t,s}: 𝔐(S_s)→𝔐(S_t),    𝒯_{t,r}𝒯_{r,s}=𝒯_{t,s}.  (21.18)</w:t>
      </w:r>
    </w:p>
    <w:p>
      <w:pPr/>
      <w:r>
        <w:t>В детерминированном режиме 𝒯 является pushforward. В вероятностном — Markov operator. В possibilistic режиме он действует на множества или capacity. Эти три режима не смешиваются одним словом “вероятность”.</w:t>
      </w:r>
    </w:p>
    <w:p>
      <w:pPr>
        <w:pStyle w:val="Heading1"/>
      </w:pPr>
      <w:r>
        <w:t>282. Генератор и локальный прогноз</w:t>
      </w:r>
    </w:p>
    <w:p>
      <w:pPr/>
      <w:r>
        <w:t>Если 𝒯_t образует strongly continuous semigroup на пространстве наблюдаемых или мер, генератор L определяется на своей области. Локальная формула</w:t>
      </w:r>
    </w:p>
    <w:p>
      <w:pPr>
        <w:pStyle w:val="Quote"/>
        <w:jc w:val="center"/>
      </w:pPr>
      <w:r>
        <w:t>d/dt 𝒯_t f |_{t=0}=Lf  (21.19)</w:t>
      </w:r>
    </w:p>
    <w:p>
      <w:pPr/>
      <w:r>
        <w:t>имеет смысл только для f∈Dom(L). Численная аппроксимация генератора по конечным данным является inverse problem и требует регуляризации, оценки смещения, identifiability и held-out проверки. Один fitted matrix не считается сертификатом истинного генератора.</w:t>
      </w:r>
    </w:p>
    <w:p>
      <w:pPr>
        <w:pStyle w:val="Heading1"/>
      </w:pPr>
      <w:r>
        <w:t>283. Устойчивость к возмущениям и ошибка траектории</w:t>
      </w:r>
    </w:p>
    <w:p>
      <w:pPr/>
      <w:r>
        <w:t>Для двух evolution families вводится ошибка</w:t>
      </w:r>
    </w:p>
    <w:p>
      <w:pPr>
        <w:pStyle w:val="Quote"/>
        <w:jc w:val="center"/>
      </w:pPr>
      <w:r>
        <w:t>e_𝒰(t,s;x)=d(𝒰(t,s)x,Ũ(t,s)x).  (21.20)</w:t>
      </w:r>
    </w:p>
    <w:p>
      <w:pPr/>
      <w:r>
        <w:t>Контрактивность даёт контроль распространения начальной ошибки, но не модельной ошибки. Для нелинейного уравнения с m-аккретивным генератором устойчивость к perturbation A→Ã требует графовой или resolvent convergence. Для path law применяется расстояние между мерами, выбранное заранее: total variation, Wasserstein, bounded-Lipschitz или иное.</w:t>
      </w:r>
    </w:p>
    <w:p>
      <w:pPr/>
      <w:r>
        <w:t>Выбор метрики влияет на численный вывод и входит в Evidence-D. Нельзя сообщать “малое различие траекторий” без указания carrier, coupling и масштаба.</w:t>
      </w:r>
    </w:p>
    <w:p>
      <w:pPr>
        <w:pStyle w:val="Heading1"/>
      </w:pPr>
      <w:r>
        <w:t>284. Динамический и причинный вектор невязок</w:t>
      </w:r>
    </w:p>
    <w:p>
      <w:pPr/>
      <w:r>
        <w:t>Вместо одной неразличимой ошибки вводится</w:t>
      </w:r>
    </w:p>
    <w:p>
      <w:pPr>
        <w:pStyle w:val="Quote"/>
        <w:jc w:val="center"/>
      </w:pPr>
      <w:r>
        <w:t>R_time=(r_sg,r_gen,r_res,r_tr,r_path,r_CK,r_mem,r_na,r_obs,r_cal,r_ext).  (21.21)</w:t>
      </w:r>
    </w:p>
    <w:p>
      <w:pPr/>
      <w:r>
        <w:t>Компоненты измеряют дефект полугруппы, генератора, резольвенты, transfer duality, path consistency, Chapman–Kolmogorov, memory-resolvent, non-anticipation, наблюдаемости, калибровки и внешней проверки. Скаляр CGI_time=∥W_time R_time∥ допустим только при опубликованном W_time и sensitivity analysis.</w:t>
      </w:r>
    </w:p>
    <w:p>
      <w:pPr>
        <w:pStyle w:val="Heading1"/>
      </w:pPr>
      <w:r>
        <w:t>285. Переходные горизонты главы 21</w:t>
      </w:r>
    </w:p>
    <w:p>
      <w:pPr>
        <w:pStyle w:val="Quote"/>
        <w:jc w:val="center"/>
      </w:pPr>
      <w:r>
        <w:t>Δ_sg=Δ_dom∪Δ_cont∪Δ_comp∪Δ_accr∪Δ_res.  (21.22)</w:t>
      </w:r>
    </w:p>
    <w:p>
      <w:pPr>
        <w:pStyle w:val="Quote"/>
        <w:jc w:val="center"/>
      </w:pPr>
      <w:r>
        <w:t>Δ_tr=Δ_pos∪Δ_mass∪Δ_dual∪Δ_spec∪Δ_inv.  (21.23)</w:t>
      </w:r>
    </w:p>
    <w:p>
      <w:pPr>
        <w:pStyle w:val="Quote"/>
        <w:jc w:val="center"/>
      </w:pPr>
      <w:r>
        <w:t>Δ_path=Δ_cons∪Δ_tight∪Δ_reg∪Δ_branch∪Δ_hist.  (21.24)</w:t>
      </w:r>
    </w:p>
    <w:p>
      <w:pPr>
        <w:pStyle w:val="Quote"/>
        <w:jc w:val="center"/>
      </w:pPr>
      <w:r>
        <w:t>Δ_causal=Δ_order∪Δ_NA∪Δ_filt∪Δ_interv∪Δ_transport.  (21.25)</w:t>
      </w:r>
    </w:p>
    <w:p>
      <w:pPr/>
      <w:r>
        <w:t>Общий временной горизонт определяется как</w:t>
      </w:r>
    </w:p>
    <w:p>
      <w:pPr>
        <w:pStyle w:val="Quote"/>
        <w:jc w:val="center"/>
      </w:pPr>
      <w:r>
        <w:t>Δ_safe^{v0.18}=Δ_safe^{v0.17}∪Δ_sg∪Δ_tr∪Δ_path∪Δ_causal.  (21.26)</w:t>
      </w:r>
    </w:p>
    <w:p>
      <w:pPr/>
      <w:r>
        <w:t>Пересечение горизонта означает необходимость смены математического режима или появление кандидата перехода. Оно не означает наступление физического события.</w:t>
      </w:r>
    </w:p>
    <w:p>
      <w:pPr>
        <w:pStyle w:val="Heading1"/>
      </w:pPr>
      <w:r>
        <w:t>286. Теорема постоянства временного профиля</w:t>
      </w:r>
    </w:p>
    <w:p>
      <w:pPr/>
      <w:r>
        <w:t>Теорема 21.5 (Temporal-profile stability). [COND] Пусть на компактном интервале I задано семейство, для которого:</w:t>
      </w:r>
    </w:p>
    <w:p>
      <w:pPr>
        <w:pStyle w:val="ListNumber"/>
      </w:pPr>
      <w:r>
        <w:t>существует общий complete metric/Banach carrier и фиксирован admissible sector;</w:t>
      </w:r>
    </w:p>
    <w:p>
      <w:pPr>
        <w:pStyle w:val="ListNumber"/>
      </w:pPr>
      <w:r>
        <w:t>генераторы m-аккретивны либо evolution family построено по доказанной неавтономной теореме;</w:t>
      </w:r>
    </w:p>
    <w:p>
      <w:pPr>
        <w:pStyle w:val="ListNumber"/>
      </w:pPr>
      <w:r>
        <w:t>operator domains и transport-domain condition согласованы;</w:t>
      </w:r>
    </w:p>
    <w:p>
      <w:pPr>
        <w:pStyle w:val="ListNumber"/>
      </w:pPr>
      <w:r>
        <w:t>transfer operators положительны и сохраняют требуемую массу в вероятностном режиме;</w:t>
      </w:r>
    </w:p>
    <w:p>
      <w:pPr>
        <w:pStyle w:val="ListNumber"/>
      </w:pPr>
      <w:r>
        <w:t>конечномерные распределения согласованы и path carrier существует;</w:t>
      </w:r>
    </w:p>
    <w:p>
      <w:pPr>
        <w:pStyle w:val="ListNumber"/>
      </w:pPr>
      <w:r>
        <w:t>Markov/Volterra kernels типизированы, а non-anticipation доказан;</w:t>
      </w:r>
    </w:p>
    <w:p>
      <w:pPr>
        <w:pStyle w:val="ListNumber"/>
      </w:pPr>
      <w:r>
        <w:t>Rep_t, λ_t, Evidence-D и Dom определены вдоль всего пути;</w:t>
      </w:r>
    </w:p>
    <w:p>
      <w:pPr>
        <w:pStyle w:val="ListNumber"/>
      </w:pPr>
      <w:r>
        <w:t>наблюдательная модель и калибровка фиксированы до внешнего теста;</w:t>
      </w:r>
    </w:p>
    <w:p>
      <w:pPr>
        <w:pStyle w:val="ListNumber"/>
      </w:pPr>
      <w:r>
        <w:t>путь параметров не пересекает Δ_safe^{v0.18}.</w:t>
      </w:r>
    </w:p>
    <w:p>
      <w:pPr/>
      <w:r>
        <w:t>Тогда сертифицированный профиль</w:t>
      </w:r>
    </w:p>
    <w:p>
      <w:pPr>
        <w:pStyle w:val="Quote"/>
        <w:jc w:val="center"/>
      </w:pPr>
      <w:r>
        <w:t>P_time(t)=(class(𝒰_t),class(𝒯_t),class(Q_t),rank/stratum,λ_t,CGI_time,t)  (21.27)</w:t>
      </w:r>
    </w:p>
    <w:p>
      <w:pPr/>
      <w:r>
        <w:t>локально постоянен с точностью до доказанного transport. Если дополнительно расстояние до целевого transition set имеет положительную нижнюю границу ε&gt;0, то переход данного типа невозможен внутри модели.</w:t>
      </w:r>
    </w:p>
    <w:p>
      <w:pPr>
        <w:pStyle w:val="Quote"/>
        <w:jc w:val="center"/>
      </w:pPr>
      <w:r>
        <w:t>NO-TEMPORAL-TRANSITION-IN-MODEL.  (21.28)</w:t>
      </w:r>
    </w:p>
    <w:p>
      <w:pPr/>
      <w:r>
        <w:t>Если горизонт пересечён или запас исчезает, разрешён только статус CANDIDATE-TEMPORAL-TRANSITION. При незакрытых Dom, path consistency, non-anticipation, calibration или EXT-RUN выдаётся ABSTAIN.</w:t>
      </w:r>
    </w:p>
    <w:p>
      <w:pPr>
        <w:pStyle w:val="Heading1"/>
      </w:pPr>
      <w:r>
        <w:t>287. Отрицательная теорема о статических снимках</w:t>
      </w:r>
    </w:p>
    <w:p>
      <w:pPr/>
      <w:r>
        <w:t>Теорема 21.6 (Snapshot no-go). [THM] Набор состояний {x_t:t∈T} без совместимых переходов не определяет evolution family. Действительно, даже для двух моментов можно выбрать множество различных отображений, переводящих x_s в x_t и различающихся на остальных состояниях. Следовательно, snapshots не идентифицируют генератор, path law или причинный kernel.</w:t>
      </w:r>
    </w:p>
    <w:p>
      <w:pPr/>
      <w:r>
        <w:t>Это распространяется на реперные снимки: последовательность λ_t или CGI_t без transport и path certificate не является динамической моделью.</w:t>
      </w:r>
    </w:p>
    <w:p>
      <w:pPr>
        <w:pStyle w:val="Heading1"/>
      </w:pPr>
      <w:r>
        <w:t>288. Контрпримеры и разделяющие модели</w:t>
      </w:r>
    </w:p>
    <w:p>
      <w:pPr>
        <w:pStyle w:val="ListBullet"/>
      </w:pPr>
      <w:r>
        <w:t>Одинаковые одномоментные Bernoulli-маргиналы имеют независимый процесс и полностью коррелированный процесс X_t=Z; path laws различны.</w:t>
      </w:r>
    </w:p>
    <w:p>
      <w:pPr>
        <w:pStyle w:val="ListBullet"/>
      </w:pPr>
      <w:r>
        <w:t>Два разных потока могут иметь одну и ту же инвариантную меру; invariant measure не восстанавливает генератор.</w:t>
      </w:r>
    </w:p>
    <w:p>
      <w:pPr>
        <w:pStyle w:val="ListBullet"/>
      </w:pPr>
      <w:r>
        <w:t>Нелинейная state map порождает линейный pushforward на мерах; “нелинейный процесс” и “нелинейный transfer operator” не тождественны.</w:t>
      </w:r>
    </w:p>
    <w:p>
      <w:pPr>
        <w:pStyle w:val="ListBullet"/>
      </w:pPr>
      <w:r>
        <w:t>Положительный оператор, не сохраняющий единицу или массу, не является Markov operator.</w:t>
      </w:r>
    </w:p>
    <w:p>
      <w:pPr>
        <w:pStyle w:val="ListBullet"/>
      </w:pPr>
      <w:r>
        <w:t>Chapman–Kolmogorov может выполняться в модели, но наблюдаемая может использовать будущие данные и нарушать non-anticipation.</w:t>
      </w:r>
    </w:p>
    <w:p>
      <w:pPr>
        <w:pStyle w:val="ListBullet"/>
      </w:pPr>
      <w:r>
        <w:t>Volterra memory equation не является Markov на текущем состоянии, но может стать Markov после расширения до истории.</w:t>
      </w:r>
    </w:p>
    <w:p>
      <w:pPr>
        <w:pStyle w:val="ListBullet"/>
      </w:pPr>
      <w:r>
        <w:t>Сильная непрерывность полугруппы не задаёт физическую единицу времени; перепараметризация t↦ct меняет генератор.</w:t>
      </w:r>
    </w:p>
    <w:p>
      <w:pPr>
        <w:pStyle w:val="ListBullet"/>
      </w:pPr>
      <w:r>
        <w:t>Одинаковый набор траекторий допускает разные вероятностные веса; path set не определяет path measure.</w:t>
      </w:r>
    </w:p>
    <w:p>
      <w:pPr>
        <w:pStyle w:val="ListBullet"/>
      </w:pPr>
      <w:r>
        <w:t>Одинаковая path measure допускает разные каузальные интерпретации при наличии скрытых переменных.</w:t>
      </w:r>
    </w:p>
    <w:p>
      <w:pPr>
        <w:pStyle w:val="ListBullet"/>
      </w:pPr>
      <w:r>
        <w:t>λ_t=-1 для каждого t не гарантирует совместимость Rep_t с одним evolution family.</w:t>
      </w:r>
    </w:p>
    <w:p>
      <w:pPr>
        <w:pStyle w:val="ListBullet"/>
      </w:pPr>
      <w:r>
        <w:t>Нулевой semigroup defect на конечной сетке не доказывает тождество для всех t,s.</w:t>
      </w:r>
    </w:p>
    <w:p>
      <w:pPr>
        <w:pStyle w:val="ListBullet"/>
      </w:pPr>
      <w:r>
        <w:t>Низкий CGI_time при выбранном W_time может исчезнуть после разумной смены весов; sensitivity analysis обязателен.</w:t>
      </w:r>
    </w:p>
    <w:p>
      <w:pPr>
        <w:pStyle w:val="Heading1"/>
      </w:pPr>
      <w:r>
        <w:t>289. Вычислительный сертификат EVOL-TRANSFER-PATH v0.18</w:t>
      </w:r>
    </w:p>
    <w:p>
      <w:pPr>
        <w:pStyle w:val="ListBullet"/>
      </w:pPr>
      <w:r>
        <w:t>EVOL-01 time carrier and order; EVOL-02 state-space type; EVOL-03 admissible sector; EVOL-04 operator domains;</w:t>
      </w:r>
    </w:p>
    <w:p>
      <w:pPr>
        <w:pStyle w:val="ListBullet"/>
      </w:pPr>
      <w:r>
        <w:t>EVOL-05 semigroup identity; EVOL-06 strong continuity; EVOL-07 contraction/quasi-contraction; EVOL-08 generator graph;</w:t>
      </w:r>
    </w:p>
    <w:p>
      <w:pPr>
        <w:pStyle w:val="ListBullet"/>
      </w:pPr>
      <w:r>
        <w:t>EVOL-09 accretivity; EVOL-10 range condition; EVOL-11 resolvent solver; EVOL-12 Crandall–Liggett approximation;</w:t>
      </w:r>
    </w:p>
    <w:p>
      <w:pPr>
        <w:pStyle w:val="ListBullet"/>
      </w:pPr>
      <w:r>
        <w:t>EVOL-13 nonautonomous stability; EVOL-14 evolution-family cocycle; EVOL-15 domain transport; EVOL-16 stratum compatibility;</w:t>
      </w:r>
    </w:p>
    <w:p>
      <w:pPr>
        <w:pStyle w:val="ListBullet"/>
      </w:pPr>
      <w:r>
        <w:t>EVOL-17 Koopman action; EVOL-18 Perron–Frobenius pushforward; EVOL-19 duality test; EVOL-20 positivity/mass;</w:t>
      </w:r>
    </w:p>
    <w:p>
      <w:pPr>
        <w:pStyle w:val="ListBullet"/>
      </w:pPr>
      <w:r>
        <w:t>EVOL-21 invariant-measure test; EVOL-22 finite-dimensional distributions; EVOL-23 Kolmogorov consistency; EVOL-24 path regularity/tightness;</w:t>
      </w:r>
    </w:p>
    <w:p>
      <w:pPr>
        <w:pStyle w:val="ListBullet"/>
      </w:pPr>
      <w:r>
        <w:t>EVOL-25 Markov kernel; EVOL-26 Chapman–Kolmogorov; EVOL-27 Volterra kernel; EVOL-28 resolvent/memory test;</w:t>
      </w:r>
    </w:p>
    <w:p>
      <w:pPr>
        <w:pStyle w:val="ListBullet"/>
      </w:pPr>
      <w:r>
        <w:t>EVOL-29 non-anticipation; EVOL-30 filtration/adaptedness; EVOL-31 observability/identifiability; EVOL-32 Reper transport;</w:t>
      </w:r>
    </w:p>
    <w:p>
      <w:pPr>
        <w:pStyle w:val="ListBullet"/>
      </w:pPr>
      <w:r>
        <w:t>EVOL-33 λ/CGI_time path profile; EVOL-34 interval and perturbation bounds; EVOL-35 blocker-safe verdict; EVOL-36 hashes for source/code/data/environment.</w:t>
      </w:r>
    </w:p>
    <w:p>
      <w:pPr>
        <w:pStyle w:val="Heading2"/>
      </w:pPr>
      <w:r>
        <w:t>Псевдокод</w:t>
      </w:r>
    </w:p>
    <w:p>
      <w:pPr>
        <w:pStyle w:val="Quote"/>
        <w:jc w:val="center"/>
      </w:pPr>
      <w:r>
        <w:t>INPUT state carrier S, time T, generator/evolution family, transfer/path/causal data, Rep_t, D, Dom</w:t>
        <w:br/>
        <w:t>CHECK types, domains, semigroup/evolution identities, accretivity/resolvent or Kato hypotheses</w:t>
        <w:br/>
        <w:t>BUILD Koopman/PF dual pair; verify positivity and mass only in probabilistic mode</w:t>
        <w:br/>
        <w:t>CHECK finite-dimensional consistency; construct/validate path carrier</w:t>
        <w:br/>
        <w:t>CHECK Chapman–Kolmogorov or Volterra memory separately; certify non-anticipation</w:t>
        <w:br/>
        <w:t>COMPUTE λ_t, CGI_time, distance to Δ_safe^{v0.18}</w:t>
        <w:br/>
        <w:t>IF any blocker THEN ABSTAIN</w:t>
        <w:br/>
        <w:t>ELSE IF certified positive separation THEN NO-TEMPORAL-TRANSITION-IN-MODEL</w:t>
        <w:br/>
        <w:t>ELSE CANDIDATE-TEMPORAL-TRANSITION</w:t>
        <w:br/>
        <w:t>RECORD hashes and truth_layer_promotion=0.</w:t>
      </w:r>
    </w:p>
    <w:p>
      <w:pPr>
        <w:pStyle w:val="Heading1"/>
      </w:pPr>
      <w:r>
        <w:t>290. Доказательные обязательства T2-PO-315–T2-PO-348</w:t>
      </w:r>
    </w:p>
    <w:tbl>
      <w:tblPr>
        <w:tblStyle w:val="TableGrid"/>
        <w:tblW w:type="auto" w:w="0"/>
        <w:jc w:val="center"/>
        <w:tblLook w:firstColumn="1" w:firstRow="1" w:lastColumn="0" w:lastRow="0" w:noHBand="0" w:noVBand="1" w:val="04A0"/>
      </w:tblPr>
      <w:tblGrid>
        <w:gridCol w:w="2438"/>
        <w:gridCol w:w="2438"/>
        <w:gridCol w:w="2438"/>
        <w:gridCol w:w="2438"/>
      </w:tblGrid>
      <w:tr>
        <w:trPr>
          <w:tblHeader w:val="true"/>
          <w:cantSplit/>
        </w:trPr>
        <w:tc>
          <w:tcPr>
            <w:tcW w:type="dxa" w:w="1512"/>
            <w:shd w:fill="1f426b"/>
            <w:tcMar>
              <w:top w:w="90" w:type="dxa"/>
              <w:start w:w="100" w:type="dxa"/>
              <w:bottom w:w="90" w:type="dxa"/>
              <w:end w:w="100" w:type="dxa"/>
            </w:tcMar>
          </w:tcPr>
          <w:p>
            <w:r>
              <w:rPr>
                <w:b/>
                <w:color w:val="FFFFFF"/>
              </w:rPr>
              <w:t>PO</w:t>
            </w:r>
          </w:p>
        </w:tc>
        <w:tc>
          <w:tcPr>
            <w:tcW w:type="dxa" w:w="5112"/>
            <w:shd w:fill="1f426b"/>
            <w:tcMar>
              <w:top w:w="90" w:type="dxa"/>
              <w:start w:w="100" w:type="dxa"/>
              <w:bottom w:w="90" w:type="dxa"/>
              <w:end w:w="100" w:type="dxa"/>
            </w:tcMar>
          </w:tcPr>
          <w:p>
            <w:r>
              <w:rPr>
                <w:b/>
                <w:color w:val="FFFFFF"/>
              </w:rPr>
              <w:t>Обязательство</w:t>
            </w:r>
          </w:p>
        </w:tc>
        <w:tc>
          <w:tcPr>
            <w:tcW w:type="dxa" w:w="1224"/>
            <w:shd w:fill="1f426b"/>
            <w:tcMar>
              <w:top w:w="90" w:type="dxa"/>
              <w:start w:w="100" w:type="dxa"/>
              <w:bottom w:w="90" w:type="dxa"/>
              <w:end w:w="100" w:type="dxa"/>
            </w:tcMar>
          </w:tcPr>
          <w:p>
            <w:r>
              <w:rPr>
                <w:b/>
                <w:color w:val="FFFFFF"/>
              </w:rPr>
              <w:t>Статус</w:t>
            </w:r>
          </w:p>
        </w:tc>
        <w:tc>
          <w:tcPr>
            <w:tcW w:type="dxa" w:w="1944"/>
            <w:shd w:fill="1f426b"/>
            <w:tcMar>
              <w:top w:w="90" w:type="dxa"/>
              <w:start w:w="100" w:type="dxa"/>
              <w:bottom w:w="90" w:type="dxa"/>
              <w:end w:w="100" w:type="dxa"/>
            </w:tcMar>
          </w:tcPr>
          <w:p>
            <w:r>
              <w:rPr>
                <w:b/>
                <w:color w:val="FFFFFF"/>
              </w:rPr>
              <w:t>Основание / следующий шаг</w:t>
            </w:r>
          </w:p>
        </w:tc>
      </w:tr>
      <w:tr>
        <w:trPr>
          <w:cantSplit/>
        </w:trPr>
        <w:tc>
          <w:tcPr>
            <w:tcW w:type="dxa" w:w="1512"/>
            <w:tcMar>
              <w:top w:w="90" w:type="dxa"/>
              <w:start w:w="100" w:type="dxa"/>
              <w:bottom w:w="90" w:type="dxa"/>
              <w:end w:w="100" w:type="dxa"/>
            </w:tcMar>
            <w:vAlign w:val="center"/>
          </w:tcPr>
          <w:p>
            <w:r>
              <w:t>T2-PO-315</w:t>
            </w:r>
          </w:p>
        </w:tc>
        <w:tc>
          <w:tcPr>
            <w:tcW w:type="dxa" w:w="5112"/>
            <w:tcMar>
              <w:top w:w="90" w:type="dxa"/>
              <w:start w:w="100" w:type="dxa"/>
              <w:bottom w:w="90" w:type="dxa"/>
              <w:end w:w="100" w:type="dxa"/>
            </w:tcMar>
            <w:vAlign w:val="center"/>
          </w:tcPr>
          <w:p>
            <w:r>
              <w:t>Типизация временного носителя и порядка</w:t>
            </w:r>
          </w:p>
        </w:tc>
        <w:tc>
          <w:tcPr>
            <w:tcW w:type="dxa" w:w="1224"/>
            <w:tcMar>
              <w:top w:w="90" w:type="dxa"/>
              <w:start w:w="100" w:type="dxa"/>
              <w:bottom w:w="90" w:type="dxa"/>
              <w:end w:w="100" w:type="dxa"/>
            </w:tcMar>
            <w:vAlign w:val="center"/>
            <w:shd w:fill="dff0e5"/>
          </w:tcPr>
          <w:p>
            <w:r>
              <w:t>CLOSED</w:t>
            </w:r>
          </w:p>
        </w:tc>
        <w:tc>
          <w:tcPr>
            <w:tcW w:type="dxa" w:w="1944"/>
            <w:tcMar>
              <w:top w:w="90" w:type="dxa"/>
              <w:start w:w="100" w:type="dxa"/>
              <w:bottom w:w="90" w:type="dxa"/>
              <w:end w:w="100" w:type="dxa"/>
            </w:tcMar>
            <w:vAlign w:val="center"/>
          </w:tcPr>
          <w:p>
            <w:r>
              <w:t>Определение 21.1</w:t>
            </w:r>
          </w:p>
        </w:tc>
      </w:tr>
      <w:tr>
        <w:trPr>
          <w:cantSplit/>
        </w:trPr>
        <w:tc>
          <w:tcPr>
            <w:tcW w:type="dxa" w:w="1512"/>
            <w:tcMar>
              <w:top w:w="90" w:type="dxa"/>
              <w:start w:w="100" w:type="dxa"/>
              <w:bottom w:w="90" w:type="dxa"/>
              <w:end w:w="100" w:type="dxa"/>
            </w:tcMar>
            <w:vAlign w:val="center"/>
          </w:tcPr>
          <w:p>
            <w:r>
              <w:t>T2-PO-316</w:t>
            </w:r>
          </w:p>
        </w:tc>
        <w:tc>
          <w:tcPr>
            <w:tcW w:type="dxa" w:w="5112"/>
            <w:tcMar>
              <w:top w:w="90" w:type="dxa"/>
              <w:start w:w="100" w:type="dxa"/>
              <w:bottom w:w="90" w:type="dxa"/>
              <w:end w:w="100" w:type="dxa"/>
            </w:tcMar>
            <w:vAlign w:val="center"/>
          </w:tcPr>
          <w:p>
            <w:r>
              <w:t>Типизация state bundle и evolution domains</w:t>
            </w:r>
          </w:p>
        </w:tc>
        <w:tc>
          <w:tcPr>
            <w:tcW w:type="dxa" w:w="1224"/>
            <w:tcMar>
              <w:top w:w="90" w:type="dxa"/>
              <w:start w:w="100" w:type="dxa"/>
              <w:bottom w:w="90" w:type="dxa"/>
              <w:end w:w="100" w:type="dxa"/>
            </w:tcMar>
            <w:vAlign w:val="center"/>
            <w:shd w:fill="dff0e5"/>
          </w:tcPr>
          <w:p>
            <w:r>
              <w:t>CLOSED</w:t>
            </w:r>
          </w:p>
        </w:tc>
        <w:tc>
          <w:tcPr>
            <w:tcW w:type="dxa" w:w="1944"/>
            <w:tcMar>
              <w:top w:w="90" w:type="dxa"/>
              <w:start w:w="100" w:type="dxa"/>
              <w:bottom w:w="90" w:type="dxa"/>
              <w:end w:w="100" w:type="dxa"/>
            </w:tcMar>
            <w:vAlign w:val="center"/>
          </w:tcPr>
          <w:p>
            <w:r>
              <w:t>(21.2)</w:t>
            </w:r>
          </w:p>
        </w:tc>
      </w:tr>
      <w:tr>
        <w:trPr>
          <w:cantSplit/>
        </w:trPr>
        <w:tc>
          <w:tcPr>
            <w:tcW w:type="dxa" w:w="1512"/>
            <w:tcMar>
              <w:top w:w="90" w:type="dxa"/>
              <w:start w:w="100" w:type="dxa"/>
              <w:bottom w:w="90" w:type="dxa"/>
              <w:end w:w="100" w:type="dxa"/>
            </w:tcMar>
            <w:vAlign w:val="center"/>
          </w:tcPr>
          <w:p>
            <w:r>
              <w:t>T2-PO-317</w:t>
            </w:r>
          </w:p>
        </w:tc>
        <w:tc>
          <w:tcPr>
            <w:tcW w:type="dxa" w:w="5112"/>
            <w:tcMar>
              <w:top w:w="90" w:type="dxa"/>
              <w:start w:w="100" w:type="dxa"/>
              <w:bottom w:w="90" w:type="dxa"/>
              <w:end w:w="100" w:type="dxa"/>
            </w:tcMar>
            <w:vAlign w:val="center"/>
          </w:tcPr>
          <w:p>
            <w:r>
              <w:t>Нелинейная semigroup axioms</w:t>
            </w:r>
          </w:p>
        </w:tc>
        <w:tc>
          <w:tcPr>
            <w:tcW w:type="dxa" w:w="1224"/>
            <w:tcMar>
              <w:top w:w="90" w:type="dxa"/>
              <w:start w:w="100" w:type="dxa"/>
              <w:bottom w:w="90" w:type="dxa"/>
              <w:end w:w="100" w:type="dxa"/>
            </w:tcMar>
            <w:vAlign w:val="center"/>
            <w:shd w:fill="dff0e5"/>
          </w:tcPr>
          <w:p>
            <w:r>
              <w:t>CLOSED</w:t>
            </w:r>
          </w:p>
        </w:tc>
        <w:tc>
          <w:tcPr>
            <w:tcW w:type="dxa" w:w="1944"/>
            <w:tcMar>
              <w:top w:w="90" w:type="dxa"/>
              <w:start w:w="100" w:type="dxa"/>
              <w:bottom w:w="90" w:type="dxa"/>
              <w:end w:w="100" w:type="dxa"/>
            </w:tcMar>
            <w:vAlign w:val="center"/>
          </w:tcPr>
          <w:p>
            <w:r>
              <w:t>(21.3)</w:t>
            </w:r>
          </w:p>
        </w:tc>
      </w:tr>
      <w:tr>
        <w:trPr>
          <w:cantSplit/>
        </w:trPr>
        <w:tc>
          <w:tcPr>
            <w:tcW w:type="dxa" w:w="1512"/>
            <w:tcMar>
              <w:top w:w="90" w:type="dxa"/>
              <w:start w:w="100" w:type="dxa"/>
              <w:bottom w:w="90" w:type="dxa"/>
              <w:end w:w="100" w:type="dxa"/>
            </w:tcMar>
            <w:vAlign w:val="center"/>
          </w:tcPr>
          <w:p>
            <w:r>
              <w:t>T2-PO-318</w:t>
            </w:r>
          </w:p>
        </w:tc>
        <w:tc>
          <w:tcPr>
            <w:tcW w:type="dxa" w:w="5112"/>
            <w:tcMar>
              <w:top w:w="90" w:type="dxa"/>
              <w:start w:w="100" w:type="dxa"/>
              <w:bottom w:w="90" w:type="dxa"/>
              <w:end w:w="100" w:type="dxa"/>
            </w:tcMar>
            <w:vAlign w:val="center"/>
          </w:tcPr>
          <w:p>
            <w:r>
              <w:t>m-аккретивность конкретного NAPG-генератора</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Требуется модель</w:t>
            </w:r>
          </w:p>
        </w:tc>
      </w:tr>
      <w:tr>
        <w:trPr>
          <w:cantSplit/>
        </w:trPr>
        <w:tc>
          <w:tcPr>
            <w:tcW w:type="dxa" w:w="1512"/>
            <w:tcMar>
              <w:top w:w="90" w:type="dxa"/>
              <w:start w:w="100" w:type="dxa"/>
              <w:bottom w:w="90" w:type="dxa"/>
              <w:end w:w="100" w:type="dxa"/>
            </w:tcMar>
            <w:vAlign w:val="center"/>
          </w:tcPr>
          <w:p>
            <w:r>
              <w:t>T2-PO-319</w:t>
            </w:r>
          </w:p>
        </w:tc>
        <w:tc>
          <w:tcPr>
            <w:tcW w:type="dxa" w:w="5112"/>
            <w:tcMar>
              <w:top w:w="90" w:type="dxa"/>
              <w:start w:w="100" w:type="dxa"/>
              <w:bottom w:w="90" w:type="dxa"/>
              <w:end w:w="100" w:type="dxa"/>
            </w:tcMar>
            <w:vAlign w:val="center"/>
          </w:tcPr>
          <w:p>
            <w:r>
              <w:t>Crandall–Liggett generation для выбранного A</w:t>
            </w:r>
          </w:p>
        </w:tc>
        <w:tc>
          <w:tcPr>
            <w:tcW w:type="dxa" w:w="1224"/>
            <w:tcMar>
              <w:top w:w="90" w:type="dxa"/>
              <w:start w:w="100" w:type="dxa"/>
              <w:bottom w:w="90" w:type="dxa"/>
              <w:end w:w="100" w:type="dxa"/>
            </w:tcMar>
            <w:vAlign w:val="center"/>
            <w:shd w:fill="fff1cc"/>
          </w:tcPr>
          <w:p>
            <w:r>
              <w:t>COND</w:t>
            </w:r>
          </w:p>
        </w:tc>
        <w:tc>
          <w:tcPr>
            <w:tcW w:type="dxa" w:w="1944"/>
            <w:tcMar>
              <w:top w:w="90" w:type="dxa"/>
              <w:start w:w="100" w:type="dxa"/>
              <w:bottom w:w="90" w:type="dxa"/>
              <w:end w:w="100" w:type="dxa"/>
            </w:tcMar>
            <w:vAlign w:val="center"/>
          </w:tcPr>
          <w:p>
            <w:r>
              <w:t>После PO-318</w:t>
            </w:r>
          </w:p>
        </w:tc>
      </w:tr>
      <w:tr>
        <w:trPr>
          <w:cantSplit/>
        </w:trPr>
        <w:tc>
          <w:tcPr>
            <w:tcW w:type="dxa" w:w="1512"/>
            <w:tcMar>
              <w:top w:w="90" w:type="dxa"/>
              <w:start w:w="100" w:type="dxa"/>
              <w:bottom w:w="90" w:type="dxa"/>
              <w:end w:w="100" w:type="dxa"/>
            </w:tcMar>
            <w:vAlign w:val="center"/>
          </w:tcPr>
          <w:p>
            <w:r>
              <w:t>T2-PO-320</w:t>
            </w:r>
          </w:p>
        </w:tc>
        <w:tc>
          <w:tcPr>
            <w:tcW w:type="dxa" w:w="5112"/>
            <w:tcMar>
              <w:top w:w="90" w:type="dxa"/>
              <w:start w:w="100" w:type="dxa"/>
              <w:bottom w:w="90" w:type="dxa"/>
              <w:end w:w="100" w:type="dxa"/>
            </w:tcMar>
            <w:vAlign w:val="center"/>
          </w:tcPr>
          <w:p>
            <w:r>
              <w:t>Инвариантность admissible sector под резольвентой</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NAPG-specific</w:t>
            </w:r>
          </w:p>
        </w:tc>
      </w:tr>
      <w:tr>
        <w:trPr>
          <w:cantSplit/>
        </w:trPr>
        <w:tc>
          <w:tcPr>
            <w:tcW w:type="dxa" w:w="1512"/>
            <w:tcMar>
              <w:top w:w="90" w:type="dxa"/>
              <w:start w:w="100" w:type="dxa"/>
              <w:bottom w:w="90" w:type="dxa"/>
              <w:end w:w="100" w:type="dxa"/>
            </w:tcMar>
            <w:vAlign w:val="center"/>
          </w:tcPr>
          <w:p>
            <w:r>
              <w:t>T2-PO-321</w:t>
            </w:r>
          </w:p>
        </w:tc>
        <w:tc>
          <w:tcPr>
            <w:tcW w:type="dxa" w:w="5112"/>
            <w:tcMar>
              <w:top w:w="90" w:type="dxa"/>
              <w:start w:w="100" w:type="dxa"/>
              <w:bottom w:w="90" w:type="dxa"/>
              <w:end w:w="100" w:type="dxa"/>
            </w:tcMar>
            <w:vAlign w:val="center"/>
          </w:tcPr>
          <w:p>
            <w:r>
              <w:t>Неавтономная Kato stability</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Семейство A(t)</w:t>
            </w:r>
          </w:p>
        </w:tc>
      </w:tr>
      <w:tr>
        <w:trPr>
          <w:cantSplit/>
        </w:trPr>
        <w:tc>
          <w:tcPr>
            <w:tcW w:type="dxa" w:w="1512"/>
            <w:tcMar>
              <w:top w:w="90" w:type="dxa"/>
              <w:start w:w="100" w:type="dxa"/>
              <w:bottom w:w="90" w:type="dxa"/>
              <w:end w:w="100" w:type="dxa"/>
            </w:tcMar>
            <w:vAlign w:val="center"/>
          </w:tcPr>
          <w:p>
            <w:r>
              <w:t>T2-PO-322</w:t>
            </w:r>
          </w:p>
        </w:tc>
        <w:tc>
          <w:tcPr>
            <w:tcW w:type="dxa" w:w="5112"/>
            <w:tcMar>
              <w:top w:w="90" w:type="dxa"/>
              <w:start w:w="100" w:type="dxa"/>
              <w:bottom w:w="90" w:type="dxa"/>
              <w:end w:w="100" w:type="dxa"/>
            </w:tcMar>
            <w:vAlign w:val="center"/>
          </w:tcPr>
          <w:p>
            <w:r>
              <w:t>Transport-domain compatibility</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Проверка композиций</w:t>
            </w:r>
          </w:p>
        </w:tc>
      </w:tr>
      <w:tr>
        <w:trPr>
          <w:cantSplit/>
        </w:trPr>
        <w:tc>
          <w:tcPr>
            <w:tcW w:type="dxa" w:w="1512"/>
            <w:tcMar>
              <w:top w:w="90" w:type="dxa"/>
              <w:start w:w="100" w:type="dxa"/>
              <w:bottom w:w="90" w:type="dxa"/>
              <w:end w:w="100" w:type="dxa"/>
            </w:tcMar>
            <w:vAlign w:val="center"/>
          </w:tcPr>
          <w:p>
            <w:r>
              <w:t>T2-PO-323</w:t>
            </w:r>
          </w:p>
        </w:tc>
        <w:tc>
          <w:tcPr>
            <w:tcW w:type="dxa" w:w="5112"/>
            <w:tcMar>
              <w:top w:w="90" w:type="dxa"/>
              <w:start w:w="100" w:type="dxa"/>
              <w:bottom w:w="90" w:type="dxa"/>
              <w:end w:w="100" w:type="dxa"/>
            </w:tcMar>
            <w:vAlign w:val="center"/>
          </w:tcPr>
          <w:p>
            <w:r>
              <w:t>Koopman functoriality</w:t>
            </w:r>
          </w:p>
        </w:tc>
        <w:tc>
          <w:tcPr>
            <w:tcW w:type="dxa" w:w="1224"/>
            <w:tcMar>
              <w:top w:w="90" w:type="dxa"/>
              <w:start w:w="100" w:type="dxa"/>
              <w:bottom w:w="90" w:type="dxa"/>
              <w:end w:w="100" w:type="dxa"/>
            </w:tcMar>
            <w:vAlign w:val="center"/>
            <w:shd w:fill="dff0e5"/>
          </w:tcPr>
          <w:p>
            <w:r>
              <w:t>CLOSED</w:t>
            </w:r>
          </w:p>
        </w:tc>
        <w:tc>
          <w:tcPr>
            <w:tcW w:type="dxa" w:w="1944"/>
            <w:tcMar>
              <w:top w:w="90" w:type="dxa"/>
              <w:start w:w="100" w:type="dxa"/>
              <w:bottom w:w="90" w:type="dxa"/>
              <w:end w:w="100" w:type="dxa"/>
            </w:tcMar>
            <w:vAlign w:val="center"/>
          </w:tcPr>
          <w:p>
            <w:r>
              <w:t>(21.6)</w:t>
            </w:r>
          </w:p>
        </w:tc>
      </w:tr>
      <w:tr>
        <w:trPr>
          <w:cantSplit/>
        </w:trPr>
        <w:tc>
          <w:tcPr>
            <w:tcW w:type="dxa" w:w="1512"/>
            <w:tcMar>
              <w:top w:w="90" w:type="dxa"/>
              <w:start w:w="100" w:type="dxa"/>
              <w:bottom w:w="90" w:type="dxa"/>
              <w:end w:w="100" w:type="dxa"/>
            </w:tcMar>
            <w:vAlign w:val="center"/>
          </w:tcPr>
          <w:p>
            <w:r>
              <w:t>T2-PO-324</w:t>
            </w:r>
          </w:p>
        </w:tc>
        <w:tc>
          <w:tcPr>
            <w:tcW w:type="dxa" w:w="5112"/>
            <w:tcMar>
              <w:top w:w="90" w:type="dxa"/>
              <w:start w:w="100" w:type="dxa"/>
              <w:bottom w:w="90" w:type="dxa"/>
              <w:end w:w="100" w:type="dxa"/>
            </w:tcMar>
            <w:vAlign w:val="center"/>
          </w:tcPr>
          <w:p>
            <w:r>
              <w:t>Perron–Frobenius pushforward и duality</w:t>
            </w:r>
          </w:p>
        </w:tc>
        <w:tc>
          <w:tcPr>
            <w:tcW w:type="dxa" w:w="1224"/>
            <w:tcMar>
              <w:top w:w="90" w:type="dxa"/>
              <w:start w:w="100" w:type="dxa"/>
              <w:bottom w:w="90" w:type="dxa"/>
              <w:end w:w="100" w:type="dxa"/>
            </w:tcMar>
            <w:vAlign w:val="center"/>
            <w:shd w:fill="dff0e5"/>
          </w:tcPr>
          <w:p>
            <w:r>
              <w:t>CLOSED</w:t>
            </w:r>
          </w:p>
        </w:tc>
        <w:tc>
          <w:tcPr>
            <w:tcW w:type="dxa" w:w="1944"/>
            <w:tcMar>
              <w:top w:w="90" w:type="dxa"/>
              <w:start w:w="100" w:type="dxa"/>
              <w:bottom w:w="90" w:type="dxa"/>
              <w:end w:w="100" w:type="dxa"/>
            </w:tcMar>
            <w:vAlign w:val="center"/>
          </w:tcPr>
          <w:p>
            <w:r>
              <w:t>(21.7)–(21.8)</w:t>
            </w:r>
          </w:p>
        </w:tc>
      </w:tr>
      <w:tr>
        <w:trPr>
          <w:cantSplit/>
        </w:trPr>
        <w:tc>
          <w:tcPr>
            <w:tcW w:type="dxa" w:w="1512"/>
            <w:tcMar>
              <w:top w:w="90" w:type="dxa"/>
              <w:start w:w="100" w:type="dxa"/>
              <w:bottom w:w="90" w:type="dxa"/>
              <w:end w:w="100" w:type="dxa"/>
            </w:tcMar>
            <w:vAlign w:val="center"/>
          </w:tcPr>
          <w:p>
            <w:r>
              <w:t>T2-PO-325</w:t>
            </w:r>
          </w:p>
        </w:tc>
        <w:tc>
          <w:tcPr>
            <w:tcW w:type="dxa" w:w="5112"/>
            <w:tcMar>
              <w:top w:w="90" w:type="dxa"/>
              <w:start w:w="100" w:type="dxa"/>
              <w:bottom w:w="90" w:type="dxa"/>
              <w:end w:w="100" w:type="dxa"/>
            </w:tcMar>
            <w:vAlign w:val="center"/>
          </w:tcPr>
          <w:p>
            <w:r>
              <w:t>Положительность и сохранение массы</w:t>
            </w:r>
          </w:p>
        </w:tc>
        <w:tc>
          <w:tcPr>
            <w:tcW w:type="dxa" w:w="1224"/>
            <w:tcMar>
              <w:top w:w="90" w:type="dxa"/>
              <w:start w:w="100" w:type="dxa"/>
              <w:bottom w:w="90" w:type="dxa"/>
              <w:end w:w="100" w:type="dxa"/>
            </w:tcMar>
            <w:vAlign w:val="center"/>
            <w:shd w:fill="fff1cc"/>
          </w:tcPr>
          <w:p>
            <w:r>
              <w:t>COND</w:t>
            </w:r>
          </w:p>
        </w:tc>
        <w:tc>
          <w:tcPr>
            <w:tcW w:type="dxa" w:w="1944"/>
            <w:tcMar>
              <w:top w:w="90" w:type="dxa"/>
              <w:start w:w="100" w:type="dxa"/>
              <w:bottom w:w="90" w:type="dxa"/>
              <w:end w:w="100" w:type="dxa"/>
            </w:tcMar>
            <w:vAlign w:val="center"/>
          </w:tcPr>
          <w:p>
            <w:r>
              <w:t>Зависит от режима</w:t>
            </w:r>
          </w:p>
        </w:tc>
      </w:tr>
      <w:tr>
        <w:trPr>
          <w:cantSplit/>
        </w:trPr>
        <w:tc>
          <w:tcPr>
            <w:tcW w:type="dxa" w:w="1512"/>
            <w:tcMar>
              <w:top w:w="90" w:type="dxa"/>
              <w:start w:w="100" w:type="dxa"/>
              <w:bottom w:w="90" w:type="dxa"/>
              <w:end w:w="100" w:type="dxa"/>
            </w:tcMar>
            <w:vAlign w:val="center"/>
          </w:tcPr>
          <w:p>
            <w:r>
              <w:t>T2-PO-326</w:t>
            </w:r>
          </w:p>
        </w:tc>
        <w:tc>
          <w:tcPr>
            <w:tcW w:type="dxa" w:w="5112"/>
            <w:tcMar>
              <w:top w:w="90" w:type="dxa"/>
              <w:start w:w="100" w:type="dxa"/>
              <w:bottom w:w="90" w:type="dxa"/>
              <w:end w:w="100" w:type="dxa"/>
            </w:tcMar>
            <w:vAlign w:val="center"/>
          </w:tcPr>
          <w:p>
            <w:r>
              <w:t>Lasota–Yorke-type estimate для RBD/NAPG</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Новая оценка</w:t>
            </w:r>
          </w:p>
        </w:tc>
      </w:tr>
      <w:tr>
        <w:trPr>
          <w:cantSplit/>
        </w:trPr>
        <w:tc>
          <w:tcPr>
            <w:tcW w:type="dxa" w:w="1512"/>
            <w:tcMar>
              <w:top w:w="90" w:type="dxa"/>
              <w:start w:w="100" w:type="dxa"/>
              <w:bottom w:w="90" w:type="dxa"/>
              <w:end w:w="100" w:type="dxa"/>
            </w:tcMar>
            <w:vAlign w:val="center"/>
          </w:tcPr>
          <w:p>
            <w:r>
              <w:t>T2-PO-327</w:t>
            </w:r>
          </w:p>
        </w:tc>
        <w:tc>
          <w:tcPr>
            <w:tcW w:type="dxa" w:w="5112"/>
            <w:tcMar>
              <w:top w:w="90" w:type="dxa"/>
              <w:start w:w="100" w:type="dxa"/>
              <w:bottom w:w="90" w:type="dxa"/>
              <w:end w:w="100" w:type="dxa"/>
            </w:tcMar>
            <w:vAlign w:val="center"/>
          </w:tcPr>
          <w:p>
            <w:r>
              <w:t>Markov-kernel measurability</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Доменная модель</w:t>
            </w:r>
          </w:p>
        </w:tc>
      </w:tr>
      <w:tr>
        <w:trPr>
          <w:cantSplit/>
        </w:trPr>
        <w:tc>
          <w:tcPr>
            <w:tcW w:type="dxa" w:w="1512"/>
            <w:tcMar>
              <w:top w:w="90" w:type="dxa"/>
              <w:start w:w="100" w:type="dxa"/>
              <w:bottom w:w="90" w:type="dxa"/>
              <w:end w:w="100" w:type="dxa"/>
            </w:tcMar>
            <w:vAlign w:val="center"/>
          </w:tcPr>
          <w:p>
            <w:r>
              <w:t>T2-PO-328</w:t>
            </w:r>
          </w:p>
        </w:tc>
        <w:tc>
          <w:tcPr>
            <w:tcW w:type="dxa" w:w="5112"/>
            <w:tcMar>
              <w:top w:w="90" w:type="dxa"/>
              <w:start w:w="100" w:type="dxa"/>
              <w:bottom w:w="90" w:type="dxa"/>
              <w:end w:w="100" w:type="dxa"/>
            </w:tcMar>
            <w:vAlign w:val="center"/>
          </w:tcPr>
          <w:p>
            <w:r>
              <w:t>Chapman–Kolmogorov consistency</w:t>
            </w:r>
          </w:p>
        </w:tc>
        <w:tc>
          <w:tcPr>
            <w:tcW w:type="dxa" w:w="1224"/>
            <w:tcMar>
              <w:top w:w="90" w:type="dxa"/>
              <w:start w:w="100" w:type="dxa"/>
              <w:bottom w:w="90" w:type="dxa"/>
              <w:end w:w="100" w:type="dxa"/>
            </w:tcMar>
            <w:vAlign w:val="center"/>
            <w:shd w:fill="fff1cc"/>
          </w:tcPr>
          <w:p>
            <w:r>
              <w:t>COND</w:t>
            </w:r>
          </w:p>
        </w:tc>
        <w:tc>
          <w:tcPr>
            <w:tcW w:type="dxa" w:w="1944"/>
            <w:tcMar>
              <w:top w:w="90" w:type="dxa"/>
              <w:start w:w="100" w:type="dxa"/>
              <w:bottom w:w="90" w:type="dxa"/>
              <w:end w:w="100" w:type="dxa"/>
            </w:tcMar>
            <w:vAlign w:val="center"/>
          </w:tcPr>
          <w:p>
            <w:r>
              <w:t>(21.9)</w:t>
            </w:r>
          </w:p>
        </w:tc>
      </w:tr>
      <w:tr>
        <w:trPr>
          <w:cantSplit/>
        </w:trPr>
        <w:tc>
          <w:tcPr>
            <w:tcW w:type="dxa" w:w="1512"/>
            <w:tcMar>
              <w:top w:w="90" w:type="dxa"/>
              <w:start w:w="100" w:type="dxa"/>
              <w:bottom w:w="90" w:type="dxa"/>
              <w:end w:w="100" w:type="dxa"/>
            </w:tcMar>
            <w:vAlign w:val="center"/>
          </w:tcPr>
          <w:p>
            <w:r>
              <w:t>T2-PO-329</w:t>
            </w:r>
          </w:p>
        </w:tc>
        <w:tc>
          <w:tcPr>
            <w:tcW w:type="dxa" w:w="5112"/>
            <w:tcMar>
              <w:top w:w="90" w:type="dxa"/>
              <w:start w:w="100" w:type="dxa"/>
              <w:bottom w:w="90" w:type="dxa"/>
              <w:end w:w="100" w:type="dxa"/>
            </w:tcMar>
            <w:vAlign w:val="center"/>
          </w:tcPr>
          <w:p>
            <w:r>
              <w:t>Kolmogorov path-space extension</w:t>
            </w:r>
          </w:p>
        </w:tc>
        <w:tc>
          <w:tcPr>
            <w:tcW w:type="dxa" w:w="1224"/>
            <w:tcMar>
              <w:top w:w="90" w:type="dxa"/>
              <w:start w:w="100" w:type="dxa"/>
              <w:bottom w:w="90" w:type="dxa"/>
              <w:end w:w="100" w:type="dxa"/>
            </w:tcMar>
            <w:vAlign w:val="center"/>
            <w:shd w:fill="fff1cc"/>
          </w:tcPr>
          <w:p>
            <w:r>
              <w:t>COND</w:t>
            </w:r>
          </w:p>
        </w:tc>
        <w:tc>
          <w:tcPr>
            <w:tcW w:type="dxa" w:w="1944"/>
            <w:tcMar>
              <w:top w:w="90" w:type="dxa"/>
              <w:start w:w="100" w:type="dxa"/>
              <w:bottom w:w="90" w:type="dxa"/>
              <w:end w:w="100" w:type="dxa"/>
            </w:tcMar>
            <w:vAlign w:val="center"/>
          </w:tcPr>
          <w:p>
            <w:r>
              <w:t>Стандартный Borel sector</w:t>
            </w:r>
          </w:p>
        </w:tc>
      </w:tr>
      <w:tr>
        <w:trPr>
          <w:cantSplit/>
        </w:trPr>
        <w:tc>
          <w:tcPr>
            <w:tcW w:type="dxa" w:w="1512"/>
            <w:tcMar>
              <w:top w:w="90" w:type="dxa"/>
              <w:start w:w="100" w:type="dxa"/>
              <w:bottom w:w="90" w:type="dxa"/>
              <w:end w:w="100" w:type="dxa"/>
            </w:tcMar>
            <w:vAlign w:val="center"/>
          </w:tcPr>
          <w:p>
            <w:r>
              <w:t>T2-PO-330</w:t>
            </w:r>
          </w:p>
        </w:tc>
        <w:tc>
          <w:tcPr>
            <w:tcW w:type="dxa" w:w="5112"/>
            <w:tcMar>
              <w:top w:w="90" w:type="dxa"/>
              <w:start w:w="100" w:type="dxa"/>
              <w:bottom w:w="90" w:type="dxa"/>
              <w:end w:w="100" w:type="dxa"/>
            </w:tcMar>
            <w:vAlign w:val="center"/>
          </w:tcPr>
          <w:p>
            <w:r>
              <w:t>Tightness/regularity path law</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Moment estimates</w:t>
            </w:r>
          </w:p>
        </w:tc>
      </w:tr>
      <w:tr>
        <w:trPr>
          <w:cantSplit/>
        </w:trPr>
        <w:tc>
          <w:tcPr>
            <w:tcW w:type="dxa" w:w="1512"/>
            <w:tcMar>
              <w:top w:w="90" w:type="dxa"/>
              <w:start w:w="100" w:type="dxa"/>
              <w:bottom w:w="90" w:type="dxa"/>
              <w:end w:w="100" w:type="dxa"/>
            </w:tcMar>
            <w:vAlign w:val="center"/>
          </w:tcPr>
          <w:p>
            <w:r>
              <w:t>T2-PO-331</w:t>
            </w:r>
          </w:p>
        </w:tc>
        <w:tc>
          <w:tcPr>
            <w:tcW w:type="dxa" w:w="5112"/>
            <w:tcMar>
              <w:top w:w="90" w:type="dxa"/>
              <w:start w:w="100" w:type="dxa"/>
              <w:bottom w:w="90" w:type="dxa"/>
              <w:end w:w="100" w:type="dxa"/>
            </w:tcMar>
            <w:vAlign w:val="center"/>
          </w:tcPr>
          <w:p>
            <w:r>
              <w:t>Детерминированный orbit carrier</w:t>
            </w:r>
          </w:p>
        </w:tc>
        <w:tc>
          <w:tcPr>
            <w:tcW w:type="dxa" w:w="1224"/>
            <w:tcMar>
              <w:top w:w="90" w:type="dxa"/>
              <w:start w:w="100" w:type="dxa"/>
              <w:bottom w:w="90" w:type="dxa"/>
              <w:end w:w="100" w:type="dxa"/>
            </w:tcMar>
            <w:vAlign w:val="center"/>
            <w:shd w:fill="dff0e5"/>
          </w:tcPr>
          <w:p>
            <w:r>
              <w:t>CLOSED</w:t>
            </w:r>
          </w:p>
        </w:tc>
        <w:tc>
          <w:tcPr>
            <w:tcW w:type="dxa" w:w="1944"/>
            <w:tcMar>
              <w:top w:w="90" w:type="dxa"/>
              <w:start w:w="100" w:type="dxa"/>
              <w:bottom w:w="90" w:type="dxa"/>
              <w:end w:w="100" w:type="dxa"/>
            </w:tcMar>
            <w:vAlign w:val="center"/>
          </w:tcPr>
          <w:p>
            <w:r>
              <w:t>(21.11)</w:t>
            </w:r>
          </w:p>
        </w:tc>
      </w:tr>
      <w:tr>
        <w:trPr>
          <w:cantSplit/>
        </w:trPr>
        <w:tc>
          <w:tcPr>
            <w:tcW w:type="dxa" w:w="1512"/>
            <w:tcMar>
              <w:top w:w="90" w:type="dxa"/>
              <w:start w:w="100" w:type="dxa"/>
              <w:bottom w:w="90" w:type="dxa"/>
              <w:end w:w="100" w:type="dxa"/>
            </w:tcMar>
            <w:vAlign w:val="center"/>
          </w:tcPr>
          <w:p>
            <w:r>
              <w:t>T2-PO-332</w:t>
            </w:r>
          </w:p>
        </w:tc>
        <w:tc>
          <w:tcPr>
            <w:tcW w:type="dxa" w:w="5112"/>
            <w:tcMar>
              <w:top w:w="90" w:type="dxa"/>
              <w:start w:w="100" w:type="dxa"/>
              <w:bottom w:w="90" w:type="dxa"/>
              <w:end w:w="100" w:type="dxa"/>
            </w:tcMar>
            <w:vAlign w:val="center"/>
          </w:tcPr>
          <w:p>
            <w:r>
              <w:t>Volterra-kernel existence/uniqueness</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Kernel-specific</w:t>
            </w:r>
          </w:p>
        </w:tc>
      </w:tr>
      <w:tr>
        <w:trPr>
          <w:cantSplit/>
        </w:trPr>
        <w:tc>
          <w:tcPr>
            <w:tcW w:type="dxa" w:w="1512"/>
            <w:tcMar>
              <w:top w:w="90" w:type="dxa"/>
              <w:start w:w="100" w:type="dxa"/>
              <w:bottom w:w="90" w:type="dxa"/>
              <w:end w:w="100" w:type="dxa"/>
            </w:tcMar>
            <w:vAlign w:val="center"/>
          </w:tcPr>
          <w:p>
            <w:r>
              <w:t>T2-PO-333</w:t>
            </w:r>
          </w:p>
        </w:tc>
        <w:tc>
          <w:tcPr>
            <w:tcW w:type="dxa" w:w="5112"/>
            <w:tcMar>
              <w:top w:w="90" w:type="dxa"/>
              <w:start w:w="100" w:type="dxa"/>
              <w:bottom w:w="90" w:type="dxa"/>
              <w:end w:w="100" w:type="dxa"/>
            </w:tcMar>
            <w:vAlign w:val="center"/>
          </w:tcPr>
          <w:p>
            <w:r>
              <w:t>Resolvent memory kernel</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Analytic package</w:t>
            </w:r>
          </w:p>
        </w:tc>
      </w:tr>
      <w:tr>
        <w:trPr>
          <w:cantSplit/>
        </w:trPr>
        <w:tc>
          <w:tcPr>
            <w:tcW w:type="dxa" w:w="1512"/>
            <w:tcMar>
              <w:top w:w="90" w:type="dxa"/>
              <w:start w:w="100" w:type="dxa"/>
              <w:bottom w:w="90" w:type="dxa"/>
              <w:end w:w="100" w:type="dxa"/>
            </w:tcMar>
            <w:vAlign w:val="center"/>
          </w:tcPr>
          <w:p>
            <w:r>
              <w:t>T2-PO-334</w:t>
            </w:r>
          </w:p>
        </w:tc>
        <w:tc>
          <w:tcPr>
            <w:tcW w:type="dxa" w:w="5112"/>
            <w:tcMar>
              <w:top w:w="90" w:type="dxa"/>
              <w:start w:w="100" w:type="dxa"/>
              <w:bottom w:w="90" w:type="dxa"/>
              <w:end w:w="100" w:type="dxa"/>
            </w:tcMar>
            <w:vAlign w:val="center"/>
          </w:tcPr>
          <w:p>
            <w:r>
              <w:t>Non-anticipation theorem</w:t>
            </w:r>
          </w:p>
        </w:tc>
        <w:tc>
          <w:tcPr>
            <w:tcW w:type="dxa" w:w="1224"/>
            <w:tcMar>
              <w:top w:w="90" w:type="dxa"/>
              <w:start w:w="100" w:type="dxa"/>
              <w:bottom w:w="90" w:type="dxa"/>
              <w:end w:w="100" w:type="dxa"/>
            </w:tcMar>
            <w:vAlign w:val="center"/>
            <w:shd w:fill="dff0e5"/>
          </w:tcPr>
          <w:p>
            <w:r>
              <w:t>CLOSED</w:t>
            </w:r>
          </w:p>
        </w:tc>
        <w:tc>
          <w:tcPr>
            <w:tcW w:type="dxa" w:w="1944"/>
            <w:tcMar>
              <w:top w:w="90" w:type="dxa"/>
              <w:start w:w="100" w:type="dxa"/>
              <w:bottom w:w="90" w:type="dxa"/>
              <w:end w:w="100" w:type="dxa"/>
            </w:tcMar>
            <w:vAlign w:val="center"/>
          </w:tcPr>
          <w:p>
            <w:r>
              <w:t>Теорема 21.4</w:t>
            </w:r>
          </w:p>
        </w:tc>
      </w:tr>
      <w:tr>
        <w:trPr>
          <w:cantSplit/>
        </w:trPr>
        <w:tc>
          <w:tcPr>
            <w:tcW w:type="dxa" w:w="1512"/>
            <w:tcMar>
              <w:top w:w="90" w:type="dxa"/>
              <w:start w:w="100" w:type="dxa"/>
              <w:bottom w:w="90" w:type="dxa"/>
              <w:end w:w="100" w:type="dxa"/>
            </w:tcMar>
            <w:vAlign w:val="center"/>
          </w:tcPr>
          <w:p>
            <w:r>
              <w:t>T2-PO-335</w:t>
            </w:r>
          </w:p>
        </w:tc>
        <w:tc>
          <w:tcPr>
            <w:tcW w:type="dxa" w:w="5112"/>
            <w:tcMar>
              <w:top w:w="90" w:type="dxa"/>
              <w:start w:w="100" w:type="dxa"/>
              <w:bottom w:w="90" w:type="dxa"/>
              <w:end w:w="100" w:type="dxa"/>
            </w:tcMar>
            <w:vAlign w:val="center"/>
          </w:tcPr>
          <w:p>
            <w:r>
              <w:t>Filtration and adaptedness</w:t>
            </w:r>
          </w:p>
        </w:tc>
        <w:tc>
          <w:tcPr>
            <w:tcW w:type="dxa" w:w="1224"/>
            <w:tcMar>
              <w:top w:w="90" w:type="dxa"/>
              <w:start w:w="100" w:type="dxa"/>
              <w:bottom w:w="90" w:type="dxa"/>
              <w:end w:w="100" w:type="dxa"/>
            </w:tcMar>
            <w:vAlign w:val="center"/>
            <w:shd w:fill="fff1cc"/>
          </w:tcPr>
          <w:p>
            <w:r>
              <w:t>COND</w:t>
            </w:r>
          </w:p>
        </w:tc>
        <w:tc>
          <w:tcPr>
            <w:tcW w:type="dxa" w:w="1944"/>
            <w:tcMar>
              <w:top w:w="90" w:type="dxa"/>
              <w:start w:w="100" w:type="dxa"/>
              <w:bottom w:w="90" w:type="dxa"/>
              <w:end w:w="100" w:type="dxa"/>
            </w:tcMar>
            <w:vAlign w:val="center"/>
          </w:tcPr>
          <w:p>
            <w:r>
              <w:t>Probability bridge</w:t>
            </w:r>
          </w:p>
        </w:tc>
      </w:tr>
      <w:tr>
        <w:trPr>
          <w:cantSplit/>
        </w:trPr>
        <w:tc>
          <w:tcPr>
            <w:tcW w:type="dxa" w:w="1512"/>
            <w:tcMar>
              <w:top w:w="90" w:type="dxa"/>
              <w:start w:w="100" w:type="dxa"/>
              <w:bottom w:w="90" w:type="dxa"/>
              <w:end w:w="100" w:type="dxa"/>
            </w:tcMar>
            <w:vAlign w:val="center"/>
          </w:tcPr>
          <w:p>
            <w:r>
              <w:t>T2-PO-336</w:t>
            </w:r>
          </w:p>
        </w:tc>
        <w:tc>
          <w:tcPr>
            <w:tcW w:type="dxa" w:w="5112"/>
            <w:tcMar>
              <w:top w:w="90" w:type="dxa"/>
              <w:start w:w="100" w:type="dxa"/>
              <w:bottom w:w="90" w:type="dxa"/>
              <w:end w:w="100" w:type="dxa"/>
            </w:tcMar>
            <w:vAlign w:val="center"/>
          </w:tcPr>
          <w:p>
            <w:r>
              <w:t>Observability of Reper state</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Obs-specific</w:t>
            </w:r>
          </w:p>
        </w:tc>
      </w:tr>
      <w:tr>
        <w:trPr>
          <w:cantSplit/>
        </w:trPr>
        <w:tc>
          <w:tcPr>
            <w:tcW w:type="dxa" w:w="1512"/>
            <w:tcMar>
              <w:top w:w="90" w:type="dxa"/>
              <w:start w:w="100" w:type="dxa"/>
              <w:bottom w:w="90" w:type="dxa"/>
              <w:end w:w="100" w:type="dxa"/>
            </w:tcMar>
            <w:vAlign w:val="center"/>
          </w:tcPr>
          <w:p>
            <w:r>
              <w:t>T2-PO-337</w:t>
            </w:r>
          </w:p>
        </w:tc>
        <w:tc>
          <w:tcPr>
            <w:tcW w:type="dxa" w:w="5112"/>
            <w:tcMar>
              <w:top w:w="90" w:type="dxa"/>
              <w:start w:w="100" w:type="dxa"/>
              <w:bottom w:w="90" w:type="dxa"/>
              <w:end w:w="100" w:type="dxa"/>
            </w:tcMar>
            <w:vAlign w:val="center"/>
          </w:tcPr>
          <w:p>
            <w:r>
              <w:t>Parameter identifiability</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Data-specific</w:t>
            </w:r>
          </w:p>
        </w:tc>
      </w:tr>
      <w:tr>
        <w:trPr>
          <w:cantSplit/>
        </w:trPr>
        <w:tc>
          <w:tcPr>
            <w:tcW w:type="dxa" w:w="1512"/>
            <w:tcMar>
              <w:top w:w="90" w:type="dxa"/>
              <w:start w:w="100" w:type="dxa"/>
              <w:bottom w:w="90" w:type="dxa"/>
              <w:end w:w="100" w:type="dxa"/>
            </w:tcMar>
            <w:vAlign w:val="center"/>
          </w:tcPr>
          <w:p>
            <w:r>
              <w:t>T2-PO-338</w:t>
            </w:r>
          </w:p>
        </w:tc>
        <w:tc>
          <w:tcPr>
            <w:tcW w:type="dxa" w:w="5112"/>
            <w:tcMar>
              <w:top w:w="90" w:type="dxa"/>
              <w:start w:w="100" w:type="dxa"/>
              <w:bottom w:w="90" w:type="dxa"/>
              <w:end w:w="100" w:type="dxa"/>
            </w:tcMar>
            <w:vAlign w:val="center"/>
          </w:tcPr>
          <w:p>
            <w:r>
              <w:t>Reper trajectory transport</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NAPG-specific</w:t>
            </w:r>
          </w:p>
        </w:tc>
      </w:tr>
      <w:tr>
        <w:trPr>
          <w:cantSplit/>
        </w:trPr>
        <w:tc>
          <w:tcPr>
            <w:tcW w:type="dxa" w:w="1512"/>
            <w:tcMar>
              <w:top w:w="90" w:type="dxa"/>
              <w:start w:w="100" w:type="dxa"/>
              <w:bottom w:w="90" w:type="dxa"/>
              <w:end w:w="100" w:type="dxa"/>
            </w:tcMar>
            <w:vAlign w:val="center"/>
          </w:tcPr>
          <w:p>
            <w:r>
              <w:t>T2-PO-339</w:t>
            </w:r>
          </w:p>
        </w:tc>
        <w:tc>
          <w:tcPr>
            <w:tcW w:type="dxa" w:w="5112"/>
            <w:tcMar>
              <w:top w:w="90" w:type="dxa"/>
              <w:start w:w="100" w:type="dxa"/>
              <w:bottom w:w="90" w:type="dxa"/>
              <w:end w:w="100" w:type="dxa"/>
            </w:tcMar>
            <w:vAlign w:val="center"/>
          </w:tcPr>
          <w:p>
            <w:r>
              <w:t>Global definition of λ_t</w:t>
            </w:r>
          </w:p>
        </w:tc>
        <w:tc>
          <w:tcPr>
            <w:tcW w:type="dxa" w:w="1224"/>
            <w:tcMar>
              <w:top w:w="90" w:type="dxa"/>
              <w:start w:w="100" w:type="dxa"/>
              <w:bottom w:w="90" w:type="dxa"/>
              <w:end w:w="100" w:type="dxa"/>
            </w:tcMar>
            <w:vAlign w:val="center"/>
            <w:shd w:fill="fff1cc"/>
          </w:tcPr>
          <w:p>
            <w:r>
              <w:t>COND</w:t>
            </w:r>
          </w:p>
        </w:tc>
        <w:tc>
          <w:tcPr>
            <w:tcW w:type="dxa" w:w="1944"/>
            <w:tcMar>
              <w:top w:w="90" w:type="dxa"/>
              <w:start w:w="100" w:type="dxa"/>
              <w:bottom w:w="90" w:type="dxa"/>
              <w:end w:w="100" w:type="dxa"/>
            </w:tcMar>
            <w:vAlign w:val="center"/>
          </w:tcPr>
          <w:p>
            <w:r>
              <w:t>Projective atlas</w:t>
            </w:r>
          </w:p>
        </w:tc>
      </w:tr>
      <w:tr>
        <w:trPr>
          <w:cantSplit/>
        </w:trPr>
        <w:tc>
          <w:tcPr>
            <w:tcW w:type="dxa" w:w="1512"/>
            <w:tcMar>
              <w:top w:w="90" w:type="dxa"/>
              <w:start w:w="100" w:type="dxa"/>
              <w:bottom w:w="90" w:type="dxa"/>
              <w:end w:w="100" w:type="dxa"/>
            </w:tcMar>
            <w:vAlign w:val="center"/>
          </w:tcPr>
          <w:p>
            <w:r>
              <w:t>T2-PO-340</w:t>
            </w:r>
          </w:p>
        </w:tc>
        <w:tc>
          <w:tcPr>
            <w:tcW w:type="dxa" w:w="5112"/>
            <w:tcMar>
              <w:top w:w="90" w:type="dxa"/>
              <w:start w:w="100" w:type="dxa"/>
              <w:bottom w:w="90" w:type="dxa"/>
              <w:end w:w="100" w:type="dxa"/>
            </w:tcMar>
            <w:vAlign w:val="center"/>
          </w:tcPr>
          <w:p>
            <w:r>
              <w:t>Hitting-time well-posedness</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Path law required</w:t>
            </w:r>
          </w:p>
        </w:tc>
      </w:tr>
      <w:tr>
        <w:trPr>
          <w:cantSplit/>
        </w:trPr>
        <w:tc>
          <w:tcPr>
            <w:tcW w:type="dxa" w:w="1512"/>
            <w:tcMar>
              <w:top w:w="90" w:type="dxa"/>
              <w:start w:w="100" w:type="dxa"/>
              <w:bottom w:w="90" w:type="dxa"/>
              <w:end w:w="100" w:type="dxa"/>
            </w:tcMar>
            <w:vAlign w:val="center"/>
          </w:tcPr>
          <w:p>
            <w:r>
              <w:t>T2-PO-341</w:t>
            </w:r>
          </w:p>
        </w:tc>
        <w:tc>
          <w:tcPr>
            <w:tcW w:type="dxa" w:w="5112"/>
            <w:tcMar>
              <w:top w:w="90" w:type="dxa"/>
              <w:start w:w="100" w:type="dxa"/>
              <w:bottom w:w="90" w:type="dxa"/>
              <w:end w:w="100" w:type="dxa"/>
            </w:tcMar>
            <w:vAlign w:val="center"/>
          </w:tcPr>
          <w:p>
            <w:r>
              <w:t>RBD transfer operator</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Software/data model</w:t>
            </w:r>
          </w:p>
        </w:tc>
      </w:tr>
      <w:tr>
        <w:trPr>
          <w:cantSplit/>
        </w:trPr>
        <w:tc>
          <w:tcPr>
            <w:tcW w:type="dxa" w:w="1512"/>
            <w:tcMar>
              <w:top w:w="90" w:type="dxa"/>
              <w:start w:w="100" w:type="dxa"/>
              <w:bottom w:w="90" w:type="dxa"/>
              <w:end w:w="100" w:type="dxa"/>
            </w:tcMar>
            <w:vAlign w:val="center"/>
          </w:tcPr>
          <w:p>
            <w:r>
              <w:t>T2-PO-342</w:t>
            </w:r>
          </w:p>
        </w:tc>
        <w:tc>
          <w:tcPr>
            <w:tcW w:type="dxa" w:w="5112"/>
            <w:tcMar>
              <w:top w:w="90" w:type="dxa"/>
              <w:start w:w="100" w:type="dxa"/>
              <w:bottom w:w="90" w:type="dxa"/>
              <w:end w:w="100" w:type="dxa"/>
            </w:tcMar>
            <w:vAlign w:val="center"/>
          </w:tcPr>
          <w:p>
            <w:r>
              <w:t>Generator inference error bound</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Independent data</w:t>
            </w:r>
          </w:p>
        </w:tc>
      </w:tr>
      <w:tr>
        <w:trPr>
          <w:cantSplit/>
        </w:trPr>
        <w:tc>
          <w:tcPr>
            <w:tcW w:type="dxa" w:w="1512"/>
            <w:tcMar>
              <w:top w:w="90" w:type="dxa"/>
              <w:start w:w="100" w:type="dxa"/>
              <w:bottom w:w="90" w:type="dxa"/>
              <w:end w:w="100" w:type="dxa"/>
            </w:tcMar>
            <w:vAlign w:val="center"/>
          </w:tcPr>
          <w:p>
            <w:r>
              <w:t>T2-PO-343</w:t>
            </w:r>
          </w:p>
        </w:tc>
        <w:tc>
          <w:tcPr>
            <w:tcW w:type="dxa" w:w="5112"/>
            <w:tcMar>
              <w:top w:w="90" w:type="dxa"/>
              <w:start w:w="100" w:type="dxa"/>
              <w:bottom w:w="90" w:type="dxa"/>
              <w:end w:w="100" w:type="dxa"/>
            </w:tcMar>
            <w:vAlign w:val="center"/>
          </w:tcPr>
          <w:p>
            <w:r>
              <w:t>Perturbation/resolvent convergence</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Model-specific</w:t>
            </w:r>
          </w:p>
        </w:tc>
      </w:tr>
      <w:tr>
        <w:trPr>
          <w:cantSplit/>
        </w:trPr>
        <w:tc>
          <w:tcPr>
            <w:tcW w:type="dxa" w:w="1512"/>
            <w:tcMar>
              <w:top w:w="90" w:type="dxa"/>
              <w:start w:w="100" w:type="dxa"/>
              <w:bottom w:w="90" w:type="dxa"/>
              <w:end w:w="100" w:type="dxa"/>
            </w:tcMar>
            <w:vAlign w:val="center"/>
          </w:tcPr>
          <w:p>
            <w:r>
              <w:t>T2-PO-344</w:t>
            </w:r>
          </w:p>
        </w:tc>
        <w:tc>
          <w:tcPr>
            <w:tcW w:type="dxa" w:w="5112"/>
            <w:tcMar>
              <w:top w:w="90" w:type="dxa"/>
              <w:start w:w="100" w:type="dxa"/>
              <w:bottom w:w="90" w:type="dxa"/>
              <w:end w:w="100" w:type="dxa"/>
            </w:tcMar>
            <w:vAlign w:val="center"/>
          </w:tcPr>
          <w:p>
            <w:r>
              <w:t>Dynamic residual weights W_time</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Sensitivity analysis</w:t>
            </w:r>
          </w:p>
        </w:tc>
      </w:tr>
      <w:tr>
        <w:trPr>
          <w:cantSplit/>
        </w:trPr>
        <w:tc>
          <w:tcPr>
            <w:tcW w:type="dxa" w:w="1512"/>
            <w:tcMar>
              <w:top w:w="90" w:type="dxa"/>
              <w:start w:w="100" w:type="dxa"/>
              <w:bottom w:w="90" w:type="dxa"/>
              <w:end w:w="100" w:type="dxa"/>
            </w:tcMar>
            <w:vAlign w:val="center"/>
          </w:tcPr>
          <w:p>
            <w:r>
              <w:t>T2-PO-345</w:t>
            </w:r>
          </w:p>
        </w:tc>
        <w:tc>
          <w:tcPr>
            <w:tcW w:type="dxa" w:w="5112"/>
            <w:tcMar>
              <w:top w:w="90" w:type="dxa"/>
              <w:start w:w="100" w:type="dxa"/>
              <w:bottom w:w="90" w:type="dxa"/>
              <w:end w:w="100" w:type="dxa"/>
            </w:tcMar>
            <w:vAlign w:val="center"/>
          </w:tcPr>
          <w:p>
            <w:r>
              <w:t>Temporal-profile stability theorem</w:t>
            </w:r>
          </w:p>
        </w:tc>
        <w:tc>
          <w:tcPr>
            <w:tcW w:type="dxa" w:w="1224"/>
            <w:tcMar>
              <w:top w:w="90" w:type="dxa"/>
              <w:start w:w="100" w:type="dxa"/>
              <w:bottom w:w="90" w:type="dxa"/>
              <w:end w:w="100" w:type="dxa"/>
            </w:tcMar>
            <w:vAlign w:val="center"/>
            <w:shd w:fill="fff1cc"/>
          </w:tcPr>
          <w:p>
            <w:r>
              <w:t>COND</w:t>
            </w:r>
          </w:p>
        </w:tc>
        <w:tc>
          <w:tcPr>
            <w:tcW w:type="dxa" w:w="1944"/>
            <w:tcMar>
              <w:top w:w="90" w:type="dxa"/>
              <w:start w:w="100" w:type="dxa"/>
              <w:bottom w:w="90" w:type="dxa"/>
              <w:end w:w="100" w:type="dxa"/>
            </w:tcMar>
            <w:vAlign w:val="center"/>
          </w:tcPr>
          <w:p>
            <w:r>
              <w:t>H1–H9</w:t>
            </w:r>
          </w:p>
        </w:tc>
      </w:tr>
      <w:tr>
        <w:trPr>
          <w:cantSplit/>
        </w:trPr>
        <w:tc>
          <w:tcPr>
            <w:tcW w:type="dxa" w:w="1512"/>
            <w:tcMar>
              <w:top w:w="90" w:type="dxa"/>
              <w:start w:w="100" w:type="dxa"/>
              <w:bottom w:w="90" w:type="dxa"/>
              <w:end w:w="100" w:type="dxa"/>
            </w:tcMar>
            <w:vAlign w:val="center"/>
          </w:tcPr>
          <w:p>
            <w:r>
              <w:t>T2-PO-346</w:t>
            </w:r>
          </w:p>
        </w:tc>
        <w:tc>
          <w:tcPr>
            <w:tcW w:type="dxa" w:w="5112"/>
            <w:tcMar>
              <w:top w:w="90" w:type="dxa"/>
              <w:start w:w="100" w:type="dxa"/>
              <w:bottom w:w="90" w:type="dxa"/>
              <w:end w:w="100" w:type="dxa"/>
            </w:tcMar>
            <w:vAlign w:val="center"/>
          </w:tcPr>
          <w:p>
            <w:r>
              <w:t>Snapshot no-go</w:t>
            </w:r>
          </w:p>
        </w:tc>
        <w:tc>
          <w:tcPr>
            <w:tcW w:type="dxa" w:w="1224"/>
            <w:tcMar>
              <w:top w:w="90" w:type="dxa"/>
              <w:start w:w="100" w:type="dxa"/>
              <w:bottom w:w="90" w:type="dxa"/>
              <w:end w:w="100" w:type="dxa"/>
            </w:tcMar>
            <w:vAlign w:val="center"/>
            <w:shd w:fill="dff0e5"/>
          </w:tcPr>
          <w:p>
            <w:r>
              <w:t>CLOSED</w:t>
            </w:r>
          </w:p>
        </w:tc>
        <w:tc>
          <w:tcPr>
            <w:tcW w:type="dxa" w:w="1944"/>
            <w:tcMar>
              <w:top w:w="90" w:type="dxa"/>
              <w:start w:w="100" w:type="dxa"/>
              <w:bottom w:w="90" w:type="dxa"/>
              <w:end w:w="100" w:type="dxa"/>
            </w:tcMar>
            <w:vAlign w:val="center"/>
          </w:tcPr>
          <w:p>
            <w:r>
              <w:t>Теорема 21.6</w:t>
            </w:r>
          </w:p>
        </w:tc>
      </w:tr>
      <w:tr>
        <w:trPr>
          <w:cantSplit/>
        </w:trPr>
        <w:tc>
          <w:tcPr>
            <w:tcW w:type="dxa" w:w="1512"/>
            <w:tcMar>
              <w:top w:w="90" w:type="dxa"/>
              <w:start w:w="100" w:type="dxa"/>
              <w:bottom w:w="90" w:type="dxa"/>
              <w:end w:w="100" w:type="dxa"/>
            </w:tcMar>
            <w:vAlign w:val="center"/>
          </w:tcPr>
          <w:p>
            <w:r>
              <w:t>T2-PO-347</w:t>
            </w:r>
          </w:p>
        </w:tc>
        <w:tc>
          <w:tcPr>
            <w:tcW w:type="dxa" w:w="5112"/>
            <w:tcMar>
              <w:top w:w="90" w:type="dxa"/>
              <w:start w:w="100" w:type="dxa"/>
              <w:bottom w:w="90" w:type="dxa"/>
              <w:end w:w="100" w:type="dxa"/>
            </w:tcMar>
            <w:vAlign w:val="center"/>
          </w:tcPr>
          <w:p>
            <w:r>
              <w:t>Empirical calibration and EXT-RUN</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Независимый запуск</w:t>
            </w:r>
          </w:p>
        </w:tc>
      </w:tr>
      <w:tr>
        <w:trPr>
          <w:cantSplit/>
        </w:trPr>
        <w:tc>
          <w:tcPr>
            <w:tcW w:type="dxa" w:w="1512"/>
            <w:tcMar>
              <w:top w:w="90" w:type="dxa"/>
              <w:start w:w="100" w:type="dxa"/>
              <w:bottom w:w="90" w:type="dxa"/>
              <w:end w:w="100" w:type="dxa"/>
            </w:tcMar>
            <w:vAlign w:val="center"/>
          </w:tcPr>
          <w:p>
            <w:r>
              <w:t>T2-PO-348</w:t>
            </w:r>
          </w:p>
        </w:tc>
        <w:tc>
          <w:tcPr>
            <w:tcW w:type="dxa" w:w="5112"/>
            <w:tcMar>
              <w:top w:w="90" w:type="dxa"/>
              <w:start w:w="100" w:type="dxa"/>
              <w:bottom w:w="90" w:type="dxa"/>
              <w:end w:w="100" w:type="dxa"/>
            </w:tcMar>
            <w:vAlign w:val="center"/>
          </w:tcPr>
          <w:p>
            <w:r>
              <w:t>Physical/causal interpretation</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Отдельный bridge</w:t>
            </w:r>
          </w:p>
        </w:tc>
      </w:tr>
    </w:tbl>
    <w:p>
      <w:pPr>
        <w:pStyle w:val="Heading1"/>
      </w:pPr>
      <w:r>
        <w:t>291. Prior art и граница авторского вклада</w:t>
      </w:r>
    </w:p>
    <w:p>
      <w:pPr/>
      <w:r>
        <w:t>Классический prior art главы включает генерацию нелинейных контрактивных полугрупп m-аккретивными операторами; неавтономные evolution equations; операторное представление динамики по Купману; transfer/Perron–Frobenius operators и инвариантные меры; Kolmogorov extension для path spaces; Markov kernels и Volterra memory equations. Авторский слой Тома II состоит в их типизированном включении в NAPG/KLT-RBD с Evidence-D, Dom, λ/CGI, obstruction horizons, blocker-safe вердиктом и запретом подмены математической эволюции эмпирической причинностью.</w:t>
      </w:r>
    </w:p>
    <w:p>
      <w:pPr/>
      <w:r>
        <w:t>[V0.18-1] Crandall, M. G.; Liggett, T. M. Generation of semi-groups of nonlinear transformations on general Banach spaces. American Journal of Mathematics 93 (1971), 265–298. DOI 10.2307/2373376. [первичный источник]</w:t>
      </w:r>
    </w:p>
    <w:p>
      <w:pPr/>
      <w:r>
        <w:t>[V0.18-2] Kato, T. Integration of the equation of evolution in a Banach space. Journal of the Mathematical Society of Japan 5 (1953), 208–234. DOI 10.2969/jmsj/00520208. [первичный источник]</w:t>
      </w:r>
    </w:p>
    <w:p>
      <w:pPr/>
      <w:r>
        <w:t>[V0.18-3] Koopman, B. O. Hamiltonian systems and transformation in Hilbert space. PNAS 17 (1931), 315–318. DOI 10.1073/pnas.17.5.315. [первичный источник]</w:t>
      </w:r>
    </w:p>
    <w:p>
      <w:pPr/>
      <w:r>
        <w:t>[V0.18-4] Ruelle, D. Generalized zeta-functions for Axiom A basic sets. Bulletin of the AMS 82 (1976), 153–156; IHES prepublication P/75/104. [первичный источник]</w:t>
      </w:r>
    </w:p>
    <w:p>
      <w:pPr/>
      <w:r>
        <w:t>[V0.18-5] Lasota, A.; Yorke, J. A. On the existence of invariant measures for piecewise monotonic transformations. Transactions AMS 186 (1973), 481–488. DOI 10.1090/S0002-9947-1973-0335758-1. [первичный источник]</w:t>
      </w:r>
    </w:p>
    <w:p>
      <w:pPr/>
      <w:r>
        <w:t>[V0.18-6] Kolmogorov, A. N. Grundbegriffe der Wahrscheinlichkeitsrechnung. Springer, 1933; и On the analytic methods of probability theory, 1938. [первичный источник]</w:t>
      </w:r>
    </w:p>
    <w:p>
      <w:pPr/>
      <w:r>
        <w:t>[V0.18-7] Nagy, J.; Nováková, E. Concerning resolvent kernels of Volterra integral equations. Comment. Math. Univ. Carolinae 12 (1971), 737–752. [первичный источник]</w:t>
      </w:r>
    </w:p>
    <w:p>
      <w:pPr/>
      <w:r>
        <w:t>[V0.18-8] Kurpishev, I. B. Том I v197 RU; Том II T2-RP-v0.1–v0.17. [внутренний авторский корпус]</w:t>
      </w:r>
    </w:p>
    <w:p>
      <w:pPr>
        <w:pStyle w:val="Small"/>
      </w:pPr>
      <w:r>
        <w:t>В Том I уже закреплены blocker-safe домены, независимая проверка и главная условная теорема предсказательного метода; настоящая глава не повышает их статус, а добавляет временной carrier и operator/path obligations. fileciteturn5file9</w:t>
      </w:r>
    </w:p>
    <w:p>
      <w:pPr>
        <w:pStyle w:val="Heading1"/>
      </w:pPr>
      <w:r>
        <w:t>292. Контрольная точка и граница вывода</w:t>
      </w:r>
    </w:p>
    <w:p>
      <w:pPr>
        <w:pStyle w:val="Quote"/>
        <w:jc w:val="center"/>
      </w:pPr>
      <w:r>
        <w:t>truth_layer_promotion=0; checkpoint=T2-RP-v0.18; next=T2-RP-v0.19.  (21.29)</w:t>
      </w:r>
    </w:p>
    <w:p>
      <w:pPr/>
      <w:r>
        <w:t>Глава 21 построила строгий временной интерфейс: нелинейная полугруппа или evolution family задаёт переход состояний; Koopman/Perron–Frobenius operators задают перенос наблюдаемых и мер; path-space carrier задаёт совместные траектории; Markov/Volterra kernels кодируют соответственно переход и память; non-anticipation отделяет причинно допустимое использование прошлого от утечки будущего. Ни один слой не заменяет остальные.</w:t>
      </w:r>
    </w:p>
    <w:p>
      <w:pPr>
        <w:pStyle w:val="Small"/>
      </w:pPr>
      <w:r>
        <w:t>Следующая сборка tom2_v0_19 развивает стохастические эволюции, Markov semigroups и их генераторы, martingale problems, stopping times, фильтрации, interventions и строгую границу между прогнозом, управлением и причинным выводом.</w:t>
      </w:r>
    </w:p>
    <w:p>
      <w:pPr>
        <w:pStyle w:val="Small"/>
      </w:pPr>
      <w:r>
        <w:t>checkpoint=T2-RP-v0.18; source=T2-RP-v0.17; truth_layer_promotion=0; next=T2-RP-v0.19.</w:t>
      </w:r>
    </w:p>
    <w:p>
      <w:r>
        <w:br w:type="page"/>
      </w:r>
    </w:p>
    <w:p>
      <w:pPr>
        <w:pStyle w:val="Heading1"/>
      </w:pPr>
      <w:r>
        <w:t>Глава 22. Стохастические эволюции, martingale problems, stopping times, управление и причинный вывод</w:t>
      </w:r>
    </w:p>
    <w:tbl>
      <w:tblPr>
        <w:tblStyle w:val="TableGrid"/>
        <w:tblW w:type="auto" w:w="0"/>
        <w:jc w:val="center"/>
        <w:tblLook w:firstColumn="1" w:firstRow="1" w:lastColumn="0" w:lastRow="0" w:noHBand="0" w:noVBand="1" w:val="04A0"/>
      </w:tblPr>
      <w:tblGrid>
        <w:gridCol w:w="4876"/>
        <w:gridCol w:w="4876"/>
      </w:tblGrid>
      <w:tr>
        <w:tc>
          <w:tcPr>
            <w:tcW w:type="dxa" w:w="2232"/>
            <w:shd w:fill="1f426b"/>
            <w:vAlign w:val="center"/>
            <w:tcMar>
              <w:top w:w="90" w:type="dxa"/>
              <w:start w:w="100" w:type="dxa"/>
              <w:bottom w:w="90" w:type="dxa"/>
              <w:end w:w="100" w:type="dxa"/>
            </w:tcMar>
          </w:tcPr>
          <w:p>
            <w:r>
              <w:rPr>
                <w:b/>
                <w:color w:val="FFFFFF"/>
              </w:rPr>
              <w:t>ОНТОЛОГИЯ</w:t>
            </w:r>
          </w:p>
        </w:tc>
        <w:tc>
          <w:tcPr>
            <w:tcW w:type="dxa" w:w="7416"/>
            <w:shd w:fill="f4f7fb"/>
            <w:vAlign w:val="center"/>
            <w:tcMar>
              <w:top w:w="90" w:type="dxa"/>
              <w:start w:w="100" w:type="dxa"/>
              <w:bottom w:w="90" w:type="dxa"/>
              <w:end w:w="100" w:type="dxa"/>
            </w:tcMar>
          </w:tcPr>
          <w:p>
            <w:r>
              <w:t>Стохастическая эволюция задаётся не одной траекторией, а законом на пространстве путей, фильтрацией и правилом условного перехода. Причинное вмешательство изменяет механизм порождения закона и потому не совпадает с условным наблюдением.</w:t>
            </w:r>
          </w:p>
        </w:tc>
      </w:tr>
      <w:tr>
        <w:tc>
          <w:tcPr>
            <w:tcW w:type="dxa" w:w="2232"/>
            <w:shd w:fill="244f79"/>
            <w:vAlign w:val="center"/>
            <w:tcMar>
              <w:top w:w="90" w:type="dxa"/>
              <w:start w:w="100" w:type="dxa"/>
              <w:bottom w:w="90" w:type="dxa"/>
              <w:end w:w="100" w:type="dxa"/>
            </w:tcMar>
          </w:tcPr>
          <w:p>
            <w:r>
              <w:rPr>
                <w:b/>
                <w:color w:val="FFFFFF"/>
              </w:rPr>
              <w:t>ГНОСЕОЛОГИЯ</w:t>
            </w:r>
          </w:p>
        </w:tc>
        <w:tc>
          <w:tcPr>
            <w:tcW w:type="dxa" w:w="7416"/>
            <w:shd w:fill="f4f7fb"/>
            <w:vAlign w:val="center"/>
            <w:tcMar>
              <w:top w:w="90" w:type="dxa"/>
              <w:start w:w="100" w:type="dxa"/>
              <w:bottom w:w="90" w:type="dxa"/>
              <w:end w:w="100" w:type="dxa"/>
            </w:tcMar>
          </w:tcPr>
          <w:p>
            <w:r>
              <w:t>Markov semigroup кодирует прогноз при фиксированном режиме; controlled law кодирует результат выбранной policy; intervention law требует структурных допущений. Эти три знания имеют разные основания и разные тесты.</w:t>
            </w:r>
          </w:p>
        </w:tc>
      </w:tr>
      <w:tr>
        <w:tc>
          <w:tcPr>
            <w:tcW w:type="dxa" w:w="2232"/>
            <w:shd w:fill="b2872f"/>
            <w:vAlign w:val="center"/>
            <w:tcMar>
              <w:top w:w="90" w:type="dxa"/>
              <w:start w:w="100" w:type="dxa"/>
              <w:bottom w:w="90" w:type="dxa"/>
              <w:end w:w="100" w:type="dxa"/>
            </w:tcMar>
          </w:tcPr>
          <w:p>
            <w:r>
              <w:rPr>
                <w:b/>
                <w:color w:val="FFFFFF"/>
              </w:rPr>
              <w:t>ФЕНОМЕНОЛОГИЯ</w:t>
            </w:r>
          </w:p>
        </w:tc>
        <w:tc>
          <w:tcPr>
            <w:tcW w:type="dxa" w:w="7416"/>
            <w:shd w:fill="f4f7fb"/>
            <w:vAlign w:val="center"/>
            <w:tcMar>
              <w:top w:w="90" w:type="dxa"/>
              <w:start w:w="100" w:type="dxa"/>
              <w:bottom w:w="90" w:type="dxa"/>
              <w:end w:w="100" w:type="dxa"/>
            </w:tcMar>
          </w:tcPr>
          <w:p>
            <w:r>
              <w:t>Случайность проявляется как множество возможных ветвей с весами. Остановка выбирает момент по уже раскрытой истории, а не по будущему. Управление меняет ветвление, но не превращает статистическую зависимость в причинный закон без идентификации.</w:t>
            </w:r>
          </w:p>
        </w:tc>
      </w:tr>
      <w:tr>
        <w:tc>
          <w:tcPr>
            <w:tcW w:type="dxa" w:w="2232"/>
            <w:shd w:fill="f4e6c3"/>
            <w:vAlign w:val="center"/>
            <w:tcMar>
              <w:top w:w="90" w:type="dxa"/>
              <w:start w:w="100" w:type="dxa"/>
              <w:bottom w:w="90" w:type="dxa"/>
              <w:end w:w="100" w:type="dxa"/>
            </w:tcMar>
          </w:tcPr>
          <w:p>
            <w:r>
              <w:rPr>
                <w:b/>
                <w:color w:val="5B3B00"/>
              </w:rPr>
              <w:t>ГРАНИЦА</w:t>
            </w:r>
          </w:p>
        </w:tc>
        <w:tc>
          <w:tcPr>
            <w:tcW w:type="dxa" w:w="7416"/>
            <w:shd w:fill="fff8e7"/>
            <w:vAlign w:val="center"/>
            <w:tcMar>
              <w:top w:w="90" w:type="dxa"/>
              <w:start w:w="100" w:type="dxa"/>
              <w:bottom w:w="90" w:type="dxa"/>
              <w:end w:w="100" w:type="dxa"/>
            </w:tcMar>
          </w:tcPr>
          <w:p>
            <w:r>
              <w:t>Ни martingale property, ни optional stopping, ни Girsanov change of measure, ни HJB-уравнение, ни λ=-1 не доказывают физическую причинность или неизбежность события. Все выводы действуют только в заявленном stochastic Dom.</w:t>
            </w:r>
          </w:p>
        </w:tc>
      </w:tr>
    </w:tbl>
    <w:p>
      <w:pPr>
        <w:pStyle w:val="Lead"/>
      </w:pPr>
      <w:r>
        <w:t>Статус главы: theorem/conditional/computational package. Глава добавляет стохастический и интервенционный интерфейс к временному carrier v0.18. Физические мосты, ПН.2 и F-1–F-14 статуса не меняют.</w:t>
      </w:r>
    </w:p>
    <w:p>
      <w:pPr>
        <w:pStyle w:val="Quote"/>
        <w:jc w:val="center"/>
      </w:pPr>
      <w:r>
        <w:t>truth_layer_promotion=0; source=T2-RP-v0.18; checkpoint=T2-RP-v0.19.  (22.1)</w:t>
      </w:r>
    </w:p>
    <w:p>
      <w:pPr>
        <w:pStyle w:val="Heading1"/>
      </w:pPr>
      <w:r>
        <w:t>293. Стохастический базис и usual conditions</w:t>
      </w:r>
    </w:p>
    <w:p>
      <w:pPr/>
      <w:r>
        <w:t>Определение 22.1. Стохастическим базисом называется пятёрка (Ω,𝔽,(𝔽_t)_{t∈T},P,N), где P — вероятностная мера, (𝔽_t) — возрастающая фильтрация, а N фиксирует класс P-нулевых множеств и convention завершения. Для непрерывного времени usual conditions означают полноту и правую непрерывность фильтрации.</w:t>
      </w:r>
    </w:p>
    <w:p>
      <w:pPr/>
      <w:r>
        <w:t>Процесс X_t считается адаптированным, если X_t измерим относительно 𝔽_t. Прогрессивная или предсказуемая измеримость требуется отдельно для стохастического интегрирования и admissible controls. Изменение фильтрации может изменить множество stopping times и допустимых стратегий, даже если конечномерные распределения X не меняются.</w:t>
      </w:r>
    </w:p>
    <w:p>
      <w:pPr>
        <w:pStyle w:val="Heading2"/>
      </w:pPr>
      <w:r>
        <w:t>Реестр стохастических типов</w:t>
      </w:r>
    </w:p>
    <w:tbl>
      <w:tblPr>
        <w:tblStyle w:val="TableGrid"/>
        <w:tblW w:type="auto" w:w="0"/>
        <w:jc w:val="center"/>
        <w:tblLook w:firstColumn="1" w:firstRow="1" w:lastColumn="0" w:lastRow="0" w:noHBand="0" w:noVBand="1" w:val="04A0"/>
      </w:tblPr>
      <w:tblGrid>
        <w:gridCol w:w="4876"/>
        <w:gridCol w:w="4876"/>
      </w:tblGrid>
      <w:tr>
        <w:trPr>
          <w:tblHeader w:val="true"/>
        </w:trPr>
        <w:tc>
          <w:tcPr>
            <w:tcW w:type="dxa" w:w="3168"/>
            <w:shd w:fill="1f426b"/>
            <w:tcMar>
              <w:top w:w="90" w:type="dxa"/>
              <w:start w:w="100" w:type="dxa"/>
              <w:bottom w:w="90" w:type="dxa"/>
              <w:end w:w="100" w:type="dxa"/>
            </w:tcMar>
          </w:tcPr>
          <w:p>
            <w:r>
              <w:rPr>
                <w:b/>
                <w:color w:val="FFFFFF"/>
              </w:rPr>
              <w:t>Объект</w:t>
            </w:r>
          </w:p>
        </w:tc>
        <w:tc>
          <w:tcPr>
            <w:tcW w:type="dxa" w:w="6480"/>
            <w:shd w:fill="1f426b"/>
            <w:tcMar>
              <w:top w:w="90" w:type="dxa"/>
              <w:start w:w="100" w:type="dxa"/>
              <w:bottom w:w="90" w:type="dxa"/>
              <w:end w:w="100" w:type="dxa"/>
            </w:tcMar>
          </w:tcPr>
          <w:p>
            <w:r>
              <w:rPr>
                <w:b/>
                <w:color w:val="FFFFFF"/>
              </w:rPr>
              <w:t>Строгая роль и ограничение</w:t>
            </w:r>
          </w:p>
        </w:tc>
      </w:tr>
      <w:tr>
        <w:tc>
          <w:tcPr>
            <w:tcW w:type="dxa" w:w="3168"/>
            <w:tcMar>
              <w:top w:w="90" w:type="dxa"/>
              <w:start w:w="100" w:type="dxa"/>
              <w:bottom w:w="90" w:type="dxa"/>
              <w:end w:w="100" w:type="dxa"/>
            </w:tcMar>
            <w:vAlign w:val="center"/>
          </w:tcPr>
          <w:p>
            <w:r>
              <w:t>Ω,𝔽,P</w:t>
            </w:r>
          </w:p>
        </w:tc>
        <w:tc>
          <w:tcPr>
            <w:tcW w:type="dxa" w:w="6480"/>
            <w:tcMar>
              <w:top w:w="90" w:type="dxa"/>
              <w:start w:w="100" w:type="dxa"/>
              <w:bottom w:w="90" w:type="dxa"/>
              <w:end w:w="100" w:type="dxa"/>
            </w:tcMar>
            <w:vAlign w:val="center"/>
          </w:tcPr>
          <w:p>
            <w:r>
              <w:t>Пространство исходов и наблюдательный закон; не совпадает с intervention law.</w:t>
            </w:r>
          </w:p>
        </w:tc>
      </w:tr>
      <w:tr>
        <w:tc>
          <w:tcPr>
            <w:tcW w:type="dxa" w:w="3168"/>
            <w:tcMar>
              <w:top w:w="90" w:type="dxa"/>
              <w:start w:w="100" w:type="dxa"/>
              <w:bottom w:w="90" w:type="dxa"/>
              <w:end w:w="100" w:type="dxa"/>
            </w:tcMar>
            <w:vAlign w:val="center"/>
          </w:tcPr>
          <w:p>
            <w:r>
              <w:t>(𝔽_t)</w:t>
            </w:r>
          </w:p>
        </w:tc>
        <w:tc>
          <w:tcPr>
            <w:tcW w:type="dxa" w:w="6480"/>
            <w:tcMar>
              <w:top w:w="90" w:type="dxa"/>
              <w:start w:w="100" w:type="dxa"/>
              <w:bottom w:w="90" w:type="dxa"/>
              <w:end w:w="100" w:type="dxa"/>
            </w:tcMar>
            <w:vAlign w:val="center"/>
          </w:tcPr>
          <w:p>
            <w:r>
              <w:t>Информационный поток; обязан исключать future leakage.</w:t>
            </w:r>
          </w:p>
        </w:tc>
      </w:tr>
      <w:tr>
        <w:tc>
          <w:tcPr>
            <w:tcW w:type="dxa" w:w="3168"/>
            <w:tcMar>
              <w:top w:w="90" w:type="dxa"/>
              <w:start w:w="100" w:type="dxa"/>
              <w:bottom w:w="90" w:type="dxa"/>
              <w:end w:w="100" w:type="dxa"/>
            </w:tcMar>
            <w:vAlign w:val="center"/>
          </w:tcPr>
          <w:p>
            <w:r>
              <w:t>X_t</w:t>
            </w:r>
          </w:p>
        </w:tc>
        <w:tc>
          <w:tcPr>
            <w:tcW w:type="dxa" w:w="6480"/>
            <w:tcMar>
              <w:top w:w="90" w:type="dxa"/>
              <w:start w:w="100" w:type="dxa"/>
              <w:bottom w:w="90" w:type="dxa"/>
              <w:end w:w="100" w:type="dxa"/>
            </w:tcMar>
            <w:vAlign w:val="center"/>
          </w:tcPr>
          <w:p>
            <w:r>
              <w:t>State process; его закон не определяет единственную структурную модель.</w:t>
            </w:r>
          </w:p>
        </w:tc>
      </w:tr>
      <w:tr>
        <w:tc>
          <w:tcPr>
            <w:tcW w:type="dxa" w:w="3168"/>
            <w:tcMar>
              <w:top w:w="90" w:type="dxa"/>
              <w:start w:w="100" w:type="dxa"/>
              <w:bottom w:w="90" w:type="dxa"/>
              <w:end w:w="100" w:type="dxa"/>
            </w:tcMar>
            <w:vAlign w:val="center"/>
          </w:tcPr>
          <w:p>
            <w:r>
              <w:t>τ</w:t>
            </w:r>
          </w:p>
        </w:tc>
        <w:tc>
          <w:tcPr>
            <w:tcW w:type="dxa" w:w="6480"/>
            <w:tcMar>
              <w:top w:w="90" w:type="dxa"/>
              <w:start w:w="100" w:type="dxa"/>
              <w:bottom w:w="90" w:type="dxa"/>
              <w:end w:w="100" w:type="dxa"/>
            </w:tcMar>
            <w:vAlign w:val="center"/>
          </w:tcPr>
          <w:p>
            <w:r>
              <w:t>Stopping time, если {τ≤t}∈𝔽_t для всех t.</w:t>
            </w:r>
          </w:p>
        </w:tc>
      </w:tr>
      <w:tr>
        <w:tc>
          <w:tcPr>
            <w:tcW w:type="dxa" w:w="3168"/>
            <w:tcMar>
              <w:top w:w="90" w:type="dxa"/>
              <w:start w:w="100" w:type="dxa"/>
              <w:bottom w:w="90" w:type="dxa"/>
              <w:end w:w="100" w:type="dxa"/>
            </w:tcMar>
            <w:vAlign w:val="center"/>
          </w:tcPr>
          <w:p>
            <w:r>
              <w:t>π или a_t</w:t>
            </w:r>
          </w:p>
        </w:tc>
        <w:tc>
          <w:tcPr>
            <w:tcW w:type="dxa" w:w="6480"/>
            <w:tcMar>
              <w:top w:w="90" w:type="dxa"/>
              <w:start w:w="100" w:type="dxa"/>
              <w:bottom w:w="90" w:type="dxa"/>
              <w:end w:w="100" w:type="dxa"/>
            </w:tcMar>
            <w:vAlign w:val="center"/>
          </w:tcPr>
          <w:p>
            <w:r>
              <w:t>Policy/control; допустимость проверяется относительно фильтрации и Dom.</w:t>
            </w:r>
          </w:p>
        </w:tc>
      </w:tr>
      <w:tr>
        <w:tc>
          <w:tcPr>
            <w:tcW w:type="dxa" w:w="3168"/>
            <w:tcMar>
              <w:top w:w="90" w:type="dxa"/>
              <w:start w:w="100" w:type="dxa"/>
              <w:bottom w:w="90" w:type="dxa"/>
              <w:end w:w="100" w:type="dxa"/>
            </w:tcMar>
            <w:vAlign w:val="center"/>
          </w:tcPr>
          <w:p>
            <w:r>
              <w:t>D/Dom</w:t>
            </w:r>
          </w:p>
        </w:tc>
        <w:tc>
          <w:tcPr>
            <w:tcW w:type="dxa" w:w="6480"/>
            <w:tcMar>
              <w:top w:w="90" w:type="dxa"/>
              <w:start w:w="100" w:type="dxa"/>
              <w:bottom w:w="90" w:type="dxa"/>
              <w:end w:w="100" w:type="dxa"/>
            </w:tcMar>
            <w:vAlign w:val="center"/>
          </w:tcPr>
          <w:p>
            <w:r>
              <w:t>Provenance, режим применимости, версия генератора, данные и ограничения внешнего вывода.</w:t>
            </w:r>
          </w:p>
        </w:tc>
      </w:tr>
    </w:tbl>
    <w:p>
      <w:pPr>
        <w:pStyle w:val="Heading1"/>
      </w:pPr>
      <w:r>
        <w:t>294. Markov kernels и Markov semigroup</w:t>
      </w:r>
    </w:p>
    <w:p>
      <w:pPr/>
      <w:r>
        <w:t>Пусть E — стандартное борелевское пространство. Переходная функция p_t(x,B) задаёт Markov semigroup на ограниченных измеримых функциях:</w:t>
      </w:r>
    </w:p>
    <w:p>
      <w:pPr>
        <w:pStyle w:val="Quote"/>
        <w:jc w:val="center"/>
      </w:pPr>
      <w:r>
        <w:t>(P_t f)(x)=∫_E f(y)p_t(x,dy)=E_x[f(X_t)].  (22.2)</w:t>
      </w:r>
    </w:p>
    <w:p>
      <w:pPr/>
      <w:r>
        <w:t>Условия P_0=I, P_{t+s}=P_tP_s, positivity и P_t1=1 описывают консервативный Markov semigroup. Субмарковский режим допускает P_t1≤1 и интерпретирует потерю массы как killing или выход из рассматриваемого carrier.</w:t>
      </w:r>
    </w:p>
    <w:p>
      <w:pPr/>
      <w:r>
        <w:t>Семигрупповое свойство является прогнозным законом внутри фиксированного режима. Оно не определяет intervention distribution и не гарантирует, что наблюдаемый процесс остаётся Markov после укрупнения или скрытия состояния.</w:t>
      </w:r>
    </w:p>
    <w:p>
      <w:pPr>
        <w:pStyle w:val="Heading1"/>
      </w:pPr>
      <w:r>
        <w:t>295. Feller-сектор, генератор и положительный максимум</w:t>
      </w:r>
    </w:p>
    <w:p>
      <w:pPr/>
      <w:r>
        <w:t>На локально компактном E Feller semigroup действует на C_0(E), является сильно непрерывным, положительным и сохраняет или не увеличивает единицу в соответствующем режиме. Генератор задаётся только на своей области:</w:t>
      </w:r>
    </w:p>
    <w:p>
      <w:pPr>
        <w:pStyle w:val="Quote"/>
        <w:jc w:val="center"/>
      </w:pPr>
      <w:r>
        <w:t>Lf = lim_{t↓0}(P_t f-f)/t,    f∈Dom(L).  (22.3)</w:t>
      </w:r>
    </w:p>
    <w:p>
      <w:pPr/>
      <w:r>
        <w:t>Замыкание графа L, core и positive maximum principle являются частью сертификата. Одна дифференциальная формула без Dom(L) не определяет Markov process. Различные граничные реализации одного формального оператора могут порождать отражение, поглощение, sticky boundary или отсутствие консервативности.</w:t>
      </w:r>
    </w:p>
    <w:p>
      <w:pPr>
        <w:pStyle w:val="Heading1"/>
      </w:pPr>
      <w:r>
        <w:t>296. Резольвента и уравнения Колмогорова</w:t>
      </w:r>
    </w:p>
    <w:p>
      <w:pPr/>
      <w:r>
        <w:t>Для α&gt;0 резольвента Markov semigroup определяется как</w:t>
      </w:r>
    </w:p>
    <w:p>
      <w:pPr>
        <w:pStyle w:val="Quote"/>
        <w:jc w:val="center"/>
      </w:pPr>
      <w:r>
        <w:t>R_α f = ∫_0^∞ e^{-αt}P_t f dt.  (22.4)</w:t>
      </w:r>
    </w:p>
    <w:p>
      <w:pPr/>
      <w:r>
        <w:t>На корректной области выполняются (αI-L)R_αf=f и R_α(αI-L)g=g. Backward equation ∂_tP_tf=LP_tf и forward equation для мер или плотностей требуют дополнительных domain/regularity assumptions. Их нельзя записывать как тождество для произвольного f только потому, что символ L уже появился на странице.</w:t>
      </w:r>
    </w:p>
    <w:p>
      <w:pPr>
        <w:jc w:val="center"/>
      </w:pPr>
      <w:r>
        <w:drawing>
          <wp:inline xmlns:a="http://schemas.openxmlformats.org/drawingml/2006/main" xmlns:pic="http://schemas.openxmlformats.org/drawingml/2006/picture">
            <wp:extent cx="6126480" cy="3577688"/>
            <wp:docPr id="58" name="Picture 58"/>
            <wp:cNvGraphicFramePr>
              <a:graphicFrameLocks noChangeAspect="1"/>
            </wp:cNvGraphicFramePr>
            <a:graphic>
              <a:graphicData uri="http://schemas.openxmlformats.org/drawingml/2006/picture">
                <pic:pic>
                  <pic:nvPicPr>
                    <pic:cNvPr id="0" name="fig22_1.png"/>
                    <pic:cNvPicPr/>
                  </pic:nvPicPr>
                  <pic:blipFill>
                    <a:blip r:embed="rId95"/>
                    <a:stretch>
                      <a:fillRect/>
                    </a:stretch>
                  </pic:blipFill>
                  <pic:spPr>
                    <a:xfrm>
                      <a:off x="0" y="0"/>
                      <a:ext cx="6126480" cy="3577688"/>
                    </a:xfrm>
                    <a:prstGeom prst="rect"/>
                  </pic:spPr>
                </pic:pic>
              </a:graphicData>
            </a:graphic>
          </wp:inline>
        </w:drawing>
      </w:r>
    </w:p>
    <w:p>
      <w:pPr>
        <w:pStyle w:val="Caption"/>
        <w:jc w:val="center"/>
      </w:pPr>
      <w:r>
        <w:t>Рисунок 22.1. Треугольник Markov semigroup - generator - martingale problem. Собственная схема Тома II.</w:t>
      </w:r>
    </w:p>
    <w:p>
      <w:pPr>
        <w:pStyle w:val="Heading1"/>
      </w:pPr>
      <w:r>
        <w:t>297. Martingale problem Струка–Варадхана</w:t>
      </w:r>
    </w:p>
    <w:p>
      <w:pPr/>
      <w:r>
        <w:t>Для оператора (L,𝒟) закон Q на path space решает martingale problem с начальным законом ν, если X_0∼ν и для каждого f∈𝒟 процесс</w:t>
      </w:r>
    </w:p>
    <w:p>
      <w:pPr>
        <w:pStyle w:val="Quote"/>
        <w:jc w:val="center"/>
      </w:pPr>
      <w:r>
        <w:t>M_t^f = f(X_t)-f(X_0)-∫_0^t Lf(X_s)ds  (22.5)</w:t>
      </w:r>
    </w:p>
    <w:p>
      <w:pPr/>
      <w:r>
        <w:t>является Q-мартингалом относительно канонической фильтрации. Существование означает, что хотя бы один закон удовлетворяет условиям. Единственность означает uniqueness in law. Well-posedness по всем начальным точкам при стандартных гипотезах порождает Markov family и strong Markov property.</w:t>
      </w:r>
    </w:p>
    <w:p>
      <w:pPr/>
      <w:r>
        <w:t>Домен 𝒟 должен быть достаточно богат, чтобы различать законы. Совпадение (22.5) на малом тестовом классе может не идентифицировать процесс.</w:t>
      </w:r>
    </w:p>
    <w:p>
      <w:pPr>
        <w:pStyle w:val="Heading1"/>
      </w:pPr>
      <w:r>
        <w:t>298. Existence, uniqueness и strong Markov firewall</w:t>
      </w:r>
    </w:p>
    <w:p>
      <w:pPr/>
      <w:r>
        <w:t>Строго различаются: existence of a solution, uniqueness in law, pathwise uniqueness, strong existence и strong Markov property. Эти утверждения связаны теоремами только при собственных гипотезах. В частности, единственность martingale problem относится к закону пути, а не к единственности траектории для фиксированного шума.</w:t>
      </w:r>
    </w:p>
    <w:p>
      <w:pPr/>
      <w:r>
        <w:t>Теорема 22.1 (well-posed martingale problem, стандартный вывод). [THM/prior art] Если martingale problem для (L,𝒟) well posed для каждого x и семейство решений измеримо по x, то канонические законы образуют strong Markov family. NAPG-экспорт требует дополнительно сохранения admissible sector, D/Dom и реперного atlas.</w:t>
      </w:r>
    </w:p>
    <w:p>
      <w:pPr>
        <w:pStyle w:val="Heading1"/>
      </w:pPr>
      <w:r>
        <w:t>299. Диффузионный генератор и стохастическое дифференциальное уравнение</w:t>
      </w:r>
    </w:p>
    <w:p>
      <w:pPr/>
      <w:r>
        <w:t>Для SDE в R^d</w:t>
      </w:r>
    </w:p>
    <w:p>
      <w:pPr>
        <w:pStyle w:val="Quote"/>
        <w:jc w:val="center"/>
      </w:pPr>
      <w:r>
        <w:t>dX_t=b(t,X_t)dt+σ(t,X_t)dW_t  (22.6)</w:t>
      </w:r>
    </w:p>
    <w:p>
      <w:pPr/>
      <w:r>
        <w:t>формальный генератор на гладких f имеет вид</w:t>
      </w:r>
    </w:p>
    <w:p>
      <w:pPr>
        <w:pStyle w:val="Quote"/>
        <w:jc w:val="center"/>
      </w:pPr>
      <w:r>
        <w:t>L_t f(x)=b(t,x)·∇f(x)+(1/2)Tr(a(t,x)∇²f(x)),    a=σσᵀ.  (22.7)</w:t>
      </w:r>
    </w:p>
    <w:p>
      <w:pPr/>
      <w:r>
        <w:t>Формула (22.7) становится генератором только после доказательства существования процесса и спецификации области. Разные квадратные корни σ одной матрицы a дают один diffusion generator, но могут различаться как strong representations на фиксированном Wiener space.</w:t>
      </w:r>
    </w:p>
    <w:p>
      <w:pPr>
        <w:pStyle w:val="Heading1"/>
      </w:pPr>
      <w:r>
        <w:t>300. Weak/strong solutions и иерархия единственности</w:t>
      </w:r>
    </w:p>
    <w:p>
      <w:pPr/>
      <w:r>
        <w:t>Weak solution допускает выбор вероятностного пространства и Brownian motion; strong solution строится как измеримый функционал заданного шума и начального состояния. Pathwise uniqueness сравнивает решения на одном базисе, uniqueness in law — распределения на path space. Yamada–Watanabe-type implications не переносятся на общую NAPG автоматически.</w:t>
      </w:r>
    </w:p>
    <w:p>
      <w:pPr/>
      <w:r>
        <w:t>Предсказательному методу достаточно uniqueness in law для однозначной прогнозной меры, но алгоритму управляемого воспроизведения может потребоваться strong solution. Эти требования не взаимозаменяемы.</w:t>
      </w:r>
    </w:p>
    <w:p>
      <w:pPr>
        <w:pStyle w:val="Heading1"/>
      </w:pPr>
      <w:r>
        <w:t>301. Girsanov transform и запрет подмены вмешательства</w:t>
      </w:r>
    </w:p>
    <w:p>
      <w:pPr/>
      <w:r>
        <w:t>При выполнении условий интегрируемости экспоненциальная плотность</w:t>
      </w:r>
    </w:p>
    <w:p>
      <w:pPr>
        <w:pStyle w:val="Quote"/>
        <w:jc w:val="center"/>
      </w:pPr>
      <w:r>
        <w:t>Z_t=exp(∫_0^t θ_s·dW_s-(1/2)∫_0^t||θ_s||²ds)  (22.8)</w:t>
      </w:r>
    </w:p>
    <w:p>
      <w:pPr/>
      <w:r>
        <w:t>может задавать эквивалентную замену меры dQ=Z_TdP и сдвиг дрейфа Brownian motion. Novikov/Kazamaki-type conditions и uniform integrability проверяются отдельно.</w:t>
      </w:r>
    </w:p>
    <w:p>
      <w:pPr/>
      <w:r>
        <w:t>Теорема 22.2 (measure-change no-intervention). [THM] Абсолютно непрерывная замена меры сама по себе не задаёт causal intervention. Она переоценивает веса тех же траекторий и сохраняет P-нулевые множества при эквивалентности, тогда как intervention может изменить structural equations, support и допустимые пути.</w:t>
      </w:r>
    </w:p>
    <w:p>
      <w:pPr>
        <w:pStyle w:val="Heading1"/>
      </w:pPr>
      <w:r>
        <w:t>302. Stopping times и остановленный процесс</w:t>
      </w:r>
    </w:p>
    <w:p>
      <w:pPr/>
      <w:r>
        <w:t>Stopping time τ удовлетворяет {τ≤t}∈𝔽_t. Остановленный процесс X_{t∧τ} использует только информацию, раскрытую к моменту t. Hitting time замкнутого или открытого множества требует проверяемых регулярностных условий для измеримости и предсказуемости.</w:t>
      </w:r>
    </w:p>
    <w:p>
      <w:pPr>
        <w:pStyle w:val="Quote"/>
        <w:jc w:val="center"/>
      </w:pPr>
      <w:r>
        <w:t>τ_A = inf{t≥t_0 : X_t∈A}.  (22.9)</w:t>
      </w:r>
    </w:p>
    <w:p>
      <w:pPr/>
      <w:r>
        <w:t>В KLT-RBD stopping rule фиксируется до раскрытия будущих данных. Правило, выбирающее “лучший момент” после просмотра всей траектории, не является stopping time и создаёт постселекционный блокер.</w:t>
      </w:r>
    </w:p>
    <w:p>
      <w:pPr>
        <w:pStyle w:val="Heading1"/>
      </w:pPr>
      <w:r>
        <w:t>303. Optional sampling: точная область применимости</w:t>
      </w:r>
    </w:p>
    <w:p>
      <w:pPr/>
      <w:r>
        <w:t>Для мартингала M и bounded stopping times σ≤τ выполняется E[M_τ|𝔽_σ]=M_σ. Для неограниченных времён нужны дополнительные условия: uniform integrability, bounded increments совместно с интегрируемым временем, либо иная теорема, явно указанная в сертификате.</w:t>
      </w:r>
    </w:p>
    <w:p>
      <w:pPr/>
      <w:r>
        <w:t>Остановка не превращает любой мартингал в unbiased estimator автоматически. Optional sampling-safe inference требует отдельного доказательства интегрируемости и класса stopping rules.</w:t>
      </w:r>
    </w:p>
    <w:p>
      <w:pPr>
        <w:pStyle w:val="Heading1"/>
      </w:pPr>
      <w:r>
        <w:t>304. Контрпример к наивной optional stopping</w:t>
      </w:r>
    </w:p>
    <w:p>
      <w:pPr/>
      <w:r>
        <w:t>Пусть S_n — простой симметричный случайный блуждающий мартингал, S_0=0, и τ=inf{n≥0:S_n=1}. Тогда τ&lt;∞ почти наверное и S_τ=1, поэтому E[S_τ]=1≠0=E[S_0]. Противоречия нет: Eτ=∞ и стандартные условия optional stopping не выполнены.</w:t>
      </w:r>
    </w:p>
    <w:p>
      <w:pPr/>
      <w:r>
        <w:t>Следовательно, формула “мартингал + stopping time = сохранение среднего” ложна без domain assumptions. В предсказательном протоколе это отдельный blocker B_OS.</w:t>
      </w:r>
    </w:p>
    <w:p>
      <w:pPr>
        <w:pStyle w:val="Heading1"/>
      </w:pPr>
      <w:r>
        <w:t>305. Hitting probabilities и first-passage prediction</w:t>
      </w:r>
    </w:p>
    <w:p>
      <w:pPr/>
      <w:r>
        <w:t>Прогноз наступления события A на горизонте T задаётся не одной датой, а величиной</w:t>
      </w:r>
    </w:p>
    <w:p>
      <w:pPr>
        <w:pStyle w:val="Quote"/>
        <w:jc w:val="center"/>
      </w:pPr>
      <w:r>
        <w:t>p_A(T,x)=P_x(τ_A≤T).  (22.10)</w:t>
      </w:r>
    </w:p>
    <w:p>
      <w:pPr/>
      <w:r>
        <w:t>Для регулярных диффузий p_A может удовлетворять backward boundary-value problem. Решение PDE требует boundary conditions, uniqueness class и соответствия martingale problem. Численное значение p_A является вероятностью внутри модели, а не доказательством того, что реальный объект подчиняется этой модели.</w:t>
      </w:r>
    </w:p>
    <w:p>
      <w:pPr>
        <w:pStyle w:val="Heading1"/>
      </w:pPr>
      <w:r>
        <w:t>306. Стохастический барьерный сертификат</w:t>
      </w:r>
    </w:p>
    <w:p>
      <w:pPr/>
      <w:r>
        <w:t>Теорема 22.3 (finite-horizon barrier bound). [THM] Пусть V:[0,T]×E→[0,∞) достаточно регулярно, V(t,x)≥1 на target A, и для остановленного процесса до τ_A выполняется</w:t>
      </w:r>
    </w:p>
    <w:p>
      <w:pPr>
        <w:pStyle w:val="Quote"/>
        <w:jc w:val="center"/>
      </w:pPr>
      <w:r>
        <w:t>(∂_t+L_t)V(t,x)≤0    на [0,T]×(E\A).  (22.11)</w:t>
      </w:r>
    </w:p>
    <w:p>
      <w:pPr/>
      <w:r>
        <w:t>Тогда при допустимости Dynkin/optional sampling</w:t>
      </w:r>
    </w:p>
    <w:p>
      <w:pPr>
        <w:pStyle w:val="Quote"/>
        <w:jc w:val="center"/>
      </w:pPr>
      <w:r>
        <w:t>P_{x_0}(τ_A≤T)≤V(0,x_0).  (22.12)</w:t>
      </w:r>
    </w:p>
    <w:p>
      <w:pPr/>
      <w:r>
        <w:t>Доказательство. Процесс V(t∧τ_A,X_{t∧τ_A}) является супермартингалом; на событии {τ_A≤T} его значение не меньше 1. Применение Markov inequality и optional sampling даёт (22.12).</w:t>
      </w:r>
    </w:p>
    <w:p>
      <w:pPr/>
      <w:r>
        <w:t>Если V(0,x_0)=0, получаем точный вывод NO-HIT-IN-MODEL. Если 0&lt;V(0,x_0)=α&lt;1, получаем только риск-границу p_A≤α.</w:t>
      </w:r>
    </w:p>
    <w:p>
      <w:pPr>
        <w:jc w:val="center"/>
      </w:pPr>
      <w:r>
        <w:drawing>
          <wp:inline xmlns:a="http://schemas.openxmlformats.org/drawingml/2006/main" xmlns:pic="http://schemas.openxmlformats.org/drawingml/2006/picture">
            <wp:extent cx="6126480" cy="3701818"/>
            <wp:docPr id="59" name="Picture 59"/>
            <wp:cNvGraphicFramePr>
              <a:graphicFrameLocks noChangeAspect="1"/>
            </wp:cNvGraphicFramePr>
            <a:graphic>
              <a:graphicData uri="http://schemas.openxmlformats.org/drawingml/2006/picture">
                <pic:pic>
                  <pic:nvPicPr>
                    <pic:cNvPr id="0" name="fig22_2.png"/>
                    <pic:cNvPicPr/>
                  </pic:nvPicPr>
                  <pic:blipFill>
                    <a:blip r:embed="rId96"/>
                    <a:stretch>
                      <a:fillRect/>
                    </a:stretch>
                  </pic:blipFill>
                  <pic:spPr>
                    <a:xfrm>
                      <a:off x="0" y="0"/>
                      <a:ext cx="6126480" cy="3701818"/>
                    </a:xfrm>
                    <a:prstGeom prst="rect"/>
                  </pic:spPr>
                </pic:pic>
              </a:graphicData>
            </a:graphic>
          </wp:inline>
        </w:drawing>
      </w:r>
    </w:p>
    <w:p>
      <w:pPr>
        <w:pStyle w:val="Caption"/>
        <w:jc w:val="center"/>
      </w:pPr>
      <w:r>
        <w:t>Рисунок 22.2. Stopping-time и барьерный сертификат вероятности попадания. Собственная схема Тома II.</w:t>
      </w:r>
    </w:p>
    <w:p>
      <w:pPr>
        <w:pStyle w:val="Heading1"/>
      </w:pPr>
      <w:r>
        <w:t>307. Робастный барьер для всех допустимых управлений</w:t>
      </w:r>
    </w:p>
    <w:p>
      <w:pPr/>
      <w:r>
        <w:t>Пусть admissible control a_t∈A(t,X_t) изменяет генератор на L_t^a. Если</w:t>
      </w:r>
    </w:p>
    <w:p>
      <w:pPr>
        <w:pStyle w:val="Quote"/>
        <w:jc w:val="center"/>
      </w:pPr>
      <w:r>
        <w:t>sup_{a∈A(t,x)} (∂_t+L_t^a)V(t,x)≤0,  (22.13)</w:t>
      </w:r>
    </w:p>
    <w:p>
      <w:pPr/>
      <w:r>
        <w:t>то оценка (22.12) действует равномерно по всем допустимым policies. Это сильный отрицательный прогноз: даже активное управление из заявленного класса не может увеличить вероятность попадания выше V(0,x_0).</w:t>
      </w:r>
    </w:p>
    <w:p>
      <w:pPr/>
      <w:r>
        <w:t>Универсальность относится только к перечисленному классу controls. Неучтённое вмешательство, выход из Dom или изменение state space отменяют сертификат.</w:t>
      </w:r>
    </w:p>
    <w:p>
      <w:pPr>
        <w:pStyle w:val="Heading1"/>
      </w:pPr>
      <w:r>
        <w:t>308. Controlled Markov family и policy law</w:t>
      </w:r>
    </w:p>
    <w:p>
      <w:pPr/>
      <w:r>
        <w:t>Управляемая динамика задаётся controlled kernel K^a, controlled generator L^a или relaxed control. Policy π должна быть measurable/non-anticipative и сохранять admissibility. Ей соответствует собственный закон P^π на path space.</w:t>
      </w:r>
    </w:p>
    <w:p>
      <w:pPr>
        <w:pStyle w:val="Quote"/>
        <w:jc w:val="center"/>
      </w:pPr>
      <w:r>
        <w:t>J(π;x)=E_x^π[∫_0^T c(t,X_t,a_t)dt+g(X_T)].  (22.14)</w:t>
      </w:r>
    </w:p>
    <w:p>
      <w:pPr/>
      <w:r>
        <w:t>Оптимизация J меняет режим закона. Поэтому прогноз P и управляемый прогноз P^π являются разными объектами, даже если используют один state carrier.</w:t>
      </w:r>
    </w:p>
    <w:p>
      <w:pPr>
        <w:pStyle w:val="Heading1"/>
      </w:pPr>
      <w:r>
        <w:t>309. Dynamic programming и HJB-слой</w:t>
      </w:r>
    </w:p>
    <w:p>
      <w:pPr/>
      <w:r>
        <w:t>При выполнении dynamic programming principle value function V^*(t,x)=inf_πJ_{t,x}(π) формально удовлетворяет HJB-уравнению</w:t>
      </w:r>
    </w:p>
    <w:p>
      <w:pPr>
        <w:pStyle w:val="Quote"/>
        <w:jc w:val="center"/>
      </w:pPr>
      <w:r>
        <w:t>∂_tV^*+inf_{a∈A}{L^aV^*+c(t,x,a)}=0,    V^*(T,x)=g(x).  (22.15)</w:t>
      </w:r>
    </w:p>
    <w:p>
      <w:pPr/>
      <w:r>
        <w:t>Классическое, viscosity или weak solution различаются. HJB уравнение не доказывает существование оптимальной policy без measurable selection, compactness/coercivity и verification theorem. Управление минимизирует выбранный критерий, но не устанавливает причинный эффект вне структурной модели.</w:t>
      </w:r>
    </w:p>
    <w:p>
      <w:pPr>
        <w:pStyle w:val="Heading1"/>
      </w:pPr>
      <w:r>
        <w:t>310. Прогноз, управление и вмешательство: три разных закона</w:t>
      </w:r>
    </w:p>
    <w:p>
      <w:pPr/>
      <w:r>
        <w:t>Вводятся три carriers:</w:t>
      </w:r>
    </w:p>
    <w:p>
      <w:pPr>
        <w:pStyle w:val="ListBullet"/>
      </w:pPr>
      <w:r>
        <w:t>наблюдательный прогноз: P(Y_{t+h}∈B | 𝔽_t);</w:t>
      </w:r>
    </w:p>
    <w:p>
      <w:pPr>
        <w:pStyle w:val="ListBullet"/>
      </w:pPr>
      <w:r>
        <w:t>управляемый закон: P^π(Y_{t+h}∈B | 𝔽_t) для допустимой policy π;</w:t>
      </w:r>
    </w:p>
    <w:p>
      <w:pPr>
        <w:pStyle w:val="ListBullet"/>
      </w:pPr>
      <w:r>
        <w:t>интервенционный закон: P(Y_{t+h}∈B | do(A=a)), полученный из структурной модели или рандомизированного дизайна.</w:t>
      </w:r>
    </w:p>
    <w:p>
      <w:pPr/>
      <w:r>
        <w:t>Совпадение этих законов является теоремой только при специально доказанных условиях. В общем случае они различны.</w:t>
      </w:r>
    </w:p>
    <w:p>
      <w:pPr>
        <w:jc w:val="center"/>
      </w:pPr>
      <w:r>
        <w:drawing>
          <wp:inline xmlns:a="http://schemas.openxmlformats.org/drawingml/2006/main" xmlns:pic="http://schemas.openxmlformats.org/drawingml/2006/picture">
            <wp:extent cx="6126480" cy="3950267"/>
            <wp:docPr id="60" name="Picture 60"/>
            <wp:cNvGraphicFramePr>
              <a:graphicFrameLocks noChangeAspect="1"/>
            </wp:cNvGraphicFramePr>
            <a:graphic>
              <a:graphicData uri="http://schemas.openxmlformats.org/drawingml/2006/picture">
                <pic:pic>
                  <pic:nvPicPr>
                    <pic:cNvPr id="0" name="fig22_3.png"/>
                    <pic:cNvPicPr/>
                  </pic:nvPicPr>
                  <pic:blipFill>
                    <a:blip r:embed="rId97"/>
                    <a:stretch>
                      <a:fillRect/>
                    </a:stretch>
                  </pic:blipFill>
                  <pic:spPr>
                    <a:xfrm>
                      <a:off x="0" y="0"/>
                      <a:ext cx="6126480" cy="3950267"/>
                    </a:xfrm>
                    <a:prstGeom prst="rect"/>
                  </pic:spPr>
                </pic:pic>
              </a:graphicData>
            </a:graphic>
          </wp:inline>
        </w:drawing>
      </w:r>
    </w:p>
    <w:p>
      <w:pPr>
        <w:pStyle w:val="Caption"/>
        <w:jc w:val="center"/>
      </w:pPr>
      <w:r>
        <w:t>Рисунок 22.3. Forecast-control-intervention firewall. Собственная схема Тома II.</w:t>
      </w:r>
    </w:p>
    <w:p>
      <w:pPr>
        <w:pStyle w:val="Heading1"/>
      </w:pPr>
      <w:r>
        <w:t>311. Наблюдательный Markov law не идентифицирует intervention law</w:t>
      </w:r>
    </w:p>
    <w:p>
      <w:pPr/>
      <w:r>
        <w:t>Теорема 22.4 (observational-interventional non-identifiability). [THM] Существуют две структурные модели с одинаковым наблюдательным распределением (X,Y), но различными законами Y при do(X=x).</w:t>
      </w:r>
    </w:p>
    <w:p>
      <w:pPr/>
      <w:r>
        <w:t>Модель A: U∼Bernoulli(1/2), X=U, Y=X. Тогда наблюдательно Y=X и do(X=x) даёт Y=x. Модель B: U∼Bernoulli(1/2), X=U, Y=U. Наблюдательно снова Y=X, но do(X=x) не меняет Y, поэтому Y∼Bernoulli(1/2).</w:t>
      </w:r>
    </w:p>
    <w:p>
      <w:pPr/>
      <w:r>
        <w:t>Следовательно, даже точное знание observational transition kernel не определяет causal response без structural assumptions или интервенционных данных.</w:t>
      </w:r>
    </w:p>
    <w:p>
      <w:pPr>
        <w:pStyle w:val="Heading1"/>
      </w:pPr>
      <w:r>
        <w:t>312. Structural causal kernel и do-оператор</w:t>
      </w:r>
    </w:p>
    <w:p>
      <w:pPr/>
      <w:r>
        <w:t>Для динамической структурной модели вводятся механизмы</w:t>
      </w:r>
    </w:p>
    <w:p>
      <w:pPr>
        <w:pStyle w:val="Quote"/>
        <w:jc w:val="center"/>
      </w:pPr>
      <w:r>
        <w:t>X_{t+1}=F_t(X_{≤t},A_t,U_{t+1}),    Y_t=G_t(X_{≤t},U_t).  (22.16)</w:t>
      </w:r>
    </w:p>
    <w:p>
      <w:pPr/>
      <w:r>
        <w:t>Операция do(A_t=a) заменяет механизм, задающий A_t, на константу или новую policy, сохраняя остальные механизмы. Это хирургическая замена уравнения, а не условие A_t=a в наблюдательной мере.</w:t>
      </w:r>
    </w:p>
    <w:p>
      <w:pPr/>
      <w:r>
        <w:t>Intervention kernel должен хранить target mechanism, время, уровень вмешательства, compliance, spillover assumptions и новую Dom. Без этого “управление” остаётся символом.</w:t>
      </w:r>
    </w:p>
    <w:p>
      <w:pPr>
        <w:pStyle w:val="Heading1"/>
      </w:pPr>
      <w:r>
        <w:t>313. g-формула и условия идентификации</w:t>
      </w:r>
    </w:p>
    <w:p>
      <w:pPr/>
      <w:r>
        <w:t>Для последовательных вмешательств g-computation formula идентифицирует interventional distribution из наблюдательных условных законов только при consistency, sequential exchangeability, positivity и корректной temporal ordering. Схематически</w:t>
      </w:r>
    </w:p>
    <w:p>
      <w:pPr>
        <w:pStyle w:val="Quote"/>
        <w:jc w:val="center"/>
      </w:pPr>
      <w:r>
        <w:t>p(y^{a-bar}) = ∫ ∏_t p(l_{t+1}|l-bar_t,a-bar_t) p(y|l-bar_T,a-bar_T) d(l-bar).  (22.17)</w:t>
      </w:r>
    </w:p>
    <w:p>
      <w:pPr/>
      <w:r>
        <w:t>Нарушение positivity или наличие неучтённого time-varying confounding блокирует идентификацию. KLT-RBD обязан хранить эти предпосылки в Evidence-D, а не прятать их в названии алгоритма.</w:t>
      </w:r>
    </w:p>
    <w:p>
      <w:pPr>
        <w:pStyle w:val="Heading1"/>
      </w:pPr>
      <w:r>
        <w:t>314. Контрфактический carrier</w:t>
      </w:r>
    </w:p>
    <w:p>
      <w:pPr/>
      <w:r>
        <w:t>Контрфактическая переменная Y^a задаётся только внутри модели, связывающей возможные миры. Consistency означает Y=Y^a на единицах, фактически получивших a, но не создаёт exchangeability. Joint law нескольких несовместимых counterfactuals часто не идентифицируется из наблюдений.</w:t>
      </w:r>
    </w:p>
    <w:p>
      <w:pPr/>
      <w:r>
        <w:t>Предсказание фактического будущего и сравнение counterfactual worlds имеют разные sample spaces и разные проверочные протоколы.</w:t>
      </w:r>
    </w:p>
    <w:p>
      <w:pPr>
        <w:pStyle w:val="Heading1"/>
      </w:pPr>
      <w:r>
        <w:t>315. Стохастический Reper-path</w:t>
      </w:r>
    </w:p>
    <w:p>
      <w:pPr/>
      <w:r>
        <w:t>Случайный реперный carrier задаётся адаптированным процессом</w:t>
      </w:r>
    </w:p>
    <w:p>
      <w:pPr>
        <w:pStyle w:val="Quote"/>
        <w:jc w:val="center"/>
      </w:pPr>
      <w:r>
        <w:t>Rep_t(ω)=(R_t(ω),I_t(ω),U_t(ω);D_t(ω)).  (22.18)</w:t>
      </w:r>
    </w:p>
    <w:p>
      <w:pPr/>
      <w:r>
        <w:t>При проективной допустимости определяется λ_t(ω)=cr(U_t,I_t;R_t,D_t). Процесс λ_t должен быть измерим, его полюса и collision set исключаются из Dom. Evidence-D может быть предсказуемым процессом версий данных и оснований, а не статической подписью.</w:t>
      </w:r>
    </w:p>
    <w:p>
      <w:pPr/>
      <w:r>
        <w:t>Ожидание Eλ_t, вероятность {|λ_t+1|≤ε} и почти-верное равенство λ_t=-1 являются различными утверждениями.</w:t>
      </w:r>
    </w:p>
    <w:p>
      <w:pPr>
        <w:pStyle w:val="Heading1"/>
      </w:pPr>
      <w:r>
        <w:t>316. Ито-формула для гармонического дефекта</w:t>
      </w:r>
    </w:p>
    <w:p>
      <w:pPr/>
      <w:r>
        <w:t>Пусть φ(x)=λ(x)+1 на допустимой карте, а X_t решает (22.6). Тогда</w:t>
      </w:r>
    </w:p>
    <w:p>
      <w:pPr>
        <w:pStyle w:val="Quote"/>
        <w:jc w:val="center"/>
      </w:pPr>
      <w:r>
        <w:t>dφ(X_t)=Lφ(X_t)dt+∇φ(X_t)σ(X_t)dW_t.  (22.19)</w:t>
      </w:r>
    </w:p>
    <w:p>
      <w:pPr/>
      <w:r>
        <w:t>Для квадратичного дефекта q=φ² генератор даёт</w:t>
      </w:r>
    </w:p>
    <w:p>
      <w:pPr>
        <w:pStyle w:val="Quote"/>
        <w:jc w:val="center"/>
      </w:pPr>
      <w:r>
        <w:t>Lq=2φLφ+||σᵀ∇φ||².  (22.20)</w:t>
      </w:r>
    </w:p>
    <w:p>
      <w:pPr/>
      <w:r>
        <w:t>На точном гармоническом локусе φ=0 остаётся Lq=||σᵀ∇φ||². Следовательно, поперечный шум немедленно создаёт положительный quadratic drift дефекта. Точная гармония не является стохастически инвариантной только из-за равенства λ=-1 в начальный момент.</w:t>
      </w:r>
    </w:p>
    <w:p>
      <w:pPr>
        <w:pStyle w:val="Heading1"/>
      </w:pPr>
      <w:r>
        <w:t>317. Условия стохастической инвариантности гармонического локуса</w:t>
      </w:r>
    </w:p>
    <w:p>
      <w:pPr/>
      <w:r>
        <w:t>Пусть M={x:φ(x)=0}. Достаточный локальный пакет инвариантности для диффузии включает</w:t>
      </w:r>
    </w:p>
    <w:p>
      <w:pPr>
        <w:pStyle w:val="Quote"/>
        <w:jc w:val="center"/>
      </w:pPr>
      <w:r>
        <w:t>σ_j(x)·∇φ(x)=0  для всех j,    Lφ(x)=0,    x∈M.  (22.21)</w:t>
      </w:r>
    </w:p>
    <w:p>
      <w:pPr/>
      <w:r>
        <w:t>Первое условие запрещает поперечный шум, второе запрещает дрейф с M. На многообразии большей коразмерности условия формулируются для набора определяющих функций и tangent cone. Они являются модельными sufficient conditions, а не универсальной теоремой для сингулярной NAPG.</w:t>
      </w:r>
    </w:p>
    <w:p>
      <w:pPr/>
      <w:r>
        <w:t>Следствие 22.1. Если ||σᵀ∇φ||≥c&gt;0 на участке M, то q имеет положительный локальный drift; exact harmonic state не сохраняется в указанной diffusion model.</w:t>
      </w:r>
    </w:p>
    <w:p>
      <w:pPr>
        <w:pStyle w:val="Heading1"/>
      </w:pPr>
      <w:r>
        <w:t>318. Martingale residuals как вычислительные тесты генератора</w:t>
      </w:r>
    </w:p>
    <w:p>
      <w:pPr/>
      <w:r>
        <w:t>Для набора test functions f_k определяется residual</w:t>
      </w:r>
    </w:p>
    <w:p>
      <w:pPr>
        <w:pStyle w:val="Quote"/>
        <w:jc w:val="center"/>
      </w:pPr>
      <w:r>
        <w:t>R_{s,t}^{f_k}=f_k(X_t)-f_k(X_s)-∫_s^t Lf_k(X_r)dr.  (22.22)</w:t>
      </w:r>
    </w:p>
    <w:p>
      <w:pPr/>
      <w:r>
        <w:t>Martingale restriction требует E[R_{s,t}^{f_k}G_s]=0 для ограниченных 𝔽_s-измеримых instruments G_s. На данных проверяется конечный набор моментов с поправками на множественный выбор, зависимость и оценку параметров. Нулевая выборочная средняя не доказывает well-posedness полного martingale problem.</w:t>
      </w:r>
    </w:p>
    <w:p>
      <w:pPr>
        <w:pStyle w:val="Heading1"/>
      </w:pPr>
      <w:r>
        <w:t>319. Sequential evidence и остановочно-безопасный слой</w:t>
      </w:r>
    </w:p>
    <w:p>
      <w:pPr/>
      <w:r>
        <w:t>Для последовательной проверки допускаются nonnegative supermartingales или e-processes E_t с E_0≤1. Неравенство Вилля даёт</w:t>
      </w:r>
    </w:p>
    <w:p>
      <w:pPr>
        <w:pStyle w:val="Quote"/>
        <w:jc w:val="center"/>
      </w:pPr>
      <w:r>
        <w:t>P(sup_t E_t ≥ 1/α)≤α.  (22.23)</w:t>
      </w:r>
    </w:p>
    <w:p>
      <w:pPr/>
      <w:r>
        <w:t>Это контролирует type-I error при optional stopping в заявленном null model. Оно не идентифицирует causal effect и не делает выбранный generator истинным. Данный слой наследует дисциплину Тома I и добавляется к martingale residuals, а не заменяет их.</w:t>
      </w:r>
    </w:p>
    <w:p>
      <w:pPr>
        <w:pStyle w:val="Heading1"/>
      </w:pPr>
      <w:r>
        <w:t>320. Стохастический переходный горизонт</w:t>
      </w:r>
    </w:p>
    <w:p>
      <w:pPr/>
      <w:r>
        <w:t>Определены компоненты</w:t>
      </w:r>
    </w:p>
    <w:p>
      <w:pPr>
        <w:pStyle w:val="Quote"/>
        <w:jc w:val="center"/>
      </w:pPr>
      <w:r>
        <w:t>Δ_stoch = Δ_MP ∪ Δ_Feller ∪ Δ_gen ∪ Δ_stop ∪ Δ_hit ∪ Δ_bar ∪ Δ_ctrl ∪ Δ_HJB ∪ Δ_do ∪ Δ_id ∪ Δ_λ ∪ Δ_cal ∪ Δ_ext.  (22.24)</w:t>
      </w:r>
    </w:p>
    <w:p>
      <w:pPr>
        <w:pStyle w:val="ListBullet"/>
      </w:pPr>
      <w:r>
        <w:t>Δ_MP: потеря existence/uniqueness martingale problem;</w:t>
      </w:r>
    </w:p>
    <w:p>
      <w:pPr>
        <w:pStyle w:val="ListBullet"/>
      </w:pPr>
      <w:r>
        <w:t>Δ_Feller и Δ_gen: смена semigroup class, core или generator domain;</w:t>
      </w:r>
    </w:p>
    <w:p>
      <w:pPr>
        <w:pStyle w:val="ListBullet"/>
      </w:pPr>
      <w:r>
        <w:t>Δ_stop: нарушение stopping-time/optional-sampling assumptions;</w:t>
      </w:r>
    </w:p>
    <w:p>
      <w:pPr>
        <w:pStyle w:val="ListBullet"/>
      </w:pPr>
      <w:r>
        <w:t>Δ_hit и Δ_bar: изменение target set, boundary regularity или barrier validity;</w:t>
      </w:r>
    </w:p>
    <w:p>
      <w:pPr>
        <w:pStyle w:val="ListBullet"/>
      </w:pPr>
      <w:r>
        <w:t>Δ_ctrl и Δ_HJB: смена admissible policies, cost или verification regime;</w:t>
      </w:r>
    </w:p>
    <w:p>
      <w:pPr>
        <w:pStyle w:val="ListBullet"/>
      </w:pPr>
      <w:r>
        <w:t>Δ_do и Δ_id: смена structural intervention или идентифицирующих гипотез;</w:t>
      </w:r>
    </w:p>
    <w:p>
      <w:pPr>
        <w:pStyle w:val="ListBullet"/>
      </w:pPr>
      <w:r>
        <w:t>Δ_λ: полюса, collision set и потеря stochastic invariance harmonic locus;</w:t>
      </w:r>
    </w:p>
    <w:p>
      <w:pPr>
        <w:pStyle w:val="ListBullet"/>
      </w:pPr>
      <w:r>
        <w:t>Δ_cal и Δ_ext: потеря калибровки или независимой проверки.</w:t>
      </w:r>
    </w:p>
    <w:p>
      <w:pPr>
        <w:pStyle w:val="Quote"/>
        <w:jc w:val="center"/>
      </w:pPr>
      <w:r>
        <w:t>Δ_safe^{v0.19}=Δ_safe^{v0.18}∪Δ_stoch.  (22.25)</w:t>
      </w:r>
    </w:p>
    <w:p>
      <w:pPr>
        <w:pStyle w:val="Heading1"/>
      </w:pPr>
      <w:r>
        <w:t>321. Главная условная теорема v0.19</w:t>
      </w:r>
    </w:p>
    <w:p>
      <w:pPr/>
      <w:r>
        <w:t>Теорема 22.5 (stochastic prediction-control-causality safe theorem). [COND] Пусть на интервале параметров задана well-posed Markov family с общим сертифицированным core, Feller/regularity package, admissible stopping rules, валидный barrier V, controlled family {L^a}, structural intervention model и доказанные идентифицирующие условия. Пусть D/Dom, λ-atlas, calibration и EXT-RUN не меняются и путь параметров не пересекает Δ_safe^{v0.19}. Тогда:</w:t>
      </w:r>
    </w:p>
    <w:p>
      <w:pPr>
        <w:pStyle w:val="ListNumber"/>
      </w:pPr>
      <w:r>
        <w:t>наблюдательный semigroup/martingale profile локально устойчив в заявленном классе;</w:t>
      </w:r>
    </w:p>
    <w:p>
      <w:pPr>
        <w:pStyle w:val="ListNumber"/>
      </w:pPr>
      <w:r>
        <w:t>оценка P(τ_A≤T)≤V(0,x) сохраняется с сертифицированным запасом;</w:t>
      </w:r>
    </w:p>
    <w:p>
      <w:pPr>
        <w:pStyle w:val="ListNumber"/>
      </w:pPr>
      <w:r>
        <w:t>при uniform condition (22.13) та же граница действует для всех admissible policies;</w:t>
      </w:r>
    </w:p>
    <w:p>
      <w:pPr>
        <w:pStyle w:val="ListNumber"/>
      </w:pPr>
      <w:r>
        <w:t>interventional conclusion разрешён только внутри отдельно идентифицированной structural model;</w:t>
      </w:r>
    </w:p>
    <w:p>
      <w:pPr>
        <w:pStyle w:val="ListNumber"/>
      </w:pPr>
      <w:r>
        <w:t>если V(0,x)=0, событие попадания невозможно в модели на данном горизонте; если V(0,x)=α&gt;0, допустим только вывод RISK-BOUND≤α.</w:t>
      </w:r>
    </w:p>
    <w:p>
      <w:pPr>
        <w:pStyle w:val="Quote"/>
        <w:jc w:val="center"/>
      </w:pPr>
      <w:r>
        <w:t>V(0,x)=0  =&gt;  NO-HIT-IN-MODEL;    0&lt;V(0,x)≤α  =&gt;  RISK-BOUND≤α.  (22.26)</w:t>
      </w:r>
    </w:p>
    <w:p>
      <w:pPr/>
      <w:r>
        <w:t>Теорема не утверждает истинность модели, причинную полноту, физическую неизбежность или переносимость на другой домен.</w:t>
      </w:r>
    </w:p>
    <w:p>
      <w:pPr>
        <w:pStyle w:val="Heading1"/>
      </w:pPr>
      <w:r>
        <w:t>322. Blocker-safe verdict</w:t>
      </w:r>
    </w:p>
    <w:p>
      <w:pPr/>
      <w:r>
        <w:t>Набор блокеров имеет вид</w:t>
      </w:r>
    </w:p>
    <w:p>
      <w:pPr>
        <w:pStyle w:val="Quote"/>
        <w:jc w:val="center"/>
      </w:pPr>
      <w:r>
        <w:t>Block_stoch=B_basis∪B_MP∪B_gen∪B_stop∪B_bar∪B_ctrl∪B_do∪B_id∪B_λ∪B_cal∪B_ext.  (22.27)</w:t>
      </w:r>
    </w:p>
    <w:p>
      <w:pPr>
        <w:pStyle w:val="ListBullet"/>
      </w:pPr>
      <w:r>
        <w:t>NO-HIT-IN-MODEL — только при точном нулевом сертифицированном барьерном запасе;</w:t>
      </w:r>
    </w:p>
    <w:p>
      <w:pPr>
        <w:pStyle w:val="ListBullet"/>
      </w:pPr>
      <w:r>
        <w:t>RISK-BOUND≤α — при доказанной верхней границе 0&lt;α&lt;1;</w:t>
      </w:r>
    </w:p>
    <w:p>
      <w:pPr>
        <w:pStyle w:val="ListBullet"/>
      </w:pPr>
      <w:r>
        <w:t>CANDIDATE-STOCHASTIC-TRANSITION — когда граница не исключает попадание и блокеры закрыты;</w:t>
      </w:r>
    </w:p>
    <w:p>
      <w:pPr>
        <w:pStyle w:val="ListBullet"/>
      </w:pPr>
      <w:r>
        <w:t>ABSTAIN — при незакрытом martingale, stopping, intervention, identification, D/Dom или external-validation блокере.</w:t>
      </w:r>
    </w:p>
    <w:p>
      <w:pPr>
        <w:pStyle w:val="Heading1"/>
      </w:pPr>
      <w:r>
        <w:t>323. Разделяющие контрмодели</w:t>
      </w:r>
    </w:p>
    <w:p>
      <w:pPr>
        <w:pStyle w:val="ListBullet"/>
      </w:pPr>
      <w:r>
        <w:t>Один формальный генератор с разными boundary domains порождает разные процессы.</w:t>
      </w:r>
    </w:p>
    <w:p>
      <w:pPr>
        <w:pStyle w:val="ListBullet"/>
      </w:pPr>
      <w:r>
        <w:t>Одинаковые одномоментные маргиналы не определяют martingale problem и path law.</w:t>
      </w:r>
    </w:p>
    <w:p>
      <w:pPr>
        <w:pStyle w:val="ListBullet"/>
      </w:pPr>
      <w:r>
        <w:t>Эквивалентный Girsanov measure change не равен хирургическому do-вмешательству.</w:t>
      </w:r>
    </w:p>
    <w:p>
      <w:pPr>
        <w:pStyle w:val="ListBullet"/>
      </w:pPr>
      <w:r>
        <w:t>Unbounded stopping time без uniform integrability разрушает optional sampling identity.</w:t>
      </w:r>
    </w:p>
    <w:p>
      <w:pPr>
        <w:pStyle w:val="ListBullet"/>
      </w:pPr>
      <w:r>
        <w:t>Малый hitting probability не равен невозможности события.</w:t>
      </w:r>
    </w:p>
    <w:p>
      <w:pPr>
        <w:pStyle w:val="ListBullet"/>
      </w:pPr>
      <w:r>
        <w:t>Оптимальная policy по ошибочному cost functional может ухудшать внешний критерий.</w:t>
      </w:r>
    </w:p>
    <w:p>
      <w:pPr>
        <w:pStyle w:val="ListBullet"/>
      </w:pPr>
      <w:r>
        <w:t>Одинаковый observational law допускает разные intervention laws.</w:t>
      </w:r>
    </w:p>
    <w:p>
      <w:pPr>
        <w:pStyle w:val="ListBullet"/>
      </w:pPr>
      <w:r>
        <w:t>λ_0=-1 не сохраняется при поперечном diffusion noise.</w:t>
      </w:r>
    </w:p>
    <w:p>
      <w:pPr>
        <w:pStyle w:val="ListBullet"/>
      </w:pPr>
      <w:r>
        <w:t>Нулевые конечные martingale residuals на выбранной сетке не доказывают полный generator.</w:t>
      </w:r>
    </w:p>
    <w:p>
      <w:pPr>
        <w:pStyle w:val="ListBullet"/>
      </w:pPr>
      <w:r>
        <w:t>Рандомизированное вмешательство в одном домене не гарантирует transportability в другом.</w:t>
      </w:r>
    </w:p>
    <w:p>
      <w:pPr>
        <w:pStyle w:val="Heading1"/>
      </w:pPr>
      <w:r>
        <w:t>324. Вычислительный сертификат STOCH-CAUSAL v0.19</w:t>
      </w:r>
    </w:p>
    <w:p>
      <w:pPr>
        <w:pStyle w:val="ListBullet"/>
      </w:pPr>
      <w:r>
        <w:t>STOCH-01 stochastic basis; 02 filtration/usual conditions; 03 path carrier; 04 state/admissible domain;</w:t>
      </w:r>
    </w:p>
    <w:p>
      <w:pPr>
        <w:pStyle w:val="ListBullet"/>
      </w:pPr>
      <w:r>
        <w:t>05 transition kernel; 06 semigroup identity; 07 Feller property; 08 conservativity/sub-Markov status;</w:t>
      </w:r>
    </w:p>
    <w:p>
      <w:pPr>
        <w:pStyle w:val="ListBullet"/>
      </w:pPr>
      <w:r>
        <w:t>09 generator graph; 10 core test; 11 positive maximum principle; 12 resolvent identities;</w:t>
      </w:r>
    </w:p>
    <w:p>
      <w:pPr>
        <w:pStyle w:val="ListBullet"/>
      </w:pPr>
      <w:r>
        <w:t>13 martingale residual construction; 14 conditional-moment tests; 15 existence evidence; 16 uniqueness/well-posedness evidence;</w:t>
      </w:r>
    </w:p>
    <w:p>
      <w:pPr>
        <w:pStyle w:val="ListBullet"/>
      </w:pPr>
      <w:r>
        <w:t>17 SDE coefficients; 18 diffusion matrix; 19 weak/strong-solution ledger; 20 Girsanov density and integrability;</w:t>
      </w:r>
    </w:p>
    <w:p>
      <w:pPr>
        <w:pStyle w:val="ListBullet"/>
      </w:pPr>
      <w:r>
        <w:t>21 stopping-time audit; 22 optional-sampling conditions; 23 hitting-time measurability; 24 first-passage estimator;</w:t>
      </w:r>
    </w:p>
    <w:p>
      <w:pPr>
        <w:pStyle w:val="ListBullet"/>
      </w:pPr>
      <w:r>
        <w:t>25 barrier inequalities; 26 interval/SOS/PDE verification; 27 robust controlled barrier; 28 policy admissibility;</w:t>
      </w:r>
    </w:p>
    <w:p>
      <w:pPr>
        <w:pStyle w:val="ListBullet"/>
      </w:pPr>
      <w:r>
        <w:t>29 controlled generator; 30 dynamic programming/HJB verification; 31 observational forecast law; 32 intervention kernel;</w:t>
      </w:r>
    </w:p>
    <w:p>
      <w:pPr>
        <w:pStyle w:val="ListBullet"/>
      </w:pPr>
      <w:r>
        <w:t>33 identification assumptions; 34 g-formula/do-calculus audit; 35 stochastic Reper path; 36 λ pole/invariance tests;</w:t>
      </w:r>
    </w:p>
    <w:p>
      <w:pPr>
        <w:pStyle w:val="ListBullet"/>
      </w:pPr>
      <w:r>
        <w:t>37 martingale/e-process sequential layer; 38 calibration and domain-shift audit; 39 blocker-safe verdict; 40 source/code/data/environment hashes.</w:t>
      </w:r>
    </w:p>
    <w:p>
      <w:pPr>
        <w:pStyle w:val="Heading2"/>
      </w:pPr>
      <w:r>
        <w:t>Псевдокод</w:t>
      </w:r>
    </w:p>
    <w:p>
      <w:pPr>
        <w:pStyle w:val="Quote"/>
        <w:jc w:val="center"/>
      </w:pPr>
      <w:r>
        <w:t>INPUT stochastic basis, transition law/generator, target A, controls, structural model, Rep_t, D, Dom</w:t>
        <w:br/>
        <w:t>CHECK filtration, Feller/generator/core, martingale problem, stopping assumptions</w:t>
        <w:br/>
        <w:t>BUILD hitting-time and barrier certificate; verify optional sampling</w:t>
        <w:br/>
        <w:t>IF controls exist CHECK controlled generators, admissibility and robust barrier/HJB</w:t>
        <w:br/>
        <w:t>SEPARATE observational forecast, policy law and do-law; verify identification assumptions</w:t>
        <w:br/>
        <w:t>CHECK λ_t poles and stochastic invariance conditions</w:t>
        <w:br/>
        <w:t>IF any blocker THEN ABSTAIN</w:t>
        <w:br/>
        <w:t>ELSE IF exact barrier value=0 THEN NO-HIT-IN-MODEL</w:t>
        <w:br/>
        <w:t>ELSE REPORT RISK-BOUND and only then candidate status</w:t>
        <w:br/>
        <w:t>RECORD hashes; truth_layer_promotion=0.</w:t>
      </w:r>
    </w:p>
    <w:p>
      <w:pPr>
        <w:pStyle w:val="Heading1"/>
      </w:pPr>
      <w:r>
        <w:t>325. Доказательные обязательства T2-PO-349–T2-PO-386</w:t>
      </w:r>
    </w:p>
    <w:tbl>
      <w:tblPr>
        <w:tblStyle w:val="TableGrid"/>
        <w:tblW w:type="auto" w:w="0"/>
        <w:jc w:val="center"/>
        <w:tblLook w:firstColumn="1" w:firstRow="1" w:lastColumn="0" w:lastRow="0" w:noHBand="0" w:noVBand="1" w:val="04A0"/>
      </w:tblPr>
      <w:tblGrid>
        <w:gridCol w:w="2438"/>
        <w:gridCol w:w="2438"/>
        <w:gridCol w:w="2438"/>
        <w:gridCol w:w="2438"/>
      </w:tblGrid>
      <w:tr>
        <w:trPr>
          <w:tblHeader w:val="true"/>
        </w:trPr>
        <w:tc>
          <w:tcPr>
            <w:tcW w:type="dxa" w:w="1512"/>
            <w:shd w:fill="1f426b"/>
            <w:tcMar>
              <w:top w:w="90" w:type="dxa"/>
              <w:start w:w="100" w:type="dxa"/>
              <w:bottom w:w="90" w:type="dxa"/>
              <w:end w:w="100" w:type="dxa"/>
            </w:tcMar>
          </w:tcPr>
          <w:p>
            <w:r>
              <w:rPr>
                <w:b/>
                <w:color w:val="FFFFFF"/>
              </w:rPr>
              <w:t>PO</w:t>
            </w:r>
          </w:p>
        </w:tc>
        <w:tc>
          <w:tcPr>
            <w:tcW w:type="dxa" w:w="5112"/>
            <w:shd w:fill="1f426b"/>
            <w:tcMar>
              <w:top w:w="90" w:type="dxa"/>
              <w:start w:w="100" w:type="dxa"/>
              <w:bottom w:w="90" w:type="dxa"/>
              <w:end w:w="100" w:type="dxa"/>
            </w:tcMar>
          </w:tcPr>
          <w:p>
            <w:r>
              <w:rPr>
                <w:b/>
                <w:color w:val="FFFFFF"/>
              </w:rPr>
              <w:t>Обязательство</w:t>
            </w:r>
          </w:p>
        </w:tc>
        <w:tc>
          <w:tcPr>
            <w:tcW w:type="dxa" w:w="1224"/>
            <w:shd w:fill="1f426b"/>
            <w:tcMar>
              <w:top w:w="90" w:type="dxa"/>
              <w:start w:w="100" w:type="dxa"/>
              <w:bottom w:w="90" w:type="dxa"/>
              <w:end w:w="100" w:type="dxa"/>
            </w:tcMar>
          </w:tcPr>
          <w:p>
            <w:r>
              <w:rPr>
                <w:b/>
                <w:color w:val="FFFFFF"/>
              </w:rPr>
              <w:t>Статус</w:t>
            </w:r>
          </w:p>
        </w:tc>
        <w:tc>
          <w:tcPr>
            <w:tcW w:type="dxa" w:w="1944"/>
            <w:shd w:fill="1f426b"/>
            <w:tcMar>
              <w:top w:w="90" w:type="dxa"/>
              <w:start w:w="100" w:type="dxa"/>
              <w:bottom w:w="90" w:type="dxa"/>
              <w:end w:w="100" w:type="dxa"/>
            </w:tcMar>
          </w:tcPr>
          <w:p>
            <w:r>
              <w:rPr>
                <w:b/>
                <w:color w:val="FFFFFF"/>
              </w:rPr>
              <w:t>Основание / следующий шаг</w:t>
            </w:r>
          </w:p>
        </w:tc>
      </w:tr>
      <w:tr>
        <w:tc>
          <w:tcPr>
            <w:tcW w:type="dxa" w:w="1512"/>
            <w:tcMar>
              <w:top w:w="90" w:type="dxa"/>
              <w:start w:w="100" w:type="dxa"/>
              <w:bottom w:w="90" w:type="dxa"/>
              <w:end w:w="100" w:type="dxa"/>
            </w:tcMar>
            <w:vAlign w:val="center"/>
          </w:tcPr>
          <w:p>
            <w:r>
              <w:t>T2-PO-349</w:t>
            </w:r>
          </w:p>
        </w:tc>
        <w:tc>
          <w:tcPr>
            <w:tcW w:type="dxa" w:w="5112"/>
            <w:tcMar>
              <w:top w:w="90" w:type="dxa"/>
              <w:start w:w="100" w:type="dxa"/>
              <w:bottom w:w="90" w:type="dxa"/>
              <w:end w:w="100" w:type="dxa"/>
            </w:tcMar>
            <w:vAlign w:val="center"/>
          </w:tcPr>
          <w:p>
            <w:r>
              <w:t>Стохастический базис и usual conditions</w:t>
            </w:r>
          </w:p>
        </w:tc>
        <w:tc>
          <w:tcPr>
            <w:tcW w:type="dxa" w:w="1224"/>
            <w:tcMar>
              <w:top w:w="90" w:type="dxa"/>
              <w:start w:w="100" w:type="dxa"/>
              <w:bottom w:w="90" w:type="dxa"/>
              <w:end w:w="100" w:type="dxa"/>
            </w:tcMar>
            <w:vAlign w:val="center"/>
            <w:shd w:fill="dff0e5"/>
          </w:tcPr>
          <w:p>
            <w:r>
              <w:t>CLOSED</w:t>
            </w:r>
          </w:p>
        </w:tc>
        <w:tc>
          <w:tcPr>
            <w:tcW w:type="dxa" w:w="1944"/>
            <w:tcMar>
              <w:top w:w="90" w:type="dxa"/>
              <w:start w:w="100" w:type="dxa"/>
              <w:bottom w:w="90" w:type="dxa"/>
              <w:end w:w="100" w:type="dxa"/>
            </w:tcMar>
            <w:vAlign w:val="center"/>
          </w:tcPr>
          <w:p>
            <w:r>
              <w:t>Определение 22.1</w:t>
            </w:r>
          </w:p>
        </w:tc>
      </w:tr>
      <w:tr>
        <w:tc>
          <w:tcPr>
            <w:tcW w:type="dxa" w:w="1512"/>
            <w:tcMar>
              <w:top w:w="90" w:type="dxa"/>
              <w:start w:w="100" w:type="dxa"/>
              <w:bottom w:w="90" w:type="dxa"/>
              <w:end w:w="100" w:type="dxa"/>
            </w:tcMar>
            <w:vAlign w:val="center"/>
          </w:tcPr>
          <w:p>
            <w:r>
              <w:t>T2-PO-350</w:t>
            </w:r>
          </w:p>
        </w:tc>
        <w:tc>
          <w:tcPr>
            <w:tcW w:type="dxa" w:w="5112"/>
            <w:tcMar>
              <w:top w:w="90" w:type="dxa"/>
              <w:start w:w="100" w:type="dxa"/>
              <w:bottom w:w="90" w:type="dxa"/>
              <w:end w:w="100" w:type="dxa"/>
            </w:tcMar>
            <w:vAlign w:val="center"/>
          </w:tcPr>
          <w:p>
            <w:r>
              <w:t>Markov kernel measurability</w:t>
            </w:r>
          </w:p>
        </w:tc>
        <w:tc>
          <w:tcPr>
            <w:tcW w:type="dxa" w:w="1224"/>
            <w:tcMar>
              <w:top w:w="90" w:type="dxa"/>
              <w:start w:w="100" w:type="dxa"/>
              <w:bottom w:w="90" w:type="dxa"/>
              <w:end w:w="100" w:type="dxa"/>
            </w:tcMar>
            <w:vAlign w:val="center"/>
            <w:shd w:fill="fff1cc"/>
          </w:tcPr>
          <w:p>
            <w:r>
              <w:t>COND</w:t>
            </w:r>
          </w:p>
        </w:tc>
        <w:tc>
          <w:tcPr>
            <w:tcW w:type="dxa" w:w="1944"/>
            <w:tcMar>
              <w:top w:w="90" w:type="dxa"/>
              <w:start w:w="100" w:type="dxa"/>
              <w:bottom w:w="90" w:type="dxa"/>
              <w:end w:w="100" w:type="dxa"/>
            </w:tcMar>
            <w:vAlign w:val="center"/>
          </w:tcPr>
          <w:p>
            <w:r>
              <w:t>State/domain specific</w:t>
            </w:r>
          </w:p>
        </w:tc>
      </w:tr>
      <w:tr>
        <w:tc>
          <w:tcPr>
            <w:tcW w:type="dxa" w:w="1512"/>
            <w:tcMar>
              <w:top w:w="90" w:type="dxa"/>
              <w:start w:w="100" w:type="dxa"/>
              <w:bottom w:w="90" w:type="dxa"/>
              <w:end w:w="100" w:type="dxa"/>
            </w:tcMar>
            <w:vAlign w:val="center"/>
          </w:tcPr>
          <w:p>
            <w:r>
              <w:t>T2-PO-351</w:t>
            </w:r>
          </w:p>
        </w:tc>
        <w:tc>
          <w:tcPr>
            <w:tcW w:type="dxa" w:w="5112"/>
            <w:tcMar>
              <w:top w:w="90" w:type="dxa"/>
              <w:start w:w="100" w:type="dxa"/>
              <w:bottom w:w="90" w:type="dxa"/>
              <w:end w:w="100" w:type="dxa"/>
            </w:tcMar>
            <w:vAlign w:val="center"/>
          </w:tcPr>
          <w:p>
            <w:r>
              <w:t>Semigroup and conservativity tests</w:t>
            </w:r>
          </w:p>
        </w:tc>
        <w:tc>
          <w:tcPr>
            <w:tcW w:type="dxa" w:w="1224"/>
            <w:tcMar>
              <w:top w:w="90" w:type="dxa"/>
              <w:start w:w="100" w:type="dxa"/>
              <w:bottom w:w="90" w:type="dxa"/>
              <w:end w:w="100" w:type="dxa"/>
            </w:tcMar>
            <w:vAlign w:val="center"/>
            <w:shd w:fill="fff1cc"/>
          </w:tcPr>
          <w:p>
            <w:r>
              <w:t>COND</w:t>
            </w:r>
          </w:p>
        </w:tc>
        <w:tc>
          <w:tcPr>
            <w:tcW w:type="dxa" w:w="1944"/>
            <w:tcMar>
              <w:top w:w="90" w:type="dxa"/>
              <w:start w:w="100" w:type="dxa"/>
              <w:bottom w:w="90" w:type="dxa"/>
              <w:end w:w="100" w:type="dxa"/>
            </w:tcMar>
            <w:vAlign w:val="center"/>
          </w:tcPr>
          <w:p>
            <w:r>
              <w:t>STOCH-05–08</w:t>
            </w:r>
          </w:p>
        </w:tc>
      </w:tr>
      <w:tr>
        <w:tc>
          <w:tcPr>
            <w:tcW w:type="dxa" w:w="1512"/>
            <w:tcMar>
              <w:top w:w="90" w:type="dxa"/>
              <w:start w:w="100" w:type="dxa"/>
              <w:bottom w:w="90" w:type="dxa"/>
              <w:end w:w="100" w:type="dxa"/>
            </w:tcMar>
            <w:vAlign w:val="center"/>
          </w:tcPr>
          <w:p>
            <w:r>
              <w:t>T2-PO-352</w:t>
            </w:r>
          </w:p>
        </w:tc>
        <w:tc>
          <w:tcPr>
            <w:tcW w:type="dxa" w:w="5112"/>
            <w:tcMar>
              <w:top w:w="90" w:type="dxa"/>
              <w:start w:w="100" w:type="dxa"/>
              <w:bottom w:w="90" w:type="dxa"/>
              <w:end w:w="100" w:type="dxa"/>
            </w:tcMar>
            <w:vAlign w:val="center"/>
          </w:tcPr>
          <w:p>
            <w:r>
              <w:t>Feller strong continuity</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Конкретная модель</w:t>
            </w:r>
          </w:p>
        </w:tc>
      </w:tr>
      <w:tr>
        <w:tc>
          <w:tcPr>
            <w:tcW w:type="dxa" w:w="1512"/>
            <w:tcMar>
              <w:top w:w="90" w:type="dxa"/>
              <w:start w:w="100" w:type="dxa"/>
              <w:bottom w:w="90" w:type="dxa"/>
              <w:end w:w="100" w:type="dxa"/>
            </w:tcMar>
            <w:vAlign w:val="center"/>
          </w:tcPr>
          <w:p>
            <w:r>
              <w:t>T2-PO-353</w:t>
            </w:r>
          </w:p>
        </w:tc>
        <w:tc>
          <w:tcPr>
            <w:tcW w:type="dxa" w:w="5112"/>
            <w:tcMar>
              <w:top w:w="90" w:type="dxa"/>
              <w:start w:w="100" w:type="dxa"/>
              <w:bottom w:w="90" w:type="dxa"/>
              <w:end w:w="100" w:type="dxa"/>
            </w:tcMar>
            <w:vAlign w:val="center"/>
          </w:tcPr>
          <w:p>
            <w:r>
              <w:t>Generator domain and core</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Model-specific</w:t>
            </w:r>
          </w:p>
        </w:tc>
      </w:tr>
      <w:tr>
        <w:tc>
          <w:tcPr>
            <w:tcW w:type="dxa" w:w="1512"/>
            <w:tcMar>
              <w:top w:w="90" w:type="dxa"/>
              <w:start w:w="100" w:type="dxa"/>
              <w:bottom w:w="90" w:type="dxa"/>
              <w:end w:w="100" w:type="dxa"/>
            </w:tcMar>
            <w:vAlign w:val="center"/>
          </w:tcPr>
          <w:p>
            <w:r>
              <w:t>T2-PO-354</w:t>
            </w:r>
          </w:p>
        </w:tc>
        <w:tc>
          <w:tcPr>
            <w:tcW w:type="dxa" w:w="5112"/>
            <w:tcMar>
              <w:top w:w="90" w:type="dxa"/>
              <w:start w:w="100" w:type="dxa"/>
              <w:bottom w:w="90" w:type="dxa"/>
              <w:end w:w="100" w:type="dxa"/>
            </w:tcMar>
            <w:vAlign w:val="center"/>
          </w:tcPr>
          <w:p>
            <w:r>
              <w:t>Positive maximum principle</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Model-specific</w:t>
            </w:r>
          </w:p>
        </w:tc>
      </w:tr>
      <w:tr>
        <w:tc>
          <w:tcPr>
            <w:tcW w:type="dxa" w:w="1512"/>
            <w:tcMar>
              <w:top w:w="90" w:type="dxa"/>
              <w:start w:w="100" w:type="dxa"/>
              <w:bottom w:w="90" w:type="dxa"/>
              <w:end w:w="100" w:type="dxa"/>
            </w:tcMar>
            <w:vAlign w:val="center"/>
          </w:tcPr>
          <w:p>
            <w:r>
              <w:t>T2-PO-355</w:t>
            </w:r>
          </w:p>
        </w:tc>
        <w:tc>
          <w:tcPr>
            <w:tcW w:type="dxa" w:w="5112"/>
            <w:tcMar>
              <w:top w:w="90" w:type="dxa"/>
              <w:start w:w="100" w:type="dxa"/>
              <w:bottom w:w="90" w:type="dxa"/>
              <w:end w:w="100" w:type="dxa"/>
            </w:tcMar>
            <w:vAlign w:val="center"/>
          </w:tcPr>
          <w:p>
            <w:r>
              <w:t>Resolvent identities</w:t>
            </w:r>
          </w:p>
        </w:tc>
        <w:tc>
          <w:tcPr>
            <w:tcW w:type="dxa" w:w="1224"/>
            <w:tcMar>
              <w:top w:w="90" w:type="dxa"/>
              <w:start w:w="100" w:type="dxa"/>
              <w:bottom w:w="90" w:type="dxa"/>
              <w:end w:w="100" w:type="dxa"/>
            </w:tcMar>
            <w:vAlign w:val="center"/>
            <w:shd w:fill="fff1cc"/>
          </w:tcPr>
          <w:p>
            <w:r>
              <w:t>COND</w:t>
            </w:r>
          </w:p>
        </w:tc>
        <w:tc>
          <w:tcPr>
            <w:tcW w:type="dxa" w:w="1944"/>
            <w:tcMar>
              <w:top w:w="90" w:type="dxa"/>
              <w:start w:w="100" w:type="dxa"/>
              <w:bottom w:w="90" w:type="dxa"/>
              <w:end w:w="100" w:type="dxa"/>
            </w:tcMar>
            <w:vAlign w:val="center"/>
          </w:tcPr>
          <w:p>
            <w:r>
              <w:t>После PO-353</w:t>
            </w:r>
          </w:p>
        </w:tc>
      </w:tr>
      <w:tr>
        <w:tc>
          <w:tcPr>
            <w:tcW w:type="dxa" w:w="1512"/>
            <w:tcMar>
              <w:top w:w="90" w:type="dxa"/>
              <w:start w:w="100" w:type="dxa"/>
              <w:bottom w:w="90" w:type="dxa"/>
              <w:end w:w="100" w:type="dxa"/>
            </w:tcMar>
            <w:vAlign w:val="center"/>
          </w:tcPr>
          <w:p>
            <w:r>
              <w:t>T2-PO-356</w:t>
            </w:r>
          </w:p>
        </w:tc>
        <w:tc>
          <w:tcPr>
            <w:tcW w:type="dxa" w:w="5112"/>
            <w:tcMar>
              <w:top w:w="90" w:type="dxa"/>
              <w:start w:w="100" w:type="dxa"/>
              <w:bottom w:w="90" w:type="dxa"/>
              <w:end w:w="100" w:type="dxa"/>
            </w:tcMar>
            <w:vAlign w:val="center"/>
          </w:tcPr>
          <w:p>
            <w:r>
              <w:t>Martingale problem formulation</w:t>
            </w:r>
          </w:p>
        </w:tc>
        <w:tc>
          <w:tcPr>
            <w:tcW w:type="dxa" w:w="1224"/>
            <w:tcMar>
              <w:top w:w="90" w:type="dxa"/>
              <w:start w:w="100" w:type="dxa"/>
              <w:bottom w:w="90" w:type="dxa"/>
              <w:end w:w="100" w:type="dxa"/>
            </w:tcMar>
            <w:vAlign w:val="center"/>
            <w:shd w:fill="dff0e5"/>
          </w:tcPr>
          <w:p>
            <w:r>
              <w:t>CLOSED</w:t>
            </w:r>
          </w:p>
        </w:tc>
        <w:tc>
          <w:tcPr>
            <w:tcW w:type="dxa" w:w="1944"/>
            <w:tcMar>
              <w:top w:w="90" w:type="dxa"/>
              <w:start w:w="100" w:type="dxa"/>
              <w:bottom w:w="90" w:type="dxa"/>
              <w:end w:w="100" w:type="dxa"/>
            </w:tcMar>
            <w:vAlign w:val="center"/>
          </w:tcPr>
          <w:p>
            <w:r>
              <w:t>(22.5)</w:t>
            </w:r>
          </w:p>
        </w:tc>
      </w:tr>
      <w:tr>
        <w:tc>
          <w:tcPr>
            <w:tcW w:type="dxa" w:w="1512"/>
            <w:tcMar>
              <w:top w:w="90" w:type="dxa"/>
              <w:start w:w="100" w:type="dxa"/>
              <w:bottom w:w="90" w:type="dxa"/>
              <w:end w:w="100" w:type="dxa"/>
            </w:tcMar>
            <w:vAlign w:val="center"/>
          </w:tcPr>
          <w:p>
            <w:r>
              <w:t>T2-PO-357</w:t>
            </w:r>
          </w:p>
        </w:tc>
        <w:tc>
          <w:tcPr>
            <w:tcW w:type="dxa" w:w="5112"/>
            <w:tcMar>
              <w:top w:w="90" w:type="dxa"/>
              <w:start w:w="100" w:type="dxa"/>
              <w:bottom w:w="90" w:type="dxa"/>
              <w:end w:w="100" w:type="dxa"/>
            </w:tcMar>
            <w:vAlign w:val="center"/>
          </w:tcPr>
          <w:p>
            <w:r>
              <w:t>Existence martingale problem</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Concrete generator</w:t>
            </w:r>
          </w:p>
        </w:tc>
      </w:tr>
      <w:tr>
        <w:tc>
          <w:tcPr>
            <w:tcW w:type="dxa" w:w="1512"/>
            <w:tcMar>
              <w:top w:w="90" w:type="dxa"/>
              <w:start w:w="100" w:type="dxa"/>
              <w:bottom w:w="90" w:type="dxa"/>
              <w:end w:w="100" w:type="dxa"/>
            </w:tcMar>
            <w:vAlign w:val="center"/>
          </w:tcPr>
          <w:p>
            <w:r>
              <w:t>T2-PO-358</w:t>
            </w:r>
          </w:p>
        </w:tc>
        <w:tc>
          <w:tcPr>
            <w:tcW w:type="dxa" w:w="5112"/>
            <w:tcMar>
              <w:top w:w="90" w:type="dxa"/>
              <w:start w:w="100" w:type="dxa"/>
              <w:bottom w:w="90" w:type="dxa"/>
              <w:end w:w="100" w:type="dxa"/>
            </w:tcMar>
            <w:vAlign w:val="center"/>
          </w:tcPr>
          <w:p>
            <w:r>
              <w:t>Uniqueness/well-posedness</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Concrete generator</w:t>
            </w:r>
          </w:p>
        </w:tc>
      </w:tr>
      <w:tr>
        <w:tc>
          <w:tcPr>
            <w:tcW w:type="dxa" w:w="1512"/>
            <w:tcMar>
              <w:top w:w="90" w:type="dxa"/>
              <w:start w:w="100" w:type="dxa"/>
              <w:bottom w:w="90" w:type="dxa"/>
              <w:end w:w="100" w:type="dxa"/>
            </w:tcMar>
            <w:vAlign w:val="center"/>
          </w:tcPr>
          <w:p>
            <w:r>
              <w:t>T2-PO-359</w:t>
            </w:r>
          </w:p>
        </w:tc>
        <w:tc>
          <w:tcPr>
            <w:tcW w:type="dxa" w:w="5112"/>
            <w:tcMar>
              <w:top w:w="90" w:type="dxa"/>
              <w:start w:w="100" w:type="dxa"/>
              <w:bottom w:w="90" w:type="dxa"/>
              <w:end w:w="100" w:type="dxa"/>
            </w:tcMar>
            <w:vAlign w:val="center"/>
          </w:tcPr>
          <w:p>
            <w:r>
              <w:t>Strong Markov consequence</w:t>
            </w:r>
          </w:p>
        </w:tc>
        <w:tc>
          <w:tcPr>
            <w:tcW w:type="dxa" w:w="1224"/>
            <w:tcMar>
              <w:top w:w="90" w:type="dxa"/>
              <w:start w:w="100" w:type="dxa"/>
              <w:bottom w:w="90" w:type="dxa"/>
              <w:end w:w="100" w:type="dxa"/>
            </w:tcMar>
            <w:vAlign w:val="center"/>
            <w:shd w:fill="fff1cc"/>
          </w:tcPr>
          <w:p>
            <w:r>
              <w:t>COND</w:t>
            </w:r>
          </w:p>
        </w:tc>
        <w:tc>
          <w:tcPr>
            <w:tcW w:type="dxa" w:w="1944"/>
            <w:tcMar>
              <w:top w:w="90" w:type="dxa"/>
              <w:start w:w="100" w:type="dxa"/>
              <w:bottom w:w="90" w:type="dxa"/>
              <w:end w:w="100" w:type="dxa"/>
            </w:tcMar>
            <w:vAlign w:val="center"/>
          </w:tcPr>
          <w:p>
            <w:r>
              <w:t>После PO-357–358</w:t>
            </w:r>
          </w:p>
        </w:tc>
      </w:tr>
      <w:tr>
        <w:tc>
          <w:tcPr>
            <w:tcW w:type="dxa" w:w="1512"/>
            <w:tcMar>
              <w:top w:w="90" w:type="dxa"/>
              <w:start w:w="100" w:type="dxa"/>
              <w:bottom w:w="90" w:type="dxa"/>
              <w:end w:w="100" w:type="dxa"/>
            </w:tcMar>
            <w:vAlign w:val="center"/>
          </w:tcPr>
          <w:p>
            <w:r>
              <w:t>T2-PO-360</w:t>
            </w:r>
          </w:p>
        </w:tc>
        <w:tc>
          <w:tcPr>
            <w:tcW w:type="dxa" w:w="5112"/>
            <w:tcMar>
              <w:top w:w="90" w:type="dxa"/>
              <w:start w:w="100" w:type="dxa"/>
              <w:bottom w:w="90" w:type="dxa"/>
              <w:end w:w="100" w:type="dxa"/>
            </w:tcMar>
            <w:vAlign w:val="center"/>
          </w:tcPr>
          <w:p>
            <w:r>
              <w:t>SDE-to-generator identification</w:t>
            </w:r>
          </w:p>
        </w:tc>
        <w:tc>
          <w:tcPr>
            <w:tcW w:type="dxa" w:w="1224"/>
            <w:tcMar>
              <w:top w:w="90" w:type="dxa"/>
              <w:start w:w="100" w:type="dxa"/>
              <w:bottom w:w="90" w:type="dxa"/>
              <w:end w:w="100" w:type="dxa"/>
            </w:tcMar>
            <w:vAlign w:val="center"/>
            <w:shd w:fill="fff1cc"/>
          </w:tcPr>
          <w:p>
            <w:r>
              <w:t>COND</w:t>
            </w:r>
          </w:p>
        </w:tc>
        <w:tc>
          <w:tcPr>
            <w:tcW w:type="dxa" w:w="1944"/>
            <w:tcMar>
              <w:top w:w="90" w:type="dxa"/>
              <w:start w:w="100" w:type="dxa"/>
              <w:bottom w:w="90" w:type="dxa"/>
              <w:end w:w="100" w:type="dxa"/>
            </w:tcMar>
            <w:vAlign w:val="center"/>
          </w:tcPr>
          <w:p>
            <w:r>
              <w:t>Regular diffusion sector</w:t>
            </w:r>
          </w:p>
        </w:tc>
      </w:tr>
      <w:tr>
        <w:tc>
          <w:tcPr>
            <w:tcW w:type="dxa" w:w="1512"/>
            <w:tcMar>
              <w:top w:w="90" w:type="dxa"/>
              <w:start w:w="100" w:type="dxa"/>
              <w:bottom w:w="90" w:type="dxa"/>
              <w:end w:w="100" w:type="dxa"/>
            </w:tcMar>
            <w:vAlign w:val="center"/>
          </w:tcPr>
          <w:p>
            <w:r>
              <w:t>T2-PO-361</w:t>
            </w:r>
          </w:p>
        </w:tc>
        <w:tc>
          <w:tcPr>
            <w:tcW w:type="dxa" w:w="5112"/>
            <w:tcMar>
              <w:top w:w="90" w:type="dxa"/>
              <w:start w:w="100" w:type="dxa"/>
              <w:bottom w:w="90" w:type="dxa"/>
              <w:end w:w="100" w:type="dxa"/>
            </w:tcMar>
            <w:vAlign w:val="center"/>
          </w:tcPr>
          <w:p>
            <w:r>
              <w:t>Weak/strong solution hierarchy</w:t>
            </w:r>
          </w:p>
        </w:tc>
        <w:tc>
          <w:tcPr>
            <w:tcW w:type="dxa" w:w="1224"/>
            <w:tcMar>
              <w:top w:w="90" w:type="dxa"/>
              <w:start w:w="100" w:type="dxa"/>
              <w:bottom w:w="90" w:type="dxa"/>
              <w:end w:w="100" w:type="dxa"/>
            </w:tcMar>
            <w:vAlign w:val="center"/>
            <w:shd w:fill="dff0e5"/>
          </w:tcPr>
          <w:p>
            <w:r>
              <w:t>CLOSED</w:t>
            </w:r>
          </w:p>
        </w:tc>
        <w:tc>
          <w:tcPr>
            <w:tcW w:type="dxa" w:w="1944"/>
            <w:tcMar>
              <w:top w:w="90" w:type="dxa"/>
              <w:start w:w="100" w:type="dxa"/>
              <w:bottom w:w="90" w:type="dxa"/>
              <w:end w:w="100" w:type="dxa"/>
            </w:tcMar>
            <w:vAlign w:val="center"/>
          </w:tcPr>
          <w:p>
            <w:r>
              <w:t>Типовая спецификация</w:t>
            </w:r>
          </w:p>
        </w:tc>
      </w:tr>
      <w:tr>
        <w:tc>
          <w:tcPr>
            <w:tcW w:type="dxa" w:w="1512"/>
            <w:tcMar>
              <w:top w:w="90" w:type="dxa"/>
              <w:start w:w="100" w:type="dxa"/>
              <w:bottom w:w="90" w:type="dxa"/>
              <w:end w:w="100" w:type="dxa"/>
            </w:tcMar>
            <w:vAlign w:val="center"/>
          </w:tcPr>
          <w:p>
            <w:r>
              <w:t>T2-PO-362</w:t>
            </w:r>
          </w:p>
        </w:tc>
        <w:tc>
          <w:tcPr>
            <w:tcW w:type="dxa" w:w="5112"/>
            <w:tcMar>
              <w:top w:w="90" w:type="dxa"/>
              <w:start w:w="100" w:type="dxa"/>
              <w:bottom w:w="90" w:type="dxa"/>
              <w:end w:w="100" w:type="dxa"/>
            </w:tcMar>
            <w:vAlign w:val="center"/>
          </w:tcPr>
          <w:p>
            <w:r>
              <w:t>Girsanov integrability</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Model-specific</w:t>
            </w:r>
          </w:p>
        </w:tc>
      </w:tr>
      <w:tr>
        <w:tc>
          <w:tcPr>
            <w:tcW w:type="dxa" w:w="1512"/>
            <w:tcMar>
              <w:top w:w="90" w:type="dxa"/>
              <w:start w:w="100" w:type="dxa"/>
              <w:bottom w:w="90" w:type="dxa"/>
              <w:end w:w="100" w:type="dxa"/>
            </w:tcMar>
            <w:vAlign w:val="center"/>
          </w:tcPr>
          <w:p>
            <w:r>
              <w:t>T2-PO-363</w:t>
            </w:r>
          </w:p>
        </w:tc>
        <w:tc>
          <w:tcPr>
            <w:tcW w:type="dxa" w:w="5112"/>
            <w:tcMar>
              <w:top w:w="90" w:type="dxa"/>
              <w:start w:w="100" w:type="dxa"/>
              <w:bottom w:w="90" w:type="dxa"/>
              <w:end w:w="100" w:type="dxa"/>
            </w:tcMar>
            <w:vAlign w:val="center"/>
          </w:tcPr>
          <w:p>
            <w:r>
              <w:t>Measure-change no-intervention theorem</w:t>
            </w:r>
          </w:p>
        </w:tc>
        <w:tc>
          <w:tcPr>
            <w:tcW w:type="dxa" w:w="1224"/>
            <w:tcMar>
              <w:top w:w="90" w:type="dxa"/>
              <w:start w:w="100" w:type="dxa"/>
              <w:bottom w:w="90" w:type="dxa"/>
              <w:end w:w="100" w:type="dxa"/>
            </w:tcMar>
            <w:vAlign w:val="center"/>
            <w:shd w:fill="dff0e5"/>
          </w:tcPr>
          <w:p>
            <w:r>
              <w:t>CLOSED</w:t>
            </w:r>
          </w:p>
        </w:tc>
        <w:tc>
          <w:tcPr>
            <w:tcW w:type="dxa" w:w="1944"/>
            <w:tcMar>
              <w:top w:w="90" w:type="dxa"/>
              <w:start w:w="100" w:type="dxa"/>
              <w:bottom w:w="90" w:type="dxa"/>
              <w:end w:w="100" w:type="dxa"/>
            </w:tcMar>
            <w:vAlign w:val="center"/>
          </w:tcPr>
          <w:p>
            <w:r>
              <w:t>Теорема 22.2</w:t>
            </w:r>
          </w:p>
        </w:tc>
      </w:tr>
      <w:tr>
        <w:tc>
          <w:tcPr>
            <w:tcW w:type="dxa" w:w="1512"/>
            <w:tcMar>
              <w:top w:w="90" w:type="dxa"/>
              <w:start w:w="100" w:type="dxa"/>
              <w:bottom w:w="90" w:type="dxa"/>
              <w:end w:w="100" w:type="dxa"/>
            </w:tcMar>
            <w:vAlign w:val="center"/>
          </w:tcPr>
          <w:p>
            <w:r>
              <w:t>T2-PO-364</w:t>
            </w:r>
          </w:p>
        </w:tc>
        <w:tc>
          <w:tcPr>
            <w:tcW w:type="dxa" w:w="5112"/>
            <w:tcMar>
              <w:top w:w="90" w:type="dxa"/>
              <w:start w:w="100" w:type="dxa"/>
              <w:bottom w:w="90" w:type="dxa"/>
              <w:end w:w="100" w:type="dxa"/>
            </w:tcMar>
            <w:vAlign w:val="center"/>
          </w:tcPr>
          <w:p>
            <w:r>
              <w:t>Stopping-time measurability</w:t>
            </w:r>
          </w:p>
        </w:tc>
        <w:tc>
          <w:tcPr>
            <w:tcW w:type="dxa" w:w="1224"/>
            <w:tcMar>
              <w:top w:w="90" w:type="dxa"/>
              <w:start w:w="100" w:type="dxa"/>
              <w:bottom w:w="90" w:type="dxa"/>
              <w:end w:w="100" w:type="dxa"/>
            </w:tcMar>
            <w:vAlign w:val="center"/>
            <w:shd w:fill="fff1cc"/>
          </w:tcPr>
          <w:p>
            <w:r>
              <w:t>COND</w:t>
            </w:r>
          </w:p>
        </w:tc>
        <w:tc>
          <w:tcPr>
            <w:tcW w:type="dxa" w:w="1944"/>
            <w:tcMar>
              <w:top w:w="90" w:type="dxa"/>
              <w:start w:w="100" w:type="dxa"/>
              <w:bottom w:w="90" w:type="dxa"/>
              <w:end w:w="100" w:type="dxa"/>
            </w:tcMar>
            <w:vAlign w:val="center"/>
          </w:tcPr>
          <w:p>
            <w:r>
              <w:t>Target/path regularity</w:t>
            </w:r>
          </w:p>
        </w:tc>
      </w:tr>
      <w:tr>
        <w:tc>
          <w:tcPr>
            <w:tcW w:type="dxa" w:w="1512"/>
            <w:tcMar>
              <w:top w:w="90" w:type="dxa"/>
              <w:start w:w="100" w:type="dxa"/>
              <w:bottom w:w="90" w:type="dxa"/>
              <w:end w:w="100" w:type="dxa"/>
            </w:tcMar>
            <w:vAlign w:val="center"/>
          </w:tcPr>
          <w:p>
            <w:r>
              <w:t>T2-PO-365</w:t>
            </w:r>
          </w:p>
        </w:tc>
        <w:tc>
          <w:tcPr>
            <w:tcW w:type="dxa" w:w="5112"/>
            <w:tcMar>
              <w:top w:w="90" w:type="dxa"/>
              <w:start w:w="100" w:type="dxa"/>
              <w:bottom w:w="90" w:type="dxa"/>
              <w:end w:w="100" w:type="dxa"/>
            </w:tcMar>
            <w:vAlign w:val="center"/>
          </w:tcPr>
          <w:p>
            <w:r>
              <w:t>Optional sampling assumptions</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Stopping rule specific</w:t>
            </w:r>
          </w:p>
        </w:tc>
      </w:tr>
      <w:tr>
        <w:tc>
          <w:tcPr>
            <w:tcW w:type="dxa" w:w="1512"/>
            <w:tcMar>
              <w:top w:w="90" w:type="dxa"/>
              <w:start w:w="100" w:type="dxa"/>
              <w:bottom w:w="90" w:type="dxa"/>
              <w:end w:w="100" w:type="dxa"/>
            </w:tcMar>
            <w:vAlign w:val="center"/>
          </w:tcPr>
          <w:p>
            <w:r>
              <w:t>T2-PO-366</w:t>
            </w:r>
          </w:p>
        </w:tc>
        <w:tc>
          <w:tcPr>
            <w:tcW w:type="dxa" w:w="5112"/>
            <w:tcMar>
              <w:top w:w="90" w:type="dxa"/>
              <w:start w:w="100" w:type="dxa"/>
              <w:bottom w:w="90" w:type="dxa"/>
              <w:end w:w="100" w:type="dxa"/>
            </w:tcMar>
            <w:vAlign w:val="center"/>
          </w:tcPr>
          <w:p>
            <w:r>
              <w:t>Naive optional-stopping counterexample</w:t>
            </w:r>
          </w:p>
        </w:tc>
        <w:tc>
          <w:tcPr>
            <w:tcW w:type="dxa" w:w="1224"/>
            <w:tcMar>
              <w:top w:w="90" w:type="dxa"/>
              <w:start w:w="100" w:type="dxa"/>
              <w:bottom w:w="90" w:type="dxa"/>
              <w:end w:w="100" w:type="dxa"/>
            </w:tcMar>
            <w:vAlign w:val="center"/>
            <w:shd w:fill="dff0e5"/>
          </w:tcPr>
          <w:p>
            <w:r>
              <w:t>CLOSED</w:t>
            </w:r>
          </w:p>
        </w:tc>
        <w:tc>
          <w:tcPr>
            <w:tcW w:type="dxa" w:w="1944"/>
            <w:tcMar>
              <w:top w:w="90" w:type="dxa"/>
              <w:start w:w="100" w:type="dxa"/>
              <w:bottom w:w="90" w:type="dxa"/>
              <w:end w:w="100" w:type="dxa"/>
            </w:tcMar>
            <w:vAlign w:val="center"/>
          </w:tcPr>
          <w:p>
            <w:r>
              <w:t>Раздел 303</w:t>
            </w:r>
          </w:p>
        </w:tc>
      </w:tr>
      <w:tr>
        <w:tc>
          <w:tcPr>
            <w:tcW w:type="dxa" w:w="1512"/>
            <w:tcMar>
              <w:top w:w="90" w:type="dxa"/>
              <w:start w:w="100" w:type="dxa"/>
              <w:bottom w:w="90" w:type="dxa"/>
              <w:end w:w="100" w:type="dxa"/>
            </w:tcMar>
            <w:vAlign w:val="center"/>
          </w:tcPr>
          <w:p>
            <w:r>
              <w:t>T2-PO-367</w:t>
            </w:r>
          </w:p>
        </w:tc>
        <w:tc>
          <w:tcPr>
            <w:tcW w:type="dxa" w:w="5112"/>
            <w:tcMar>
              <w:top w:w="90" w:type="dxa"/>
              <w:start w:w="100" w:type="dxa"/>
              <w:bottom w:w="90" w:type="dxa"/>
              <w:end w:w="100" w:type="dxa"/>
            </w:tcMar>
            <w:vAlign w:val="center"/>
          </w:tcPr>
          <w:p>
            <w:r>
              <w:t>Hitting probability well-posedness</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Boundary problem</w:t>
            </w:r>
          </w:p>
        </w:tc>
      </w:tr>
      <w:tr>
        <w:tc>
          <w:tcPr>
            <w:tcW w:type="dxa" w:w="1512"/>
            <w:tcMar>
              <w:top w:w="90" w:type="dxa"/>
              <w:start w:w="100" w:type="dxa"/>
              <w:bottom w:w="90" w:type="dxa"/>
              <w:end w:w="100" w:type="dxa"/>
            </w:tcMar>
            <w:vAlign w:val="center"/>
          </w:tcPr>
          <w:p>
            <w:r>
              <w:t>T2-PO-368</w:t>
            </w:r>
          </w:p>
        </w:tc>
        <w:tc>
          <w:tcPr>
            <w:tcW w:type="dxa" w:w="5112"/>
            <w:tcMar>
              <w:top w:w="90" w:type="dxa"/>
              <w:start w:w="100" w:type="dxa"/>
              <w:bottom w:w="90" w:type="dxa"/>
              <w:end w:w="100" w:type="dxa"/>
            </w:tcMar>
            <w:vAlign w:val="center"/>
          </w:tcPr>
          <w:p>
            <w:r>
              <w:t>Barrier theorem</w:t>
            </w:r>
          </w:p>
        </w:tc>
        <w:tc>
          <w:tcPr>
            <w:tcW w:type="dxa" w:w="1224"/>
            <w:tcMar>
              <w:top w:w="90" w:type="dxa"/>
              <w:start w:w="100" w:type="dxa"/>
              <w:bottom w:w="90" w:type="dxa"/>
              <w:end w:w="100" w:type="dxa"/>
            </w:tcMar>
            <w:vAlign w:val="center"/>
            <w:shd w:fill="dff0e5"/>
          </w:tcPr>
          <w:p>
            <w:r>
              <w:t>CLOSED</w:t>
            </w:r>
          </w:p>
        </w:tc>
        <w:tc>
          <w:tcPr>
            <w:tcW w:type="dxa" w:w="1944"/>
            <w:tcMar>
              <w:top w:w="90" w:type="dxa"/>
              <w:start w:w="100" w:type="dxa"/>
              <w:bottom w:w="90" w:type="dxa"/>
              <w:end w:w="100" w:type="dxa"/>
            </w:tcMar>
            <w:vAlign w:val="center"/>
          </w:tcPr>
          <w:p>
            <w:r>
              <w:t>Теорема 22.3</w:t>
            </w:r>
          </w:p>
        </w:tc>
      </w:tr>
      <w:tr>
        <w:tc>
          <w:tcPr>
            <w:tcW w:type="dxa" w:w="1512"/>
            <w:tcMar>
              <w:top w:w="90" w:type="dxa"/>
              <w:start w:w="100" w:type="dxa"/>
              <w:bottom w:w="90" w:type="dxa"/>
              <w:end w:w="100" w:type="dxa"/>
            </w:tcMar>
            <w:vAlign w:val="center"/>
          </w:tcPr>
          <w:p>
            <w:r>
              <w:t>T2-PO-369</w:t>
            </w:r>
          </w:p>
        </w:tc>
        <w:tc>
          <w:tcPr>
            <w:tcW w:type="dxa" w:w="5112"/>
            <w:tcMar>
              <w:top w:w="90" w:type="dxa"/>
              <w:start w:w="100" w:type="dxa"/>
              <w:bottom w:w="90" w:type="dxa"/>
              <w:end w:w="100" w:type="dxa"/>
            </w:tcMar>
            <w:vAlign w:val="center"/>
          </w:tcPr>
          <w:p>
            <w:r>
              <w:t>Computable barrier construction</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SOS/PDE/interval method</w:t>
            </w:r>
          </w:p>
        </w:tc>
      </w:tr>
      <w:tr>
        <w:tc>
          <w:tcPr>
            <w:tcW w:type="dxa" w:w="1512"/>
            <w:tcMar>
              <w:top w:w="90" w:type="dxa"/>
              <w:start w:w="100" w:type="dxa"/>
              <w:bottom w:w="90" w:type="dxa"/>
              <w:end w:w="100" w:type="dxa"/>
            </w:tcMar>
            <w:vAlign w:val="center"/>
          </w:tcPr>
          <w:p>
            <w:r>
              <w:t>T2-PO-370</w:t>
            </w:r>
          </w:p>
        </w:tc>
        <w:tc>
          <w:tcPr>
            <w:tcW w:type="dxa" w:w="5112"/>
            <w:tcMar>
              <w:top w:w="90" w:type="dxa"/>
              <w:start w:w="100" w:type="dxa"/>
              <w:bottom w:w="90" w:type="dxa"/>
              <w:end w:w="100" w:type="dxa"/>
            </w:tcMar>
            <w:vAlign w:val="center"/>
          </w:tcPr>
          <w:p>
            <w:r>
              <w:t>Robust controlled barrier</w:t>
            </w:r>
          </w:p>
        </w:tc>
        <w:tc>
          <w:tcPr>
            <w:tcW w:type="dxa" w:w="1224"/>
            <w:tcMar>
              <w:top w:w="90" w:type="dxa"/>
              <w:start w:w="100" w:type="dxa"/>
              <w:bottom w:w="90" w:type="dxa"/>
              <w:end w:w="100" w:type="dxa"/>
            </w:tcMar>
            <w:vAlign w:val="center"/>
            <w:shd w:fill="fff1cc"/>
          </w:tcPr>
          <w:p>
            <w:r>
              <w:t>COND</w:t>
            </w:r>
          </w:p>
        </w:tc>
        <w:tc>
          <w:tcPr>
            <w:tcW w:type="dxa" w:w="1944"/>
            <w:tcMar>
              <w:top w:w="90" w:type="dxa"/>
              <w:start w:w="100" w:type="dxa"/>
              <w:bottom w:w="90" w:type="dxa"/>
              <w:end w:w="100" w:type="dxa"/>
            </w:tcMar>
            <w:vAlign w:val="center"/>
          </w:tcPr>
          <w:p>
            <w:r>
              <w:t>(22.13)</w:t>
            </w:r>
          </w:p>
        </w:tc>
      </w:tr>
      <w:tr>
        <w:tc>
          <w:tcPr>
            <w:tcW w:type="dxa" w:w="1512"/>
            <w:tcMar>
              <w:top w:w="90" w:type="dxa"/>
              <w:start w:w="100" w:type="dxa"/>
              <w:bottom w:w="90" w:type="dxa"/>
              <w:end w:w="100" w:type="dxa"/>
            </w:tcMar>
            <w:vAlign w:val="center"/>
          </w:tcPr>
          <w:p>
            <w:r>
              <w:t>T2-PO-371</w:t>
            </w:r>
          </w:p>
        </w:tc>
        <w:tc>
          <w:tcPr>
            <w:tcW w:type="dxa" w:w="5112"/>
            <w:tcMar>
              <w:top w:w="90" w:type="dxa"/>
              <w:start w:w="100" w:type="dxa"/>
              <w:bottom w:w="90" w:type="dxa"/>
              <w:end w:w="100" w:type="dxa"/>
            </w:tcMar>
            <w:vAlign w:val="center"/>
          </w:tcPr>
          <w:p>
            <w:r>
              <w:t>Controlled Markov family</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Control model</w:t>
            </w:r>
          </w:p>
        </w:tc>
      </w:tr>
      <w:tr>
        <w:tc>
          <w:tcPr>
            <w:tcW w:type="dxa" w:w="1512"/>
            <w:tcMar>
              <w:top w:w="90" w:type="dxa"/>
              <w:start w:w="100" w:type="dxa"/>
              <w:bottom w:w="90" w:type="dxa"/>
              <w:end w:w="100" w:type="dxa"/>
            </w:tcMar>
            <w:vAlign w:val="center"/>
          </w:tcPr>
          <w:p>
            <w:r>
              <w:t>T2-PO-372</w:t>
            </w:r>
          </w:p>
        </w:tc>
        <w:tc>
          <w:tcPr>
            <w:tcW w:type="dxa" w:w="5112"/>
            <w:tcMar>
              <w:top w:w="90" w:type="dxa"/>
              <w:start w:w="100" w:type="dxa"/>
              <w:bottom w:w="90" w:type="dxa"/>
              <w:end w:w="100" w:type="dxa"/>
            </w:tcMar>
            <w:vAlign w:val="center"/>
          </w:tcPr>
          <w:p>
            <w:r>
              <w:t>Dynamic programming principle</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Policy/compactness package</w:t>
            </w:r>
          </w:p>
        </w:tc>
      </w:tr>
      <w:tr>
        <w:tc>
          <w:tcPr>
            <w:tcW w:type="dxa" w:w="1512"/>
            <w:tcMar>
              <w:top w:w="90" w:type="dxa"/>
              <w:start w:w="100" w:type="dxa"/>
              <w:bottom w:w="90" w:type="dxa"/>
              <w:end w:w="100" w:type="dxa"/>
            </w:tcMar>
            <w:vAlign w:val="center"/>
          </w:tcPr>
          <w:p>
            <w:r>
              <w:t>T2-PO-373</w:t>
            </w:r>
          </w:p>
        </w:tc>
        <w:tc>
          <w:tcPr>
            <w:tcW w:type="dxa" w:w="5112"/>
            <w:tcMar>
              <w:top w:w="90" w:type="dxa"/>
              <w:start w:w="100" w:type="dxa"/>
              <w:bottom w:w="90" w:type="dxa"/>
              <w:end w:w="100" w:type="dxa"/>
            </w:tcMar>
            <w:vAlign w:val="center"/>
          </w:tcPr>
          <w:p>
            <w:r>
              <w:t>HJB solution and verification</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Model-specific</w:t>
            </w:r>
          </w:p>
        </w:tc>
      </w:tr>
      <w:tr>
        <w:tc>
          <w:tcPr>
            <w:tcW w:type="dxa" w:w="1512"/>
            <w:tcMar>
              <w:top w:w="90" w:type="dxa"/>
              <w:start w:w="100" w:type="dxa"/>
              <w:bottom w:w="90" w:type="dxa"/>
              <w:end w:w="100" w:type="dxa"/>
            </w:tcMar>
            <w:vAlign w:val="center"/>
          </w:tcPr>
          <w:p>
            <w:r>
              <w:t>T2-PO-374</w:t>
            </w:r>
          </w:p>
        </w:tc>
        <w:tc>
          <w:tcPr>
            <w:tcW w:type="dxa" w:w="5112"/>
            <w:tcMar>
              <w:top w:w="90" w:type="dxa"/>
              <w:start w:w="100" w:type="dxa"/>
              <w:bottom w:w="90" w:type="dxa"/>
              <w:end w:w="100" w:type="dxa"/>
            </w:tcMar>
            <w:vAlign w:val="center"/>
          </w:tcPr>
          <w:p>
            <w:r>
              <w:t>Forecast/control/intervention typing</w:t>
            </w:r>
          </w:p>
        </w:tc>
        <w:tc>
          <w:tcPr>
            <w:tcW w:type="dxa" w:w="1224"/>
            <w:tcMar>
              <w:top w:w="90" w:type="dxa"/>
              <w:start w:w="100" w:type="dxa"/>
              <w:bottom w:w="90" w:type="dxa"/>
              <w:end w:w="100" w:type="dxa"/>
            </w:tcMar>
            <w:vAlign w:val="center"/>
            <w:shd w:fill="dff0e5"/>
          </w:tcPr>
          <w:p>
            <w:r>
              <w:t>CLOSED</w:t>
            </w:r>
          </w:p>
        </w:tc>
        <w:tc>
          <w:tcPr>
            <w:tcW w:type="dxa" w:w="1944"/>
            <w:tcMar>
              <w:top w:w="90" w:type="dxa"/>
              <w:start w:w="100" w:type="dxa"/>
              <w:bottom w:w="90" w:type="dxa"/>
              <w:end w:w="100" w:type="dxa"/>
            </w:tcMar>
            <w:vAlign w:val="center"/>
          </w:tcPr>
          <w:p>
            <w:r>
              <w:t>Раздел 310</w:t>
            </w:r>
          </w:p>
        </w:tc>
      </w:tr>
      <w:tr>
        <w:tc>
          <w:tcPr>
            <w:tcW w:type="dxa" w:w="1512"/>
            <w:tcMar>
              <w:top w:w="90" w:type="dxa"/>
              <w:start w:w="100" w:type="dxa"/>
              <w:bottom w:w="90" w:type="dxa"/>
              <w:end w:w="100" w:type="dxa"/>
            </w:tcMar>
            <w:vAlign w:val="center"/>
          </w:tcPr>
          <w:p>
            <w:r>
              <w:t>T2-PO-375</w:t>
            </w:r>
          </w:p>
        </w:tc>
        <w:tc>
          <w:tcPr>
            <w:tcW w:type="dxa" w:w="5112"/>
            <w:tcMar>
              <w:top w:w="90" w:type="dxa"/>
              <w:start w:w="100" w:type="dxa"/>
              <w:bottom w:w="90" w:type="dxa"/>
              <w:end w:w="100" w:type="dxa"/>
            </w:tcMar>
            <w:vAlign w:val="center"/>
          </w:tcPr>
          <w:p>
            <w:r>
              <w:t>Observational-interventional no-go</w:t>
            </w:r>
          </w:p>
        </w:tc>
        <w:tc>
          <w:tcPr>
            <w:tcW w:type="dxa" w:w="1224"/>
            <w:tcMar>
              <w:top w:w="90" w:type="dxa"/>
              <w:start w:w="100" w:type="dxa"/>
              <w:bottom w:w="90" w:type="dxa"/>
              <w:end w:w="100" w:type="dxa"/>
            </w:tcMar>
            <w:vAlign w:val="center"/>
            <w:shd w:fill="dff0e5"/>
          </w:tcPr>
          <w:p>
            <w:r>
              <w:t>CLOSED</w:t>
            </w:r>
          </w:p>
        </w:tc>
        <w:tc>
          <w:tcPr>
            <w:tcW w:type="dxa" w:w="1944"/>
            <w:tcMar>
              <w:top w:w="90" w:type="dxa"/>
              <w:start w:w="100" w:type="dxa"/>
              <w:bottom w:w="90" w:type="dxa"/>
              <w:end w:w="100" w:type="dxa"/>
            </w:tcMar>
            <w:vAlign w:val="center"/>
          </w:tcPr>
          <w:p>
            <w:r>
              <w:t>Теорема 22.4</w:t>
            </w:r>
          </w:p>
        </w:tc>
      </w:tr>
      <w:tr>
        <w:tc>
          <w:tcPr>
            <w:tcW w:type="dxa" w:w="1512"/>
            <w:tcMar>
              <w:top w:w="90" w:type="dxa"/>
              <w:start w:w="100" w:type="dxa"/>
              <w:bottom w:w="90" w:type="dxa"/>
              <w:end w:w="100" w:type="dxa"/>
            </w:tcMar>
            <w:vAlign w:val="center"/>
          </w:tcPr>
          <w:p>
            <w:r>
              <w:t>T2-PO-376</w:t>
            </w:r>
          </w:p>
        </w:tc>
        <w:tc>
          <w:tcPr>
            <w:tcW w:type="dxa" w:w="5112"/>
            <w:tcMar>
              <w:top w:w="90" w:type="dxa"/>
              <w:start w:w="100" w:type="dxa"/>
              <w:bottom w:w="90" w:type="dxa"/>
              <w:end w:w="100" w:type="dxa"/>
            </w:tcMar>
            <w:vAlign w:val="center"/>
          </w:tcPr>
          <w:p>
            <w:r>
              <w:t>Structural intervention kernel</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SCM/domain specific</w:t>
            </w:r>
          </w:p>
        </w:tc>
      </w:tr>
      <w:tr>
        <w:tc>
          <w:tcPr>
            <w:tcW w:type="dxa" w:w="1512"/>
            <w:tcMar>
              <w:top w:w="90" w:type="dxa"/>
              <w:start w:w="100" w:type="dxa"/>
              <w:bottom w:w="90" w:type="dxa"/>
              <w:end w:w="100" w:type="dxa"/>
            </w:tcMar>
            <w:vAlign w:val="center"/>
          </w:tcPr>
          <w:p>
            <w:r>
              <w:t>T2-PO-377</w:t>
            </w:r>
          </w:p>
        </w:tc>
        <w:tc>
          <w:tcPr>
            <w:tcW w:type="dxa" w:w="5112"/>
            <w:tcMar>
              <w:top w:w="90" w:type="dxa"/>
              <w:start w:w="100" w:type="dxa"/>
              <w:bottom w:w="90" w:type="dxa"/>
              <w:end w:w="100" w:type="dxa"/>
            </w:tcMar>
            <w:vAlign w:val="center"/>
          </w:tcPr>
          <w:p>
            <w:r>
              <w:t>Sequential exchangeability</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Evidence-D required</w:t>
            </w:r>
          </w:p>
        </w:tc>
      </w:tr>
      <w:tr>
        <w:tc>
          <w:tcPr>
            <w:tcW w:type="dxa" w:w="1512"/>
            <w:tcMar>
              <w:top w:w="90" w:type="dxa"/>
              <w:start w:w="100" w:type="dxa"/>
              <w:bottom w:w="90" w:type="dxa"/>
              <w:end w:w="100" w:type="dxa"/>
            </w:tcMar>
            <w:vAlign w:val="center"/>
          </w:tcPr>
          <w:p>
            <w:r>
              <w:t>T2-PO-378</w:t>
            </w:r>
          </w:p>
        </w:tc>
        <w:tc>
          <w:tcPr>
            <w:tcW w:type="dxa" w:w="5112"/>
            <w:tcMar>
              <w:top w:w="90" w:type="dxa"/>
              <w:start w:w="100" w:type="dxa"/>
              <w:bottom w:w="90" w:type="dxa"/>
              <w:end w:w="100" w:type="dxa"/>
            </w:tcMar>
            <w:vAlign w:val="center"/>
          </w:tcPr>
          <w:p>
            <w:r>
              <w:t>Positivity and consistency</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Evidence-D required</w:t>
            </w:r>
          </w:p>
        </w:tc>
      </w:tr>
      <w:tr>
        <w:tc>
          <w:tcPr>
            <w:tcW w:type="dxa" w:w="1512"/>
            <w:tcMar>
              <w:top w:w="90" w:type="dxa"/>
              <w:start w:w="100" w:type="dxa"/>
              <w:bottom w:w="90" w:type="dxa"/>
              <w:end w:w="100" w:type="dxa"/>
            </w:tcMar>
            <w:vAlign w:val="center"/>
          </w:tcPr>
          <w:p>
            <w:r>
              <w:t>T2-PO-379</w:t>
            </w:r>
          </w:p>
        </w:tc>
        <w:tc>
          <w:tcPr>
            <w:tcW w:type="dxa" w:w="5112"/>
            <w:tcMar>
              <w:top w:w="90" w:type="dxa"/>
              <w:start w:w="100" w:type="dxa"/>
              <w:bottom w:w="90" w:type="dxa"/>
              <w:end w:w="100" w:type="dxa"/>
            </w:tcMar>
            <w:vAlign w:val="center"/>
          </w:tcPr>
          <w:p>
            <w:r>
              <w:t>g-formula identification</w:t>
            </w:r>
          </w:p>
        </w:tc>
        <w:tc>
          <w:tcPr>
            <w:tcW w:type="dxa" w:w="1224"/>
            <w:tcMar>
              <w:top w:w="90" w:type="dxa"/>
              <w:start w:w="100" w:type="dxa"/>
              <w:bottom w:w="90" w:type="dxa"/>
              <w:end w:w="100" w:type="dxa"/>
            </w:tcMar>
            <w:vAlign w:val="center"/>
            <w:shd w:fill="fff1cc"/>
          </w:tcPr>
          <w:p>
            <w:r>
              <w:t>COND</w:t>
            </w:r>
          </w:p>
        </w:tc>
        <w:tc>
          <w:tcPr>
            <w:tcW w:type="dxa" w:w="1944"/>
            <w:tcMar>
              <w:top w:w="90" w:type="dxa"/>
              <w:start w:w="100" w:type="dxa"/>
              <w:bottom w:w="90" w:type="dxa"/>
              <w:end w:w="100" w:type="dxa"/>
            </w:tcMar>
            <w:vAlign w:val="center"/>
          </w:tcPr>
          <w:p>
            <w:r>
              <w:t>После PO-377–378</w:t>
            </w:r>
          </w:p>
        </w:tc>
      </w:tr>
      <w:tr>
        <w:tc>
          <w:tcPr>
            <w:tcW w:type="dxa" w:w="1512"/>
            <w:tcMar>
              <w:top w:w="90" w:type="dxa"/>
              <w:start w:w="100" w:type="dxa"/>
              <w:bottom w:w="90" w:type="dxa"/>
              <w:end w:w="100" w:type="dxa"/>
            </w:tcMar>
            <w:vAlign w:val="center"/>
          </w:tcPr>
          <w:p>
            <w:r>
              <w:t>T2-PO-380</w:t>
            </w:r>
          </w:p>
        </w:tc>
        <w:tc>
          <w:tcPr>
            <w:tcW w:type="dxa" w:w="5112"/>
            <w:tcMar>
              <w:top w:w="90" w:type="dxa"/>
              <w:start w:w="100" w:type="dxa"/>
              <w:bottom w:w="90" w:type="dxa"/>
              <w:end w:w="100" w:type="dxa"/>
            </w:tcMar>
            <w:vAlign w:val="center"/>
          </w:tcPr>
          <w:p>
            <w:r>
              <w:t>Counterfactual carrier</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Structural model</w:t>
            </w:r>
          </w:p>
        </w:tc>
      </w:tr>
      <w:tr>
        <w:tc>
          <w:tcPr>
            <w:tcW w:type="dxa" w:w="1512"/>
            <w:tcMar>
              <w:top w:w="90" w:type="dxa"/>
              <w:start w:w="100" w:type="dxa"/>
              <w:bottom w:w="90" w:type="dxa"/>
              <w:end w:w="100" w:type="dxa"/>
            </w:tcMar>
            <w:vAlign w:val="center"/>
          </w:tcPr>
          <w:p>
            <w:r>
              <w:t>T2-PO-381</w:t>
            </w:r>
          </w:p>
        </w:tc>
        <w:tc>
          <w:tcPr>
            <w:tcW w:type="dxa" w:w="5112"/>
            <w:tcMar>
              <w:top w:w="90" w:type="dxa"/>
              <w:start w:w="100" w:type="dxa"/>
              <w:bottom w:w="90" w:type="dxa"/>
              <w:end w:w="100" w:type="dxa"/>
            </w:tcMar>
            <w:vAlign w:val="center"/>
          </w:tcPr>
          <w:p>
            <w:r>
              <w:t>Stochastic Reper adaptedness</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NAPG-specific</w:t>
            </w:r>
          </w:p>
        </w:tc>
      </w:tr>
      <w:tr>
        <w:tc>
          <w:tcPr>
            <w:tcW w:type="dxa" w:w="1512"/>
            <w:tcMar>
              <w:top w:w="90" w:type="dxa"/>
              <w:start w:w="100" w:type="dxa"/>
              <w:bottom w:w="90" w:type="dxa"/>
              <w:end w:w="100" w:type="dxa"/>
            </w:tcMar>
            <w:vAlign w:val="center"/>
          </w:tcPr>
          <w:p>
            <w:r>
              <w:t>T2-PO-382</w:t>
            </w:r>
          </w:p>
        </w:tc>
        <w:tc>
          <w:tcPr>
            <w:tcW w:type="dxa" w:w="5112"/>
            <w:tcMar>
              <w:top w:w="90" w:type="dxa"/>
              <w:start w:w="100" w:type="dxa"/>
              <w:bottom w:w="90" w:type="dxa"/>
              <w:end w:w="100" w:type="dxa"/>
            </w:tcMar>
            <w:vAlign w:val="center"/>
          </w:tcPr>
          <w:p>
            <w:r>
              <w:t>λ Itô formula and pole control</w:t>
            </w:r>
          </w:p>
        </w:tc>
        <w:tc>
          <w:tcPr>
            <w:tcW w:type="dxa" w:w="1224"/>
            <w:tcMar>
              <w:top w:w="90" w:type="dxa"/>
              <w:start w:w="100" w:type="dxa"/>
              <w:bottom w:w="90" w:type="dxa"/>
              <w:end w:w="100" w:type="dxa"/>
            </w:tcMar>
            <w:vAlign w:val="center"/>
            <w:shd w:fill="fff1cc"/>
          </w:tcPr>
          <w:p>
            <w:r>
              <w:t>COND</w:t>
            </w:r>
          </w:p>
        </w:tc>
        <w:tc>
          <w:tcPr>
            <w:tcW w:type="dxa" w:w="1944"/>
            <w:tcMar>
              <w:top w:w="90" w:type="dxa"/>
              <w:start w:w="100" w:type="dxa"/>
              <w:bottom w:w="90" w:type="dxa"/>
              <w:end w:w="100" w:type="dxa"/>
            </w:tcMar>
            <w:vAlign w:val="center"/>
          </w:tcPr>
          <w:p>
            <w:r>
              <w:t>Smooth chart sector</w:t>
            </w:r>
          </w:p>
        </w:tc>
      </w:tr>
      <w:tr>
        <w:tc>
          <w:tcPr>
            <w:tcW w:type="dxa" w:w="1512"/>
            <w:tcMar>
              <w:top w:w="90" w:type="dxa"/>
              <w:start w:w="100" w:type="dxa"/>
              <w:bottom w:w="90" w:type="dxa"/>
              <w:end w:w="100" w:type="dxa"/>
            </w:tcMar>
            <w:vAlign w:val="center"/>
          </w:tcPr>
          <w:p>
            <w:r>
              <w:t>T2-PO-383</w:t>
            </w:r>
          </w:p>
        </w:tc>
        <w:tc>
          <w:tcPr>
            <w:tcW w:type="dxa" w:w="5112"/>
            <w:tcMar>
              <w:top w:w="90" w:type="dxa"/>
              <w:start w:w="100" w:type="dxa"/>
              <w:bottom w:w="90" w:type="dxa"/>
              <w:end w:w="100" w:type="dxa"/>
            </w:tcMar>
            <w:vAlign w:val="center"/>
          </w:tcPr>
          <w:p>
            <w:r>
              <w:t>Harmonic-locus stochastic invariance</w:t>
            </w:r>
          </w:p>
        </w:tc>
        <w:tc>
          <w:tcPr>
            <w:tcW w:type="dxa" w:w="1224"/>
            <w:tcMar>
              <w:top w:w="90" w:type="dxa"/>
              <w:start w:w="100" w:type="dxa"/>
              <w:bottom w:w="90" w:type="dxa"/>
              <w:end w:w="100" w:type="dxa"/>
            </w:tcMar>
            <w:vAlign w:val="center"/>
            <w:shd w:fill="fff1cc"/>
          </w:tcPr>
          <w:p>
            <w:r>
              <w:t>COND</w:t>
            </w:r>
          </w:p>
        </w:tc>
        <w:tc>
          <w:tcPr>
            <w:tcW w:type="dxa" w:w="1944"/>
            <w:tcMar>
              <w:top w:w="90" w:type="dxa"/>
              <w:start w:w="100" w:type="dxa"/>
              <w:bottom w:w="90" w:type="dxa"/>
              <w:end w:w="100" w:type="dxa"/>
            </w:tcMar>
            <w:vAlign w:val="center"/>
          </w:tcPr>
          <w:p>
            <w:r>
              <w:t>(22.21)</w:t>
            </w:r>
          </w:p>
        </w:tc>
      </w:tr>
      <w:tr>
        <w:tc>
          <w:tcPr>
            <w:tcW w:type="dxa" w:w="1512"/>
            <w:tcMar>
              <w:top w:w="90" w:type="dxa"/>
              <w:start w:w="100" w:type="dxa"/>
              <w:bottom w:w="90" w:type="dxa"/>
              <w:end w:w="100" w:type="dxa"/>
            </w:tcMar>
            <w:vAlign w:val="center"/>
          </w:tcPr>
          <w:p>
            <w:r>
              <w:t>T2-PO-384</w:t>
            </w:r>
          </w:p>
        </w:tc>
        <w:tc>
          <w:tcPr>
            <w:tcW w:type="dxa" w:w="5112"/>
            <w:tcMar>
              <w:top w:w="90" w:type="dxa"/>
              <w:start w:w="100" w:type="dxa"/>
              <w:bottom w:w="90" w:type="dxa"/>
              <w:end w:w="100" w:type="dxa"/>
            </w:tcMar>
            <w:vAlign w:val="center"/>
          </w:tcPr>
          <w:p>
            <w:r>
              <w:t>Martingale residual external test</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Independent data</w:t>
            </w:r>
          </w:p>
        </w:tc>
      </w:tr>
      <w:tr>
        <w:tc>
          <w:tcPr>
            <w:tcW w:type="dxa" w:w="1512"/>
            <w:tcMar>
              <w:top w:w="90" w:type="dxa"/>
              <w:start w:w="100" w:type="dxa"/>
              <w:bottom w:w="90" w:type="dxa"/>
              <w:end w:w="100" w:type="dxa"/>
            </w:tcMar>
            <w:vAlign w:val="center"/>
          </w:tcPr>
          <w:p>
            <w:r>
              <w:t>T2-PO-385</w:t>
            </w:r>
          </w:p>
        </w:tc>
        <w:tc>
          <w:tcPr>
            <w:tcW w:type="dxa" w:w="5112"/>
            <w:tcMar>
              <w:top w:w="90" w:type="dxa"/>
              <w:start w:w="100" w:type="dxa"/>
              <w:bottom w:w="90" w:type="dxa"/>
              <w:end w:w="100" w:type="dxa"/>
            </w:tcMar>
            <w:vAlign w:val="center"/>
          </w:tcPr>
          <w:p>
            <w:r>
              <w:t>Main safe theorem v0.19</w:t>
            </w:r>
          </w:p>
        </w:tc>
        <w:tc>
          <w:tcPr>
            <w:tcW w:type="dxa" w:w="1224"/>
            <w:tcMar>
              <w:top w:w="90" w:type="dxa"/>
              <w:start w:w="100" w:type="dxa"/>
              <w:bottom w:w="90" w:type="dxa"/>
              <w:end w:w="100" w:type="dxa"/>
            </w:tcMar>
            <w:vAlign w:val="center"/>
            <w:shd w:fill="fff1cc"/>
          </w:tcPr>
          <w:p>
            <w:r>
              <w:t>COND</w:t>
            </w:r>
          </w:p>
        </w:tc>
        <w:tc>
          <w:tcPr>
            <w:tcW w:type="dxa" w:w="1944"/>
            <w:tcMar>
              <w:top w:w="90" w:type="dxa"/>
              <w:start w:w="100" w:type="dxa"/>
              <w:bottom w:w="90" w:type="dxa"/>
              <w:end w:w="100" w:type="dxa"/>
            </w:tcMar>
            <w:vAlign w:val="center"/>
          </w:tcPr>
          <w:p>
            <w:r>
              <w:t>Все H1–H12</w:t>
            </w:r>
          </w:p>
        </w:tc>
      </w:tr>
      <w:tr>
        <w:tc>
          <w:tcPr>
            <w:tcW w:type="dxa" w:w="1512"/>
            <w:tcMar>
              <w:top w:w="90" w:type="dxa"/>
              <w:start w:w="100" w:type="dxa"/>
              <w:bottom w:w="90" w:type="dxa"/>
              <w:end w:w="100" w:type="dxa"/>
            </w:tcMar>
            <w:vAlign w:val="center"/>
          </w:tcPr>
          <w:p>
            <w:r>
              <w:t>T2-PO-386</w:t>
            </w:r>
          </w:p>
        </w:tc>
        <w:tc>
          <w:tcPr>
            <w:tcW w:type="dxa" w:w="5112"/>
            <w:tcMar>
              <w:top w:w="90" w:type="dxa"/>
              <w:start w:w="100" w:type="dxa"/>
              <w:bottom w:w="90" w:type="dxa"/>
              <w:end w:w="100" w:type="dxa"/>
            </w:tcMar>
            <w:vAlign w:val="center"/>
          </w:tcPr>
          <w:p>
            <w:r>
              <w:t>Physical/causal export and EXT-RUN</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Independent bridge</w:t>
            </w:r>
          </w:p>
        </w:tc>
      </w:tr>
    </w:tbl>
    <w:p>
      <w:pPr>
        <w:pStyle w:val="Heading1"/>
      </w:pPr>
      <w:r>
        <w:t>326. Prior art и граница авторского вклада</w:t>
      </w:r>
    </w:p>
    <w:p>
      <w:pPr/>
      <w:r>
        <w:t>Классический prior art главы включает Feller/Dynkin semigroup theory, diffusion martingale problems Струка–Варадхана, stochastic calculus Ито, change of measure Гирсанова, stopping-time/martingale theory Дуба, controlled Markov processes и dynamic programming, а также структурные интервенции и g-computation. Авторский слой Тома II состоит в их типизированном соединении с NAPG/KLT-RBD, Reper-path, λ/CGI, Evidence-D, transition horizons, вычислительными сертификатами и многоступенчатым verdict, не смешивающим прогноз, управление и причинность.</w:t>
      </w:r>
    </w:p>
    <w:p>
      <w:pPr/>
      <w:r>
        <w:t>[V0.19-1] Feller, W. Semi-groups of transformations in general weak topologies. Annals of Mathematics 57 (1953), 287–308. [первичный источник]</w:t>
      </w:r>
    </w:p>
    <w:p>
      <w:pPr/>
      <w:r>
        <w:t>[V0.19-2] Dynkin, E. B. Markov processes and semigroups of operators. Theory of Probability and Its Applications 1 (1956), 22–33. DOI 10.1137/1101003. [первичный источник]</w:t>
      </w:r>
    </w:p>
    <w:p>
      <w:pPr/>
      <w:r>
        <w:t>[V0.19-3] Stroock, D. W.; Varadhan, S. R. S. Diffusion processes with continuous coefficients I–II. Communications on Pure and Applied Mathematics 22 (1969), 345–400, 479–530. DOI 10.1002/cpa.3160220304; 10.1002/cpa.3160220404. [первичный источник]</w:t>
      </w:r>
    </w:p>
    <w:p>
      <w:pPr/>
      <w:r>
        <w:t>[V0.19-4] Itô, K. On stochastic differential equations. Memoirs, American Mathematical Society 4 (1951). [первичный источник]</w:t>
      </w:r>
    </w:p>
    <w:p>
      <w:pPr/>
      <w:r>
        <w:t>[V0.19-5] Girsanov, I. V. On transforming a certain class of stochastic processes by absolutely continuous substitution of measures. Theory of Probability and Its Applications 5 (1960), 285–301. [первичный источник]</w:t>
      </w:r>
    </w:p>
    <w:p>
      <w:pPr/>
      <w:r>
        <w:t>[V0.19-6] Doob, J. L. Stochastic Processes. Wiley, 1953. [первичная монография]</w:t>
      </w:r>
    </w:p>
    <w:p>
      <w:pPr/>
      <w:r>
        <w:t>[V0.19-7] Bellman, R. Dynamic Programming. Princeton University Press, 1957. [первичная монография]</w:t>
      </w:r>
    </w:p>
    <w:p>
      <w:pPr/>
      <w:r>
        <w:t>[V0.19-8] Robins, J. M. The role of model selection in causal inference from nonexperimental data. American Journal of Epidemiology 123 (1986), 392–402. DOI 10.1093/oxfordjournals.aje.a114254. [первичный источник]</w:t>
      </w:r>
    </w:p>
    <w:p>
      <w:pPr/>
      <w:r>
        <w:t>[V0.19-9] Pearl, J. Causal diagrams for empirical research. Biometrika 82 (1995), 669–688. [первичный источник]</w:t>
      </w:r>
    </w:p>
    <w:p>
      <w:pPr/>
      <w:r>
        <w:t>[V0.19-10] Kurpishev, I. B. Том I v197 RU; Том II T2-RP-v0.1–v0.18. [внутренний авторский корпус]</w:t>
      </w:r>
    </w:p>
    <w:p>
      <w:pPr>
        <w:pStyle w:val="Small"/>
      </w:pPr>
      <w:r>
        <w:t>Замороженный Том I v197 RU уже фиксирует независимую проверку, sequential validity и causal-limit discipline; настоящая глава добавляет stochastic generator, stopping/control и intervention carriers, не повышая статусов.</w:t>
      </w:r>
    </w:p>
    <w:p>
      <w:pPr>
        <w:pStyle w:val="Heading1"/>
      </w:pPr>
      <w:r>
        <w:t>327. Контрольная точка и граница вывода</w:t>
      </w:r>
    </w:p>
    <w:p>
      <w:pPr>
        <w:pStyle w:val="Quote"/>
        <w:jc w:val="center"/>
      </w:pPr>
      <w:r>
        <w:t>truth_layer_promotion=0; checkpoint=T2-RP-v0.19; next=T2-RP-v0.20.  (22.28)</w:t>
      </w:r>
    </w:p>
    <w:p>
      <w:pPr/>
      <w:r>
        <w:t>Глава 22 построила стохастический предсказательный интерфейс: Markov/Feller semigroup задаёт наблюдательную эволюцию закона; generator и martingale problem дают аналитико-вероятностную спецификацию; stopping/barrier layer даёт строгие границы first-passage risk; controlled family задаёт policy-dependent laws; structural intervention model отдельно задаёт causal law.</w:t>
      </w:r>
    </w:p>
    <w:p>
      <w:pPr>
        <w:pStyle w:val="Lead"/>
      </w:pPr>
      <w:r>
        <w:t>Ключевой итог: точный отрицательный прогноз возможен при нулевом сертифицированном hitting bound. Положительная малая вероятность остаётся вероятностью, а не невозможностью. Наблюдательный закон не определяет intervention law без идентифицирующих предпосылок.</w:t>
      </w:r>
    </w:p>
    <w:p>
      <w:pPr>
        <w:pStyle w:val="Small"/>
      </w:pPr>
      <w:r>
        <w:t>Следующая сборка tom2_v0_20 развивает large deviations, risk-sensitive semigroups, rare-event geometry, robust ambiguity sets, distributionally robust barriers и finite-sample certification редких переходов.</w:t>
      </w:r>
    </w:p>
    <w:p>
      <w:pPr>
        <w:pStyle w:val="Small"/>
      </w:pPr>
      <w:r>
        <w:t>checkpoint=T2-RP-v0.19; source=T2-RP-v0.18; truth_layer_promotion=0; next=T2-RP-v0.20.</w:t>
      </w:r>
    </w:p>
    <w:p>
      <w:r>
        <w:br w:type="page"/>
      </w:r>
    </w:p>
    <w:p>
      <w:pPr>
        <w:pStyle w:val="Heading1"/>
      </w:pPr>
      <w:r>
        <w:t>Глава 23. Large deviations, risk-sensitive semigroups, геометрия редких событий и конечновыборочная сертификация</w:t>
      </w:r>
    </w:p>
    <w:tbl>
      <w:tblPr>
        <w:tblStyle w:val="TableGrid"/>
        <w:tblW w:type="auto" w:w="0"/>
        <w:jc w:val="center"/>
        <w:tblLook w:firstColumn="1" w:firstRow="1" w:lastColumn="0" w:lastRow="0" w:noHBand="0" w:noVBand="1" w:val="04A0"/>
      </w:tblPr>
      <w:tblGrid>
        <w:gridCol w:w="4876"/>
        <w:gridCol w:w="4876"/>
      </w:tblGrid>
      <w:tr>
        <w:tc>
          <w:tcPr>
            <w:tcW w:type="dxa" w:w="2232"/>
            <w:shd w:fill="1f426b"/>
            <w:vAlign w:val="center"/>
            <w:tcMar>
              <w:top w:w="90" w:type="dxa"/>
              <w:start w:w="100" w:type="dxa"/>
              <w:bottom w:w="90" w:type="dxa"/>
              <w:end w:w="100" w:type="dxa"/>
            </w:tcMar>
          </w:tcPr>
          <w:p>
            <w:r>
              <w:rPr>
                <w:b/>
                <w:color w:val="FFFFFF"/>
              </w:rPr>
              <w:t>ОНТОЛОГИЯ</w:t>
            </w:r>
          </w:p>
        </w:tc>
        <w:tc>
          <w:tcPr>
            <w:tcW w:type="dxa" w:w="7416"/>
            <w:shd w:fill="f4f7fb"/>
            <w:vAlign w:val="center"/>
            <w:tcMar>
              <w:top w:w="90" w:type="dxa"/>
              <w:start w:w="100" w:type="dxa"/>
              <w:bottom w:w="90" w:type="dxa"/>
              <w:end w:w="100" w:type="dxa"/>
            </w:tcMar>
          </w:tcPr>
          <w:p>
            <w:r>
              <w:t>Редкое событие не является “почти несуществующим” объектом. Оно является измеримым множеством путей, конфигураций или реперных состояний, вероятность которого изучается в определённом масштабе и топологии.</w:t>
            </w:r>
          </w:p>
        </w:tc>
      </w:tr>
      <w:tr>
        <w:tc>
          <w:tcPr>
            <w:tcW w:type="dxa" w:w="2232"/>
            <w:shd w:fill="244f79"/>
            <w:vAlign w:val="center"/>
            <w:tcMar>
              <w:top w:w="90" w:type="dxa"/>
              <w:start w:w="100" w:type="dxa"/>
              <w:bottom w:w="90" w:type="dxa"/>
              <w:end w:w="100" w:type="dxa"/>
            </w:tcMar>
          </w:tcPr>
          <w:p>
            <w:r>
              <w:rPr>
                <w:b/>
                <w:color w:val="FFFFFF"/>
              </w:rPr>
              <w:t>ГНОСЕОЛОГИЯ</w:t>
            </w:r>
          </w:p>
        </w:tc>
        <w:tc>
          <w:tcPr>
            <w:tcW w:type="dxa" w:w="7416"/>
            <w:shd w:fill="f4f7fb"/>
            <w:vAlign w:val="center"/>
            <w:tcMar>
              <w:top w:w="90" w:type="dxa"/>
              <w:start w:w="100" w:type="dxa"/>
              <w:bottom w:w="90" w:type="dxa"/>
              <w:end w:w="100" w:type="dxa"/>
            </w:tcMar>
          </w:tcPr>
          <w:p>
            <w:r>
              <w:t>Large-deviation principle сообщает экспоненциальный порядок вероятности, но не точную вероятность при конечном объёме данных. Risk-sensitive functional сообщает экспоненциально взвешенную стоимость, но не частоту события.</w:t>
            </w:r>
          </w:p>
        </w:tc>
      </w:tr>
      <w:tr>
        <w:tc>
          <w:tcPr>
            <w:tcW w:type="dxa" w:w="2232"/>
            <w:shd w:fill="b2872f"/>
            <w:vAlign w:val="center"/>
            <w:tcMar>
              <w:top w:w="90" w:type="dxa"/>
              <w:start w:w="100" w:type="dxa"/>
              <w:bottom w:w="90" w:type="dxa"/>
              <w:end w:w="100" w:type="dxa"/>
            </w:tcMar>
          </w:tcPr>
          <w:p>
            <w:r>
              <w:rPr>
                <w:b/>
                <w:color w:val="FFFFFF"/>
              </w:rPr>
              <w:t>ФЕНОМЕНОЛОГИЯ</w:t>
            </w:r>
          </w:p>
        </w:tc>
        <w:tc>
          <w:tcPr>
            <w:tcW w:type="dxa" w:w="7416"/>
            <w:shd w:fill="f4f7fb"/>
            <w:vAlign w:val="center"/>
            <w:tcMar>
              <w:top w:w="90" w:type="dxa"/>
              <w:start w:w="100" w:type="dxa"/>
              <w:bottom w:w="90" w:type="dxa"/>
              <w:end w:w="100" w:type="dxa"/>
            </w:tcMar>
          </w:tcPr>
          <w:p>
            <w:r>
              <w:t>Редкий переход проявляется как траектория, преодолевающая action barrier. Наиболее вероятный путь редкого события является вариационным кандидатом, а не зарегистрированным будущим.</w:t>
            </w:r>
          </w:p>
        </w:tc>
      </w:tr>
      <w:tr>
        <w:tc>
          <w:tcPr>
            <w:tcW w:type="dxa" w:w="2232"/>
            <w:shd w:fill="f4e6c3"/>
            <w:vAlign w:val="center"/>
            <w:tcMar>
              <w:top w:w="90" w:type="dxa"/>
              <w:start w:w="100" w:type="dxa"/>
              <w:bottom w:w="90" w:type="dxa"/>
              <w:end w:w="100" w:type="dxa"/>
            </w:tcMar>
          </w:tcPr>
          <w:p>
            <w:r>
              <w:rPr>
                <w:b/>
                <w:color w:val="5B3B00"/>
              </w:rPr>
              <w:t>ГРАНИЦА</w:t>
            </w:r>
          </w:p>
        </w:tc>
        <w:tc>
          <w:tcPr>
            <w:tcW w:type="dxa" w:w="7416"/>
            <w:shd w:fill="fff8e7"/>
            <w:vAlign w:val="center"/>
            <w:tcMar>
              <w:top w:w="90" w:type="dxa"/>
              <w:start w:w="100" w:type="dxa"/>
              <w:bottom w:w="90" w:type="dxa"/>
              <w:end w:w="100" w:type="dxa"/>
            </w:tcMar>
          </w:tcPr>
          <w:p>
            <w:r>
              <w:t>Асимптотика, собственное значение, квазипотенциал, отсутствие наблюдённых событий и λ-близость не разрешают вывод “событие невозможно”. Требуются finite-n bound, coverage, D/Dom и внешний тест.</w:t>
            </w:r>
          </w:p>
        </w:tc>
      </w:tr>
    </w:tbl>
    <w:p>
      <w:pPr>
        <w:pStyle w:val="Lead"/>
      </w:pPr>
      <w:r>
        <w:t>Статус главы: theorem/conditional/computational package. Глава строит редкособытийный слой над stochastic carrier v0.19 и сохраняет раздельность математического, вероятностного, причинного и физического статусов.</w:t>
      </w:r>
    </w:p>
    <w:p>
      <w:pPr>
        <w:pStyle w:val="Quote"/>
        <w:jc w:val="center"/>
      </w:pPr>
      <w:r>
        <w:t>truth_layer_promotion=0; source=T2-RP-v0.19; checkpoint=T2-RP-v0.20.  (23.1)</w:t>
      </w:r>
    </w:p>
    <w:p>
      <w:pPr>
        <w:pStyle w:val="Heading1"/>
      </w:pPr>
      <w:r>
        <w:t>329. Четыре уровня редкособытийного вывода</w:t>
      </w:r>
    </w:p>
    <w:p>
      <w:pPr>
        <w:pStyle w:val="Heading2"/>
      </w:pPr>
      <w:r>
        <w:t>Типизированная лестница</w:t>
      </w:r>
    </w:p>
    <w:tbl>
      <w:tblPr>
        <w:tblStyle w:val="TableGrid"/>
        <w:tblW w:type="auto" w:w="0"/>
        <w:jc w:val="center"/>
        <w:tblLook w:firstColumn="1" w:firstRow="1" w:lastColumn="0" w:lastRow="0" w:noHBand="0" w:noVBand="1" w:val="04A0"/>
      </w:tblPr>
      <w:tblGrid>
        <w:gridCol w:w="4876"/>
        <w:gridCol w:w="4876"/>
      </w:tblGrid>
      <w:tr>
        <w:trPr>
          <w:tblHeader w:val="true"/>
        </w:trPr>
        <w:tc>
          <w:tcPr>
            <w:tcW w:type="dxa" w:w="3168"/>
            <w:shd w:fill="1f426b"/>
            <w:tcMar>
              <w:top w:w="90" w:type="dxa"/>
              <w:start w:w="100" w:type="dxa"/>
              <w:bottom w:w="90" w:type="dxa"/>
              <w:end w:w="100" w:type="dxa"/>
            </w:tcMar>
          </w:tcPr>
          <w:p>
            <w:r>
              <w:rPr>
                <w:b/>
                <w:color w:val="FFFFFF"/>
              </w:rPr>
              <w:t>Объект</w:t>
            </w:r>
          </w:p>
        </w:tc>
        <w:tc>
          <w:tcPr>
            <w:tcW w:type="dxa" w:w="6480"/>
            <w:shd w:fill="1f426b"/>
            <w:tcMar>
              <w:top w:w="90" w:type="dxa"/>
              <w:start w:w="100" w:type="dxa"/>
              <w:bottom w:w="90" w:type="dxa"/>
              <w:end w:w="100" w:type="dxa"/>
            </w:tcMar>
          </w:tcPr>
          <w:p>
            <w:r>
              <w:rPr>
                <w:b/>
                <w:color w:val="FFFFFF"/>
              </w:rPr>
              <w:t>Строгая роль и ограничение</w:t>
            </w:r>
          </w:p>
        </w:tc>
      </w:tr>
      <w:tr>
        <w:tc>
          <w:tcPr>
            <w:tcW w:type="dxa" w:w="3168"/>
            <w:tcMar>
              <w:top w:w="90" w:type="dxa"/>
              <w:start w:w="100" w:type="dxa"/>
              <w:bottom w:w="90" w:type="dxa"/>
              <w:end w:w="100" w:type="dxa"/>
            </w:tcMar>
            <w:vAlign w:val="center"/>
          </w:tcPr>
          <w:p>
            <w:r>
              <w:t>L0: support impossibility</w:t>
            </w:r>
          </w:p>
        </w:tc>
        <w:tc>
          <w:tcPr>
            <w:tcW w:type="dxa" w:w="6480"/>
            <w:tcMar>
              <w:top w:w="90" w:type="dxa"/>
              <w:start w:w="100" w:type="dxa"/>
              <w:bottom w:w="90" w:type="dxa"/>
              <w:end w:w="100" w:type="dxa"/>
            </w:tcMar>
            <w:vAlign w:val="center"/>
          </w:tcPr>
          <w:p>
            <w:r>
              <w:t>Целевое множество не пересекает допустимый support или достижимое множество. Только здесь возможна точная вероятность 0 внутри модели.</w:t>
            </w:r>
          </w:p>
        </w:tc>
      </w:tr>
      <w:tr>
        <w:tc>
          <w:tcPr>
            <w:tcW w:type="dxa" w:w="3168"/>
            <w:tcMar>
              <w:top w:w="90" w:type="dxa"/>
              <w:start w:w="100" w:type="dxa"/>
              <w:bottom w:w="90" w:type="dxa"/>
              <w:end w:w="100" w:type="dxa"/>
            </w:tcMar>
            <w:vAlign w:val="center"/>
          </w:tcPr>
          <w:p>
            <w:r>
              <w:t>L1: finite-sample risk bound</w:t>
            </w:r>
          </w:p>
        </w:tc>
        <w:tc>
          <w:tcPr>
            <w:tcW w:type="dxa" w:w="6480"/>
            <w:tcMar>
              <w:top w:w="90" w:type="dxa"/>
              <w:start w:w="100" w:type="dxa"/>
              <w:bottom w:w="90" w:type="dxa"/>
              <w:end w:w="100" w:type="dxa"/>
            </w:tcMar>
            <w:vAlign w:val="center"/>
          </w:tcPr>
          <w:p>
            <w:r>
              <w:t>С вероятностью не ниже 1-β по данным доказано P(A)≤α. Это конечновыборочная граница, а не асимптотика.</w:t>
            </w:r>
          </w:p>
        </w:tc>
      </w:tr>
      <w:tr>
        <w:tc>
          <w:tcPr>
            <w:tcW w:type="dxa" w:w="3168"/>
            <w:tcMar>
              <w:top w:w="90" w:type="dxa"/>
              <w:start w:w="100" w:type="dxa"/>
              <w:bottom w:w="90" w:type="dxa"/>
              <w:end w:w="100" w:type="dxa"/>
            </w:tcMar>
            <w:vAlign w:val="center"/>
          </w:tcPr>
          <w:p>
            <w:r>
              <w:t>L2: exponential suppression</w:t>
            </w:r>
          </w:p>
        </w:tc>
        <w:tc>
          <w:tcPr>
            <w:tcW w:type="dxa" w:w="6480"/>
            <w:tcMar>
              <w:top w:w="90" w:type="dxa"/>
              <w:start w:w="100" w:type="dxa"/>
              <w:bottom w:w="90" w:type="dxa"/>
              <w:end w:w="100" w:type="dxa"/>
            </w:tcMar>
            <w:vAlign w:val="center"/>
          </w:tcPr>
          <w:p>
            <w:r>
              <w:t>Доказан LDP и положительный rate barrier c_A. Получается логарифмическая асимптотика или eventual bound.</w:t>
            </w:r>
          </w:p>
        </w:tc>
      </w:tr>
      <w:tr>
        <w:tc>
          <w:tcPr>
            <w:tcW w:type="dxa" w:w="3168"/>
            <w:tcMar>
              <w:top w:w="90" w:type="dxa"/>
              <w:start w:w="100" w:type="dxa"/>
              <w:bottom w:w="90" w:type="dxa"/>
              <w:end w:w="100" w:type="dxa"/>
            </w:tcMar>
            <w:vAlign w:val="center"/>
          </w:tcPr>
          <w:p>
            <w:r>
              <w:t>L3: low-action candidate</w:t>
            </w:r>
          </w:p>
        </w:tc>
        <w:tc>
          <w:tcPr>
            <w:tcW w:type="dxa" w:w="6480"/>
            <w:tcMar>
              <w:top w:w="90" w:type="dxa"/>
              <w:start w:w="100" w:type="dxa"/>
              <w:bottom w:w="90" w:type="dxa"/>
              <w:end w:w="100" w:type="dxa"/>
            </w:tcMar>
            <w:vAlign w:val="center"/>
          </w:tcPr>
          <w:p>
            <w:r>
              <w:t>Найден минимально-действующий путь или малый rate. Это кандидат редкого перехода, не его наступление.</w:t>
            </w:r>
          </w:p>
        </w:tc>
      </w:tr>
      <w:tr>
        <w:tc>
          <w:tcPr>
            <w:tcW w:type="dxa" w:w="3168"/>
            <w:tcMar>
              <w:top w:w="90" w:type="dxa"/>
              <w:start w:w="100" w:type="dxa"/>
              <w:bottom w:w="90" w:type="dxa"/>
              <w:end w:w="100" w:type="dxa"/>
            </w:tcMar>
            <w:vAlign w:val="center"/>
          </w:tcPr>
          <w:p>
            <w:r>
              <w:t>L4: empirical event</w:t>
            </w:r>
          </w:p>
        </w:tc>
        <w:tc>
          <w:tcPr>
            <w:tcW w:type="dxa" w:w="6480"/>
            <w:tcMar>
              <w:top w:w="90" w:type="dxa"/>
              <w:start w:w="100" w:type="dxa"/>
              <w:bottom w:w="90" w:type="dxa"/>
              <w:end w:w="100" w:type="dxa"/>
            </w:tcMar>
            <w:vAlign w:val="center"/>
          </w:tcPr>
          <w:p>
            <w:r>
              <w:t>Событие зарегистрировано независимым наблюдением. Только этот слой сообщает фактическое наступление.</w:t>
            </w:r>
          </w:p>
        </w:tc>
      </w:tr>
    </w:tbl>
    <w:p>
      <w:pPr/>
      <w:r>
        <w:t>Основной firewall главы: L2 не подменяет L1, а L3 не подменяет L4. Человеческая любовь к одному числу на все случаи вновь подвергнута ограничению области определения.</w:t>
      </w:r>
    </w:p>
    <w:p>
      <w:pPr>
        <w:pStyle w:val="Heading1"/>
      </w:pPr>
      <w:r>
        <w:t>330. Определение large-deviation principle</w:t>
      </w:r>
    </w:p>
    <w:p>
      <w:pPr/>
      <w:r>
        <w:t>Пусть Z_n принимает значения в хаусдорфовом топологическом пространстве 𝒳, а a_n→∞ является скоростью. Функция I:𝒳→[0,∞] называется rate function, если она полунепрерывна снизу; good rate function имеет компактные подуровни {I≤c}. Семейство удовлетворяет LDP, если для всякого борелевского A</w:t>
      </w:r>
    </w:p>
    <w:p>
      <w:pPr>
        <w:pStyle w:val="Quote"/>
        <w:jc w:val="center"/>
      </w:pPr>
      <w:r>
        <w:t>-inf_{x∈A°} I(x) ≤ liminf_n a_n^{-1}log P(Z_n∈A) ≤ limsup_n a_n^{-1}log P(Z_n∈A) ≤ -inf_{x∈cl A}I(x).  (23.2)</w:t>
      </w:r>
    </w:p>
    <w:p>
      <w:pPr/>
      <w:r>
        <w:t>Верхняя и нижняя оценки используют разные регуляризации множества. Равенство экспоненты получается только для I-continuity sets, где inf по внутренности и замыканию совпадает.</w:t>
      </w:r>
    </w:p>
    <w:p>
      <w:pPr>
        <w:pStyle w:val="Heading1"/>
      </w:pPr>
      <w:r>
        <w:t>331. Экспоненциальная tightness и good rate</w:t>
      </w:r>
    </w:p>
    <w:p>
      <w:pPr/>
      <w:r>
        <w:t>Экспоненциальная tightness означает: для каждого M существует компакт K_M, для которого</w:t>
      </w:r>
    </w:p>
    <w:p>
      <w:pPr>
        <w:pStyle w:val="Quote"/>
        <w:jc w:val="center"/>
      </w:pPr>
      <w:r>
        <w:t>limsup_n a_n^{-1}log P(Z_n∉K_M) ≤ -M.  (23.3)</w:t>
      </w:r>
    </w:p>
    <w:p>
      <w:pPr/>
      <w:r>
        <w:t>Она позволяет усиливать weak LDP на компактах до полной верхней оценки на замкнутых множествах при стандартных условиях. В бесконечномерных path spaces compactness является отдельным доказательным обязательством; ограниченность нормы обычно недостаточна.</w:t>
      </w:r>
    </w:p>
    <w:p>
      <w:pPr>
        <w:pStyle w:val="Heading1"/>
      </w:pPr>
      <w:r>
        <w:t>332. Contraction principle</w:t>
      </w:r>
    </w:p>
    <w:p>
      <w:pPr/>
      <w:r>
        <w:t>Теорема 23.1 (contraction principle). [THM/prior art] Если Z_n удовлетворяет LDP на 𝒳 с good rate I и F:𝒳→𝒴 непрерывно, то Y_n=F(Z_n) удовлетворяет LDP с rate</w:t>
      </w:r>
    </w:p>
    <w:p>
      <w:pPr>
        <w:pStyle w:val="Quote"/>
        <w:jc w:val="center"/>
      </w:pPr>
      <w:r>
        <w:t>J(y)=inf{I(x):F(x)=y},    inf∅=∞.  (23.4)</w:t>
      </w:r>
    </w:p>
    <w:p>
      <w:pPr/>
      <w:r>
        <w:t>Для KLT-RBD отображением F может быть λ-координата, obstruction profile, hitting functional или projection к конечному реперному графу. Непрерывность проверяется в выбранной топологии; у полюсов кросс-соотношения contraction principle напрямую неприменим.</w:t>
      </w:r>
    </w:p>
    <w:p>
      <w:pPr>
        <w:jc w:val="center"/>
      </w:pPr>
      <w:r>
        <w:drawing>
          <wp:inline xmlns:a="http://schemas.openxmlformats.org/drawingml/2006/main" xmlns:pic="http://schemas.openxmlformats.org/drawingml/2006/picture">
            <wp:extent cx="6126480" cy="4034006"/>
            <wp:docPr id="61" name="Picture 61"/>
            <wp:cNvGraphicFramePr>
              <a:graphicFrameLocks noChangeAspect="1"/>
            </wp:cNvGraphicFramePr>
            <a:graphic>
              <a:graphicData uri="http://schemas.openxmlformats.org/drawingml/2006/picture">
                <pic:pic>
                  <pic:nvPicPr>
                    <pic:cNvPr id="0" name="fig23_1.png"/>
                    <pic:cNvPicPr/>
                  </pic:nvPicPr>
                  <pic:blipFill>
                    <a:blip r:embed="rId98"/>
                    <a:stretch>
                      <a:fillRect/>
                    </a:stretch>
                  </pic:blipFill>
                  <pic:spPr>
                    <a:xfrm>
                      <a:off x="0" y="0"/>
                      <a:ext cx="6126480" cy="4034006"/>
                    </a:xfrm>
                    <a:prstGeom prst="rect"/>
                  </pic:spPr>
                </pic:pic>
              </a:graphicData>
            </a:graphic>
          </wp:inline>
        </w:drawing>
      </w:r>
    </w:p>
    <w:p>
      <w:pPr>
        <w:pStyle w:val="Caption"/>
        <w:jc w:val="center"/>
      </w:pPr>
      <w:r>
        <w:t>Рисунок 23.1. Large-deviation pipeline и доказательный firewall. Собственная схема Тома II.</w:t>
      </w:r>
    </w:p>
    <w:p>
      <w:pPr>
        <w:pStyle w:val="Heading1"/>
      </w:pPr>
      <w:r>
        <w:t>333. Laplace principle и лемма Варадана</w:t>
      </w:r>
    </w:p>
    <w:p>
      <w:pPr/>
      <w:r>
        <w:t>Laplace principle утверждает для подходящих ограниченных непрерывных F:</w:t>
      </w:r>
    </w:p>
    <w:p>
      <w:pPr>
        <w:pStyle w:val="Quote"/>
        <w:jc w:val="center"/>
      </w:pPr>
      <w:r>
        <w:t>lim_n a_n^{-1}log E exp(a_n F(Z_n)) = sup_{x∈𝒳}{F(x)-I(x)}.  (23.5)</w:t>
      </w:r>
    </w:p>
    <w:p>
      <w:pPr/>
      <w:r>
        <w:t>На польских пространствах при стандартных условиях Laplace principle эквивалентен LDP. Неограниченные F требуют exponential integrability или tail condition. Формула (23.5) является вариационным пределом, а не точным равенством для конечного n.</w:t>
      </w:r>
    </w:p>
    <w:p>
      <w:pPr>
        <w:pStyle w:val="Heading1"/>
      </w:pPr>
      <w:r>
        <w:t>334. Gärtner-Ellis theorem и границы применимости</w:t>
      </w:r>
    </w:p>
    <w:p>
      <w:pPr/>
      <w:r>
        <w:t>Пусть для θ в двойственном пространстве существует scaled cumulant generating function</w:t>
      </w:r>
    </w:p>
    <w:p>
      <w:pPr>
        <w:pStyle w:val="Quote"/>
        <w:jc w:val="center"/>
      </w:pPr>
      <w:r>
        <w:t>Λ(θ)=lim_n a_n^{-1}log E exp(a_n⟨θ,Z_n⟩).  (23.6)</w:t>
      </w:r>
    </w:p>
    <w:p>
      <w:pPr/>
      <w:r>
        <w:t>Кандидат rate задаётся Legendre-Fenchel transform I(x)=sup_θ{⟨θ,x⟩-Λ(θ)}. Полная нижняя оценка требует условий вроде essential smoothness/steepness или экспонированных точек. Простое существование Λ не гарантирует полный LDP, особенно на границе effective domain.</w:t>
      </w:r>
    </w:p>
    <w:p>
      <w:pPr/>
      <w:r>
        <w:t>Контрпредупреждение: недифференцируемость Λ может отражать сосуществование фаз или потерю единственности оптимального tilt. Она является structural signal, но не автоматически физическим фазовым переходом.</w:t>
      </w:r>
    </w:p>
    <w:p>
      <w:pPr>
        <w:pStyle w:val="Heading1"/>
      </w:pPr>
      <w:r>
        <w:t>335. Sanov layer: эмпирическая мера и относительная энтропия</w:t>
      </w:r>
    </w:p>
    <w:p>
      <w:pPr/>
      <w:r>
        <w:t>Для i.i.d. выборки X_1,…,X_n с законом P эмпирическая мера L_n=n^{-1}Σδ_{X_i} при стандартных условиях удовлетворяет LDP со скоростью n и rate</w:t>
      </w:r>
    </w:p>
    <w:p>
      <w:pPr>
        <w:pStyle w:val="Quote"/>
        <w:jc w:val="center"/>
      </w:pPr>
      <w:r>
        <w:t>I(Q)=D(Q||P),  (23.7)</w:t>
      </w:r>
    </w:p>
    <w:p>
      <w:pPr/>
      <w:r>
        <w:t>где D(Q||P) - относительная энтропия, равная ∞ при Q не абсолютно непрерывной относительно P. Sanov layer связывает отклонение эмпирического распределения с информационной стоимостью, но не делает KL-divergence физической энергией без отдельного моста.</w:t>
      </w:r>
    </w:p>
    <w:p>
      <w:pPr>
        <w:pStyle w:val="Heading1"/>
      </w:pPr>
      <w:r>
        <w:t>336. Path-space LDP и topology ledger</w:t>
      </w:r>
    </w:p>
    <w:p>
      <w:pPr/>
      <w:r>
        <w:t>Для процессов объектом LDP является закон на C([0,T],E), D([0,T],E) или иной path space. Сертификат обязан фиксировать topology: uniform, Skorokhod J1/M1, weak topology мер или projective topology. Один и тот же набор путей может иметь разные compactness и continuity properties в разных топологиях.</w:t>
      </w:r>
    </w:p>
    <w:p>
      <w:pPr/>
      <w:r>
        <w:t>В KLT-RBD topology ledger хранит: state metric, path topology, admissible discontinuities, boundary conditions, measurable target sets и continuity status всех реперных отображений.</w:t>
      </w:r>
    </w:p>
    <w:p>
      <w:pPr>
        <w:pStyle w:val="Heading1"/>
      </w:pPr>
      <w:r>
        <w:t>337. Freidlin-Wentzell action для малошумных диффузий</w:t>
      </w:r>
    </w:p>
    <w:p>
      <w:pPr/>
      <w:r>
        <w:t>Для семейства</w:t>
      </w:r>
    </w:p>
    <w:p>
      <w:pPr>
        <w:pStyle w:val="Quote"/>
        <w:jc w:val="center"/>
      </w:pPr>
      <w:r>
        <w:t>dX_t^ε=b(X_t^ε)dt+√ε σ(X_t^ε)dW_t  (23.8)</w:t>
      </w:r>
    </w:p>
    <w:p>
      <w:pPr/>
      <w:r>
        <w:t>при невырожденной a=σσᵀ и стандартных условиях path rate для абсолютно непрерывной φ с φ(0)=x_0 имеет вид</w:t>
      </w:r>
    </w:p>
    <w:p>
      <w:pPr>
        <w:pStyle w:val="Quote"/>
        <w:jc w:val="center"/>
      </w:pPr>
      <w:r>
        <w:t>S_{0T}(φ)=1/2 ∫_0^T ⟨φ_dot-b(φ), a(φ)^{-1}(φ_dot-b(φ))⟩ dt,  (23.9)</w:t>
      </w:r>
    </w:p>
    <w:p>
      <w:pPr/>
      <w:r>
        <w:t>а для остальных путей S=∞. В вырожденном случае требуется control representation и проверка достижимости; формула с a^{-1} может быть бессмысленной.</w:t>
      </w:r>
    </w:p>
    <w:p>
      <w:pPr>
        <w:pStyle w:val="Heading1"/>
      </w:pPr>
      <w:r>
        <w:t>338. Quasipotential и геометрия метастабильных переходов</w:t>
      </w:r>
    </w:p>
    <w:p>
      <w:pPr/>
      <w:r>
        <w:t>Квазипотенциал между x и y определяется</w:t>
      </w:r>
    </w:p>
    <w:p>
      <w:pPr>
        <w:pStyle w:val="Quote"/>
        <w:jc w:val="center"/>
      </w:pPr>
      <w:r>
        <w:t>V(x,y)=inf_{T&gt;0} inf_{φ(0)=x, φ(T)=y} S_{0T}(φ).  (23.10)</w:t>
      </w:r>
    </w:p>
    <w:p>
      <w:pPr/>
      <w:r>
        <w:t>Для множеств A,B используется inf по начальным и конечным точкам. Минимизатор, если он существует, является most probable transition path на логарифмическом масштабе. Он не является детерминированной будущей траекторией и может быть неединственным.</w:t>
      </w:r>
    </w:p>
    <w:p>
      <w:pPr>
        <w:jc w:val="center"/>
      </w:pPr>
      <w:r>
        <w:drawing>
          <wp:inline xmlns:a="http://schemas.openxmlformats.org/drawingml/2006/main" xmlns:pic="http://schemas.openxmlformats.org/drawingml/2006/picture">
            <wp:extent cx="6126480" cy="3689686"/>
            <wp:docPr id="62" name="Picture 62"/>
            <wp:cNvGraphicFramePr>
              <a:graphicFrameLocks noChangeAspect="1"/>
            </wp:cNvGraphicFramePr>
            <a:graphic>
              <a:graphicData uri="http://schemas.openxmlformats.org/drawingml/2006/picture">
                <pic:pic>
                  <pic:nvPicPr>
                    <pic:cNvPr id="0" name="fig23_2.png"/>
                    <pic:cNvPicPr/>
                  </pic:nvPicPr>
                  <pic:blipFill>
                    <a:blip r:embed="rId99"/>
                    <a:stretch>
                      <a:fillRect/>
                    </a:stretch>
                  </pic:blipFill>
                  <pic:spPr>
                    <a:xfrm>
                      <a:off x="0" y="0"/>
                      <a:ext cx="6126480" cy="3689686"/>
                    </a:xfrm>
                    <a:prstGeom prst="rect"/>
                  </pic:spPr>
                </pic:pic>
              </a:graphicData>
            </a:graphic>
          </wp:inline>
        </w:drawing>
      </w:r>
    </w:p>
    <w:p>
      <w:pPr>
        <w:pStyle w:val="Caption"/>
        <w:jc w:val="center"/>
      </w:pPr>
      <w:r>
        <w:t>Рисунок 23.2. Quasipotential barrier и минимально-действующая траектория. Собственная схема Тома II.</w:t>
      </w:r>
    </w:p>
    <w:p>
      <w:pPr>
        <w:pStyle w:val="Heading1"/>
      </w:pPr>
      <w:r>
        <w:t>339. Редкособытийная геометрия Reper-path</w:t>
      </w:r>
    </w:p>
    <w:p>
      <w:pPr/>
      <w:r>
        <w:t>Пусть структурное состояние z включает</w:t>
      </w:r>
    </w:p>
    <w:p>
      <w:pPr>
        <w:pStyle w:val="Quote"/>
        <w:jc w:val="center"/>
      </w:pPr>
      <w:r>
        <w:t>z=(Rep, μ, Ass, o, λ, D, Dom).  (23.11)</w:t>
      </w:r>
    </w:p>
    <w:p>
      <w:pPr/>
      <w:r>
        <w:t>Для path z(·) вводится target rare-event set</w:t>
      </w:r>
    </w:p>
    <w:p>
      <w:pPr>
        <w:pStyle w:val="Quote"/>
        <w:jc w:val="center"/>
      </w:pPr>
      <w:r>
        <w:t>A_{ε,η}={z(·): inf_t |λ_t+1|≤ε, ||o_t||≤η, Valid(D_t)=1, Block_t=∅}.  (23.12)</w:t>
      </w:r>
    </w:p>
    <w:p>
      <w:pPr/>
      <w:r>
        <w:t>Rate barrier</w:t>
      </w:r>
    </w:p>
    <w:p>
      <w:pPr>
        <w:pStyle w:val="Quote"/>
        <w:jc w:val="center"/>
      </w:pPr>
      <w:r>
        <w:t>c_{ε,η}=inf_{z(·)∈cl A_{ε,η}} I_path(z).  (23.13)</w:t>
      </w:r>
    </w:p>
    <w:p>
      <w:pPr/>
      <w:r>
        <w:t>имеет смысл только после доказательства LDP полного структурного carrier и измеримости A_{ε,η}. В текущем Томе эта конструкция является typed interface, а не доказанным универсальным LDP для всей NAPG.</w:t>
      </w:r>
    </w:p>
    <w:p>
      <w:pPr>
        <w:pStyle w:val="Heading1"/>
      </w:pPr>
      <w:r>
        <w:t>340. Полюса λ и расширенный contraction firewall</w:t>
      </w:r>
    </w:p>
    <w:p>
      <w:pPr/>
      <w:r>
        <w:t>Кросс-соотношение λ=(U-R)(I-D)/((U-D)(I-R)) не непрерывно на pole set {(U-D)(I-R)=0}. Если rare-event target касается полюса, обычный contraction principle не применим.</w:t>
      </w:r>
    </w:p>
    <w:p>
      <w:pPr/>
      <w:r>
        <w:t>Допустимы три ремонта:</w:t>
      </w:r>
    </w:p>
    <w:p>
      <w:pPr>
        <w:pStyle w:val="ListBullet"/>
      </w:pPr>
      <w:r>
        <w:t>доказать exponential negligibility окрестности pole set;</w:t>
      </w:r>
    </w:p>
    <w:p>
      <w:pPr>
        <w:pStyle w:val="ListBullet"/>
      </w:pPr>
      <w:r>
        <w:t>расширить state carrier однородными координатами и использовать projective graph closure;</w:t>
      </w:r>
    </w:p>
    <w:p>
      <w:pPr>
        <w:pStyle w:val="ListBullet"/>
      </w:pPr>
      <w:r>
        <w:t>разбить Dom на карты и доказать exponential equivalence локальных представлений.</w:t>
      </w:r>
    </w:p>
    <w:p>
      <w:pPr/>
      <w:r>
        <w:t>При отсутствии ремонта вывод обязан быть ABSTAIN, даже если численный λ выглядит внушительно. Особенно если выглядит внушительно.</w:t>
      </w:r>
    </w:p>
    <w:p>
      <w:pPr>
        <w:pStyle w:val="Heading1"/>
      </w:pPr>
      <w:r>
        <w:t>341. Donsker-Varadhan layer для эмпирических мер Markov-процесса</w:t>
      </w:r>
    </w:p>
    <w:p>
      <w:pPr/>
      <w:r>
        <w:t>Для эргодического Markov-процесса time-empirical measure</w:t>
      </w:r>
    </w:p>
    <w:p>
      <w:pPr>
        <w:pStyle w:val="Quote"/>
        <w:jc w:val="center"/>
      </w:pPr>
      <w:r>
        <w:t>L_T=(1/T)∫_0^T δ_{X_t}dt  (23.14)</w:t>
      </w:r>
    </w:p>
    <w:p>
      <w:pPr/>
      <w:r>
        <w:t>может удовлетворять LDP со скоростью T и Donsker-Varadhan rate functional. Общая вариационная форма зависит от генератора и domain; в подходящем секторе</w:t>
      </w:r>
    </w:p>
    <w:p>
      <w:pPr>
        <w:pStyle w:val="Quote"/>
        <w:jc w:val="center"/>
      </w:pPr>
      <w:r>
        <w:t>I_DV(μ)= -inf_{u&gt;0} ∫ (Lu/u)dμ.  (23.15)</w:t>
      </w:r>
    </w:p>
    <w:p>
      <w:pPr/>
      <w:r>
        <w:t>Требуются irreducibility/recurrence и аналитические условия. Формула не переносится на произвольный partial NAPG-generator без доказательства.</w:t>
      </w:r>
    </w:p>
    <w:p>
      <w:pPr>
        <w:pStyle w:val="Heading1"/>
      </w:pPr>
      <w:r>
        <w:t>342. Feynman-Kac semigroup</w:t>
      </w:r>
    </w:p>
    <w:p>
      <w:pPr/>
      <w:r>
        <w:t>Для потенциала V и Markov process X_t определяется положительный semigroup</w:t>
      </w:r>
    </w:p>
    <w:p>
      <w:pPr>
        <w:pStyle w:val="Quote"/>
        <w:jc w:val="center"/>
      </w:pPr>
      <w:r>
        <w:t>(Q_t^V f)(x)=E_x[exp(∫_0^t V(X_s)ds) f(X_t)].  (23.16)</w:t>
      </w:r>
    </w:p>
    <w:p>
      <w:pPr/>
      <w:r>
        <w:t>В отличие от Markov semigroup, Q_t^V обычно не сохраняет единицу. Его long-time growth связан с principal eigenvalue или spectral bound при дополнительных compactness/irreducibility assumptions.</w:t>
      </w:r>
    </w:p>
    <w:p>
      <w:pPr>
        <w:pStyle w:val="Heading1"/>
      </w:pPr>
      <w:r>
        <w:t>343. Risk-sensitive логарифмический semigroup</w:t>
      </w:r>
    </w:p>
    <w:p>
      <w:pPr/>
      <w:r>
        <w:t>Для θ≠0 и terminal cost g вводится</w:t>
      </w:r>
    </w:p>
    <w:p>
      <w:pPr>
        <w:pStyle w:val="Quote"/>
        <w:jc w:val="center"/>
      </w:pPr>
      <w:r>
        <w:t>(S_t^{θ,V}g)(x)=θ^{-1} log E_x exp(θ[g(X_t)+∫_0^t V(X_s)ds]).  (23.17)</w:t>
      </w:r>
    </w:p>
    <w:p>
      <w:pPr/>
      <w:r>
        <w:t>Markov property и additive cost дают нелинейное semigroup property. Параметр θ&gt;0 усиливает верхние хвосты стоимости; θ&lt;0 меняет ориентацию риска. Значение θ является частью модели, а не универсальной константой осторожности.</w:t>
      </w:r>
    </w:p>
    <w:p>
      <w:pPr>
        <w:jc w:val="center"/>
      </w:pPr>
      <w:r>
        <w:drawing>
          <wp:inline xmlns:a="http://schemas.openxmlformats.org/drawingml/2006/main" xmlns:pic="http://schemas.openxmlformats.org/drawingml/2006/picture">
            <wp:extent cx="6126480" cy="3957532"/>
            <wp:docPr id="63" name="Picture 63"/>
            <wp:cNvGraphicFramePr>
              <a:graphicFrameLocks noChangeAspect="1"/>
            </wp:cNvGraphicFramePr>
            <a:graphic>
              <a:graphicData uri="http://schemas.openxmlformats.org/drawingml/2006/picture">
                <pic:pic>
                  <pic:nvPicPr>
                    <pic:cNvPr id="0" name="fig23_3.png"/>
                    <pic:cNvPicPr/>
                  </pic:nvPicPr>
                  <pic:blipFill>
                    <a:blip r:embed="rId100"/>
                    <a:stretch>
                      <a:fillRect/>
                    </a:stretch>
                  </pic:blipFill>
                  <pic:spPr>
                    <a:xfrm>
                      <a:off x="0" y="0"/>
                      <a:ext cx="6126480" cy="3957532"/>
                    </a:xfrm>
                    <a:prstGeom prst="rect"/>
                  </pic:spPr>
                </pic:pic>
              </a:graphicData>
            </a:graphic>
          </wp:inline>
        </w:drawing>
      </w:r>
    </w:p>
    <w:p>
      <w:pPr>
        <w:pStyle w:val="Caption"/>
        <w:jc w:val="center"/>
      </w:pPr>
      <w:r>
        <w:t>Рисунок 23.3. Feynman-Kac и risk-sensitive semigroup. Собственная схема Тома II.</w:t>
      </w:r>
    </w:p>
    <w:p>
      <w:pPr>
        <w:pStyle w:val="Heading1"/>
      </w:pPr>
      <w:r>
        <w:t>344. Нелинейный генератор risk-sensitive слоя</w:t>
      </w:r>
    </w:p>
    <w:p>
      <w:pPr/>
      <w:r>
        <w:t>Для гладкого f формальный логарифмический генератор имеет вид</w:t>
      </w:r>
    </w:p>
    <w:p>
      <w:pPr>
        <w:pStyle w:val="Quote"/>
        <w:jc w:val="center"/>
      </w:pPr>
      <w:r>
        <w:t>H_θ f = θ^{-1}e^{-θf}L(e^{θf})+V.  (23.18)</w:t>
      </w:r>
    </w:p>
    <w:p>
      <w:pPr/>
      <w:r>
        <w:t>Для диффузионного L получается</w:t>
      </w:r>
    </w:p>
    <w:p>
      <w:pPr>
        <w:pStyle w:val="Quote"/>
        <w:jc w:val="center"/>
      </w:pPr>
      <w:r>
        <w:t>H_θ f = Lf +(θ/2)||σᵀ∇f||²+V.  (23.19)</w:t>
      </w:r>
    </w:p>
    <w:p>
      <w:pPr/>
      <w:r>
        <w:t>Квадратичный gradient term кодирует экспоненциальную чувствительность. Формулы (23.18)-(23.19) требуют Dom(e^{θf}) и интегрируемости; формальный расчёт не гарантирует semigroup realization.</w:t>
      </w:r>
    </w:p>
    <w:p>
      <w:pPr>
        <w:pStyle w:val="Heading1"/>
      </w:pPr>
      <w:r>
        <w:t>345. Long-time eigenvalue и multiplicative ergodic limit</w:t>
      </w:r>
    </w:p>
    <w:p>
      <w:pPr/>
      <w:r>
        <w:t>Risk-sensitive growth rate определяется, когда предел существует:</w:t>
      </w:r>
    </w:p>
    <w:p>
      <w:pPr>
        <w:pStyle w:val="Quote"/>
        <w:jc w:val="center"/>
      </w:pPr>
      <w:r>
        <w:t>ρ(θ)=lim_{t→∞}(1/t)log E_x exp(θ∫_0^t V(X_s)ds).  (23.20)</w:t>
      </w:r>
    </w:p>
    <w:p>
      <w:pPr/>
      <w:r>
        <w:t>При подходящих условиях ρ связан с principal eigenvalue L+θV и может не зависеть от x. Он является asymptotic cumulant rate, но не probability. Даже ρ&lt;0 не означает, что событие запрещено.</w:t>
      </w:r>
    </w:p>
    <w:p>
      <w:pPr>
        <w:pStyle w:val="Heading1"/>
      </w:pPr>
      <w:r>
        <w:t>346. Энтропийная вариационная формула</w:t>
      </w:r>
    </w:p>
    <w:p>
      <w:pPr/>
      <w:r>
        <w:t>Для измеримого F с конечной экспоненциальной нормировкой действует Gibbs-Donsker-Varadhan variational identity</w:t>
      </w:r>
    </w:p>
    <w:p>
      <w:pPr>
        <w:pStyle w:val="Quote"/>
        <w:jc w:val="center"/>
      </w:pPr>
      <w:r>
        <w:t>log E_P e^F = sup_{Q&lt;&lt;P}{E_Q F-D(Q||P)}.  (23.21)</w:t>
      </w:r>
    </w:p>
    <w:p>
      <w:pPr/>
      <w:r>
        <w:t>Она связывает exponential tilting и KL-штраф. Оптимальный Q, когда существует, пропорционален e^F P. Эта формула лежит в основе risk-sensitive и KL-robust duality, но не утверждает, что природа выбирает худший Q.</w:t>
      </w:r>
    </w:p>
    <w:p>
      <w:pPr>
        <w:pStyle w:val="Heading1"/>
      </w:pPr>
      <w:r>
        <w:t>347. Risk-sensitive control и HJB eigenproblem</w:t>
      </w:r>
    </w:p>
    <w:p>
      <w:pPr/>
      <w:r>
        <w:t>Для controlled generator L^a и running cost c(x,a) long-run criterion</w:t>
      </w:r>
    </w:p>
    <w:p>
      <w:pPr>
        <w:pStyle w:val="Quote"/>
        <w:jc w:val="center"/>
      </w:pPr>
      <w:r>
        <w:t>J_θ(a)=limsup_{T→∞}(1/(θT))log E^a exp(θ∫_0^T c(X_t,a_t)dt)  (23.22)</w:t>
      </w:r>
    </w:p>
    <w:p>
      <w:pPr/>
      <w:r>
        <w:t>приводит при достаточных условиях к nonlinear HJB/eigenvalue problem</w:t>
      </w:r>
    </w:p>
    <w:p>
      <w:pPr>
        <w:pStyle w:val="Quote"/>
        <w:jc w:val="center"/>
      </w:pPr>
      <w:r>
        <w:t>ρ+inf_a{L^a v+c(x,a)+(θ/2)||σ_aᵀ∇v||²}=0.  (23.23)</w:t>
      </w:r>
    </w:p>
    <w:p>
      <w:pPr/>
      <w:r>
        <w:t>Existence of eigenpair, verification theorem и optimal stationary control являются отдельными обязательствами. Risk-sensitive optimum не равен causal optimum без корректной intervention model и utility specification.</w:t>
      </w:r>
    </w:p>
    <w:p>
      <w:pPr>
        <w:pStyle w:val="Heading1"/>
      </w:pPr>
      <w:r>
        <w:t>348. Асимптотический exponent не является finite-n probability</w:t>
      </w:r>
    </w:p>
    <w:p>
      <w:pPr/>
      <w:r>
        <w:t>Теорема 23.2 (asymptotic-probability firewall). [THM] Из равенства</w:t>
      </w:r>
    </w:p>
    <w:p>
      <w:pPr>
        <w:pStyle w:val="Quote"/>
        <w:jc w:val="center"/>
      </w:pPr>
      <w:r>
        <w:t>lim_n a_n^{-1}log p_n=-c,    c&gt;0  (23.24)</w:t>
      </w:r>
    </w:p>
    <w:p>
      <w:pPr/>
      <w:r>
        <w:t>не следует универсальная формула p_n=e^{-a_nc} и не следует конкретная верхняя граница при заданном n. Для любого subexponential множителя r_n с log r_n/a_n→0 последовательность p_n=r_ne^{-a_nc} имеет тот же exponent.</w:t>
      </w:r>
    </w:p>
    <w:p>
      <w:pPr/>
      <w:r>
        <w:t>Следствие: LDP без remainder estimate допускает только eventual exponential statement: для каждого δ&gt;0 существует n_0(δ), после которого p_n≤exp[-a_n(c-δ)]. Значение n_0 не известно без дополнительного анализа.</w:t>
      </w:r>
    </w:p>
    <w:p>
      <w:pPr>
        <w:pStyle w:val="Heading1"/>
      </w:pPr>
      <w:r>
        <w:t>349. Importance sampling и unbiased rare-event estimator</w:t>
      </w:r>
    </w:p>
    <w:p>
      <w:pPr/>
      <w:r>
        <w:t>Для события A и proposal law Q, доминирующего P на A, likelihood ratio L=dP/dQ даёт</w:t>
      </w:r>
    </w:p>
    <w:p>
      <w:pPr>
        <w:pStyle w:val="Quote"/>
        <w:jc w:val="center"/>
      </w:pPr>
      <w:r>
        <w:t>p=P(A)=E_Q[1_A L].  (23.25)</w:t>
      </w:r>
    </w:p>
    <w:p>
      <w:pPr/>
      <w:r>
        <w:t>Estimator p_hat_N=N^{-1}Σ1_{A_i}L_i является несмещённым при корректном ratio. Ошибка определяется вторым моментом E_Q[1_A L²], а не только числом попаданий. Proposal, пропускающий часть A, создаёт скрытое смещение.</w:t>
      </w:r>
    </w:p>
    <w:p>
      <w:pPr>
        <w:pStyle w:val="Heading1"/>
      </w:pPr>
      <w:r>
        <w:t>350. Логарифмическая и bounded-relative-error эффективность</w:t>
      </w:r>
    </w:p>
    <w:p>
      <w:pPr/>
      <w:r>
        <w:t>В rare-event sequence p_n→0 importance scheme называется logarithmically efficient, если второй момент имеет оптимальный exponent; bounded relative error требует sup_n Var(p_hat_n)/p_n²&lt;∞. Эти свойства различны.</w:t>
      </w:r>
    </w:p>
    <w:p>
      <w:pPr/>
      <w:r>
        <w:t>Минимально-действующий путь может подсказывать exponential tilting, но его использование в sampling scheme требует доказать абсолютную непрерывность, weight stability и отсутствие mode collapse между несколькими instantons.</w:t>
      </w:r>
    </w:p>
    <w:p>
      <w:pPr>
        <w:pStyle w:val="Heading1"/>
      </w:pPr>
      <w:r>
        <w:t>351. Splitting и адаптивные уровни</w:t>
      </w:r>
    </w:p>
    <w:p>
      <w:pPr/>
      <w:r>
        <w:t>Multilevel splitting оценивает редкое попадание через вложенные множества A_0⊃A_1⊃…⊃A_m=A и произведение условных вероятностей. Уровни, resampling и dependence между потомками входят в сертификат. Адаптивный выбор уровней по тем же данным меняет закон estimator и требует собственного доказательства.</w:t>
      </w:r>
    </w:p>
    <w:p>
      <w:pPr/>
      <w:r>
        <w:t>В Reper-режиме уровни могут задаваться δ_truth, obstruction norm и action score, но scalar ordering обязана быть совместима с D/Dom; иначе алгоритм сортирует математически несопоставимые сценарии.</w:t>
      </w:r>
    </w:p>
    <w:p>
      <w:pPr>
        <w:pStyle w:val="Heading1"/>
      </w:pPr>
      <w:r>
        <w:t>352. Ambiguity sets: робастный слой</w:t>
      </w:r>
    </w:p>
    <w:tbl>
      <w:tblPr>
        <w:tblStyle w:val="TableGrid"/>
        <w:tblW w:type="auto" w:w="0"/>
        <w:jc w:val="center"/>
        <w:tblLook w:firstColumn="1" w:firstRow="1" w:lastColumn="0" w:lastRow="0" w:noHBand="0" w:noVBand="1" w:val="04A0"/>
      </w:tblPr>
      <w:tblGrid>
        <w:gridCol w:w="4876"/>
        <w:gridCol w:w="4876"/>
      </w:tblGrid>
      <w:tr>
        <w:tc>
          <w:tcPr>
            <w:tcW w:type="dxa" w:w="2232"/>
            <w:shd w:fill="1f426b"/>
            <w:vAlign w:val="center"/>
            <w:tcMar>
              <w:top w:w="90" w:type="dxa"/>
              <w:start w:w="100" w:type="dxa"/>
              <w:bottom w:w="90" w:type="dxa"/>
              <w:end w:w="100" w:type="dxa"/>
            </w:tcMar>
          </w:tcPr>
          <w:p>
            <w:r>
              <w:rPr>
                <w:b/>
                <w:color w:val="FFFFFF"/>
              </w:rPr>
              <w:t>ОНТОЛОГИЯ</w:t>
            </w:r>
          </w:p>
        </w:tc>
        <w:tc>
          <w:tcPr>
            <w:tcW w:type="dxa" w:w="7416"/>
            <w:shd w:fill="f4f7fb"/>
            <w:vAlign w:val="center"/>
            <w:tcMar>
              <w:top w:w="90" w:type="dxa"/>
              <w:start w:w="100" w:type="dxa"/>
              <w:bottom w:w="90" w:type="dxa"/>
              <w:end w:w="100" w:type="dxa"/>
            </w:tcMar>
          </w:tcPr>
          <w:p>
            <w:r>
              <w:t>Ambiguity set - это множество вероятностных законов, совместимых с данными и выбранной метрикой. Оно не является множеством “всех возможных миров”.</w:t>
            </w:r>
          </w:p>
        </w:tc>
      </w:tr>
      <w:tr>
        <w:tc>
          <w:tcPr>
            <w:tcW w:type="dxa" w:w="2232"/>
            <w:shd w:fill="244f79"/>
            <w:vAlign w:val="center"/>
            <w:tcMar>
              <w:top w:w="90" w:type="dxa"/>
              <w:start w:w="100" w:type="dxa"/>
              <w:bottom w:w="90" w:type="dxa"/>
              <w:end w:w="100" w:type="dxa"/>
            </w:tcMar>
          </w:tcPr>
          <w:p>
            <w:r>
              <w:rPr>
                <w:b/>
                <w:color w:val="FFFFFF"/>
              </w:rPr>
              <w:t>ГНОСЕОЛОГИЯ</w:t>
            </w:r>
          </w:p>
        </w:tc>
        <w:tc>
          <w:tcPr>
            <w:tcW w:type="dxa" w:w="7416"/>
            <w:shd w:fill="f4f7fb"/>
            <w:vAlign w:val="center"/>
            <w:tcMar>
              <w:top w:w="90" w:type="dxa"/>
              <w:start w:w="100" w:type="dxa"/>
              <w:bottom w:w="90" w:type="dxa"/>
              <w:end w:w="100" w:type="dxa"/>
            </w:tcMar>
          </w:tcPr>
          <w:p>
            <w:r>
              <w:t>Робастная граница истинна только при coverage theorem для включения реального закона в ambiguity set. Радиус без покрытия является параметром осторожности, а не сертификатом.</w:t>
            </w:r>
          </w:p>
        </w:tc>
      </w:tr>
      <w:tr>
        <w:tc>
          <w:tcPr>
            <w:tcW w:type="dxa" w:w="2232"/>
            <w:shd w:fill="b2872f"/>
            <w:vAlign w:val="center"/>
            <w:tcMar>
              <w:top w:w="90" w:type="dxa"/>
              <w:start w:w="100" w:type="dxa"/>
              <w:bottom w:w="90" w:type="dxa"/>
              <w:end w:w="100" w:type="dxa"/>
            </w:tcMar>
          </w:tcPr>
          <w:p>
            <w:r>
              <w:rPr>
                <w:b/>
                <w:color w:val="FFFFFF"/>
              </w:rPr>
              <w:t>ФЕНОМЕНОЛОГИЯ</w:t>
            </w:r>
          </w:p>
        </w:tc>
        <w:tc>
          <w:tcPr>
            <w:tcW w:type="dxa" w:w="7416"/>
            <w:shd w:fill="f4f7fb"/>
            <w:vAlign w:val="center"/>
            <w:tcMar>
              <w:top w:w="90" w:type="dxa"/>
              <w:start w:w="100" w:type="dxa"/>
              <w:bottom w:w="90" w:type="dxa"/>
              <w:end w:w="100" w:type="dxa"/>
            </w:tcMar>
          </w:tcPr>
          <w:p>
            <w:r>
              <w:t>Худший закон концентрирует массу там, где функционал наиболее неблагоприятен, в пределах разрешённой геометрии расстояния.</w:t>
            </w:r>
          </w:p>
        </w:tc>
      </w:tr>
      <w:tr>
        <w:tc>
          <w:tcPr>
            <w:tcW w:type="dxa" w:w="2232"/>
            <w:shd w:fill="f4e6c3"/>
            <w:vAlign w:val="center"/>
            <w:tcMar>
              <w:top w:w="90" w:type="dxa"/>
              <w:start w:w="100" w:type="dxa"/>
              <w:bottom w:w="90" w:type="dxa"/>
              <w:end w:w="100" w:type="dxa"/>
            </w:tcMar>
          </w:tcPr>
          <w:p>
            <w:r>
              <w:rPr>
                <w:b/>
                <w:color w:val="5B3B00"/>
              </w:rPr>
              <w:t>ГРАНИЦА</w:t>
            </w:r>
          </w:p>
        </w:tc>
        <w:tc>
          <w:tcPr>
            <w:tcW w:type="dxa" w:w="7416"/>
            <w:shd w:fill="fff8e7"/>
            <w:vAlign w:val="center"/>
            <w:tcMar>
              <w:top w:w="90" w:type="dxa"/>
              <w:start w:w="100" w:type="dxa"/>
              <w:bottom w:w="90" w:type="dxa"/>
              <w:end w:w="100" w:type="dxa"/>
            </w:tcMar>
          </w:tcPr>
          <w:p>
            <w:r>
              <w:t>Worst-case risk может быть консервативным, а может быть ложным при misspecified metric, dependence или tail class. Робастность к одному виду сдвига не означает универсальную переносимость.</w:t>
            </w:r>
          </w:p>
        </w:tc>
      </w:tr>
    </w:tbl>
    <w:p>
      <w:pPr/>
      <w:r>
        <w:t>Пусть P_hat_N - empirical law. Ambiguity set имеет общий вид</w:t>
      </w:r>
    </w:p>
    <w:p>
      <w:pPr>
        <w:pStyle w:val="Quote"/>
        <w:jc w:val="center"/>
      </w:pPr>
      <w:r>
        <w:t>U_N(ρ)={Q: d(Q,P_hat_N)≤ρ, Q∈𝒫_adm}.  (23.26)</w:t>
      </w:r>
    </w:p>
    <w:p>
      <w:pPr/>
      <w:r>
        <w:t>Предсказательная граница задаётся sup_{Q∈U_N}Q(A) или sup E_Qℓ. Метрика d и класс 𝒫_adm обязаны отражать реально допустимый distribution shift.</w:t>
      </w:r>
    </w:p>
    <w:p>
      <w:pPr>
        <w:pStyle w:val="Heading1"/>
      </w:pPr>
      <w:r>
        <w:t>353. KL и f-divergence ambiguity</w:t>
      </w:r>
    </w:p>
    <w:p>
      <w:pPr/>
      <w:r>
        <w:t>Для KL-ball D(Q||P_hat)≤ρ энтропийная duality даёт при подходящих условиях</w:t>
      </w:r>
    </w:p>
    <w:p>
      <w:pPr>
        <w:pStyle w:val="Quote"/>
        <w:jc w:val="center"/>
      </w:pPr>
      <w:r>
        <w:t>sup_{D(Q||P_hat)≤ρ} E_Qℓ ≤ inf_{η&gt;0}{ηρ+η log E_{P_hat} exp(ℓ/η)}.  (23.27)</w:t>
      </w:r>
    </w:p>
    <w:p>
      <w:pPr/>
      <w:r>
        <w:t>KL-ball не допускает массу вне support P_hat, если divergence ориентирована как D(Q||P_hat). Для редких ещё не наблюдавшихся областей это может быть фатальной слепотой. Обратная ориентация divergence имеет другие свойства и другую duality.</w:t>
      </w:r>
    </w:p>
    <w:p>
      <w:pPr>
        <w:pStyle w:val="Heading1"/>
      </w:pPr>
      <w:r>
        <w:t>354. Wasserstein ambiguity и геометрия новых состояний</w:t>
      </w:r>
    </w:p>
    <w:p>
      <w:pPr/>
      <w:r>
        <w:t>Wasserstein ball допускает перенос массы в близкие ненаблюдавшиеся состояния. Для transport cost c и достаточно регулярной ℓ типовая dual form имеет вид</w:t>
      </w:r>
    </w:p>
    <w:p>
      <w:pPr>
        <w:pStyle w:val="Quote"/>
        <w:jc w:val="center"/>
      </w:pPr>
      <w:r>
        <w:t>sup_{W_c(Q,P_hat)≤ρ}E_Qℓ = inf_{η≥0}{ηρ+E_{P_hat}[sup_z(ℓ(z)-ηc(z,ξ))]}.  (23.28)</w:t>
      </w:r>
    </w:p>
    <w:p>
      <w:pPr/>
      <w:r>
        <w:t>Точное равенство требует lower semicontinuity, growth и duality assumptions. Для indicator 1_A worst-case probability чувствительна к расстоянию наблюдений до A; при нулевом margin оценка может быть резко консервативной.</w:t>
      </w:r>
    </w:p>
    <w:p>
      <w:pPr>
        <w:pStyle w:val="Heading1"/>
      </w:pPr>
      <w:r>
        <w:t>355. Finite-sample coverage ambiguity set</w:t>
      </w:r>
    </w:p>
    <w:p>
      <w:pPr/>
      <w:r>
        <w:t>Радиус ρ_N(β) выбирается из доказанного concentration theorem так, чтобы</w:t>
      </w:r>
    </w:p>
    <w:p>
      <w:pPr>
        <w:pStyle w:val="Quote"/>
        <w:jc w:val="center"/>
      </w:pPr>
      <w:r>
        <w:t>P_data(P_*∈U_N(ρ_N(β)))≥1-β.  (23.29)</w:t>
      </w:r>
    </w:p>
    <w:p>
      <w:pPr/>
      <w:r>
        <w:t>Тогда одновременно с вероятностью не ниже 1-β</w:t>
      </w:r>
    </w:p>
    <w:p>
      <w:pPr>
        <w:pStyle w:val="Quote"/>
        <w:jc w:val="center"/>
      </w:pPr>
      <w:r>
        <w:t>P_*(A)≤sup_{Q∈U_N}Q(A).  (23.30)</w:t>
      </w:r>
    </w:p>
    <w:p>
      <w:pPr/>
      <w:r>
        <w:t>Скорость уменьшения ρ_N зависит от размерности, хвостов, метрики и dependence. Универсального dimension-free радиуса для произвольного распределения нет.</w:t>
      </w:r>
    </w:p>
    <w:p>
      <w:pPr>
        <w:pStyle w:val="Heading1"/>
      </w:pPr>
      <w:r>
        <w:t>356. Distributionally robust chance certificate</w:t>
      </w:r>
    </w:p>
    <w:p>
      <w:pPr/>
      <w:r>
        <w:t>Теорема 23.3 (coverage-to-risk). [THM] Если (23.29) выполнено и вычислено B_N(A)=sup_{Q∈U_N}Q(A), то</w:t>
      </w:r>
    </w:p>
    <w:p>
      <w:pPr>
        <w:pStyle w:val="Quote"/>
        <w:jc w:val="center"/>
      </w:pPr>
      <w:r>
        <w:t>P_data(P_*(A)≤B_N(A))≥1-β.  (23.31)</w:t>
      </w:r>
    </w:p>
    <w:p>
      <w:pPr/>
      <w:r>
        <w:t>Доказательство следует из включения P_*∈U_N. Этот результат конечновыборочный и не требует LDP. Однако его содержательность зависит от размера B_N и корректности ambiguity geometry.</w:t>
      </w:r>
    </w:p>
    <w:p>
      <w:pPr>
        <w:pStyle w:val="Heading1"/>
      </w:pPr>
      <w:r>
        <w:t>357. Точный биномиальный сертификат редкого события</w:t>
      </w:r>
    </w:p>
    <w:p>
      <w:pPr/>
      <w:r>
        <w:t>Пусть N независимых испытаний дают K попаданий в A при неизвестной вероятности p. Односторонняя Clopper-Pearson upper bound определяется beta-квантилем. При K=0 она упрощается:</w:t>
      </w:r>
    </w:p>
    <w:p>
      <w:pPr>
        <w:pStyle w:val="Quote"/>
        <w:jc w:val="center"/>
      </w:pPr>
      <w:r>
        <w:t>p_U=1-α^{1/N},    coverage ≥1-α.  (23.32)</w:t>
      </w:r>
    </w:p>
    <w:p>
      <w:pPr/>
      <w:r>
        <w:t>Доказательство: P_p(K=0)=(1-p)^N. Для p&gt;p_U эта вероятность меньше α. Поэтому отсутствие попаданий не означает p=0; оно даёт верхнюю границу порядка -log α/N.</w:t>
      </w:r>
    </w:p>
    <w:p>
      <w:pPr/>
      <w:r>
        <w:t>При dependence, adaptive stopping или importance weights биномиальная формула неприменима без ремонта.</w:t>
      </w:r>
    </w:p>
    <w:p>
      <w:pPr>
        <w:pStyle w:val="Heading1"/>
      </w:pPr>
      <w:r>
        <w:t>358. Bounded-loss concentration и empirical risk</w:t>
      </w:r>
    </w:p>
    <w:p>
      <w:pPr/>
      <w:r>
        <w:t>Для i.i.d. X_i∈[0,1] Hoeffding bound даёт с вероятностью не ниже 1-β</w:t>
      </w:r>
    </w:p>
    <w:p>
      <w:pPr>
        <w:pStyle w:val="Quote"/>
        <w:jc w:val="center"/>
      </w:pPr>
      <w:r>
        <w:t>E[X]≤X_bar_N+sqrt(log(1/β)/(2N)).  (23.33)</w:t>
      </w:r>
    </w:p>
    <w:p>
      <w:pPr/>
      <w:r>
        <w:t>Для очень редкого Bernoulli event exact binomial bound обычно информативнее. Variance-adaptive и PAC-Bayes bounds требуют собственных условий и prior/data separation; выбор bound после просмотра результата входит в multiple-selection ledger.</w:t>
      </w:r>
    </w:p>
    <w:p>
      <w:pPr>
        <w:pStyle w:val="Heading1"/>
      </w:pPr>
      <w:r>
        <w:t>359. Anytime-valid и последовательная сертификация</w:t>
      </w:r>
    </w:p>
    <w:p>
      <w:pPr/>
      <w:r>
        <w:t>Наследуя главу 22, e-process E_t позволяет контролировать ложный вывод при optional stopping. Для rare-event probability строятся confidence sequences [L_t,U_t], валидные одновременно по времени. Но adaptive intervention, changing target A_t и reuse данных могут разрушить supermartingale property.</w:t>
      </w:r>
    </w:p>
    <w:p>
      <w:pPr/>
      <w:r>
        <w:t>Sequential certificate обязан хранить filtration, betting strategy, update rule, alpha-spending/e-value calibration и все моменты изменения цели.</w:t>
      </w:r>
    </w:p>
    <w:p>
      <w:pPr>
        <w:pStyle w:val="Heading1"/>
      </w:pPr>
      <w:r>
        <w:t>360. Слияние asymptotic и finite-sample слоёв</w:t>
      </w:r>
    </w:p>
    <w:p>
      <w:pPr/>
      <w:r>
        <w:t>Полный сертификат может сочетать</w:t>
      </w:r>
    </w:p>
    <w:p>
      <w:pPr>
        <w:pStyle w:val="Quote"/>
        <w:jc w:val="center"/>
      </w:pPr>
      <w:r>
        <w:t>p_n(A) ≤ min{B_N^{rob}(A), C_n exp[-a_n(c_A-δ)]},  (23.34)</w:t>
      </w:r>
    </w:p>
    <w:p>
      <w:pPr/>
      <w:r>
        <w:t>где B_N^{rob} имеет coverage 1-β, а C_n и δ получены из доказанного nonasymptotic remainder. Без C_n или явного n_0 LDP-часть не является конечновыборочной границей.</w:t>
      </w:r>
    </w:p>
    <w:p>
      <w:pPr>
        <w:jc w:val="center"/>
      </w:pPr>
      <w:r>
        <w:drawing>
          <wp:inline xmlns:a="http://schemas.openxmlformats.org/drawingml/2006/main" xmlns:pic="http://schemas.openxmlformats.org/drawingml/2006/picture">
            <wp:extent cx="6126480" cy="3844664"/>
            <wp:docPr id="64" name="Picture 64"/>
            <wp:cNvGraphicFramePr>
              <a:graphicFrameLocks noChangeAspect="1"/>
            </wp:cNvGraphicFramePr>
            <a:graphic>
              <a:graphicData uri="http://schemas.openxmlformats.org/drawingml/2006/picture">
                <pic:pic>
                  <pic:nvPicPr>
                    <pic:cNvPr id="0" name="fig23_4.png"/>
                    <pic:cNvPicPr/>
                  </pic:nvPicPr>
                  <pic:blipFill>
                    <a:blip r:embed="rId101"/>
                    <a:stretch>
                      <a:fillRect/>
                    </a:stretch>
                  </pic:blipFill>
                  <pic:spPr>
                    <a:xfrm>
                      <a:off x="0" y="0"/>
                      <a:ext cx="6126480" cy="3844664"/>
                    </a:xfrm>
                    <a:prstGeom prst="rect"/>
                  </pic:spPr>
                </pic:pic>
              </a:graphicData>
            </a:graphic>
          </wp:inline>
        </w:drawing>
      </w:r>
    </w:p>
    <w:p>
      <w:pPr>
        <w:pStyle w:val="Caption"/>
        <w:jc w:val="center"/>
      </w:pPr>
      <w:r>
        <w:t>Рисунок 23.4. Finite-sample robust certificate редкого риска. Собственная схема Тома II.</w:t>
      </w:r>
    </w:p>
    <w:p>
      <w:pPr>
        <w:pStyle w:val="Heading1"/>
      </w:pPr>
      <w:r>
        <w:t>361. Неидентифицируемость хвоста по конечной выборке</w:t>
      </w:r>
    </w:p>
    <w:p>
      <w:pPr/>
      <w:r>
        <w:t>Теорема 23.4 (finite-sample tail no-go). [THM] Для любой конечной выборки, лежащей в ограниченном наблюдённом множестве B, существуют два распределения P_0 и P_1, совпадающие на B с точностью, достаточной для одинакового likelihood наблюдений, но имеющие произвольно разные вероятности далёкого события A.</w:t>
      </w:r>
    </w:p>
    <w:p>
      <w:pPr/>
      <w:r>
        <w:t>Следовательно, tail risk не идентифицируется без tail class, smoothness, moment, parametric или transport assumptions. Экстраполяция редкого события всегда несёт D-пакет модельных оснований.</w:t>
      </w:r>
    </w:p>
    <w:p>
      <w:pPr>
        <w:pStyle w:val="Heading1"/>
      </w:pPr>
      <w:r>
        <w:t>362. Rate-function estimation и epistemic uncertainty</w:t>
      </w:r>
    </w:p>
    <w:p>
      <w:pPr/>
      <w:r>
        <w:t>Rate function I может вычисляться аналитически, через control representation, spectral problem или numerical minimum action method. Оценённый I_hat имеет discretization, optimization, parameter и model-selection errors. Реперный объект должен хранить</w:t>
      </w:r>
    </w:p>
    <w:p>
      <w:pPr>
        <w:pStyle w:val="Quote"/>
        <w:jc w:val="center"/>
      </w:pPr>
      <w:r>
        <w:t>Rep_rate=(I_hat, topology, speed, solver, residuals; D_rate).  (23.35)</w:t>
      </w:r>
    </w:p>
    <w:p>
      <w:pPr/>
      <w:r>
        <w:t>Confidence interval для параметров не автоматически превращается в uniform confidence band для I. Near bifurcation или nonunique instantons sensitivity может быть неограниченной.</w:t>
      </w:r>
    </w:p>
    <w:p>
      <w:pPr>
        <w:pStyle w:val="Heading1"/>
      </w:pPr>
      <w:r>
        <w:t>363. Robust rare-event Reper certificate</w:t>
      </w:r>
    </w:p>
    <w:p>
      <w:pPr/>
      <w:r>
        <w:t>Определён сертификат</w:t>
      </w:r>
    </w:p>
    <w:p>
      <w:pPr>
        <w:pStyle w:val="Quote"/>
        <w:jc w:val="center"/>
      </w:pPr>
      <w:r>
        <w:t>Cert_LD=(𝒳,τ,a_n,P_n,I,A,c_A,R_n,U_N,B_N,IS,λ,D,Dom,src,code,hash).  (23.36)</w:t>
      </w:r>
    </w:p>
    <w:p>
      <w:pPr>
        <w:pStyle w:val="ListBullet"/>
      </w:pPr>
      <w:r>
        <w:t>𝒳,τ: state/path carrier и topology;</w:t>
      </w:r>
    </w:p>
    <w:p>
      <w:pPr>
        <w:pStyle w:val="ListBullet"/>
      </w:pPr>
      <w:r>
        <w:t>a_n,P_n,I: speed, laws и rate function;</w:t>
      </w:r>
    </w:p>
    <w:p>
      <w:pPr>
        <w:pStyle w:val="ListBullet"/>
      </w:pPr>
      <w:r>
        <w:t>A,c_A: target и action barrier;</w:t>
      </w:r>
    </w:p>
    <w:p>
      <w:pPr>
        <w:pStyle w:val="ListBullet"/>
      </w:pPr>
      <w:r>
        <w:t>R_n: nonasymptotic remainder/effective n_0;</w:t>
      </w:r>
    </w:p>
    <w:p>
      <w:pPr>
        <w:pStyle w:val="ListBullet"/>
      </w:pPr>
      <w:r>
        <w:t>U_N,B_N: ambiguity coverage и robust finite-sample bound;</w:t>
      </w:r>
    </w:p>
    <w:p>
      <w:pPr>
        <w:pStyle w:val="ListBullet"/>
      </w:pPr>
      <w:r>
        <w:t>IS: importance-sampling/splitting certificate, если использован;</w:t>
      </w:r>
    </w:p>
    <w:p>
      <w:pPr>
        <w:pStyle w:val="ListBullet"/>
      </w:pPr>
      <w:r>
        <w:t>λ,D,Dom: projective-harmonic coordinate, sufficient foundation и admissible domain;</w:t>
      </w:r>
    </w:p>
    <w:p>
      <w:pPr>
        <w:pStyle w:val="ListBullet"/>
      </w:pPr>
      <w:r>
        <w:t>src,code,hash: воспроизводимость.</w:t>
      </w:r>
    </w:p>
    <w:p>
      <w:pPr/>
      <w:r>
        <w:t>Verdict допускает пять значений: IMPOSSIBLE-IN-MODEL, FINITE-SAMPLE-RISK-BOUND, EXPONENTIALLY-SUPPRESSED-IN-MODEL, CANDIDATE-RARE-TRANSITION, ABSTAIN.</w:t>
      </w:r>
    </w:p>
    <w:p>
      <w:pPr>
        <w:pStyle w:val="Heading1"/>
      </w:pPr>
      <w:r>
        <w:t>364. Large-deviation и finite-sample горизонты</w:t>
      </w:r>
    </w:p>
    <w:p>
      <w:pPr/>
      <w:r>
        <w:t>Введены</w:t>
      </w:r>
    </w:p>
    <w:p>
      <w:pPr>
        <w:pStyle w:val="Quote"/>
        <w:jc w:val="center"/>
      </w:pPr>
      <w:r>
        <w:t>Δ_LD=Δ_speed∪Δ_top∪Δ_tight∪Δ_rate∪Δ_contract∪Δ_pole∪Δ_action∪Δ_inst.  (23.37)</w:t>
      </w:r>
    </w:p>
    <w:p>
      <w:pPr>
        <w:pStyle w:val="Quote"/>
        <w:jc w:val="center"/>
      </w:pPr>
      <w:r>
        <w:t>Δ_RS=Δ_FK∪Δ_expint∪Δ_eig∪Δ_HJB∪Δ_tilt∪Δ_IS.  (23.38)</w:t>
      </w:r>
    </w:p>
    <w:p>
      <w:pPr>
        <w:pStyle w:val="Quote"/>
        <w:jc w:val="center"/>
      </w:pPr>
      <w:r>
        <w:t>Δ_FS=Δ_iid∪Δ_dep∪Δ_tail∪Δ_amb∪Δ_cov∪Δ_sel∪Δ_stop∪Δ_shift∪Δ_ext.  (23.39)</w:t>
      </w:r>
    </w:p>
    <w:p>
      <w:pPr>
        <w:pStyle w:val="Quote"/>
        <w:jc w:val="center"/>
      </w:pPr>
      <w:r>
        <w:t>Δ_safe^{v0.20}=Δ_safe^{v0.19}∪Δ_LD∪Δ_RS∪Δ_FS.  (23.40)</w:t>
      </w:r>
    </w:p>
    <w:p>
      <w:pPr/>
      <w:r>
        <w:t>Горизонт фиксирует не событие, а потерю класса теоремы или сертификата. Его пересечение требует пересборки, а не оптимистического продолжения вычислений.</w:t>
      </w:r>
    </w:p>
    <w:p>
      <w:pPr>
        <w:pStyle w:val="Heading1"/>
      </w:pPr>
      <w:r>
        <w:t>365. Главная условная теорема v0.20</w:t>
      </w:r>
    </w:p>
    <w:p>
      <w:pPr/>
      <w:r>
        <w:t>Теорема 23.5 (rare-event predictive safety theorem). [COND] Пусть H1-H14 выполнены:</w:t>
      </w:r>
    </w:p>
    <w:p>
      <w:pPr>
        <w:pStyle w:val="ListNumber"/>
      </w:pPr>
      <w:r>
        <w:t>семейство законов и speed определены на фиксированном path carrier;</w:t>
      </w:r>
    </w:p>
    <w:p>
      <w:pPr>
        <w:pStyle w:val="ListNumber"/>
      </w:pPr>
      <w:r>
        <w:t>LDP или Laplace principle доказан с good rate I;</w:t>
      </w:r>
    </w:p>
    <w:p>
      <w:pPr>
        <w:pStyle w:val="ListNumber"/>
      </w:pPr>
      <w:r>
        <w:t>exponential tightness и target measurability закрыты;</w:t>
      </w:r>
    </w:p>
    <w:p>
      <w:pPr>
        <w:pStyle w:val="ListNumber"/>
      </w:pPr>
      <w:r>
        <w:t>contraction maps к Reper/λ непрерывны вне сертифицированного pole set;</w:t>
      </w:r>
    </w:p>
    <w:p>
      <w:pPr>
        <w:pStyle w:val="ListNumber"/>
      </w:pPr>
      <w:r>
        <w:t>action barrier c_A вычислен с certified optimization residual;</w:t>
      </w:r>
    </w:p>
    <w:p>
      <w:pPr>
        <w:pStyle w:val="ListNumber"/>
      </w:pPr>
      <w:r>
        <w:t>для finite-n вывода дан remainder либо отдельный concentration bound;</w:t>
      </w:r>
    </w:p>
    <w:p>
      <w:pPr>
        <w:pStyle w:val="ListNumber"/>
      </w:pPr>
      <w:r>
        <w:t>ambiguity set имеет coverage 1-β;</w:t>
      </w:r>
    </w:p>
    <w:p>
      <w:pPr>
        <w:pStyle w:val="ListNumber"/>
      </w:pPr>
      <w:r>
        <w:t>robust risk B_N вычислен с certified duality gap;</w:t>
      </w:r>
    </w:p>
    <w:p>
      <w:pPr>
        <w:pStyle w:val="ListNumber"/>
      </w:pPr>
      <w:r>
        <w:t>importance-sampling weights корректны и интегрируемы;</w:t>
      </w:r>
    </w:p>
    <w:p>
      <w:pPr>
        <w:pStyle w:val="ListNumber"/>
      </w:pPr>
      <w:r>
        <w:t>D/Dom, provenance и selection ledger валидны;</w:t>
      </w:r>
    </w:p>
    <w:p>
      <w:pPr>
        <w:pStyle w:val="ListNumber"/>
      </w:pPr>
      <w:r>
        <w:t>optional stopping и dependence учтены;</w:t>
      </w:r>
    </w:p>
    <w:p>
      <w:pPr>
        <w:pStyle w:val="ListNumber"/>
      </w:pPr>
      <w:r>
        <w:t>domain shift ограничен заявленным классом;</w:t>
      </w:r>
    </w:p>
    <w:p>
      <w:pPr>
        <w:pStyle w:val="ListNumber"/>
      </w:pPr>
      <w:r>
        <w:t>внешний тест не использован для настройки;</w:t>
      </w:r>
    </w:p>
    <w:p>
      <w:pPr>
        <w:pStyle w:val="ListNumber"/>
      </w:pPr>
      <w:r>
        <w:t>путь параметров не пересекает Δ_safe^{v0.20}.</w:t>
      </w:r>
    </w:p>
    <w:p>
      <w:pPr/>
      <w:r>
        <w:t>Тогда:</w:t>
      </w:r>
    </w:p>
    <w:p>
      <w:pPr>
        <w:pStyle w:val="ListBullet"/>
      </w:pPr>
      <w:r>
        <w:t>если A не пересекает admissible support, P(A)=0 внутри модели и разрешён IMPOSSIBLE-IN-MODEL;</w:t>
      </w:r>
    </w:p>
    <w:p>
      <w:pPr>
        <w:pStyle w:val="ListBullet"/>
      </w:pPr>
      <w:r>
        <w:t>если B_N≤α, то с confidence 1-β разрешён FINITE-SAMPLE-RISK-BOUND α;</w:t>
      </w:r>
    </w:p>
    <w:p>
      <w:pPr>
        <w:pStyle w:val="ListBullet"/>
      </w:pPr>
      <w:r>
        <w:t>если c_A&gt;0, но finite-n remainder отсутствует, разрешён только EXPONENTIALLY-SUPPRESSED-IN-MODEL;</w:t>
      </w:r>
    </w:p>
    <w:p>
      <w:pPr>
        <w:pStyle w:val="ListBullet"/>
      </w:pPr>
      <w:r>
        <w:t>если найден low-action path без upper certificate, разрешён только CANDIDATE-RARE-TRANSITION;</w:t>
      </w:r>
    </w:p>
    <w:p>
      <w:pPr>
        <w:pStyle w:val="ListBullet"/>
      </w:pPr>
      <w:r>
        <w:t>при любом незакрытом H_i выдаётся ABSTAIN.</w:t>
      </w:r>
    </w:p>
    <w:p>
      <w:pPr/>
      <w:r>
        <w:t>Теорема не утверждает наступление события, причинность, физическую реализацию или универсальность NAPG-динамики.</w:t>
      </w:r>
    </w:p>
    <w:p>
      <w:pPr>
        <w:pStyle w:val="Heading1"/>
      </w:pPr>
      <w:r>
        <w:t>366. Контрпримеры и запреты</w:t>
      </w:r>
    </w:p>
    <w:p>
      <w:pPr>
        <w:pStyle w:val="ListBullet"/>
      </w:pPr>
      <w:r>
        <w:t>Одинаковый LDP exponent допускает разные finite-n probabilities из-за subexponential prefactors.</w:t>
      </w:r>
    </w:p>
    <w:p>
      <w:pPr>
        <w:pStyle w:val="ListBullet"/>
      </w:pPr>
      <w:r>
        <w:t>Положительный quasipotential barrier не делает вероятность нулевой.</w:t>
      </w:r>
    </w:p>
    <w:p>
      <w:pPr>
        <w:pStyle w:val="ListBullet"/>
      </w:pPr>
      <w:r>
        <w:t>Нулевой observed count не означает p=0; точная upper bound дана (23.32).</w:t>
      </w:r>
    </w:p>
    <w:p>
      <w:pPr>
        <w:pStyle w:val="ListBullet"/>
      </w:pPr>
      <w:r>
        <w:t>KL-ball вокруг empirical law может не видеть новый support и дать ложное чувство безопасности.</w:t>
      </w:r>
    </w:p>
    <w:p>
      <w:pPr>
        <w:pStyle w:val="ListBullet"/>
      </w:pPr>
      <w:r>
        <w:t>Wasserstein ball с произвольным радиусом не имеет coverage status.</w:t>
      </w:r>
    </w:p>
    <w:p>
      <w:pPr>
        <w:pStyle w:val="ListBullet"/>
      </w:pPr>
      <w:r>
        <w:t>Недифференцируемая Λ не всегда означает физический phase transition.</w:t>
      </w:r>
    </w:p>
    <w:p>
      <w:pPr>
        <w:pStyle w:val="ListBullet"/>
      </w:pPr>
      <w:r>
        <w:t>Один minimum-action path не покрывает несколько competing instantons.</w:t>
      </w:r>
    </w:p>
    <w:p>
      <w:pPr>
        <w:pStyle w:val="ListBullet"/>
      </w:pPr>
      <w:r>
        <w:t>Importance proposal без absolute continuity даёт смещённый estimator.</w:t>
      </w:r>
    </w:p>
    <w:p>
      <w:pPr>
        <w:pStyle w:val="ListBullet"/>
      </w:pPr>
      <w:r>
        <w:t>Risk-sensitive eigenvalue не является event probability.</w:t>
      </w:r>
    </w:p>
    <w:p>
      <w:pPr>
        <w:pStyle w:val="ListBullet"/>
      </w:pPr>
      <w:r>
        <w:t>λ-проекция через pole set может разрушить contraction principle.</w:t>
      </w:r>
    </w:p>
    <w:p>
      <w:pPr>
        <w:pStyle w:val="ListBullet"/>
      </w:pPr>
      <w:r>
        <w:t>Finite sample не идентифицирует дальний tail без структурного класса.</w:t>
      </w:r>
    </w:p>
    <w:p>
      <w:pPr>
        <w:pStyle w:val="ListBullet"/>
      </w:pPr>
      <w:r>
        <w:t>Asymptotic optimality sampling scheme не гарантирует малую ошибку при данном n.</w:t>
      </w:r>
    </w:p>
    <w:p>
      <w:pPr>
        <w:pStyle w:val="Heading1"/>
      </w:pPr>
      <w:r>
        <w:t>367. Вычислительный сертификат LD-RISK v0.20</w:t>
      </w:r>
    </w:p>
    <w:p>
      <w:pPr>
        <w:pStyle w:val="ListBullet"/>
      </w:pPr>
      <w:r>
        <w:t>LD-01 state carrier; 02 topology; 03 law family; 04 speed; 05 measurable target; 06 exponential tightness;</w:t>
      </w:r>
    </w:p>
    <w:p>
      <w:pPr>
        <w:pStyle w:val="ListBullet"/>
      </w:pPr>
      <w:r>
        <w:t>07 lower bound; 08 upper bound; 09 good-rate test; 10 contraction map; 11 pole/singularity audit; 12 Laplace principle;</w:t>
      </w:r>
    </w:p>
    <w:p>
      <w:pPr>
        <w:pStyle w:val="ListBullet"/>
      </w:pPr>
      <w:r>
        <w:t>13 SCGF; 14 Legendre-Fenchel transform; 15 Gärtner-Ellis regularity; 16 empirical-measure/Sanov channel;</w:t>
      </w:r>
    </w:p>
    <w:p>
      <w:pPr>
        <w:pStyle w:val="ListBullet"/>
      </w:pPr>
      <w:r>
        <w:t>17 path action; 18 control representation; 19 quasipotential; 20 instanton multiplicity; 21 optimization residual; 22 action sensitivity;</w:t>
      </w:r>
    </w:p>
    <w:p>
      <w:pPr>
        <w:pStyle w:val="ListBullet"/>
      </w:pPr>
      <w:r>
        <w:t>23 Donsker-Varadhan functional; 24 Feynman-Kac semigroup; 25 risk-sensitive transform; 26 eigenvalue/HJB verification;</w:t>
      </w:r>
    </w:p>
    <w:p>
      <w:pPr>
        <w:pStyle w:val="ListBullet"/>
      </w:pPr>
      <w:r>
        <w:t>27 importance proposal; 28 likelihood ratios; 29 second-moment efficiency; 30 splitting dependence; 31 unbiasedness tests;</w:t>
      </w:r>
    </w:p>
    <w:p>
      <w:pPr>
        <w:pStyle w:val="ListBullet"/>
      </w:pPr>
      <w:r>
        <w:t>32 ambiguity metric; 33 radius/coverage theorem; 34 KL duality; 35 Wasserstein duality; 36 robust chance bound;</w:t>
      </w:r>
    </w:p>
    <w:p>
      <w:pPr>
        <w:pStyle w:val="ListBullet"/>
      </w:pPr>
      <w:r>
        <w:t>37 exact binomial bound; 38 bounded-loss concentration; 39 sequential validity; 40 selection/dependence ledger;</w:t>
      </w:r>
    </w:p>
    <w:p>
      <w:pPr>
        <w:pStyle w:val="ListBullet"/>
      </w:pPr>
      <w:r>
        <w:t>41 Reper/λ rare-event target; 42 D/Dom and provenance; 43 blocker-safe verdict; 44 source/code/data/environment hashes.</w:t>
      </w:r>
    </w:p>
    <w:p>
      <w:pPr>
        <w:pStyle w:val="Heading2"/>
      </w:pPr>
      <w:r>
        <w:t>Псевдокод</w:t>
      </w:r>
    </w:p>
    <w:p>
      <w:pPr>
        <w:pStyle w:val="Quote"/>
        <w:jc w:val="center"/>
      </w:pPr>
      <w:r>
        <w:t>INPUT law family P_n/P^ε, speed, topology, target A, Reper map, data, D, Dom</w:t>
        <w:br/>
        <w:t>CHECK LDP/Laplace assumptions, exponential tightness, contraction continuity and pole set</w:t>
        <w:br/>
        <w:t>COMPUTE rate I, action barrier c_A, instantons and certified residuals</w:t>
        <w:br/>
        <w:t>IF finite-n claim requested REQUIRE remainder or concentration/ambiguity coverage</w:t>
        <w:br/>
        <w:t>BUILD robust bound B_N and exact rare-event confidence layer</w:t>
        <w:br/>
        <w:t>AUDIT importance weights, dependence, selection, stopping and domain shift</w:t>
        <w:br/>
        <w:t>IF support(A)=empty THEN IMPOSSIBLE-IN-MODEL</w:t>
        <w:br/>
        <w:t>ELSE IF B_N&lt;=alpha THEN FINITE-SAMPLE-RISK-BOUND</w:t>
        <w:br/>
        <w:t>ELSE IF c_A&gt;0 THEN EXPONENTIALLY-SUPPRESSED-IN-MODEL</w:t>
        <w:br/>
        <w:t>ELSE IF low-action path exists THEN CANDIDATE-RARE-TRANSITION</w:t>
        <w:br/>
        <w:t>ELSE ABSTAIN</w:t>
        <w:br/>
        <w:t>RECORD hashes; truth_layer_promotion=0.</w:t>
      </w:r>
    </w:p>
    <w:p>
      <w:pPr>
        <w:pStyle w:val="Heading1"/>
      </w:pPr>
      <w:r>
        <w:t>368. Доказательные обязательства T2-PO-387-T2-PO-426</w:t>
      </w:r>
    </w:p>
    <w:tbl>
      <w:tblPr>
        <w:tblStyle w:val="TableGrid"/>
        <w:tblW w:type="auto" w:w="0"/>
        <w:jc w:val="center"/>
        <w:tblLook w:firstColumn="1" w:firstRow="1" w:lastColumn="0" w:lastRow="0" w:noHBand="0" w:noVBand="1" w:val="04A0"/>
      </w:tblPr>
      <w:tblGrid>
        <w:gridCol w:w="2438"/>
        <w:gridCol w:w="2438"/>
        <w:gridCol w:w="2438"/>
        <w:gridCol w:w="2438"/>
      </w:tblGrid>
      <w:tr>
        <w:trPr>
          <w:tblHeader w:val="true"/>
        </w:trPr>
        <w:tc>
          <w:tcPr>
            <w:tcW w:type="dxa" w:w="1512"/>
            <w:shd w:fill="1f426b"/>
            <w:tcMar>
              <w:top w:w="35" w:type="dxa"/>
              <w:start w:w="65" w:type="dxa"/>
              <w:bottom w:w="35" w:type="dxa"/>
              <w:end w:w="65" w:type="dxa"/>
            </w:tcMar>
          </w:tcPr>
          <w:p>
            <w:pPr>
              <w:spacing w:before="0" w:after="0" w:line="240" w:lineRule="auto"/>
            </w:pPr>
            <w:r>
              <w:rPr>
                <w:b/>
                <w:color w:val="FFFFFF"/>
                <w:sz w:val="15"/>
              </w:rPr>
              <w:t>PO</w:t>
            </w:r>
          </w:p>
        </w:tc>
        <w:tc>
          <w:tcPr>
            <w:tcW w:type="dxa" w:w="5112"/>
            <w:shd w:fill="1f426b"/>
            <w:tcMar>
              <w:top w:w="35" w:type="dxa"/>
              <w:start w:w="65" w:type="dxa"/>
              <w:bottom w:w="35" w:type="dxa"/>
              <w:end w:w="65" w:type="dxa"/>
            </w:tcMar>
          </w:tcPr>
          <w:p>
            <w:pPr>
              <w:spacing w:before="0" w:after="0" w:line="240" w:lineRule="auto"/>
            </w:pPr>
            <w:r>
              <w:rPr>
                <w:b/>
                <w:color w:val="FFFFFF"/>
                <w:sz w:val="15"/>
              </w:rPr>
              <w:t>Обязательство</w:t>
            </w:r>
          </w:p>
        </w:tc>
        <w:tc>
          <w:tcPr>
            <w:tcW w:type="dxa" w:w="1224"/>
            <w:shd w:fill="1f426b"/>
            <w:tcMar>
              <w:top w:w="35" w:type="dxa"/>
              <w:start w:w="65" w:type="dxa"/>
              <w:bottom w:w="35" w:type="dxa"/>
              <w:end w:w="65" w:type="dxa"/>
            </w:tcMar>
          </w:tcPr>
          <w:p>
            <w:pPr>
              <w:spacing w:before="0" w:after="0" w:line="240" w:lineRule="auto"/>
            </w:pPr>
            <w:r>
              <w:rPr>
                <w:b/>
                <w:color w:val="FFFFFF"/>
                <w:sz w:val="15"/>
              </w:rPr>
              <w:t>Статус</w:t>
            </w:r>
          </w:p>
        </w:tc>
        <w:tc>
          <w:tcPr>
            <w:tcW w:type="dxa" w:w="1944"/>
            <w:shd w:fill="1f426b"/>
            <w:tcMar>
              <w:top w:w="35" w:type="dxa"/>
              <w:start w:w="65" w:type="dxa"/>
              <w:bottom w:w="35" w:type="dxa"/>
              <w:end w:w="65" w:type="dxa"/>
            </w:tcMar>
          </w:tcPr>
          <w:p>
            <w:pPr>
              <w:spacing w:before="0" w:after="0" w:line="240" w:lineRule="auto"/>
            </w:pPr>
            <w:r>
              <w:rPr>
                <w:b/>
                <w:color w:val="FFFFFF"/>
                <w:sz w:val="15"/>
              </w:rPr>
              <w:t>Основание / следующий шаг</w:t>
            </w:r>
          </w:p>
        </w:tc>
      </w:tr>
      <w:tr>
        <w:tc>
          <w:tcPr>
            <w:tcW w:type="dxa" w:w="1512"/>
            <w:tcMar>
              <w:top w:w="35" w:type="dxa"/>
              <w:start w:w="65" w:type="dxa"/>
              <w:bottom w:w="35" w:type="dxa"/>
              <w:end w:w="65" w:type="dxa"/>
            </w:tcMar>
            <w:vAlign w:val="center"/>
          </w:tcPr>
          <w:p>
            <w:pPr>
              <w:spacing w:before="0" w:after="0" w:line="240" w:lineRule="auto"/>
            </w:pPr>
            <w:r>
              <w:rPr>
                <w:sz w:val="15"/>
              </w:rPr>
              <w:t>T2-PO-387</w:t>
            </w:r>
          </w:p>
        </w:tc>
        <w:tc>
          <w:tcPr>
            <w:tcW w:type="dxa" w:w="5112"/>
            <w:tcMar>
              <w:top w:w="35" w:type="dxa"/>
              <w:start w:w="65" w:type="dxa"/>
              <w:bottom w:w="35" w:type="dxa"/>
              <w:end w:w="65" w:type="dxa"/>
            </w:tcMar>
            <w:vAlign w:val="center"/>
          </w:tcPr>
          <w:p>
            <w:pPr>
              <w:spacing w:before="0" w:after="0" w:line="240" w:lineRule="auto"/>
            </w:pPr>
            <w:r>
              <w:rPr>
                <w:sz w:val="15"/>
              </w:rPr>
              <w:t>State/path carrier and topology</w:t>
            </w:r>
          </w:p>
        </w:tc>
        <w:tc>
          <w:tcPr>
            <w:tcW w:type="dxa" w:w="1224"/>
            <w:tcMar>
              <w:top w:w="35" w:type="dxa"/>
              <w:start w:w="65" w:type="dxa"/>
              <w:bottom w:w="35" w:type="dxa"/>
              <w:end w:w="65" w:type="dxa"/>
            </w:tcMar>
            <w:vAlign w:val="center"/>
            <w:shd w:fill="fff1cc"/>
          </w:tcPr>
          <w:p>
            <w:pPr>
              <w:spacing w:before="0" w:after="0" w:line="240" w:lineRule="auto"/>
            </w:pPr>
            <w:r>
              <w:rPr>
                <w:sz w:val="15"/>
              </w:rPr>
              <w:t>COND</w:t>
            </w:r>
          </w:p>
        </w:tc>
        <w:tc>
          <w:tcPr>
            <w:tcW w:type="dxa" w:w="1944"/>
            <w:tcMar>
              <w:top w:w="35" w:type="dxa"/>
              <w:start w:w="65" w:type="dxa"/>
              <w:bottom w:w="35" w:type="dxa"/>
              <w:end w:w="65" w:type="dxa"/>
            </w:tcMar>
            <w:vAlign w:val="center"/>
          </w:tcPr>
          <w:p>
            <w:pPr>
              <w:spacing w:before="0" w:after="0" w:line="240" w:lineRule="auto"/>
            </w:pPr>
            <w:r>
              <w:rPr>
                <w:sz w:val="15"/>
              </w:rPr>
              <w:t>Domain-specific</w:t>
            </w:r>
          </w:p>
        </w:tc>
      </w:tr>
      <w:tr>
        <w:tc>
          <w:tcPr>
            <w:tcW w:type="dxa" w:w="1512"/>
            <w:tcMar>
              <w:top w:w="35" w:type="dxa"/>
              <w:start w:w="65" w:type="dxa"/>
              <w:bottom w:w="35" w:type="dxa"/>
              <w:end w:w="65" w:type="dxa"/>
            </w:tcMar>
            <w:vAlign w:val="center"/>
          </w:tcPr>
          <w:p>
            <w:pPr>
              <w:spacing w:before="0" w:after="0" w:line="240" w:lineRule="auto"/>
            </w:pPr>
            <w:r>
              <w:rPr>
                <w:sz w:val="15"/>
              </w:rPr>
              <w:t>T2-PO-388</w:t>
            </w:r>
          </w:p>
        </w:tc>
        <w:tc>
          <w:tcPr>
            <w:tcW w:type="dxa" w:w="5112"/>
            <w:tcMar>
              <w:top w:w="35" w:type="dxa"/>
              <w:start w:w="65" w:type="dxa"/>
              <w:bottom w:w="35" w:type="dxa"/>
              <w:end w:w="65" w:type="dxa"/>
            </w:tcMar>
            <w:vAlign w:val="center"/>
          </w:tcPr>
          <w:p>
            <w:pPr>
              <w:spacing w:before="0" w:after="0" w:line="240" w:lineRule="auto"/>
            </w:pPr>
            <w:r>
              <w:rPr>
                <w:sz w:val="15"/>
              </w:rPr>
              <w:t>Speed a_n and law family</w:t>
            </w:r>
          </w:p>
        </w:tc>
        <w:tc>
          <w:tcPr>
            <w:tcW w:type="dxa" w:w="1224"/>
            <w:tcMar>
              <w:top w:w="35" w:type="dxa"/>
              <w:start w:w="65" w:type="dxa"/>
              <w:bottom w:w="35" w:type="dxa"/>
              <w:end w:w="65" w:type="dxa"/>
            </w:tcMar>
            <w:vAlign w:val="center"/>
            <w:shd w:fill="fff1cc"/>
          </w:tcPr>
          <w:p>
            <w:pPr>
              <w:spacing w:before="0" w:after="0" w:line="240" w:lineRule="auto"/>
            </w:pPr>
            <w:r>
              <w:rPr>
                <w:sz w:val="15"/>
              </w:rPr>
              <w:t>COND</w:t>
            </w:r>
          </w:p>
        </w:tc>
        <w:tc>
          <w:tcPr>
            <w:tcW w:type="dxa" w:w="1944"/>
            <w:tcMar>
              <w:top w:w="35" w:type="dxa"/>
              <w:start w:w="65" w:type="dxa"/>
              <w:bottom w:w="35" w:type="dxa"/>
              <w:end w:w="65" w:type="dxa"/>
            </w:tcMar>
            <w:vAlign w:val="center"/>
          </w:tcPr>
          <w:p>
            <w:pPr>
              <w:spacing w:before="0" w:after="0" w:line="240" w:lineRule="auto"/>
            </w:pPr>
            <w:r>
              <w:rPr>
                <w:sz w:val="15"/>
              </w:rPr>
              <w:t>Model-specific</w:t>
            </w:r>
          </w:p>
        </w:tc>
      </w:tr>
      <w:tr>
        <w:tc>
          <w:tcPr>
            <w:tcW w:type="dxa" w:w="1512"/>
            <w:tcMar>
              <w:top w:w="35" w:type="dxa"/>
              <w:start w:w="65" w:type="dxa"/>
              <w:bottom w:w="35" w:type="dxa"/>
              <w:end w:w="65" w:type="dxa"/>
            </w:tcMar>
            <w:vAlign w:val="center"/>
          </w:tcPr>
          <w:p>
            <w:pPr>
              <w:spacing w:before="0" w:after="0" w:line="240" w:lineRule="auto"/>
            </w:pPr>
            <w:r>
              <w:rPr>
                <w:sz w:val="15"/>
              </w:rPr>
              <w:t>T2-PO-389</w:t>
            </w:r>
          </w:p>
        </w:tc>
        <w:tc>
          <w:tcPr>
            <w:tcW w:type="dxa" w:w="5112"/>
            <w:tcMar>
              <w:top w:w="35" w:type="dxa"/>
              <w:start w:w="65" w:type="dxa"/>
              <w:bottom w:w="35" w:type="dxa"/>
              <w:end w:w="65" w:type="dxa"/>
            </w:tcMar>
            <w:vAlign w:val="center"/>
          </w:tcPr>
          <w:p>
            <w:pPr>
              <w:spacing w:before="0" w:after="0" w:line="240" w:lineRule="auto"/>
            </w:pPr>
            <w:r>
              <w:rPr>
                <w:sz w:val="15"/>
              </w:rPr>
              <w:t>LDP lower bound</w:t>
            </w:r>
          </w:p>
        </w:tc>
        <w:tc>
          <w:tcPr>
            <w:tcW w:type="dxa" w:w="1224"/>
            <w:tcMar>
              <w:top w:w="35" w:type="dxa"/>
              <w:start w:w="65" w:type="dxa"/>
              <w:bottom w:w="35" w:type="dxa"/>
              <w:end w:w="65" w:type="dxa"/>
            </w:tcMar>
            <w:vAlign w:val="center"/>
            <w:shd w:fill="fde6e0"/>
          </w:tcPr>
          <w:p>
            <w:pPr>
              <w:spacing w:before="0" w:after="0" w:line="240" w:lineRule="auto"/>
            </w:pPr>
            <w:r>
              <w:rPr>
                <w:sz w:val="15"/>
              </w:rPr>
              <w:t>OPEN</w:t>
            </w:r>
          </w:p>
        </w:tc>
        <w:tc>
          <w:tcPr>
            <w:tcW w:type="dxa" w:w="1944"/>
            <w:tcMar>
              <w:top w:w="35" w:type="dxa"/>
              <w:start w:w="65" w:type="dxa"/>
              <w:bottom w:w="35" w:type="dxa"/>
              <w:end w:w="65" w:type="dxa"/>
            </w:tcMar>
            <w:vAlign w:val="center"/>
          </w:tcPr>
          <w:p>
            <w:pPr>
              <w:spacing w:before="0" w:after="0" w:line="240" w:lineRule="auto"/>
            </w:pPr>
            <w:r>
              <w:rPr>
                <w:sz w:val="15"/>
              </w:rPr>
              <w:t>Concrete family</w:t>
            </w:r>
          </w:p>
        </w:tc>
      </w:tr>
      <w:tr>
        <w:tc>
          <w:tcPr>
            <w:tcW w:type="dxa" w:w="1512"/>
            <w:tcMar>
              <w:top w:w="35" w:type="dxa"/>
              <w:start w:w="65" w:type="dxa"/>
              <w:bottom w:w="35" w:type="dxa"/>
              <w:end w:w="65" w:type="dxa"/>
            </w:tcMar>
            <w:vAlign w:val="center"/>
          </w:tcPr>
          <w:p>
            <w:pPr>
              <w:spacing w:before="0" w:after="0" w:line="240" w:lineRule="auto"/>
            </w:pPr>
            <w:r>
              <w:rPr>
                <w:sz w:val="15"/>
              </w:rPr>
              <w:t>T2-PO-390</w:t>
            </w:r>
          </w:p>
        </w:tc>
        <w:tc>
          <w:tcPr>
            <w:tcW w:type="dxa" w:w="5112"/>
            <w:tcMar>
              <w:top w:w="35" w:type="dxa"/>
              <w:start w:w="65" w:type="dxa"/>
              <w:bottom w:w="35" w:type="dxa"/>
              <w:end w:w="65" w:type="dxa"/>
            </w:tcMar>
            <w:vAlign w:val="center"/>
          </w:tcPr>
          <w:p>
            <w:pPr>
              <w:spacing w:before="0" w:after="0" w:line="240" w:lineRule="auto"/>
            </w:pPr>
            <w:r>
              <w:rPr>
                <w:sz w:val="15"/>
              </w:rPr>
              <w:t>LDP upper bound</w:t>
            </w:r>
          </w:p>
        </w:tc>
        <w:tc>
          <w:tcPr>
            <w:tcW w:type="dxa" w:w="1224"/>
            <w:tcMar>
              <w:top w:w="35" w:type="dxa"/>
              <w:start w:w="65" w:type="dxa"/>
              <w:bottom w:w="35" w:type="dxa"/>
              <w:end w:w="65" w:type="dxa"/>
            </w:tcMar>
            <w:vAlign w:val="center"/>
            <w:shd w:fill="fde6e0"/>
          </w:tcPr>
          <w:p>
            <w:pPr>
              <w:spacing w:before="0" w:after="0" w:line="240" w:lineRule="auto"/>
            </w:pPr>
            <w:r>
              <w:rPr>
                <w:sz w:val="15"/>
              </w:rPr>
              <w:t>OPEN</w:t>
            </w:r>
          </w:p>
        </w:tc>
        <w:tc>
          <w:tcPr>
            <w:tcW w:type="dxa" w:w="1944"/>
            <w:tcMar>
              <w:top w:w="35" w:type="dxa"/>
              <w:start w:w="65" w:type="dxa"/>
              <w:bottom w:w="35" w:type="dxa"/>
              <w:end w:w="65" w:type="dxa"/>
            </w:tcMar>
            <w:vAlign w:val="center"/>
          </w:tcPr>
          <w:p>
            <w:pPr>
              <w:spacing w:before="0" w:after="0" w:line="240" w:lineRule="auto"/>
            </w:pPr>
            <w:r>
              <w:rPr>
                <w:sz w:val="15"/>
              </w:rPr>
              <w:t>Concrete family</w:t>
            </w:r>
          </w:p>
        </w:tc>
      </w:tr>
      <w:tr>
        <w:tc>
          <w:tcPr>
            <w:tcW w:type="dxa" w:w="1512"/>
            <w:tcMar>
              <w:top w:w="35" w:type="dxa"/>
              <w:start w:w="65" w:type="dxa"/>
              <w:bottom w:w="35" w:type="dxa"/>
              <w:end w:w="65" w:type="dxa"/>
            </w:tcMar>
            <w:vAlign w:val="center"/>
          </w:tcPr>
          <w:p>
            <w:pPr>
              <w:spacing w:before="0" w:after="0" w:line="240" w:lineRule="auto"/>
            </w:pPr>
            <w:r>
              <w:rPr>
                <w:sz w:val="15"/>
              </w:rPr>
              <w:t>T2-PO-391</w:t>
            </w:r>
          </w:p>
        </w:tc>
        <w:tc>
          <w:tcPr>
            <w:tcW w:type="dxa" w:w="5112"/>
            <w:tcMar>
              <w:top w:w="35" w:type="dxa"/>
              <w:start w:w="65" w:type="dxa"/>
              <w:bottom w:w="35" w:type="dxa"/>
              <w:end w:w="65" w:type="dxa"/>
            </w:tcMar>
            <w:vAlign w:val="center"/>
          </w:tcPr>
          <w:p>
            <w:pPr>
              <w:spacing w:before="0" w:after="0" w:line="240" w:lineRule="auto"/>
            </w:pPr>
            <w:r>
              <w:rPr>
                <w:sz w:val="15"/>
              </w:rPr>
              <w:t>Exponential tightness</w:t>
            </w:r>
          </w:p>
        </w:tc>
        <w:tc>
          <w:tcPr>
            <w:tcW w:type="dxa" w:w="1224"/>
            <w:tcMar>
              <w:top w:w="35" w:type="dxa"/>
              <w:start w:w="65" w:type="dxa"/>
              <w:bottom w:w="35" w:type="dxa"/>
              <w:end w:w="65" w:type="dxa"/>
            </w:tcMar>
            <w:vAlign w:val="center"/>
            <w:shd w:fill="fde6e0"/>
          </w:tcPr>
          <w:p>
            <w:pPr>
              <w:spacing w:before="0" w:after="0" w:line="240" w:lineRule="auto"/>
            </w:pPr>
            <w:r>
              <w:rPr>
                <w:sz w:val="15"/>
              </w:rPr>
              <w:t>OPEN</w:t>
            </w:r>
          </w:p>
        </w:tc>
        <w:tc>
          <w:tcPr>
            <w:tcW w:type="dxa" w:w="1944"/>
            <w:tcMar>
              <w:top w:w="35" w:type="dxa"/>
              <w:start w:w="65" w:type="dxa"/>
              <w:bottom w:w="35" w:type="dxa"/>
              <w:end w:w="65" w:type="dxa"/>
            </w:tcMar>
            <w:vAlign w:val="center"/>
          </w:tcPr>
          <w:p>
            <w:pPr>
              <w:spacing w:before="0" w:after="0" w:line="240" w:lineRule="auto"/>
            </w:pPr>
            <w:r>
              <w:rPr>
                <w:sz w:val="15"/>
              </w:rPr>
              <w:t>Path-space compactness</w:t>
            </w:r>
          </w:p>
        </w:tc>
      </w:tr>
      <w:tr>
        <w:tc>
          <w:tcPr>
            <w:tcW w:type="dxa" w:w="1512"/>
            <w:tcMar>
              <w:top w:w="35" w:type="dxa"/>
              <w:start w:w="65" w:type="dxa"/>
              <w:bottom w:w="35" w:type="dxa"/>
              <w:end w:w="65" w:type="dxa"/>
            </w:tcMar>
            <w:vAlign w:val="center"/>
          </w:tcPr>
          <w:p>
            <w:pPr>
              <w:spacing w:before="0" w:after="0" w:line="240" w:lineRule="auto"/>
            </w:pPr>
            <w:r>
              <w:rPr>
                <w:sz w:val="15"/>
              </w:rPr>
              <w:t>T2-PO-392</w:t>
            </w:r>
          </w:p>
        </w:tc>
        <w:tc>
          <w:tcPr>
            <w:tcW w:type="dxa" w:w="5112"/>
            <w:tcMar>
              <w:top w:w="35" w:type="dxa"/>
              <w:start w:w="65" w:type="dxa"/>
              <w:bottom w:w="35" w:type="dxa"/>
              <w:end w:w="65" w:type="dxa"/>
            </w:tcMar>
            <w:vAlign w:val="center"/>
          </w:tcPr>
          <w:p>
            <w:pPr>
              <w:spacing w:before="0" w:after="0" w:line="240" w:lineRule="auto"/>
            </w:pPr>
            <w:r>
              <w:rPr>
                <w:sz w:val="15"/>
              </w:rPr>
              <w:t>Good rate function</w:t>
            </w:r>
          </w:p>
        </w:tc>
        <w:tc>
          <w:tcPr>
            <w:tcW w:type="dxa" w:w="1224"/>
            <w:tcMar>
              <w:top w:w="35" w:type="dxa"/>
              <w:start w:w="65" w:type="dxa"/>
              <w:bottom w:w="35" w:type="dxa"/>
              <w:end w:w="65" w:type="dxa"/>
            </w:tcMar>
            <w:vAlign w:val="center"/>
            <w:shd w:fill="fde6e0"/>
          </w:tcPr>
          <w:p>
            <w:pPr>
              <w:spacing w:before="0" w:after="0" w:line="240" w:lineRule="auto"/>
            </w:pPr>
            <w:r>
              <w:rPr>
                <w:sz w:val="15"/>
              </w:rPr>
              <w:t>OPEN</w:t>
            </w:r>
          </w:p>
        </w:tc>
        <w:tc>
          <w:tcPr>
            <w:tcW w:type="dxa" w:w="1944"/>
            <w:tcMar>
              <w:top w:w="35" w:type="dxa"/>
              <w:start w:w="65" w:type="dxa"/>
              <w:bottom w:w="35" w:type="dxa"/>
              <w:end w:w="65" w:type="dxa"/>
            </w:tcMar>
            <w:vAlign w:val="center"/>
          </w:tcPr>
          <w:p>
            <w:pPr>
              <w:spacing w:before="0" w:after="0" w:line="240" w:lineRule="auto"/>
            </w:pPr>
            <w:r>
              <w:rPr>
                <w:sz w:val="15"/>
              </w:rPr>
              <w:t>Level-set compactness</w:t>
            </w:r>
          </w:p>
        </w:tc>
      </w:tr>
      <w:tr>
        <w:tc>
          <w:tcPr>
            <w:tcW w:type="dxa" w:w="1512"/>
            <w:tcMar>
              <w:top w:w="35" w:type="dxa"/>
              <w:start w:w="65" w:type="dxa"/>
              <w:bottom w:w="35" w:type="dxa"/>
              <w:end w:w="65" w:type="dxa"/>
            </w:tcMar>
            <w:vAlign w:val="center"/>
          </w:tcPr>
          <w:p>
            <w:pPr>
              <w:spacing w:before="0" w:after="0" w:line="240" w:lineRule="auto"/>
            </w:pPr>
            <w:r>
              <w:rPr>
                <w:sz w:val="15"/>
              </w:rPr>
              <w:t>T2-PO-393</w:t>
            </w:r>
          </w:p>
        </w:tc>
        <w:tc>
          <w:tcPr>
            <w:tcW w:type="dxa" w:w="5112"/>
            <w:tcMar>
              <w:top w:w="35" w:type="dxa"/>
              <w:start w:w="65" w:type="dxa"/>
              <w:bottom w:w="35" w:type="dxa"/>
              <w:end w:w="65" w:type="dxa"/>
            </w:tcMar>
            <w:vAlign w:val="center"/>
          </w:tcPr>
          <w:p>
            <w:pPr>
              <w:spacing w:before="0" w:after="0" w:line="240" w:lineRule="auto"/>
            </w:pPr>
            <w:r>
              <w:rPr>
                <w:sz w:val="15"/>
              </w:rPr>
              <w:t>Contraction map continuity</w:t>
            </w:r>
          </w:p>
        </w:tc>
        <w:tc>
          <w:tcPr>
            <w:tcW w:type="dxa" w:w="1224"/>
            <w:tcMar>
              <w:top w:w="35" w:type="dxa"/>
              <w:start w:w="65" w:type="dxa"/>
              <w:bottom w:w="35" w:type="dxa"/>
              <w:end w:w="65" w:type="dxa"/>
            </w:tcMar>
            <w:vAlign w:val="center"/>
            <w:shd w:fill="fff1cc"/>
          </w:tcPr>
          <w:p>
            <w:pPr>
              <w:spacing w:before="0" w:after="0" w:line="240" w:lineRule="auto"/>
            </w:pPr>
            <w:r>
              <w:rPr>
                <w:sz w:val="15"/>
              </w:rPr>
              <w:t>COND</w:t>
            </w:r>
          </w:p>
        </w:tc>
        <w:tc>
          <w:tcPr>
            <w:tcW w:type="dxa" w:w="1944"/>
            <w:tcMar>
              <w:top w:w="35" w:type="dxa"/>
              <w:start w:w="65" w:type="dxa"/>
              <w:bottom w:w="35" w:type="dxa"/>
              <w:end w:w="65" w:type="dxa"/>
            </w:tcMar>
            <w:vAlign w:val="center"/>
          </w:tcPr>
          <w:p>
            <w:pPr>
              <w:spacing w:before="0" w:after="0" w:line="240" w:lineRule="auto"/>
            </w:pPr>
            <w:r>
              <w:rPr>
                <w:sz w:val="15"/>
              </w:rPr>
              <w:t>Away from poles</w:t>
            </w:r>
          </w:p>
        </w:tc>
      </w:tr>
      <w:tr>
        <w:tc>
          <w:tcPr>
            <w:tcW w:type="dxa" w:w="1512"/>
            <w:tcMar>
              <w:top w:w="35" w:type="dxa"/>
              <w:start w:w="65" w:type="dxa"/>
              <w:bottom w:w="35" w:type="dxa"/>
              <w:end w:w="65" w:type="dxa"/>
            </w:tcMar>
            <w:vAlign w:val="center"/>
          </w:tcPr>
          <w:p>
            <w:pPr>
              <w:spacing w:before="0" w:after="0" w:line="240" w:lineRule="auto"/>
            </w:pPr>
            <w:r>
              <w:rPr>
                <w:sz w:val="15"/>
              </w:rPr>
              <w:t>T2-PO-394</w:t>
            </w:r>
          </w:p>
        </w:tc>
        <w:tc>
          <w:tcPr>
            <w:tcW w:type="dxa" w:w="5112"/>
            <w:tcMar>
              <w:top w:w="35" w:type="dxa"/>
              <w:start w:w="65" w:type="dxa"/>
              <w:bottom w:w="35" w:type="dxa"/>
              <w:end w:w="65" w:type="dxa"/>
            </w:tcMar>
            <w:vAlign w:val="center"/>
          </w:tcPr>
          <w:p>
            <w:pPr>
              <w:spacing w:before="0" w:after="0" w:line="240" w:lineRule="auto"/>
            </w:pPr>
            <w:r>
              <w:rPr>
                <w:sz w:val="15"/>
              </w:rPr>
              <w:t>λ pole-set repair</w:t>
            </w:r>
          </w:p>
        </w:tc>
        <w:tc>
          <w:tcPr>
            <w:tcW w:type="dxa" w:w="1224"/>
            <w:tcMar>
              <w:top w:w="35" w:type="dxa"/>
              <w:start w:w="65" w:type="dxa"/>
              <w:bottom w:w="35" w:type="dxa"/>
              <w:end w:w="65" w:type="dxa"/>
            </w:tcMar>
            <w:vAlign w:val="center"/>
            <w:shd w:fill="fde6e0"/>
          </w:tcPr>
          <w:p>
            <w:pPr>
              <w:spacing w:before="0" w:after="0" w:line="240" w:lineRule="auto"/>
            </w:pPr>
            <w:r>
              <w:rPr>
                <w:sz w:val="15"/>
              </w:rPr>
              <w:t>OPEN</w:t>
            </w:r>
          </w:p>
        </w:tc>
        <w:tc>
          <w:tcPr>
            <w:tcW w:type="dxa" w:w="1944"/>
            <w:tcMar>
              <w:top w:w="35" w:type="dxa"/>
              <w:start w:w="65" w:type="dxa"/>
              <w:bottom w:w="35" w:type="dxa"/>
              <w:end w:w="65" w:type="dxa"/>
            </w:tcMar>
            <w:vAlign w:val="center"/>
          </w:tcPr>
          <w:p>
            <w:pPr>
              <w:spacing w:before="0" w:after="0" w:line="240" w:lineRule="auto"/>
            </w:pPr>
            <w:r>
              <w:rPr>
                <w:sz w:val="15"/>
              </w:rPr>
              <w:t>Projective graph/exponential negligibility</w:t>
            </w:r>
          </w:p>
        </w:tc>
      </w:tr>
      <w:tr>
        <w:tc>
          <w:tcPr>
            <w:tcW w:type="dxa" w:w="1512"/>
            <w:tcMar>
              <w:top w:w="35" w:type="dxa"/>
              <w:start w:w="65" w:type="dxa"/>
              <w:bottom w:w="35" w:type="dxa"/>
              <w:end w:w="65" w:type="dxa"/>
            </w:tcMar>
            <w:vAlign w:val="center"/>
          </w:tcPr>
          <w:p>
            <w:pPr>
              <w:spacing w:before="0" w:after="0" w:line="240" w:lineRule="auto"/>
            </w:pPr>
            <w:r>
              <w:rPr>
                <w:sz w:val="15"/>
              </w:rPr>
              <w:t>T2-PO-395</w:t>
            </w:r>
          </w:p>
        </w:tc>
        <w:tc>
          <w:tcPr>
            <w:tcW w:type="dxa" w:w="5112"/>
            <w:tcMar>
              <w:top w:w="35" w:type="dxa"/>
              <w:start w:w="65" w:type="dxa"/>
              <w:bottom w:w="35" w:type="dxa"/>
              <w:end w:w="65" w:type="dxa"/>
            </w:tcMar>
            <w:vAlign w:val="center"/>
          </w:tcPr>
          <w:p>
            <w:pPr>
              <w:spacing w:before="0" w:after="0" w:line="240" w:lineRule="auto"/>
            </w:pPr>
            <w:r>
              <w:rPr>
                <w:sz w:val="15"/>
              </w:rPr>
              <w:t>Laplace principle equivalence</w:t>
            </w:r>
          </w:p>
        </w:tc>
        <w:tc>
          <w:tcPr>
            <w:tcW w:type="dxa" w:w="1224"/>
            <w:tcMar>
              <w:top w:w="35" w:type="dxa"/>
              <w:start w:w="65" w:type="dxa"/>
              <w:bottom w:w="35" w:type="dxa"/>
              <w:end w:w="65" w:type="dxa"/>
            </w:tcMar>
            <w:vAlign w:val="center"/>
            <w:shd w:fill="fff1cc"/>
          </w:tcPr>
          <w:p>
            <w:pPr>
              <w:spacing w:before="0" w:after="0" w:line="240" w:lineRule="auto"/>
            </w:pPr>
            <w:r>
              <w:rPr>
                <w:sz w:val="15"/>
              </w:rPr>
              <w:t>COND</w:t>
            </w:r>
          </w:p>
        </w:tc>
        <w:tc>
          <w:tcPr>
            <w:tcW w:type="dxa" w:w="1944"/>
            <w:tcMar>
              <w:top w:w="35" w:type="dxa"/>
              <w:start w:w="65" w:type="dxa"/>
              <w:bottom w:w="35" w:type="dxa"/>
              <w:end w:w="65" w:type="dxa"/>
            </w:tcMar>
            <w:vAlign w:val="center"/>
          </w:tcPr>
          <w:p>
            <w:pPr>
              <w:spacing w:before="0" w:after="0" w:line="240" w:lineRule="auto"/>
            </w:pPr>
            <w:r>
              <w:rPr>
                <w:sz w:val="15"/>
              </w:rPr>
              <w:t>Polish-space package</w:t>
            </w:r>
          </w:p>
        </w:tc>
      </w:tr>
      <w:tr>
        <w:tc>
          <w:tcPr>
            <w:tcW w:type="dxa" w:w="1512"/>
            <w:tcMar>
              <w:top w:w="35" w:type="dxa"/>
              <w:start w:w="65" w:type="dxa"/>
              <w:bottom w:w="35" w:type="dxa"/>
              <w:end w:w="65" w:type="dxa"/>
            </w:tcMar>
            <w:vAlign w:val="center"/>
          </w:tcPr>
          <w:p>
            <w:pPr>
              <w:spacing w:before="0" w:after="0" w:line="240" w:lineRule="auto"/>
            </w:pPr>
            <w:r>
              <w:rPr>
                <w:sz w:val="15"/>
              </w:rPr>
              <w:t>T2-PO-396</w:t>
            </w:r>
          </w:p>
        </w:tc>
        <w:tc>
          <w:tcPr>
            <w:tcW w:type="dxa" w:w="5112"/>
            <w:tcMar>
              <w:top w:w="35" w:type="dxa"/>
              <w:start w:w="65" w:type="dxa"/>
              <w:bottom w:w="35" w:type="dxa"/>
              <w:end w:w="65" w:type="dxa"/>
            </w:tcMar>
            <w:vAlign w:val="center"/>
          </w:tcPr>
          <w:p>
            <w:pPr>
              <w:spacing w:before="0" w:after="0" w:line="240" w:lineRule="auto"/>
            </w:pPr>
            <w:r>
              <w:rPr>
                <w:sz w:val="15"/>
              </w:rPr>
              <w:t>Gärtner-Ellis differentiability/steepness</w:t>
            </w:r>
          </w:p>
        </w:tc>
        <w:tc>
          <w:tcPr>
            <w:tcW w:type="dxa" w:w="1224"/>
            <w:tcMar>
              <w:top w:w="35" w:type="dxa"/>
              <w:start w:w="65" w:type="dxa"/>
              <w:bottom w:w="35" w:type="dxa"/>
              <w:end w:w="65" w:type="dxa"/>
            </w:tcMar>
            <w:vAlign w:val="center"/>
            <w:shd w:fill="fde6e0"/>
          </w:tcPr>
          <w:p>
            <w:pPr>
              <w:spacing w:before="0" w:after="0" w:line="240" w:lineRule="auto"/>
            </w:pPr>
            <w:r>
              <w:rPr>
                <w:sz w:val="15"/>
              </w:rPr>
              <w:t>OPEN</w:t>
            </w:r>
          </w:p>
        </w:tc>
        <w:tc>
          <w:tcPr>
            <w:tcW w:type="dxa" w:w="1944"/>
            <w:tcMar>
              <w:top w:w="35" w:type="dxa"/>
              <w:start w:w="65" w:type="dxa"/>
              <w:bottom w:w="35" w:type="dxa"/>
              <w:end w:w="65" w:type="dxa"/>
            </w:tcMar>
            <w:vAlign w:val="center"/>
          </w:tcPr>
          <w:p>
            <w:pPr>
              <w:spacing w:before="0" w:after="0" w:line="240" w:lineRule="auto"/>
            </w:pPr>
            <w:r>
              <w:rPr>
                <w:sz w:val="15"/>
              </w:rPr>
              <w:t>SCGF-specific</w:t>
            </w:r>
          </w:p>
        </w:tc>
      </w:tr>
      <w:tr>
        <w:tc>
          <w:tcPr>
            <w:tcW w:type="dxa" w:w="1512"/>
            <w:tcMar>
              <w:top w:w="35" w:type="dxa"/>
              <w:start w:w="65" w:type="dxa"/>
              <w:bottom w:w="35" w:type="dxa"/>
              <w:end w:w="65" w:type="dxa"/>
            </w:tcMar>
            <w:vAlign w:val="center"/>
          </w:tcPr>
          <w:p>
            <w:pPr>
              <w:spacing w:before="0" w:after="0" w:line="240" w:lineRule="auto"/>
            </w:pPr>
            <w:r>
              <w:rPr>
                <w:sz w:val="15"/>
              </w:rPr>
              <w:t>T2-PO-397</w:t>
            </w:r>
          </w:p>
        </w:tc>
        <w:tc>
          <w:tcPr>
            <w:tcW w:type="dxa" w:w="5112"/>
            <w:tcMar>
              <w:top w:w="35" w:type="dxa"/>
              <w:start w:w="65" w:type="dxa"/>
              <w:bottom w:w="35" w:type="dxa"/>
              <w:end w:w="65" w:type="dxa"/>
            </w:tcMar>
            <w:vAlign w:val="center"/>
          </w:tcPr>
          <w:p>
            <w:pPr>
              <w:spacing w:before="0" w:after="0" w:line="240" w:lineRule="auto"/>
            </w:pPr>
            <w:r>
              <w:rPr>
                <w:sz w:val="15"/>
              </w:rPr>
              <w:t>Sanov empirical-measure layer</w:t>
            </w:r>
          </w:p>
        </w:tc>
        <w:tc>
          <w:tcPr>
            <w:tcW w:type="dxa" w:w="1224"/>
            <w:tcMar>
              <w:top w:w="35" w:type="dxa"/>
              <w:start w:w="65" w:type="dxa"/>
              <w:bottom w:w="35" w:type="dxa"/>
              <w:end w:w="65" w:type="dxa"/>
            </w:tcMar>
            <w:vAlign w:val="center"/>
            <w:shd w:fill="fff1cc"/>
          </w:tcPr>
          <w:p>
            <w:pPr>
              <w:spacing w:before="0" w:after="0" w:line="240" w:lineRule="auto"/>
            </w:pPr>
            <w:r>
              <w:rPr>
                <w:sz w:val="15"/>
              </w:rPr>
              <w:t>COND</w:t>
            </w:r>
          </w:p>
        </w:tc>
        <w:tc>
          <w:tcPr>
            <w:tcW w:type="dxa" w:w="1944"/>
            <w:tcMar>
              <w:top w:w="35" w:type="dxa"/>
              <w:start w:w="65" w:type="dxa"/>
              <w:bottom w:w="35" w:type="dxa"/>
              <w:end w:w="65" w:type="dxa"/>
            </w:tcMar>
            <w:vAlign w:val="center"/>
          </w:tcPr>
          <w:p>
            <w:pPr>
              <w:spacing w:before="0" w:after="0" w:line="240" w:lineRule="auto"/>
            </w:pPr>
            <w:r>
              <w:rPr>
                <w:sz w:val="15"/>
              </w:rPr>
              <w:t>IID sector</w:t>
            </w:r>
          </w:p>
        </w:tc>
      </w:tr>
      <w:tr>
        <w:tc>
          <w:tcPr>
            <w:tcW w:type="dxa" w:w="1512"/>
            <w:tcMar>
              <w:top w:w="35" w:type="dxa"/>
              <w:start w:w="65" w:type="dxa"/>
              <w:bottom w:w="35" w:type="dxa"/>
              <w:end w:w="65" w:type="dxa"/>
            </w:tcMar>
            <w:vAlign w:val="center"/>
          </w:tcPr>
          <w:p>
            <w:pPr>
              <w:spacing w:before="0" w:after="0" w:line="240" w:lineRule="auto"/>
            </w:pPr>
            <w:r>
              <w:rPr>
                <w:sz w:val="15"/>
              </w:rPr>
              <w:t>T2-PO-398</w:t>
            </w:r>
          </w:p>
        </w:tc>
        <w:tc>
          <w:tcPr>
            <w:tcW w:type="dxa" w:w="5112"/>
            <w:tcMar>
              <w:top w:w="35" w:type="dxa"/>
              <w:start w:w="65" w:type="dxa"/>
              <w:bottom w:w="35" w:type="dxa"/>
              <w:end w:w="65" w:type="dxa"/>
            </w:tcMar>
            <w:vAlign w:val="center"/>
          </w:tcPr>
          <w:p>
            <w:pPr>
              <w:spacing w:before="0" w:after="0" w:line="240" w:lineRule="auto"/>
            </w:pPr>
            <w:r>
              <w:rPr>
                <w:sz w:val="15"/>
              </w:rPr>
              <w:t>Freidlin-Wentzell action</w:t>
            </w:r>
          </w:p>
        </w:tc>
        <w:tc>
          <w:tcPr>
            <w:tcW w:type="dxa" w:w="1224"/>
            <w:tcMar>
              <w:top w:w="35" w:type="dxa"/>
              <w:start w:w="65" w:type="dxa"/>
              <w:bottom w:w="35" w:type="dxa"/>
              <w:end w:w="65" w:type="dxa"/>
            </w:tcMar>
            <w:vAlign w:val="center"/>
            <w:shd w:fill="fde6e0"/>
          </w:tcPr>
          <w:p>
            <w:pPr>
              <w:spacing w:before="0" w:after="0" w:line="240" w:lineRule="auto"/>
            </w:pPr>
            <w:r>
              <w:rPr>
                <w:sz w:val="15"/>
              </w:rPr>
              <w:t>OPEN</w:t>
            </w:r>
          </w:p>
        </w:tc>
        <w:tc>
          <w:tcPr>
            <w:tcW w:type="dxa" w:w="1944"/>
            <w:tcMar>
              <w:top w:w="35" w:type="dxa"/>
              <w:start w:w="65" w:type="dxa"/>
              <w:bottom w:w="35" w:type="dxa"/>
              <w:end w:w="65" w:type="dxa"/>
            </w:tcMar>
            <w:vAlign w:val="center"/>
          </w:tcPr>
          <w:p>
            <w:pPr>
              <w:spacing w:before="0" w:after="0" w:line="240" w:lineRule="auto"/>
            </w:pPr>
            <w:r>
              <w:rPr>
                <w:sz w:val="15"/>
              </w:rPr>
              <w:t>Concrete diffusion</w:t>
            </w:r>
          </w:p>
        </w:tc>
      </w:tr>
      <w:tr>
        <w:tc>
          <w:tcPr>
            <w:tcW w:type="dxa" w:w="1512"/>
            <w:tcMar>
              <w:top w:w="35" w:type="dxa"/>
              <w:start w:w="65" w:type="dxa"/>
              <w:bottom w:w="35" w:type="dxa"/>
              <w:end w:w="65" w:type="dxa"/>
            </w:tcMar>
            <w:vAlign w:val="center"/>
          </w:tcPr>
          <w:p>
            <w:pPr>
              <w:spacing w:before="0" w:after="0" w:line="240" w:lineRule="auto"/>
            </w:pPr>
            <w:r>
              <w:rPr>
                <w:sz w:val="15"/>
              </w:rPr>
              <w:t>T2-PO-399</w:t>
            </w:r>
          </w:p>
        </w:tc>
        <w:tc>
          <w:tcPr>
            <w:tcW w:type="dxa" w:w="5112"/>
            <w:tcMar>
              <w:top w:w="35" w:type="dxa"/>
              <w:start w:w="65" w:type="dxa"/>
              <w:bottom w:w="35" w:type="dxa"/>
              <w:end w:w="65" w:type="dxa"/>
            </w:tcMar>
            <w:vAlign w:val="center"/>
          </w:tcPr>
          <w:p>
            <w:pPr>
              <w:spacing w:before="0" w:after="0" w:line="240" w:lineRule="auto"/>
            </w:pPr>
            <w:r>
              <w:rPr>
                <w:sz w:val="15"/>
              </w:rPr>
              <w:t>Degenerate action/control representation</w:t>
            </w:r>
          </w:p>
        </w:tc>
        <w:tc>
          <w:tcPr>
            <w:tcW w:type="dxa" w:w="1224"/>
            <w:tcMar>
              <w:top w:w="35" w:type="dxa"/>
              <w:start w:w="65" w:type="dxa"/>
              <w:bottom w:w="35" w:type="dxa"/>
              <w:end w:w="65" w:type="dxa"/>
            </w:tcMar>
            <w:vAlign w:val="center"/>
            <w:shd w:fill="fde6e0"/>
          </w:tcPr>
          <w:p>
            <w:pPr>
              <w:spacing w:before="0" w:after="0" w:line="240" w:lineRule="auto"/>
            </w:pPr>
            <w:r>
              <w:rPr>
                <w:sz w:val="15"/>
              </w:rPr>
              <w:t>OPEN</w:t>
            </w:r>
          </w:p>
        </w:tc>
        <w:tc>
          <w:tcPr>
            <w:tcW w:type="dxa" w:w="1944"/>
            <w:tcMar>
              <w:top w:w="35" w:type="dxa"/>
              <w:start w:w="65" w:type="dxa"/>
              <w:bottom w:w="35" w:type="dxa"/>
              <w:end w:w="65" w:type="dxa"/>
            </w:tcMar>
            <w:vAlign w:val="center"/>
          </w:tcPr>
          <w:p>
            <w:pPr>
              <w:spacing w:before="0" w:after="0" w:line="240" w:lineRule="auto"/>
            </w:pPr>
            <w:r>
              <w:rPr>
                <w:sz w:val="15"/>
              </w:rPr>
              <w:t>Controllability</w:t>
            </w:r>
          </w:p>
        </w:tc>
      </w:tr>
      <w:tr>
        <w:tc>
          <w:tcPr>
            <w:tcW w:type="dxa" w:w="1512"/>
            <w:tcMar>
              <w:top w:w="35" w:type="dxa"/>
              <w:start w:w="65" w:type="dxa"/>
              <w:bottom w:w="35" w:type="dxa"/>
              <w:end w:w="65" w:type="dxa"/>
            </w:tcMar>
            <w:vAlign w:val="center"/>
          </w:tcPr>
          <w:p>
            <w:pPr>
              <w:spacing w:before="0" w:after="0" w:line="240" w:lineRule="auto"/>
            </w:pPr>
            <w:r>
              <w:rPr>
                <w:sz w:val="15"/>
              </w:rPr>
              <w:t>T2-PO-400</w:t>
            </w:r>
          </w:p>
        </w:tc>
        <w:tc>
          <w:tcPr>
            <w:tcW w:type="dxa" w:w="5112"/>
            <w:tcMar>
              <w:top w:w="35" w:type="dxa"/>
              <w:start w:w="65" w:type="dxa"/>
              <w:bottom w:w="35" w:type="dxa"/>
              <w:end w:w="65" w:type="dxa"/>
            </w:tcMar>
            <w:vAlign w:val="center"/>
          </w:tcPr>
          <w:p>
            <w:pPr>
              <w:spacing w:before="0" w:after="0" w:line="240" w:lineRule="auto"/>
            </w:pPr>
            <w:r>
              <w:rPr>
                <w:sz w:val="15"/>
              </w:rPr>
              <w:t>Quasipotential existence</w:t>
            </w:r>
          </w:p>
        </w:tc>
        <w:tc>
          <w:tcPr>
            <w:tcW w:type="dxa" w:w="1224"/>
            <w:tcMar>
              <w:top w:w="35" w:type="dxa"/>
              <w:start w:w="65" w:type="dxa"/>
              <w:bottom w:w="35" w:type="dxa"/>
              <w:end w:w="65" w:type="dxa"/>
            </w:tcMar>
            <w:vAlign w:val="center"/>
            <w:shd w:fill="fde6e0"/>
          </w:tcPr>
          <w:p>
            <w:pPr>
              <w:spacing w:before="0" w:after="0" w:line="240" w:lineRule="auto"/>
            </w:pPr>
            <w:r>
              <w:rPr>
                <w:sz w:val="15"/>
              </w:rPr>
              <w:t>OPEN</w:t>
            </w:r>
          </w:p>
        </w:tc>
        <w:tc>
          <w:tcPr>
            <w:tcW w:type="dxa" w:w="1944"/>
            <w:tcMar>
              <w:top w:w="35" w:type="dxa"/>
              <w:start w:w="65" w:type="dxa"/>
              <w:bottom w:w="35" w:type="dxa"/>
              <w:end w:w="65" w:type="dxa"/>
            </w:tcMar>
            <w:vAlign w:val="center"/>
          </w:tcPr>
          <w:p>
            <w:pPr>
              <w:spacing w:before="0" w:after="0" w:line="240" w:lineRule="auto"/>
            </w:pPr>
            <w:r>
              <w:rPr>
                <w:sz w:val="15"/>
              </w:rPr>
              <w:t>Compactness/minimizer</w:t>
            </w:r>
          </w:p>
        </w:tc>
      </w:tr>
      <w:tr>
        <w:tc>
          <w:tcPr>
            <w:tcW w:type="dxa" w:w="1512"/>
            <w:tcMar>
              <w:top w:w="35" w:type="dxa"/>
              <w:start w:w="65" w:type="dxa"/>
              <w:bottom w:w="35" w:type="dxa"/>
              <w:end w:w="65" w:type="dxa"/>
            </w:tcMar>
            <w:vAlign w:val="center"/>
          </w:tcPr>
          <w:p>
            <w:pPr>
              <w:spacing w:before="0" w:after="0" w:line="240" w:lineRule="auto"/>
            </w:pPr>
            <w:r>
              <w:rPr>
                <w:sz w:val="15"/>
              </w:rPr>
              <w:t>T2-PO-401</w:t>
            </w:r>
          </w:p>
        </w:tc>
        <w:tc>
          <w:tcPr>
            <w:tcW w:type="dxa" w:w="5112"/>
            <w:tcMar>
              <w:top w:w="35" w:type="dxa"/>
              <w:start w:w="65" w:type="dxa"/>
              <w:bottom w:w="35" w:type="dxa"/>
              <w:end w:w="65" w:type="dxa"/>
            </w:tcMar>
            <w:vAlign w:val="center"/>
          </w:tcPr>
          <w:p>
            <w:pPr>
              <w:spacing w:before="0" w:after="0" w:line="240" w:lineRule="auto"/>
            </w:pPr>
            <w:r>
              <w:rPr>
                <w:sz w:val="15"/>
              </w:rPr>
              <w:t>Instanton uniqueness or multiplicity ledger</w:t>
            </w:r>
          </w:p>
        </w:tc>
        <w:tc>
          <w:tcPr>
            <w:tcW w:type="dxa" w:w="1224"/>
            <w:tcMar>
              <w:top w:w="35" w:type="dxa"/>
              <w:start w:w="65" w:type="dxa"/>
              <w:bottom w:w="35" w:type="dxa"/>
              <w:end w:w="65" w:type="dxa"/>
            </w:tcMar>
            <w:vAlign w:val="center"/>
            <w:shd w:fill="fde6e0"/>
          </w:tcPr>
          <w:p>
            <w:pPr>
              <w:spacing w:before="0" w:after="0" w:line="240" w:lineRule="auto"/>
            </w:pPr>
            <w:r>
              <w:rPr>
                <w:sz w:val="15"/>
              </w:rPr>
              <w:t>OPEN</w:t>
            </w:r>
          </w:p>
        </w:tc>
        <w:tc>
          <w:tcPr>
            <w:tcW w:type="dxa" w:w="1944"/>
            <w:tcMar>
              <w:top w:w="35" w:type="dxa"/>
              <w:start w:w="65" w:type="dxa"/>
              <w:bottom w:w="35" w:type="dxa"/>
              <w:end w:w="65" w:type="dxa"/>
            </w:tcMar>
            <w:vAlign w:val="center"/>
          </w:tcPr>
          <w:p>
            <w:pPr>
              <w:spacing w:before="0" w:after="0" w:line="240" w:lineRule="auto"/>
            </w:pPr>
            <w:r>
              <w:rPr>
                <w:sz w:val="15"/>
              </w:rPr>
              <w:t>Numerical/analytic</w:t>
            </w:r>
          </w:p>
        </w:tc>
      </w:tr>
      <w:tr>
        <w:tc>
          <w:tcPr>
            <w:tcW w:type="dxa" w:w="1512"/>
            <w:tcMar>
              <w:top w:w="35" w:type="dxa"/>
              <w:start w:w="65" w:type="dxa"/>
              <w:bottom w:w="35" w:type="dxa"/>
              <w:end w:w="65" w:type="dxa"/>
            </w:tcMar>
            <w:vAlign w:val="center"/>
          </w:tcPr>
          <w:p>
            <w:pPr>
              <w:spacing w:before="0" w:after="0" w:line="240" w:lineRule="auto"/>
            </w:pPr>
            <w:r>
              <w:rPr>
                <w:sz w:val="15"/>
              </w:rPr>
              <w:t>T2-PO-402</w:t>
            </w:r>
          </w:p>
        </w:tc>
        <w:tc>
          <w:tcPr>
            <w:tcW w:type="dxa" w:w="5112"/>
            <w:tcMar>
              <w:top w:w="35" w:type="dxa"/>
              <w:start w:w="65" w:type="dxa"/>
              <w:bottom w:w="35" w:type="dxa"/>
              <w:end w:w="65" w:type="dxa"/>
            </w:tcMar>
            <w:vAlign w:val="center"/>
          </w:tcPr>
          <w:p>
            <w:pPr>
              <w:spacing w:before="0" w:after="0" w:line="240" w:lineRule="auto"/>
            </w:pPr>
            <w:r>
              <w:rPr>
                <w:sz w:val="15"/>
              </w:rPr>
              <w:t>Donsker-Varadhan functional</w:t>
            </w:r>
          </w:p>
        </w:tc>
        <w:tc>
          <w:tcPr>
            <w:tcW w:type="dxa" w:w="1224"/>
            <w:tcMar>
              <w:top w:w="35" w:type="dxa"/>
              <w:start w:w="65" w:type="dxa"/>
              <w:bottom w:w="35" w:type="dxa"/>
              <w:end w:w="65" w:type="dxa"/>
            </w:tcMar>
            <w:vAlign w:val="center"/>
            <w:shd w:fill="fde6e0"/>
          </w:tcPr>
          <w:p>
            <w:pPr>
              <w:spacing w:before="0" w:after="0" w:line="240" w:lineRule="auto"/>
            </w:pPr>
            <w:r>
              <w:rPr>
                <w:sz w:val="15"/>
              </w:rPr>
              <w:t>OPEN</w:t>
            </w:r>
          </w:p>
        </w:tc>
        <w:tc>
          <w:tcPr>
            <w:tcW w:type="dxa" w:w="1944"/>
            <w:tcMar>
              <w:top w:w="35" w:type="dxa"/>
              <w:start w:w="65" w:type="dxa"/>
              <w:bottom w:w="35" w:type="dxa"/>
              <w:end w:w="65" w:type="dxa"/>
            </w:tcMar>
            <w:vAlign w:val="center"/>
          </w:tcPr>
          <w:p>
            <w:pPr>
              <w:spacing w:before="0" w:after="0" w:line="240" w:lineRule="auto"/>
            </w:pPr>
            <w:r>
              <w:rPr>
                <w:sz w:val="15"/>
              </w:rPr>
              <w:t>Ergodic Markov model</w:t>
            </w:r>
          </w:p>
        </w:tc>
      </w:tr>
      <w:tr>
        <w:tc>
          <w:tcPr>
            <w:tcW w:type="dxa" w:w="1512"/>
            <w:tcMar>
              <w:top w:w="35" w:type="dxa"/>
              <w:start w:w="65" w:type="dxa"/>
              <w:bottom w:w="35" w:type="dxa"/>
              <w:end w:w="65" w:type="dxa"/>
            </w:tcMar>
            <w:vAlign w:val="center"/>
          </w:tcPr>
          <w:p>
            <w:pPr>
              <w:spacing w:before="0" w:after="0" w:line="240" w:lineRule="auto"/>
            </w:pPr>
            <w:r>
              <w:rPr>
                <w:sz w:val="15"/>
              </w:rPr>
              <w:t>T2-PO-403</w:t>
            </w:r>
          </w:p>
        </w:tc>
        <w:tc>
          <w:tcPr>
            <w:tcW w:type="dxa" w:w="5112"/>
            <w:tcMar>
              <w:top w:w="35" w:type="dxa"/>
              <w:start w:w="65" w:type="dxa"/>
              <w:bottom w:w="35" w:type="dxa"/>
              <w:end w:w="65" w:type="dxa"/>
            </w:tcMar>
            <w:vAlign w:val="center"/>
          </w:tcPr>
          <w:p>
            <w:pPr>
              <w:spacing w:before="0" w:after="0" w:line="240" w:lineRule="auto"/>
            </w:pPr>
            <w:r>
              <w:rPr>
                <w:sz w:val="15"/>
              </w:rPr>
              <w:t>Feynman-Kac semigroup realization</w:t>
            </w:r>
          </w:p>
        </w:tc>
        <w:tc>
          <w:tcPr>
            <w:tcW w:type="dxa" w:w="1224"/>
            <w:tcMar>
              <w:top w:w="35" w:type="dxa"/>
              <w:start w:w="65" w:type="dxa"/>
              <w:bottom w:w="35" w:type="dxa"/>
              <w:end w:w="65" w:type="dxa"/>
            </w:tcMar>
            <w:vAlign w:val="center"/>
            <w:shd w:fill="fde6e0"/>
          </w:tcPr>
          <w:p>
            <w:pPr>
              <w:spacing w:before="0" w:after="0" w:line="240" w:lineRule="auto"/>
            </w:pPr>
            <w:r>
              <w:rPr>
                <w:sz w:val="15"/>
              </w:rPr>
              <w:t>OPEN</w:t>
            </w:r>
          </w:p>
        </w:tc>
        <w:tc>
          <w:tcPr>
            <w:tcW w:type="dxa" w:w="1944"/>
            <w:tcMar>
              <w:top w:w="35" w:type="dxa"/>
              <w:start w:w="65" w:type="dxa"/>
              <w:bottom w:w="35" w:type="dxa"/>
              <w:end w:w="65" w:type="dxa"/>
            </w:tcMar>
            <w:vAlign w:val="center"/>
          </w:tcPr>
          <w:p>
            <w:pPr>
              <w:spacing w:before="0" w:after="0" w:line="240" w:lineRule="auto"/>
            </w:pPr>
            <w:r>
              <w:rPr>
                <w:sz w:val="15"/>
              </w:rPr>
              <w:t>Exponential integrability</w:t>
            </w:r>
          </w:p>
        </w:tc>
      </w:tr>
      <w:tr>
        <w:tc>
          <w:tcPr>
            <w:tcW w:type="dxa" w:w="1512"/>
            <w:tcMar>
              <w:top w:w="35" w:type="dxa"/>
              <w:start w:w="65" w:type="dxa"/>
              <w:bottom w:w="35" w:type="dxa"/>
              <w:end w:w="65" w:type="dxa"/>
            </w:tcMar>
            <w:vAlign w:val="center"/>
          </w:tcPr>
          <w:p>
            <w:pPr>
              <w:spacing w:before="0" w:after="0" w:line="240" w:lineRule="auto"/>
            </w:pPr>
            <w:r>
              <w:rPr>
                <w:sz w:val="15"/>
              </w:rPr>
              <w:t>T2-PO-404</w:t>
            </w:r>
          </w:p>
        </w:tc>
        <w:tc>
          <w:tcPr>
            <w:tcW w:type="dxa" w:w="5112"/>
            <w:tcMar>
              <w:top w:w="35" w:type="dxa"/>
              <w:start w:w="65" w:type="dxa"/>
              <w:bottom w:w="35" w:type="dxa"/>
              <w:end w:w="65" w:type="dxa"/>
            </w:tcMar>
            <w:vAlign w:val="center"/>
          </w:tcPr>
          <w:p>
            <w:pPr>
              <w:spacing w:before="0" w:after="0" w:line="240" w:lineRule="auto"/>
            </w:pPr>
            <w:r>
              <w:rPr>
                <w:sz w:val="15"/>
              </w:rPr>
              <w:t>Risk-sensitive nonlinear generator</w:t>
            </w:r>
          </w:p>
        </w:tc>
        <w:tc>
          <w:tcPr>
            <w:tcW w:type="dxa" w:w="1224"/>
            <w:tcMar>
              <w:top w:w="35" w:type="dxa"/>
              <w:start w:w="65" w:type="dxa"/>
              <w:bottom w:w="35" w:type="dxa"/>
              <w:end w:w="65" w:type="dxa"/>
            </w:tcMar>
            <w:vAlign w:val="center"/>
            <w:shd w:fill="fff1cc"/>
          </w:tcPr>
          <w:p>
            <w:pPr>
              <w:spacing w:before="0" w:after="0" w:line="240" w:lineRule="auto"/>
            </w:pPr>
            <w:r>
              <w:rPr>
                <w:sz w:val="15"/>
              </w:rPr>
              <w:t>COND</w:t>
            </w:r>
          </w:p>
        </w:tc>
        <w:tc>
          <w:tcPr>
            <w:tcW w:type="dxa" w:w="1944"/>
            <w:tcMar>
              <w:top w:w="35" w:type="dxa"/>
              <w:start w:w="65" w:type="dxa"/>
              <w:bottom w:w="35" w:type="dxa"/>
              <w:end w:w="65" w:type="dxa"/>
            </w:tcMar>
            <w:vAlign w:val="center"/>
          </w:tcPr>
          <w:p>
            <w:pPr>
              <w:spacing w:before="0" w:after="0" w:line="240" w:lineRule="auto"/>
            </w:pPr>
            <w:r>
              <w:rPr>
                <w:sz w:val="15"/>
              </w:rPr>
              <w:t>Domain of exponential transform</w:t>
            </w:r>
          </w:p>
        </w:tc>
      </w:tr>
      <w:tr>
        <w:tc>
          <w:tcPr>
            <w:tcW w:type="dxa" w:w="1512"/>
            <w:tcMar>
              <w:top w:w="35" w:type="dxa"/>
              <w:start w:w="65" w:type="dxa"/>
              <w:bottom w:w="35" w:type="dxa"/>
              <w:end w:w="65" w:type="dxa"/>
            </w:tcMar>
            <w:vAlign w:val="center"/>
          </w:tcPr>
          <w:p>
            <w:pPr>
              <w:spacing w:before="0" w:after="0" w:line="240" w:lineRule="auto"/>
            </w:pPr>
            <w:r>
              <w:rPr>
                <w:sz w:val="15"/>
              </w:rPr>
              <w:t>T2-PO-405</w:t>
            </w:r>
          </w:p>
        </w:tc>
        <w:tc>
          <w:tcPr>
            <w:tcW w:type="dxa" w:w="5112"/>
            <w:tcMar>
              <w:top w:w="35" w:type="dxa"/>
              <w:start w:w="65" w:type="dxa"/>
              <w:bottom w:w="35" w:type="dxa"/>
              <w:end w:w="65" w:type="dxa"/>
            </w:tcMar>
            <w:vAlign w:val="center"/>
          </w:tcPr>
          <w:p>
            <w:pPr>
              <w:spacing w:before="0" w:after="0" w:line="240" w:lineRule="auto"/>
            </w:pPr>
            <w:r>
              <w:rPr>
                <w:sz w:val="15"/>
              </w:rPr>
              <w:t>Principal eigenvalue limit</w:t>
            </w:r>
          </w:p>
        </w:tc>
        <w:tc>
          <w:tcPr>
            <w:tcW w:type="dxa" w:w="1224"/>
            <w:tcMar>
              <w:top w:w="35" w:type="dxa"/>
              <w:start w:w="65" w:type="dxa"/>
              <w:bottom w:w="35" w:type="dxa"/>
              <w:end w:w="65" w:type="dxa"/>
            </w:tcMar>
            <w:vAlign w:val="center"/>
            <w:shd w:fill="fde6e0"/>
          </w:tcPr>
          <w:p>
            <w:pPr>
              <w:spacing w:before="0" w:after="0" w:line="240" w:lineRule="auto"/>
            </w:pPr>
            <w:r>
              <w:rPr>
                <w:sz w:val="15"/>
              </w:rPr>
              <w:t>OPEN</w:t>
            </w:r>
          </w:p>
        </w:tc>
        <w:tc>
          <w:tcPr>
            <w:tcW w:type="dxa" w:w="1944"/>
            <w:tcMar>
              <w:top w:w="35" w:type="dxa"/>
              <w:start w:w="65" w:type="dxa"/>
              <w:bottom w:w="35" w:type="dxa"/>
              <w:end w:w="65" w:type="dxa"/>
            </w:tcMar>
            <w:vAlign w:val="center"/>
          </w:tcPr>
          <w:p>
            <w:pPr>
              <w:spacing w:before="0" w:after="0" w:line="240" w:lineRule="auto"/>
            </w:pPr>
            <w:r>
              <w:rPr>
                <w:sz w:val="15"/>
              </w:rPr>
              <w:t>Spectral/ergodic package</w:t>
            </w:r>
          </w:p>
        </w:tc>
      </w:tr>
      <w:tr>
        <w:tc>
          <w:tcPr>
            <w:tcW w:type="dxa" w:w="1512"/>
            <w:tcMar>
              <w:top w:w="35" w:type="dxa"/>
              <w:start w:w="65" w:type="dxa"/>
              <w:bottom w:w="35" w:type="dxa"/>
              <w:end w:w="65" w:type="dxa"/>
            </w:tcMar>
            <w:vAlign w:val="center"/>
          </w:tcPr>
          <w:p>
            <w:pPr>
              <w:spacing w:before="0" w:after="0" w:line="240" w:lineRule="auto"/>
            </w:pPr>
            <w:r>
              <w:rPr>
                <w:sz w:val="15"/>
              </w:rPr>
              <w:t>T2-PO-406</w:t>
            </w:r>
          </w:p>
        </w:tc>
        <w:tc>
          <w:tcPr>
            <w:tcW w:type="dxa" w:w="5112"/>
            <w:tcMar>
              <w:top w:w="35" w:type="dxa"/>
              <w:start w:w="65" w:type="dxa"/>
              <w:bottom w:w="35" w:type="dxa"/>
              <w:end w:w="65" w:type="dxa"/>
            </w:tcMar>
            <w:vAlign w:val="center"/>
          </w:tcPr>
          <w:p>
            <w:pPr>
              <w:spacing w:before="0" w:after="0" w:line="240" w:lineRule="auto"/>
            </w:pPr>
            <w:r>
              <w:rPr>
                <w:sz w:val="15"/>
              </w:rPr>
              <w:t>Risk-sensitive HJB verification</w:t>
            </w:r>
          </w:p>
        </w:tc>
        <w:tc>
          <w:tcPr>
            <w:tcW w:type="dxa" w:w="1224"/>
            <w:tcMar>
              <w:top w:w="35" w:type="dxa"/>
              <w:start w:w="65" w:type="dxa"/>
              <w:bottom w:w="35" w:type="dxa"/>
              <w:end w:w="65" w:type="dxa"/>
            </w:tcMar>
            <w:vAlign w:val="center"/>
            <w:shd w:fill="fde6e0"/>
          </w:tcPr>
          <w:p>
            <w:pPr>
              <w:spacing w:before="0" w:after="0" w:line="240" w:lineRule="auto"/>
            </w:pPr>
            <w:r>
              <w:rPr>
                <w:sz w:val="15"/>
              </w:rPr>
              <w:t>OPEN</w:t>
            </w:r>
          </w:p>
        </w:tc>
        <w:tc>
          <w:tcPr>
            <w:tcW w:type="dxa" w:w="1944"/>
            <w:tcMar>
              <w:top w:w="35" w:type="dxa"/>
              <w:start w:w="65" w:type="dxa"/>
              <w:bottom w:w="35" w:type="dxa"/>
              <w:end w:w="65" w:type="dxa"/>
            </w:tcMar>
            <w:vAlign w:val="center"/>
          </w:tcPr>
          <w:p>
            <w:pPr>
              <w:spacing w:before="0" w:after="0" w:line="240" w:lineRule="auto"/>
            </w:pPr>
            <w:r>
              <w:rPr>
                <w:sz w:val="15"/>
              </w:rPr>
              <w:t>Controlled model</w:t>
            </w:r>
          </w:p>
        </w:tc>
      </w:tr>
      <w:tr>
        <w:tc>
          <w:tcPr>
            <w:tcW w:type="dxa" w:w="1512"/>
            <w:tcMar>
              <w:top w:w="35" w:type="dxa"/>
              <w:start w:w="65" w:type="dxa"/>
              <w:bottom w:w="35" w:type="dxa"/>
              <w:end w:w="65" w:type="dxa"/>
            </w:tcMar>
            <w:vAlign w:val="center"/>
          </w:tcPr>
          <w:p>
            <w:pPr>
              <w:spacing w:before="0" w:after="0" w:line="240" w:lineRule="auto"/>
            </w:pPr>
            <w:r>
              <w:rPr>
                <w:sz w:val="15"/>
              </w:rPr>
              <w:t>T2-PO-407</w:t>
            </w:r>
          </w:p>
        </w:tc>
        <w:tc>
          <w:tcPr>
            <w:tcW w:type="dxa" w:w="5112"/>
            <w:tcMar>
              <w:top w:w="35" w:type="dxa"/>
              <w:start w:w="65" w:type="dxa"/>
              <w:bottom w:w="35" w:type="dxa"/>
              <w:end w:w="65" w:type="dxa"/>
            </w:tcMar>
            <w:vAlign w:val="center"/>
          </w:tcPr>
          <w:p>
            <w:pPr>
              <w:spacing w:before="0" w:after="0" w:line="240" w:lineRule="auto"/>
            </w:pPr>
            <w:r>
              <w:rPr>
                <w:sz w:val="15"/>
              </w:rPr>
              <w:t>Asymptotic-probability firewall</w:t>
            </w:r>
          </w:p>
        </w:tc>
        <w:tc>
          <w:tcPr>
            <w:tcW w:type="dxa" w:w="1224"/>
            <w:tcMar>
              <w:top w:w="35" w:type="dxa"/>
              <w:start w:w="65" w:type="dxa"/>
              <w:bottom w:w="35" w:type="dxa"/>
              <w:end w:w="65" w:type="dxa"/>
            </w:tcMar>
            <w:vAlign w:val="center"/>
            <w:shd w:fill="dff0e5"/>
          </w:tcPr>
          <w:p>
            <w:pPr>
              <w:spacing w:before="0" w:after="0" w:line="240" w:lineRule="auto"/>
            </w:pPr>
            <w:r>
              <w:rPr>
                <w:sz w:val="15"/>
              </w:rPr>
              <w:t>CLOSED</w:t>
            </w:r>
          </w:p>
        </w:tc>
        <w:tc>
          <w:tcPr>
            <w:tcW w:type="dxa" w:w="1944"/>
            <w:tcMar>
              <w:top w:w="35" w:type="dxa"/>
              <w:start w:w="65" w:type="dxa"/>
              <w:bottom w:w="35" w:type="dxa"/>
              <w:end w:w="65" w:type="dxa"/>
            </w:tcMar>
            <w:vAlign w:val="center"/>
          </w:tcPr>
          <w:p>
            <w:pPr>
              <w:spacing w:before="0" w:after="0" w:line="240" w:lineRule="auto"/>
            </w:pPr>
            <w:r>
              <w:rPr>
                <w:sz w:val="15"/>
              </w:rPr>
              <w:t>Theorem 23.2</w:t>
            </w:r>
          </w:p>
        </w:tc>
      </w:tr>
      <w:tr>
        <w:tc>
          <w:tcPr>
            <w:tcW w:type="dxa" w:w="1512"/>
            <w:tcMar>
              <w:top w:w="35" w:type="dxa"/>
              <w:start w:w="65" w:type="dxa"/>
              <w:bottom w:w="35" w:type="dxa"/>
              <w:end w:w="65" w:type="dxa"/>
            </w:tcMar>
            <w:vAlign w:val="center"/>
          </w:tcPr>
          <w:p>
            <w:pPr>
              <w:spacing w:before="0" w:after="0" w:line="240" w:lineRule="auto"/>
            </w:pPr>
            <w:r>
              <w:rPr>
                <w:sz w:val="15"/>
              </w:rPr>
              <w:t>T2-PO-408</w:t>
            </w:r>
          </w:p>
        </w:tc>
        <w:tc>
          <w:tcPr>
            <w:tcW w:type="dxa" w:w="5112"/>
            <w:tcMar>
              <w:top w:w="35" w:type="dxa"/>
              <w:start w:w="65" w:type="dxa"/>
              <w:bottom w:w="35" w:type="dxa"/>
              <w:end w:w="65" w:type="dxa"/>
            </w:tcMar>
            <w:vAlign w:val="center"/>
          </w:tcPr>
          <w:p>
            <w:pPr>
              <w:spacing w:before="0" w:after="0" w:line="240" w:lineRule="auto"/>
            </w:pPr>
            <w:r>
              <w:rPr>
                <w:sz w:val="15"/>
              </w:rPr>
              <w:t>Importance-sampling unbiasedness</w:t>
            </w:r>
          </w:p>
        </w:tc>
        <w:tc>
          <w:tcPr>
            <w:tcW w:type="dxa" w:w="1224"/>
            <w:tcMar>
              <w:top w:w="35" w:type="dxa"/>
              <w:start w:w="65" w:type="dxa"/>
              <w:bottom w:w="35" w:type="dxa"/>
              <w:end w:w="65" w:type="dxa"/>
            </w:tcMar>
            <w:vAlign w:val="center"/>
            <w:shd w:fill="fde6e0"/>
          </w:tcPr>
          <w:p>
            <w:pPr>
              <w:spacing w:before="0" w:after="0" w:line="240" w:lineRule="auto"/>
            </w:pPr>
            <w:r>
              <w:rPr>
                <w:sz w:val="15"/>
              </w:rPr>
              <w:t>OPEN</w:t>
            </w:r>
          </w:p>
        </w:tc>
        <w:tc>
          <w:tcPr>
            <w:tcW w:type="dxa" w:w="1944"/>
            <w:tcMar>
              <w:top w:w="35" w:type="dxa"/>
              <w:start w:w="65" w:type="dxa"/>
              <w:bottom w:w="35" w:type="dxa"/>
              <w:end w:w="65" w:type="dxa"/>
            </w:tcMar>
            <w:vAlign w:val="center"/>
          </w:tcPr>
          <w:p>
            <w:pPr>
              <w:spacing w:before="0" w:after="0" w:line="240" w:lineRule="auto"/>
            </w:pPr>
            <w:r>
              <w:rPr>
                <w:sz w:val="15"/>
              </w:rPr>
              <w:t>Proposal and likelihood ratio</w:t>
            </w:r>
          </w:p>
        </w:tc>
      </w:tr>
      <w:tr>
        <w:tc>
          <w:tcPr>
            <w:tcW w:type="dxa" w:w="1512"/>
            <w:tcMar>
              <w:top w:w="35" w:type="dxa"/>
              <w:start w:w="65" w:type="dxa"/>
              <w:bottom w:w="35" w:type="dxa"/>
              <w:end w:w="65" w:type="dxa"/>
            </w:tcMar>
            <w:vAlign w:val="center"/>
          </w:tcPr>
          <w:p>
            <w:pPr>
              <w:spacing w:before="0" w:after="0" w:line="240" w:lineRule="auto"/>
            </w:pPr>
            <w:r>
              <w:rPr>
                <w:sz w:val="15"/>
              </w:rPr>
              <w:t>T2-PO-409</w:t>
            </w:r>
          </w:p>
        </w:tc>
        <w:tc>
          <w:tcPr>
            <w:tcW w:type="dxa" w:w="5112"/>
            <w:tcMar>
              <w:top w:w="35" w:type="dxa"/>
              <w:start w:w="65" w:type="dxa"/>
              <w:bottom w:w="35" w:type="dxa"/>
              <w:end w:w="65" w:type="dxa"/>
            </w:tcMar>
            <w:vAlign w:val="center"/>
          </w:tcPr>
          <w:p>
            <w:pPr>
              <w:spacing w:before="0" w:after="0" w:line="240" w:lineRule="auto"/>
            </w:pPr>
            <w:r>
              <w:rPr>
                <w:sz w:val="15"/>
              </w:rPr>
              <w:t>Importance-sampling efficiency</w:t>
            </w:r>
          </w:p>
        </w:tc>
        <w:tc>
          <w:tcPr>
            <w:tcW w:type="dxa" w:w="1224"/>
            <w:tcMar>
              <w:top w:w="35" w:type="dxa"/>
              <w:start w:w="65" w:type="dxa"/>
              <w:bottom w:w="35" w:type="dxa"/>
              <w:end w:w="65" w:type="dxa"/>
            </w:tcMar>
            <w:vAlign w:val="center"/>
            <w:shd w:fill="fde6e0"/>
          </w:tcPr>
          <w:p>
            <w:pPr>
              <w:spacing w:before="0" w:after="0" w:line="240" w:lineRule="auto"/>
            </w:pPr>
            <w:r>
              <w:rPr>
                <w:sz w:val="15"/>
              </w:rPr>
              <w:t>OPEN</w:t>
            </w:r>
          </w:p>
        </w:tc>
        <w:tc>
          <w:tcPr>
            <w:tcW w:type="dxa" w:w="1944"/>
            <w:tcMar>
              <w:top w:w="35" w:type="dxa"/>
              <w:start w:w="65" w:type="dxa"/>
              <w:bottom w:w="35" w:type="dxa"/>
              <w:end w:w="65" w:type="dxa"/>
            </w:tcMar>
            <w:vAlign w:val="center"/>
          </w:tcPr>
          <w:p>
            <w:pPr>
              <w:spacing w:before="0" w:after="0" w:line="240" w:lineRule="auto"/>
            </w:pPr>
            <w:r>
              <w:rPr>
                <w:sz w:val="15"/>
              </w:rPr>
              <w:t>Second-moment bound</w:t>
            </w:r>
          </w:p>
        </w:tc>
      </w:tr>
      <w:tr>
        <w:tc>
          <w:tcPr>
            <w:tcW w:type="dxa" w:w="1512"/>
            <w:tcMar>
              <w:top w:w="35" w:type="dxa"/>
              <w:start w:w="65" w:type="dxa"/>
              <w:bottom w:w="35" w:type="dxa"/>
              <w:end w:w="65" w:type="dxa"/>
            </w:tcMar>
            <w:vAlign w:val="center"/>
          </w:tcPr>
          <w:p>
            <w:pPr>
              <w:spacing w:before="0" w:after="0" w:line="240" w:lineRule="auto"/>
            </w:pPr>
            <w:r>
              <w:rPr>
                <w:sz w:val="15"/>
              </w:rPr>
              <w:t>T2-PO-410</w:t>
            </w:r>
          </w:p>
        </w:tc>
        <w:tc>
          <w:tcPr>
            <w:tcW w:type="dxa" w:w="5112"/>
            <w:tcMar>
              <w:top w:w="35" w:type="dxa"/>
              <w:start w:w="65" w:type="dxa"/>
              <w:bottom w:w="35" w:type="dxa"/>
              <w:end w:w="65" w:type="dxa"/>
            </w:tcMar>
            <w:vAlign w:val="center"/>
          </w:tcPr>
          <w:p>
            <w:pPr>
              <w:spacing w:before="0" w:after="0" w:line="240" w:lineRule="auto"/>
            </w:pPr>
            <w:r>
              <w:rPr>
                <w:sz w:val="15"/>
              </w:rPr>
              <w:t>Splitting estimator validity</w:t>
            </w:r>
          </w:p>
        </w:tc>
        <w:tc>
          <w:tcPr>
            <w:tcW w:type="dxa" w:w="1224"/>
            <w:tcMar>
              <w:top w:w="35" w:type="dxa"/>
              <w:start w:w="65" w:type="dxa"/>
              <w:bottom w:w="35" w:type="dxa"/>
              <w:end w:w="65" w:type="dxa"/>
            </w:tcMar>
            <w:vAlign w:val="center"/>
            <w:shd w:fill="fde6e0"/>
          </w:tcPr>
          <w:p>
            <w:pPr>
              <w:spacing w:before="0" w:after="0" w:line="240" w:lineRule="auto"/>
            </w:pPr>
            <w:r>
              <w:rPr>
                <w:sz w:val="15"/>
              </w:rPr>
              <w:t>OPEN</w:t>
            </w:r>
          </w:p>
        </w:tc>
        <w:tc>
          <w:tcPr>
            <w:tcW w:type="dxa" w:w="1944"/>
            <w:tcMar>
              <w:top w:w="35" w:type="dxa"/>
              <w:start w:w="65" w:type="dxa"/>
              <w:bottom w:w="35" w:type="dxa"/>
              <w:end w:w="65" w:type="dxa"/>
            </w:tcMar>
            <w:vAlign w:val="center"/>
          </w:tcPr>
          <w:p>
            <w:pPr>
              <w:spacing w:before="0" w:after="0" w:line="240" w:lineRule="auto"/>
            </w:pPr>
            <w:r>
              <w:rPr>
                <w:sz w:val="15"/>
              </w:rPr>
              <w:t>Level/adaptation model</w:t>
            </w:r>
          </w:p>
        </w:tc>
      </w:tr>
      <w:tr>
        <w:tc>
          <w:tcPr>
            <w:tcW w:type="dxa" w:w="1512"/>
            <w:tcMar>
              <w:top w:w="35" w:type="dxa"/>
              <w:start w:w="65" w:type="dxa"/>
              <w:bottom w:w="35" w:type="dxa"/>
              <w:end w:w="65" w:type="dxa"/>
            </w:tcMar>
            <w:vAlign w:val="center"/>
          </w:tcPr>
          <w:p>
            <w:pPr>
              <w:spacing w:before="0" w:after="0" w:line="240" w:lineRule="auto"/>
            </w:pPr>
            <w:r>
              <w:rPr>
                <w:sz w:val="15"/>
              </w:rPr>
              <w:t>T2-PO-411</w:t>
            </w:r>
          </w:p>
        </w:tc>
        <w:tc>
          <w:tcPr>
            <w:tcW w:type="dxa" w:w="5112"/>
            <w:tcMar>
              <w:top w:w="35" w:type="dxa"/>
              <w:start w:w="65" w:type="dxa"/>
              <w:bottom w:w="35" w:type="dxa"/>
              <w:end w:w="65" w:type="dxa"/>
            </w:tcMar>
            <w:vAlign w:val="center"/>
          </w:tcPr>
          <w:p>
            <w:pPr>
              <w:spacing w:before="0" w:after="0" w:line="240" w:lineRule="auto"/>
            </w:pPr>
            <w:r>
              <w:rPr>
                <w:sz w:val="15"/>
              </w:rPr>
              <w:t>KL ambiguity duality</w:t>
            </w:r>
          </w:p>
        </w:tc>
        <w:tc>
          <w:tcPr>
            <w:tcW w:type="dxa" w:w="1224"/>
            <w:tcMar>
              <w:top w:w="35" w:type="dxa"/>
              <w:start w:w="65" w:type="dxa"/>
              <w:bottom w:w="35" w:type="dxa"/>
              <w:end w:w="65" w:type="dxa"/>
            </w:tcMar>
            <w:vAlign w:val="center"/>
            <w:shd w:fill="fff1cc"/>
          </w:tcPr>
          <w:p>
            <w:pPr>
              <w:spacing w:before="0" w:after="0" w:line="240" w:lineRule="auto"/>
            </w:pPr>
            <w:r>
              <w:rPr>
                <w:sz w:val="15"/>
              </w:rPr>
              <w:t>COND</w:t>
            </w:r>
          </w:p>
        </w:tc>
        <w:tc>
          <w:tcPr>
            <w:tcW w:type="dxa" w:w="1944"/>
            <w:tcMar>
              <w:top w:w="35" w:type="dxa"/>
              <w:start w:w="65" w:type="dxa"/>
              <w:bottom w:w="35" w:type="dxa"/>
              <w:end w:w="65" w:type="dxa"/>
            </w:tcMar>
            <w:vAlign w:val="center"/>
          </w:tcPr>
          <w:p>
            <w:pPr>
              <w:spacing w:before="0" w:after="0" w:line="240" w:lineRule="auto"/>
            </w:pPr>
            <w:r>
              <w:rPr>
                <w:sz w:val="15"/>
              </w:rPr>
              <w:t>Orientation/support assumptions</w:t>
            </w:r>
          </w:p>
        </w:tc>
      </w:tr>
      <w:tr>
        <w:tc>
          <w:tcPr>
            <w:tcW w:type="dxa" w:w="1512"/>
            <w:tcMar>
              <w:top w:w="35" w:type="dxa"/>
              <w:start w:w="65" w:type="dxa"/>
              <w:bottom w:w="35" w:type="dxa"/>
              <w:end w:w="65" w:type="dxa"/>
            </w:tcMar>
            <w:vAlign w:val="center"/>
          </w:tcPr>
          <w:p>
            <w:pPr>
              <w:spacing w:before="0" w:after="0" w:line="240" w:lineRule="auto"/>
            </w:pPr>
            <w:r>
              <w:rPr>
                <w:sz w:val="15"/>
              </w:rPr>
              <w:t>T2-PO-412</w:t>
            </w:r>
          </w:p>
        </w:tc>
        <w:tc>
          <w:tcPr>
            <w:tcW w:type="dxa" w:w="5112"/>
            <w:tcMar>
              <w:top w:w="35" w:type="dxa"/>
              <w:start w:w="65" w:type="dxa"/>
              <w:bottom w:w="35" w:type="dxa"/>
              <w:end w:w="65" w:type="dxa"/>
            </w:tcMar>
            <w:vAlign w:val="center"/>
          </w:tcPr>
          <w:p>
            <w:pPr>
              <w:spacing w:before="0" w:after="0" w:line="240" w:lineRule="auto"/>
            </w:pPr>
            <w:r>
              <w:rPr>
                <w:sz w:val="15"/>
              </w:rPr>
              <w:t>Wasserstein ambiguity duality</w:t>
            </w:r>
          </w:p>
        </w:tc>
        <w:tc>
          <w:tcPr>
            <w:tcW w:type="dxa" w:w="1224"/>
            <w:tcMar>
              <w:top w:w="35" w:type="dxa"/>
              <w:start w:w="65" w:type="dxa"/>
              <w:bottom w:w="35" w:type="dxa"/>
              <w:end w:w="65" w:type="dxa"/>
            </w:tcMar>
            <w:vAlign w:val="center"/>
            <w:shd w:fill="fff1cc"/>
          </w:tcPr>
          <w:p>
            <w:pPr>
              <w:spacing w:before="0" w:after="0" w:line="240" w:lineRule="auto"/>
            </w:pPr>
            <w:r>
              <w:rPr>
                <w:sz w:val="15"/>
              </w:rPr>
              <w:t>COND</w:t>
            </w:r>
          </w:p>
        </w:tc>
        <w:tc>
          <w:tcPr>
            <w:tcW w:type="dxa" w:w="1944"/>
            <w:tcMar>
              <w:top w:w="35" w:type="dxa"/>
              <w:start w:w="65" w:type="dxa"/>
              <w:bottom w:w="35" w:type="dxa"/>
              <w:end w:w="65" w:type="dxa"/>
            </w:tcMar>
            <w:vAlign w:val="center"/>
          </w:tcPr>
          <w:p>
            <w:pPr>
              <w:spacing w:before="0" w:after="0" w:line="240" w:lineRule="auto"/>
            </w:pPr>
            <w:r>
              <w:rPr>
                <w:sz w:val="15"/>
              </w:rPr>
              <w:t>Growth/duality assumptions</w:t>
            </w:r>
          </w:p>
        </w:tc>
      </w:tr>
      <w:tr>
        <w:tc>
          <w:tcPr>
            <w:tcW w:type="dxa" w:w="1512"/>
            <w:tcMar>
              <w:top w:w="35" w:type="dxa"/>
              <w:start w:w="65" w:type="dxa"/>
              <w:bottom w:w="35" w:type="dxa"/>
              <w:end w:w="65" w:type="dxa"/>
            </w:tcMar>
            <w:vAlign w:val="center"/>
          </w:tcPr>
          <w:p>
            <w:pPr>
              <w:spacing w:before="0" w:after="0" w:line="240" w:lineRule="auto"/>
            </w:pPr>
            <w:r>
              <w:rPr>
                <w:sz w:val="15"/>
              </w:rPr>
              <w:t>T2-PO-413</w:t>
            </w:r>
          </w:p>
        </w:tc>
        <w:tc>
          <w:tcPr>
            <w:tcW w:type="dxa" w:w="5112"/>
            <w:tcMar>
              <w:top w:w="35" w:type="dxa"/>
              <w:start w:w="65" w:type="dxa"/>
              <w:bottom w:w="35" w:type="dxa"/>
              <w:end w:w="65" w:type="dxa"/>
            </w:tcMar>
            <w:vAlign w:val="center"/>
          </w:tcPr>
          <w:p>
            <w:pPr>
              <w:spacing w:before="0" w:after="0" w:line="240" w:lineRule="auto"/>
            </w:pPr>
            <w:r>
              <w:rPr>
                <w:sz w:val="15"/>
              </w:rPr>
              <w:t>Finite-sample ambiguity coverage</w:t>
            </w:r>
          </w:p>
        </w:tc>
        <w:tc>
          <w:tcPr>
            <w:tcW w:type="dxa" w:w="1224"/>
            <w:tcMar>
              <w:top w:w="35" w:type="dxa"/>
              <w:start w:w="65" w:type="dxa"/>
              <w:bottom w:w="35" w:type="dxa"/>
              <w:end w:w="65" w:type="dxa"/>
            </w:tcMar>
            <w:vAlign w:val="center"/>
            <w:shd w:fill="fde6e0"/>
          </w:tcPr>
          <w:p>
            <w:pPr>
              <w:spacing w:before="0" w:after="0" w:line="240" w:lineRule="auto"/>
            </w:pPr>
            <w:r>
              <w:rPr>
                <w:sz w:val="15"/>
              </w:rPr>
              <w:t>OPEN</w:t>
            </w:r>
          </w:p>
        </w:tc>
        <w:tc>
          <w:tcPr>
            <w:tcW w:type="dxa" w:w="1944"/>
            <w:tcMar>
              <w:top w:w="35" w:type="dxa"/>
              <w:start w:w="65" w:type="dxa"/>
              <w:bottom w:w="35" w:type="dxa"/>
              <w:end w:w="65" w:type="dxa"/>
            </w:tcMar>
            <w:vAlign w:val="center"/>
          </w:tcPr>
          <w:p>
            <w:pPr>
              <w:spacing w:before="0" w:after="0" w:line="240" w:lineRule="auto"/>
            </w:pPr>
            <w:r>
              <w:rPr>
                <w:sz w:val="15"/>
              </w:rPr>
              <w:t>Concentration theorem</w:t>
            </w:r>
          </w:p>
        </w:tc>
      </w:tr>
      <w:tr>
        <w:tc>
          <w:tcPr>
            <w:tcW w:type="dxa" w:w="1512"/>
            <w:tcMar>
              <w:top w:w="35" w:type="dxa"/>
              <w:start w:w="65" w:type="dxa"/>
              <w:bottom w:w="35" w:type="dxa"/>
              <w:end w:w="65" w:type="dxa"/>
            </w:tcMar>
            <w:vAlign w:val="center"/>
          </w:tcPr>
          <w:p>
            <w:pPr>
              <w:spacing w:before="0" w:after="0" w:line="240" w:lineRule="auto"/>
            </w:pPr>
            <w:r>
              <w:rPr>
                <w:sz w:val="15"/>
              </w:rPr>
              <w:t>T2-PO-414</w:t>
            </w:r>
          </w:p>
        </w:tc>
        <w:tc>
          <w:tcPr>
            <w:tcW w:type="dxa" w:w="5112"/>
            <w:tcMar>
              <w:top w:w="35" w:type="dxa"/>
              <w:start w:w="65" w:type="dxa"/>
              <w:bottom w:w="35" w:type="dxa"/>
              <w:end w:w="65" w:type="dxa"/>
            </w:tcMar>
            <w:vAlign w:val="center"/>
          </w:tcPr>
          <w:p>
            <w:pPr>
              <w:spacing w:before="0" w:after="0" w:line="240" w:lineRule="auto"/>
            </w:pPr>
            <w:r>
              <w:rPr>
                <w:sz w:val="15"/>
              </w:rPr>
              <w:t>Coverage-to-risk theorem</w:t>
            </w:r>
          </w:p>
        </w:tc>
        <w:tc>
          <w:tcPr>
            <w:tcW w:type="dxa" w:w="1224"/>
            <w:tcMar>
              <w:top w:w="35" w:type="dxa"/>
              <w:start w:w="65" w:type="dxa"/>
              <w:bottom w:w="35" w:type="dxa"/>
              <w:end w:w="65" w:type="dxa"/>
            </w:tcMar>
            <w:vAlign w:val="center"/>
            <w:shd w:fill="dff0e5"/>
          </w:tcPr>
          <w:p>
            <w:pPr>
              <w:spacing w:before="0" w:after="0" w:line="240" w:lineRule="auto"/>
            </w:pPr>
            <w:r>
              <w:rPr>
                <w:sz w:val="15"/>
              </w:rPr>
              <w:t>CLOSED</w:t>
            </w:r>
          </w:p>
        </w:tc>
        <w:tc>
          <w:tcPr>
            <w:tcW w:type="dxa" w:w="1944"/>
            <w:tcMar>
              <w:top w:w="35" w:type="dxa"/>
              <w:start w:w="65" w:type="dxa"/>
              <w:bottom w:w="35" w:type="dxa"/>
              <w:end w:w="65" w:type="dxa"/>
            </w:tcMar>
            <w:vAlign w:val="center"/>
          </w:tcPr>
          <w:p>
            <w:pPr>
              <w:spacing w:before="0" w:after="0" w:line="240" w:lineRule="auto"/>
            </w:pPr>
            <w:r>
              <w:rPr>
                <w:sz w:val="15"/>
              </w:rPr>
              <w:t>Theorem 23.3</w:t>
            </w:r>
          </w:p>
        </w:tc>
      </w:tr>
      <w:tr>
        <w:tc>
          <w:tcPr>
            <w:tcW w:type="dxa" w:w="1512"/>
            <w:tcMar>
              <w:top w:w="35" w:type="dxa"/>
              <w:start w:w="65" w:type="dxa"/>
              <w:bottom w:w="35" w:type="dxa"/>
              <w:end w:w="65" w:type="dxa"/>
            </w:tcMar>
            <w:vAlign w:val="center"/>
          </w:tcPr>
          <w:p>
            <w:pPr>
              <w:spacing w:before="0" w:after="0" w:line="240" w:lineRule="auto"/>
            </w:pPr>
            <w:r>
              <w:rPr>
                <w:sz w:val="15"/>
              </w:rPr>
              <w:t>T2-PO-415</w:t>
            </w:r>
          </w:p>
        </w:tc>
        <w:tc>
          <w:tcPr>
            <w:tcW w:type="dxa" w:w="5112"/>
            <w:tcMar>
              <w:top w:w="35" w:type="dxa"/>
              <w:start w:w="65" w:type="dxa"/>
              <w:bottom w:w="35" w:type="dxa"/>
              <w:end w:w="65" w:type="dxa"/>
            </w:tcMar>
            <w:vAlign w:val="center"/>
          </w:tcPr>
          <w:p>
            <w:pPr>
              <w:spacing w:before="0" w:after="0" w:line="240" w:lineRule="auto"/>
            </w:pPr>
            <w:r>
              <w:rPr>
                <w:sz w:val="15"/>
              </w:rPr>
              <w:t>Exact zero-count binomial bound</w:t>
            </w:r>
          </w:p>
        </w:tc>
        <w:tc>
          <w:tcPr>
            <w:tcW w:type="dxa" w:w="1224"/>
            <w:tcMar>
              <w:top w:w="35" w:type="dxa"/>
              <w:start w:w="65" w:type="dxa"/>
              <w:bottom w:w="35" w:type="dxa"/>
              <w:end w:w="65" w:type="dxa"/>
            </w:tcMar>
            <w:vAlign w:val="center"/>
            <w:shd w:fill="dff0e5"/>
          </w:tcPr>
          <w:p>
            <w:pPr>
              <w:spacing w:before="0" w:after="0" w:line="240" w:lineRule="auto"/>
            </w:pPr>
            <w:r>
              <w:rPr>
                <w:sz w:val="15"/>
              </w:rPr>
              <w:t>CLOSED</w:t>
            </w:r>
          </w:p>
        </w:tc>
        <w:tc>
          <w:tcPr>
            <w:tcW w:type="dxa" w:w="1944"/>
            <w:tcMar>
              <w:top w:w="35" w:type="dxa"/>
              <w:start w:w="65" w:type="dxa"/>
              <w:bottom w:w="35" w:type="dxa"/>
              <w:end w:w="65" w:type="dxa"/>
            </w:tcMar>
            <w:vAlign w:val="center"/>
          </w:tcPr>
          <w:p>
            <w:pPr>
              <w:spacing w:before="0" w:after="0" w:line="240" w:lineRule="auto"/>
            </w:pPr>
            <w:r>
              <w:rPr>
                <w:sz w:val="15"/>
              </w:rPr>
              <w:t>Formula (23.32)</w:t>
            </w:r>
          </w:p>
        </w:tc>
      </w:tr>
      <w:tr>
        <w:tc>
          <w:tcPr>
            <w:tcW w:type="dxa" w:w="1512"/>
            <w:tcMar>
              <w:top w:w="35" w:type="dxa"/>
              <w:start w:w="65" w:type="dxa"/>
              <w:bottom w:w="35" w:type="dxa"/>
              <w:end w:w="65" w:type="dxa"/>
            </w:tcMar>
            <w:vAlign w:val="center"/>
          </w:tcPr>
          <w:p>
            <w:pPr>
              <w:spacing w:before="0" w:after="0" w:line="240" w:lineRule="auto"/>
            </w:pPr>
            <w:r>
              <w:rPr>
                <w:sz w:val="15"/>
              </w:rPr>
              <w:t>T2-PO-416</w:t>
            </w:r>
          </w:p>
        </w:tc>
        <w:tc>
          <w:tcPr>
            <w:tcW w:type="dxa" w:w="5112"/>
            <w:tcMar>
              <w:top w:w="35" w:type="dxa"/>
              <w:start w:w="65" w:type="dxa"/>
              <w:bottom w:w="35" w:type="dxa"/>
              <w:end w:w="65" w:type="dxa"/>
            </w:tcMar>
            <w:vAlign w:val="center"/>
          </w:tcPr>
          <w:p>
            <w:pPr>
              <w:spacing w:before="0" w:after="0" w:line="240" w:lineRule="auto"/>
            </w:pPr>
            <w:r>
              <w:rPr>
                <w:sz w:val="15"/>
              </w:rPr>
              <w:t>Dependence correction</w:t>
            </w:r>
          </w:p>
        </w:tc>
        <w:tc>
          <w:tcPr>
            <w:tcW w:type="dxa" w:w="1224"/>
            <w:tcMar>
              <w:top w:w="35" w:type="dxa"/>
              <w:start w:w="65" w:type="dxa"/>
              <w:bottom w:w="35" w:type="dxa"/>
              <w:end w:w="65" w:type="dxa"/>
            </w:tcMar>
            <w:vAlign w:val="center"/>
            <w:shd w:fill="fde6e0"/>
          </w:tcPr>
          <w:p>
            <w:pPr>
              <w:spacing w:before="0" w:after="0" w:line="240" w:lineRule="auto"/>
            </w:pPr>
            <w:r>
              <w:rPr>
                <w:sz w:val="15"/>
              </w:rPr>
              <w:t>OPEN</w:t>
            </w:r>
          </w:p>
        </w:tc>
        <w:tc>
          <w:tcPr>
            <w:tcW w:type="dxa" w:w="1944"/>
            <w:tcMar>
              <w:top w:w="35" w:type="dxa"/>
              <w:start w:w="65" w:type="dxa"/>
              <w:bottom w:w="35" w:type="dxa"/>
              <w:end w:w="65" w:type="dxa"/>
            </w:tcMar>
            <w:vAlign w:val="center"/>
          </w:tcPr>
          <w:p>
            <w:pPr>
              <w:spacing w:before="0" w:after="0" w:line="240" w:lineRule="auto"/>
            </w:pPr>
            <w:r>
              <w:rPr>
                <w:sz w:val="15"/>
              </w:rPr>
              <w:t>Cluster/mixing/effective sample size</w:t>
            </w:r>
          </w:p>
        </w:tc>
      </w:tr>
      <w:tr>
        <w:tc>
          <w:tcPr>
            <w:tcW w:type="dxa" w:w="1512"/>
            <w:tcMar>
              <w:top w:w="35" w:type="dxa"/>
              <w:start w:w="65" w:type="dxa"/>
              <w:bottom w:w="35" w:type="dxa"/>
              <w:end w:w="65" w:type="dxa"/>
            </w:tcMar>
            <w:vAlign w:val="center"/>
          </w:tcPr>
          <w:p>
            <w:pPr>
              <w:spacing w:before="0" w:after="0" w:line="240" w:lineRule="auto"/>
            </w:pPr>
            <w:r>
              <w:rPr>
                <w:sz w:val="15"/>
              </w:rPr>
              <w:t>T2-PO-417</w:t>
            </w:r>
          </w:p>
        </w:tc>
        <w:tc>
          <w:tcPr>
            <w:tcW w:type="dxa" w:w="5112"/>
            <w:tcMar>
              <w:top w:w="35" w:type="dxa"/>
              <w:start w:w="65" w:type="dxa"/>
              <w:bottom w:w="35" w:type="dxa"/>
              <w:end w:w="65" w:type="dxa"/>
            </w:tcMar>
            <w:vAlign w:val="center"/>
          </w:tcPr>
          <w:p>
            <w:pPr>
              <w:spacing w:before="0" w:after="0" w:line="240" w:lineRule="auto"/>
            </w:pPr>
            <w:r>
              <w:rPr>
                <w:sz w:val="15"/>
              </w:rPr>
              <w:t>Sequential rare-event validity</w:t>
            </w:r>
          </w:p>
        </w:tc>
        <w:tc>
          <w:tcPr>
            <w:tcW w:type="dxa" w:w="1224"/>
            <w:tcMar>
              <w:top w:w="35" w:type="dxa"/>
              <w:start w:w="65" w:type="dxa"/>
              <w:bottom w:w="35" w:type="dxa"/>
              <w:end w:w="65" w:type="dxa"/>
            </w:tcMar>
            <w:vAlign w:val="center"/>
            <w:shd w:fill="fde6e0"/>
          </w:tcPr>
          <w:p>
            <w:pPr>
              <w:spacing w:before="0" w:after="0" w:line="240" w:lineRule="auto"/>
            </w:pPr>
            <w:r>
              <w:rPr>
                <w:sz w:val="15"/>
              </w:rPr>
              <w:t>OPEN</w:t>
            </w:r>
          </w:p>
        </w:tc>
        <w:tc>
          <w:tcPr>
            <w:tcW w:type="dxa" w:w="1944"/>
            <w:tcMar>
              <w:top w:w="35" w:type="dxa"/>
              <w:start w:w="65" w:type="dxa"/>
              <w:bottom w:w="35" w:type="dxa"/>
              <w:end w:w="65" w:type="dxa"/>
            </w:tcMar>
            <w:vAlign w:val="center"/>
          </w:tcPr>
          <w:p>
            <w:pPr>
              <w:spacing w:before="0" w:after="0" w:line="240" w:lineRule="auto"/>
            </w:pPr>
            <w:r>
              <w:rPr>
                <w:sz w:val="15"/>
              </w:rPr>
              <w:t>E-process/confidence sequence</w:t>
            </w:r>
          </w:p>
        </w:tc>
      </w:tr>
      <w:tr>
        <w:tc>
          <w:tcPr>
            <w:tcW w:type="dxa" w:w="1512"/>
            <w:tcMar>
              <w:top w:w="35" w:type="dxa"/>
              <w:start w:w="65" w:type="dxa"/>
              <w:bottom w:w="35" w:type="dxa"/>
              <w:end w:w="65" w:type="dxa"/>
            </w:tcMar>
            <w:vAlign w:val="center"/>
          </w:tcPr>
          <w:p>
            <w:pPr>
              <w:spacing w:before="0" w:after="0" w:line="240" w:lineRule="auto"/>
            </w:pPr>
            <w:r>
              <w:rPr>
                <w:sz w:val="15"/>
              </w:rPr>
              <w:t>T2-PO-418</w:t>
            </w:r>
          </w:p>
        </w:tc>
        <w:tc>
          <w:tcPr>
            <w:tcW w:type="dxa" w:w="5112"/>
            <w:tcMar>
              <w:top w:w="35" w:type="dxa"/>
              <w:start w:w="65" w:type="dxa"/>
              <w:bottom w:w="35" w:type="dxa"/>
              <w:end w:w="65" w:type="dxa"/>
            </w:tcMar>
            <w:vAlign w:val="center"/>
          </w:tcPr>
          <w:p>
            <w:pPr>
              <w:spacing w:before="0" w:after="0" w:line="240" w:lineRule="auto"/>
            </w:pPr>
            <w:r>
              <w:rPr>
                <w:sz w:val="15"/>
              </w:rPr>
              <w:t>Finite-n LDP remainder</w:t>
            </w:r>
          </w:p>
        </w:tc>
        <w:tc>
          <w:tcPr>
            <w:tcW w:type="dxa" w:w="1224"/>
            <w:tcMar>
              <w:top w:w="35" w:type="dxa"/>
              <w:start w:w="65" w:type="dxa"/>
              <w:bottom w:w="35" w:type="dxa"/>
              <w:end w:w="65" w:type="dxa"/>
            </w:tcMar>
            <w:vAlign w:val="center"/>
            <w:shd w:fill="fde6e0"/>
          </w:tcPr>
          <w:p>
            <w:pPr>
              <w:spacing w:before="0" w:after="0" w:line="240" w:lineRule="auto"/>
            </w:pPr>
            <w:r>
              <w:rPr>
                <w:sz w:val="15"/>
              </w:rPr>
              <w:t>OPEN</w:t>
            </w:r>
          </w:p>
        </w:tc>
        <w:tc>
          <w:tcPr>
            <w:tcW w:type="dxa" w:w="1944"/>
            <w:tcMar>
              <w:top w:w="35" w:type="dxa"/>
              <w:start w:w="65" w:type="dxa"/>
              <w:bottom w:w="35" w:type="dxa"/>
              <w:end w:w="65" w:type="dxa"/>
            </w:tcMar>
            <w:vAlign w:val="center"/>
          </w:tcPr>
          <w:p>
            <w:pPr>
              <w:spacing w:before="0" w:after="0" w:line="240" w:lineRule="auto"/>
            </w:pPr>
            <w:r>
              <w:rPr>
                <w:sz w:val="15"/>
              </w:rPr>
              <w:t>Model-specific sharp asymptotics</w:t>
            </w:r>
          </w:p>
        </w:tc>
      </w:tr>
      <w:tr>
        <w:tc>
          <w:tcPr>
            <w:tcW w:type="dxa" w:w="1512"/>
            <w:tcMar>
              <w:top w:w="35" w:type="dxa"/>
              <w:start w:w="65" w:type="dxa"/>
              <w:bottom w:w="35" w:type="dxa"/>
              <w:end w:w="65" w:type="dxa"/>
            </w:tcMar>
            <w:vAlign w:val="center"/>
          </w:tcPr>
          <w:p>
            <w:pPr>
              <w:spacing w:before="0" w:after="0" w:line="240" w:lineRule="auto"/>
            </w:pPr>
            <w:r>
              <w:rPr>
                <w:sz w:val="15"/>
              </w:rPr>
              <w:t>T2-PO-419</w:t>
            </w:r>
          </w:p>
        </w:tc>
        <w:tc>
          <w:tcPr>
            <w:tcW w:type="dxa" w:w="5112"/>
            <w:tcMar>
              <w:top w:w="35" w:type="dxa"/>
              <w:start w:w="65" w:type="dxa"/>
              <w:bottom w:w="35" w:type="dxa"/>
              <w:end w:w="65" w:type="dxa"/>
            </w:tcMar>
            <w:vAlign w:val="center"/>
          </w:tcPr>
          <w:p>
            <w:pPr>
              <w:spacing w:before="0" w:after="0" w:line="240" w:lineRule="auto"/>
            </w:pPr>
            <w:r>
              <w:rPr>
                <w:sz w:val="15"/>
              </w:rPr>
              <w:t>Tail non-identifiability theorem</w:t>
            </w:r>
          </w:p>
        </w:tc>
        <w:tc>
          <w:tcPr>
            <w:tcW w:type="dxa" w:w="1224"/>
            <w:tcMar>
              <w:top w:w="35" w:type="dxa"/>
              <w:start w:w="65" w:type="dxa"/>
              <w:bottom w:w="35" w:type="dxa"/>
              <w:end w:w="65" w:type="dxa"/>
            </w:tcMar>
            <w:vAlign w:val="center"/>
            <w:shd w:fill="dff0e5"/>
          </w:tcPr>
          <w:p>
            <w:pPr>
              <w:spacing w:before="0" w:after="0" w:line="240" w:lineRule="auto"/>
            </w:pPr>
            <w:r>
              <w:rPr>
                <w:sz w:val="15"/>
              </w:rPr>
              <w:t>CLOSED</w:t>
            </w:r>
          </w:p>
        </w:tc>
        <w:tc>
          <w:tcPr>
            <w:tcW w:type="dxa" w:w="1944"/>
            <w:tcMar>
              <w:top w:w="35" w:type="dxa"/>
              <w:start w:w="65" w:type="dxa"/>
              <w:bottom w:w="35" w:type="dxa"/>
              <w:end w:w="65" w:type="dxa"/>
            </w:tcMar>
            <w:vAlign w:val="center"/>
          </w:tcPr>
          <w:p>
            <w:pPr>
              <w:spacing w:before="0" w:after="0" w:line="240" w:lineRule="auto"/>
            </w:pPr>
            <w:r>
              <w:rPr>
                <w:sz w:val="15"/>
              </w:rPr>
              <w:t>Theorem 23.4</w:t>
            </w:r>
          </w:p>
        </w:tc>
      </w:tr>
      <w:tr>
        <w:tc>
          <w:tcPr>
            <w:tcW w:type="dxa" w:w="1512"/>
            <w:tcMar>
              <w:top w:w="35" w:type="dxa"/>
              <w:start w:w="65" w:type="dxa"/>
              <w:bottom w:w="35" w:type="dxa"/>
              <w:end w:w="65" w:type="dxa"/>
            </w:tcMar>
            <w:vAlign w:val="center"/>
          </w:tcPr>
          <w:p>
            <w:pPr>
              <w:spacing w:before="0" w:after="0" w:line="240" w:lineRule="auto"/>
            </w:pPr>
            <w:r>
              <w:rPr>
                <w:sz w:val="15"/>
              </w:rPr>
              <w:t>T2-PO-420</w:t>
            </w:r>
          </w:p>
        </w:tc>
        <w:tc>
          <w:tcPr>
            <w:tcW w:type="dxa" w:w="5112"/>
            <w:tcMar>
              <w:top w:w="35" w:type="dxa"/>
              <w:start w:w="65" w:type="dxa"/>
              <w:bottom w:w="35" w:type="dxa"/>
              <w:end w:w="65" w:type="dxa"/>
            </w:tcMar>
            <w:vAlign w:val="center"/>
          </w:tcPr>
          <w:p>
            <w:pPr>
              <w:spacing w:before="0" w:after="0" w:line="240" w:lineRule="auto"/>
            </w:pPr>
            <w:r>
              <w:rPr>
                <w:sz w:val="15"/>
              </w:rPr>
              <w:t>Rate-function numerical certificate</w:t>
            </w:r>
          </w:p>
        </w:tc>
        <w:tc>
          <w:tcPr>
            <w:tcW w:type="dxa" w:w="1224"/>
            <w:tcMar>
              <w:top w:w="35" w:type="dxa"/>
              <w:start w:w="65" w:type="dxa"/>
              <w:bottom w:w="35" w:type="dxa"/>
              <w:end w:w="65" w:type="dxa"/>
            </w:tcMar>
            <w:vAlign w:val="center"/>
            <w:shd w:fill="fde6e0"/>
          </w:tcPr>
          <w:p>
            <w:pPr>
              <w:spacing w:before="0" w:after="0" w:line="240" w:lineRule="auto"/>
            </w:pPr>
            <w:r>
              <w:rPr>
                <w:sz w:val="15"/>
              </w:rPr>
              <w:t>OPEN</w:t>
            </w:r>
          </w:p>
        </w:tc>
        <w:tc>
          <w:tcPr>
            <w:tcW w:type="dxa" w:w="1944"/>
            <w:tcMar>
              <w:top w:w="35" w:type="dxa"/>
              <w:start w:w="65" w:type="dxa"/>
              <w:bottom w:w="35" w:type="dxa"/>
              <w:end w:w="65" w:type="dxa"/>
            </w:tcMar>
            <w:vAlign w:val="center"/>
          </w:tcPr>
          <w:p>
            <w:pPr>
              <w:spacing w:before="0" w:after="0" w:line="240" w:lineRule="auto"/>
            </w:pPr>
            <w:r>
              <w:rPr>
                <w:sz w:val="15"/>
              </w:rPr>
              <w:t>Interval/optimization solver</w:t>
            </w:r>
          </w:p>
        </w:tc>
      </w:tr>
      <w:tr>
        <w:tc>
          <w:tcPr>
            <w:tcW w:type="dxa" w:w="1512"/>
            <w:tcMar>
              <w:top w:w="35" w:type="dxa"/>
              <w:start w:w="65" w:type="dxa"/>
              <w:bottom w:w="35" w:type="dxa"/>
              <w:end w:w="65" w:type="dxa"/>
            </w:tcMar>
            <w:vAlign w:val="center"/>
          </w:tcPr>
          <w:p>
            <w:pPr>
              <w:spacing w:before="0" w:after="0" w:line="240" w:lineRule="auto"/>
            </w:pPr>
            <w:r>
              <w:rPr>
                <w:sz w:val="15"/>
              </w:rPr>
              <w:t>T2-PO-421</w:t>
            </w:r>
          </w:p>
        </w:tc>
        <w:tc>
          <w:tcPr>
            <w:tcW w:type="dxa" w:w="5112"/>
            <w:tcMar>
              <w:top w:w="35" w:type="dxa"/>
              <w:start w:w="65" w:type="dxa"/>
              <w:bottom w:w="35" w:type="dxa"/>
              <w:end w:w="65" w:type="dxa"/>
            </w:tcMar>
            <w:vAlign w:val="center"/>
          </w:tcPr>
          <w:p>
            <w:pPr>
              <w:spacing w:before="0" w:after="0" w:line="240" w:lineRule="auto"/>
            </w:pPr>
            <w:r>
              <w:rPr>
                <w:sz w:val="15"/>
              </w:rPr>
              <w:t>Robust rare-event Reper certificate</w:t>
            </w:r>
          </w:p>
        </w:tc>
        <w:tc>
          <w:tcPr>
            <w:tcW w:type="dxa" w:w="1224"/>
            <w:tcMar>
              <w:top w:w="35" w:type="dxa"/>
              <w:start w:w="65" w:type="dxa"/>
              <w:bottom w:w="35" w:type="dxa"/>
              <w:end w:w="65" w:type="dxa"/>
            </w:tcMar>
            <w:vAlign w:val="center"/>
            <w:shd w:fill="fff1cc"/>
          </w:tcPr>
          <w:p>
            <w:pPr>
              <w:spacing w:before="0" w:after="0" w:line="240" w:lineRule="auto"/>
            </w:pPr>
            <w:r>
              <w:rPr>
                <w:sz w:val="15"/>
              </w:rPr>
              <w:t>COND</w:t>
            </w:r>
          </w:p>
        </w:tc>
        <w:tc>
          <w:tcPr>
            <w:tcW w:type="dxa" w:w="1944"/>
            <w:tcMar>
              <w:top w:w="35" w:type="dxa"/>
              <w:start w:w="65" w:type="dxa"/>
              <w:bottom w:w="35" w:type="dxa"/>
              <w:end w:w="65" w:type="dxa"/>
            </w:tcMar>
            <w:vAlign w:val="center"/>
          </w:tcPr>
          <w:p>
            <w:pPr>
              <w:spacing w:before="0" w:after="0" w:line="240" w:lineRule="auto"/>
            </w:pPr>
            <w:r>
              <w:rPr>
                <w:sz w:val="15"/>
              </w:rPr>
              <w:t>Cert_LD schema</w:t>
            </w:r>
          </w:p>
        </w:tc>
      </w:tr>
      <w:tr>
        <w:tc>
          <w:tcPr>
            <w:tcW w:type="dxa" w:w="1512"/>
            <w:tcMar>
              <w:top w:w="35" w:type="dxa"/>
              <w:start w:w="65" w:type="dxa"/>
              <w:bottom w:w="35" w:type="dxa"/>
              <w:end w:w="65" w:type="dxa"/>
            </w:tcMar>
            <w:vAlign w:val="center"/>
          </w:tcPr>
          <w:p>
            <w:pPr>
              <w:spacing w:before="0" w:after="0" w:line="240" w:lineRule="auto"/>
            </w:pPr>
            <w:r>
              <w:rPr>
                <w:sz w:val="15"/>
              </w:rPr>
              <w:t>T2-PO-422</w:t>
            </w:r>
          </w:p>
        </w:tc>
        <w:tc>
          <w:tcPr>
            <w:tcW w:type="dxa" w:w="5112"/>
            <w:tcMar>
              <w:top w:w="35" w:type="dxa"/>
              <w:start w:w="65" w:type="dxa"/>
              <w:bottom w:w="35" w:type="dxa"/>
              <w:end w:w="65" w:type="dxa"/>
            </w:tcMar>
            <w:vAlign w:val="center"/>
          </w:tcPr>
          <w:p>
            <w:pPr>
              <w:spacing w:before="0" w:after="0" w:line="240" w:lineRule="auto"/>
            </w:pPr>
            <w:r>
              <w:rPr>
                <w:sz w:val="15"/>
              </w:rPr>
              <w:t>Large-deviation horizons</w:t>
            </w:r>
          </w:p>
        </w:tc>
        <w:tc>
          <w:tcPr>
            <w:tcW w:type="dxa" w:w="1224"/>
            <w:tcMar>
              <w:top w:w="35" w:type="dxa"/>
              <w:start w:w="65" w:type="dxa"/>
              <w:bottom w:w="35" w:type="dxa"/>
              <w:end w:w="65" w:type="dxa"/>
            </w:tcMar>
            <w:vAlign w:val="center"/>
            <w:shd w:fill="dff0e5"/>
          </w:tcPr>
          <w:p>
            <w:pPr>
              <w:spacing w:before="0" w:after="0" w:line="240" w:lineRule="auto"/>
            </w:pPr>
            <w:r>
              <w:rPr>
                <w:sz w:val="15"/>
              </w:rPr>
              <w:t>CLOSED</w:t>
            </w:r>
          </w:p>
        </w:tc>
        <w:tc>
          <w:tcPr>
            <w:tcW w:type="dxa" w:w="1944"/>
            <w:tcMar>
              <w:top w:w="35" w:type="dxa"/>
              <w:start w:w="65" w:type="dxa"/>
              <w:bottom w:w="35" w:type="dxa"/>
              <w:end w:w="65" w:type="dxa"/>
            </w:tcMar>
            <w:vAlign w:val="center"/>
          </w:tcPr>
          <w:p>
            <w:pPr>
              <w:spacing w:before="0" w:after="0" w:line="240" w:lineRule="auto"/>
            </w:pPr>
            <w:r>
              <w:rPr>
                <w:sz w:val="15"/>
              </w:rPr>
              <w:t>Definitions (23.37)-(23.40)</w:t>
            </w:r>
          </w:p>
        </w:tc>
      </w:tr>
      <w:tr>
        <w:tc>
          <w:tcPr>
            <w:tcW w:type="dxa" w:w="1512"/>
            <w:tcMar>
              <w:top w:w="35" w:type="dxa"/>
              <w:start w:w="65" w:type="dxa"/>
              <w:bottom w:w="35" w:type="dxa"/>
              <w:end w:w="65" w:type="dxa"/>
            </w:tcMar>
            <w:vAlign w:val="center"/>
          </w:tcPr>
          <w:p>
            <w:pPr>
              <w:spacing w:before="0" w:after="0" w:line="240" w:lineRule="auto"/>
            </w:pPr>
            <w:r>
              <w:rPr>
                <w:sz w:val="15"/>
              </w:rPr>
              <w:t>T2-PO-423</w:t>
            </w:r>
          </w:p>
        </w:tc>
        <w:tc>
          <w:tcPr>
            <w:tcW w:type="dxa" w:w="5112"/>
            <w:tcMar>
              <w:top w:w="35" w:type="dxa"/>
              <w:start w:w="65" w:type="dxa"/>
              <w:bottom w:w="35" w:type="dxa"/>
              <w:end w:w="65" w:type="dxa"/>
            </w:tcMar>
            <w:vAlign w:val="center"/>
          </w:tcPr>
          <w:p>
            <w:pPr>
              <w:spacing w:before="0" w:after="0" w:line="240" w:lineRule="auto"/>
            </w:pPr>
            <w:r>
              <w:rPr>
                <w:sz w:val="15"/>
              </w:rPr>
              <w:t>Main safety theorem v0.20</w:t>
            </w:r>
          </w:p>
        </w:tc>
        <w:tc>
          <w:tcPr>
            <w:tcW w:type="dxa" w:w="1224"/>
            <w:tcMar>
              <w:top w:w="35" w:type="dxa"/>
              <w:start w:w="65" w:type="dxa"/>
              <w:bottom w:w="35" w:type="dxa"/>
              <w:end w:w="65" w:type="dxa"/>
            </w:tcMar>
            <w:vAlign w:val="center"/>
            <w:shd w:fill="fff1cc"/>
          </w:tcPr>
          <w:p>
            <w:pPr>
              <w:spacing w:before="0" w:after="0" w:line="240" w:lineRule="auto"/>
            </w:pPr>
            <w:r>
              <w:rPr>
                <w:sz w:val="15"/>
              </w:rPr>
              <w:t>COND</w:t>
            </w:r>
          </w:p>
        </w:tc>
        <w:tc>
          <w:tcPr>
            <w:tcW w:type="dxa" w:w="1944"/>
            <w:tcMar>
              <w:top w:w="35" w:type="dxa"/>
              <w:start w:w="65" w:type="dxa"/>
              <w:bottom w:w="35" w:type="dxa"/>
              <w:end w:w="65" w:type="dxa"/>
            </w:tcMar>
            <w:vAlign w:val="center"/>
          </w:tcPr>
          <w:p>
            <w:pPr>
              <w:spacing w:before="0" w:after="0" w:line="240" w:lineRule="auto"/>
            </w:pPr>
            <w:r>
              <w:rPr>
                <w:sz w:val="15"/>
              </w:rPr>
              <w:t>H1-H14</w:t>
            </w:r>
          </w:p>
        </w:tc>
      </w:tr>
      <w:tr>
        <w:tc>
          <w:tcPr>
            <w:tcW w:type="dxa" w:w="1512"/>
            <w:tcMar>
              <w:top w:w="35" w:type="dxa"/>
              <w:start w:w="65" w:type="dxa"/>
              <w:bottom w:w="35" w:type="dxa"/>
              <w:end w:w="65" w:type="dxa"/>
            </w:tcMar>
            <w:vAlign w:val="center"/>
          </w:tcPr>
          <w:p>
            <w:pPr>
              <w:spacing w:before="0" w:after="0" w:line="240" w:lineRule="auto"/>
            </w:pPr>
            <w:r>
              <w:rPr>
                <w:sz w:val="15"/>
              </w:rPr>
              <w:t>T2-PO-424</w:t>
            </w:r>
          </w:p>
        </w:tc>
        <w:tc>
          <w:tcPr>
            <w:tcW w:type="dxa" w:w="5112"/>
            <w:tcMar>
              <w:top w:w="35" w:type="dxa"/>
              <w:start w:w="65" w:type="dxa"/>
              <w:bottom w:w="35" w:type="dxa"/>
              <w:end w:w="65" w:type="dxa"/>
            </w:tcMar>
            <w:vAlign w:val="center"/>
          </w:tcPr>
          <w:p>
            <w:pPr>
              <w:spacing w:before="0" w:after="0" w:line="240" w:lineRule="auto"/>
            </w:pPr>
            <w:r>
              <w:rPr>
                <w:sz w:val="15"/>
              </w:rPr>
              <w:t>Physical interpretation bridge</w:t>
            </w:r>
          </w:p>
        </w:tc>
        <w:tc>
          <w:tcPr>
            <w:tcW w:type="dxa" w:w="1224"/>
            <w:tcMar>
              <w:top w:w="35" w:type="dxa"/>
              <w:start w:w="65" w:type="dxa"/>
              <w:bottom w:w="35" w:type="dxa"/>
              <w:end w:w="65" w:type="dxa"/>
            </w:tcMar>
            <w:vAlign w:val="center"/>
            <w:shd w:fill="fde6e0"/>
          </w:tcPr>
          <w:p>
            <w:pPr>
              <w:spacing w:before="0" w:after="0" w:line="240" w:lineRule="auto"/>
            </w:pPr>
            <w:r>
              <w:rPr>
                <w:sz w:val="15"/>
              </w:rPr>
              <w:t>OPEN</w:t>
            </w:r>
          </w:p>
        </w:tc>
        <w:tc>
          <w:tcPr>
            <w:tcW w:type="dxa" w:w="1944"/>
            <w:tcMar>
              <w:top w:w="35" w:type="dxa"/>
              <w:start w:w="65" w:type="dxa"/>
              <w:bottom w:w="35" w:type="dxa"/>
              <w:end w:w="65" w:type="dxa"/>
            </w:tcMar>
            <w:vAlign w:val="center"/>
          </w:tcPr>
          <w:p>
            <w:pPr>
              <w:spacing w:before="0" w:after="0" w:line="240" w:lineRule="auto"/>
            </w:pPr>
            <w:r>
              <w:rPr>
                <w:sz w:val="15"/>
              </w:rPr>
              <w:t>Separate reduction</w:t>
            </w:r>
          </w:p>
        </w:tc>
      </w:tr>
      <w:tr>
        <w:tc>
          <w:tcPr>
            <w:tcW w:type="dxa" w:w="1512"/>
            <w:tcMar>
              <w:top w:w="35" w:type="dxa"/>
              <w:start w:w="65" w:type="dxa"/>
              <w:bottom w:w="35" w:type="dxa"/>
              <w:end w:w="65" w:type="dxa"/>
            </w:tcMar>
            <w:vAlign w:val="center"/>
          </w:tcPr>
          <w:p>
            <w:pPr>
              <w:spacing w:before="0" w:after="0" w:line="240" w:lineRule="auto"/>
            </w:pPr>
            <w:r>
              <w:rPr>
                <w:sz w:val="15"/>
              </w:rPr>
              <w:t>T2-PO-425</w:t>
            </w:r>
          </w:p>
        </w:tc>
        <w:tc>
          <w:tcPr>
            <w:tcW w:type="dxa" w:w="5112"/>
            <w:tcMar>
              <w:top w:w="35" w:type="dxa"/>
              <w:start w:w="65" w:type="dxa"/>
              <w:bottom w:w="35" w:type="dxa"/>
              <w:end w:w="65" w:type="dxa"/>
            </w:tcMar>
            <w:vAlign w:val="center"/>
          </w:tcPr>
          <w:p>
            <w:pPr>
              <w:spacing w:before="0" w:after="0" w:line="240" w:lineRule="auto"/>
            </w:pPr>
            <w:r>
              <w:rPr>
                <w:sz w:val="15"/>
              </w:rPr>
              <w:t>Independent rare-event EXT-RUN</w:t>
            </w:r>
          </w:p>
        </w:tc>
        <w:tc>
          <w:tcPr>
            <w:tcW w:type="dxa" w:w="1224"/>
            <w:tcMar>
              <w:top w:w="35" w:type="dxa"/>
              <w:start w:w="65" w:type="dxa"/>
              <w:bottom w:w="35" w:type="dxa"/>
              <w:end w:w="65" w:type="dxa"/>
            </w:tcMar>
            <w:vAlign w:val="center"/>
            <w:shd w:fill="fde6e0"/>
          </w:tcPr>
          <w:p>
            <w:pPr>
              <w:spacing w:before="0" w:after="0" w:line="240" w:lineRule="auto"/>
            </w:pPr>
            <w:r>
              <w:rPr>
                <w:sz w:val="15"/>
              </w:rPr>
              <w:t>OPEN</w:t>
            </w:r>
          </w:p>
        </w:tc>
        <w:tc>
          <w:tcPr>
            <w:tcW w:type="dxa" w:w="1944"/>
            <w:tcMar>
              <w:top w:w="35" w:type="dxa"/>
              <w:start w:w="65" w:type="dxa"/>
              <w:bottom w:w="35" w:type="dxa"/>
              <w:end w:w="65" w:type="dxa"/>
            </w:tcMar>
            <w:vAlign w:val="center"/>
          </w:tcPr>
          <w:p>
            <w:pPr>
              <w:spacing w:before="0" w:after="0" w:line="240" w:lineRule="auto"/>
            </w:pPr>
            <w:r>
              <w:rPr>
                <w:sz w:val="15"/>
              </w:rPr>
              <w:t>Preregistered external data</w:t>
            </w:r>
          </w:p>
        </w:tc>
      </w:tr>
      <w:tr>
        <w:tc>
          <w:tcPr>
            <w:tcW w:type="dxa" w:w="1512"/>
            <w:tcMar>
              <w:top w:w="35" w:type="dxa"/>
              <w:start w:w="65" w:type="dxa"/>
              <w:bottom w:w="35" w:type="dxa"/>
              <w:end w:w="65" w:type="dxa"/>
            </w:tcMar>
            <w:vAlign w:val="center"/>
          </w:tcPr>
          <w:p>
            <w:pPr>
              <w:spacing w:before="0" w:after="0" w:line="240" w:lineRule="auto"/>
            </w:pPr>
            <w:r>
              <w:rPr>
                <w:sz w:val="15"/>
              </w:rPr>
              <w:t>T2-PO-426</w:t>
            </w:r>
          </w:p>
        </w:tc>
        <w:tc>
          <w:tcPr>
            <w:tcW w:type="dxa" w:w="5112"/>
            <w:tcMar>
              <w:top w:w="35" w:type="dxa"/>
              <w:start w:w="65" w:type="dxa"/>
              <w:bottom w:w="35" w:type="dxa"/>
              <w:end w:w="65" w:type="dxa"/>
            </w:tcMar>
            <w:vAlign w:val="center"/>
          </w:tcPr>
          <w:p>
            <w:pPr>
              <w:spacing w:before="0" w:after="0" w:line="240" w:lineRule="auto"/>
            </w:pPr>
            <w:r>
              <w:rPr>
                <w:sz w:val="15"/>
              </w:rPr>
              <w:t>Cross-domain transportability</w:t>
            </w:r>
          </w:p>
        </w:tc>
        <w:tc>
          <w:tcPr>
            <w:tcW w:type="dxa" w:w="1224"/>
            <w:tcMar>
              <w:top w:w="35" w:type="dxa"/>
              <w:start w:w="65" w:type="dxa"/>
              <w:bottom w:w="35" w:type="dxa"/>
              <w:end w:w="65" w:type="dxa"/>
            </w:tcMar>
            <w:vAlign w:val="center"/>
            <w:shd w:fill="fde6e0"/>
          </w:tcPr>
          <w:p>
            <w:pPr>
              <w:spacing w:before="0" w:after="0" w:line="240" w:lineRule="auto"/>
            </w:pPr>
            <w:r>
              <w:rPr>
                <w:sz w:val="15"/>
              </w:rPr>
              <w:t>OPEN</w:t>
            </w:r>
          </w:p>
        </w:tc>
        <w:tc>
          <w:tcPr>
            <w:tcW w:type="dxa" w:w="1944"/>
            <w:tcMar>
              <w:top w:w="35" w:type="dxa"/>
              <w:start w:w="65" w:type="dxa"/>
              <w:bottom w:w="35" w:type="dxa"/>
              <w:end w:w="65" w:type="dxa"/>
            </w:tcMar>
            <w:vAlign w:val="center"/>
          </w:tcPr>
          <w:p>
            <w:pPr>
              <w:spacing w:before="0" w:after="0" w:line="240" w:lineRule="auto"/>
            </w:pPr>
            <w:r>
              <w:rPr>
                <w:sz w:val="15"/>
              </w:rPr>
              <w:t>Domain adapters and evidence</w:t>
            </w:r>
          </w:p>
        </w:tc>
      </w:tr>
    </w:tbl>
    <w:p>
      <w:pPr>
        <w:pStyle w:val="Heading1"/>
      </w:pPr>
      <w:r>
        <w:t>369. Prior art и граница авторского вклада</w:t>
      </w:r>
    </w:p>
    <w:p>
      <w:pPr/>
      <w:r>
        <w:t>Классический prior art главы включает Cramér-Sanov large deviations, Varadhan/Laplace principle, Donsker-Varadhan theory, Gärtner-Ellis convex duality, Freidlin-Wentzell action geometry, weak-convergence method Dupuis-Ellis, Feynman-Kac semigroups, risk-sensitive control, importance sampling и distributionally robust optimization. Авторский слой Тома II состоит в их типизированной интеграции с NAPG/KLT-RBD, Reper-path, λ/D/Dom, obstruction carriers, transition horizons, finite-sample firewall и пятизначным verdict.</w:t>
      </w:r>
    </w:p>
    <w:p>
      <w:pPr/>
      <w:r>
        <w:t>[V0.20-1] Sanov, I. N. On the probability of large deviations of random magnitudes. Mat. Sb. (N.S.) 42(84):1 (1957), 11-44. [первичный источник]</w:t>
      </w:r>
    </w:p>
    <w:p>
      <w:pPr/>
      <w:r>
        <w:t>[V0.20-2] Varadhan, S. R. S. Asymptotic probabilities and differential equations. Comm. Pure Appl. Math. 19 (1966), 261-286. DOI 10.1002/cpa.3160190303. [первичный источник]</w:t>
      </w:r>
    </w:p>
    <w:p>
      <w:pPr/>
      <w:r>
        <w:t>[V0.20-3] Donsker, M. D.; Varadhan, S. R. S. Asymptotic evaluation of certain Markov process expectations for large time I-IV. Comm. Pure Appl. Math. 28-36 (1975-1983). [первичный цикл]</w:t>
      </w:r>
    </w:p>
    <w:p>
      <w:pPr/>
      <w:r>
        <w:t>[V0.20-4] Gärtner, J. On large deviations from the invariant measure. Theory Probab. Appl. 22 (1977), 24-39. DOI 10.1137/1122003. [первичный источник]</w:t>
      </w:r>
    </w:p>
    <w:p>
      <w:pPr>
        <w:widowControl/>
      </w:pPr>
      <w:r>
        <w:t>[V0.20-5] Ellis, R. S. Large deviations for a general class of random vectors. Ann. Probab. 12 (1984), 1-12. DOI 10.1214/aop/1176993370. [первичный источник]</w:t>
      </w:r>
    </w:p>
    <w:p>
      <w:pPr>
        <w:widowControl/>
      </w:pPr>
      <w:r>
        <w:t>[V0.20-6] Freidlin, M. I.; Wentzell, A. D. Random Perturbations of Dynamical Systems. Springer, 1984/1998/2012. [основная монография]</w:t>
      </w:r>
    </w:p>
    <w:p>
      <w:pPr>
        <w:widowControl/>
      </w:pPr>
      <w:r>
        <w:t>[V0.20-7] Dupuis, P.; Ellis, R. S. A Weak Convergence Approach to the Theory of Large Deviations. Wiley, 1997. DOI 10.1002/9781118165904.</w:t>
      </w:r>
    </w:p>
    <w:p>
      <w:pPr>
        <w:widowControl/>
      </w:pPr>
      <w:r>
        <w:t>[V0.20-8] Fleming, W. H.; Sheu, S. J. Risk-Sensitive Control and an Optimal Investment Model. Mathematical Finance 10 (2000), 197-213. DOI 10.1111/1467-9965.00089.</w:t>
      </w:r>
    </w:p>
    <w:p>
      <w:pPr>
        <w:widowControl/>
      </w:pPr>
      <w:r>
        <w:t>[V0.20-9] Mohajerin Esfahani, P.; Kuhn, D. Data-driven distributionally robust optimization using the Wasserstein metric. Math. Programming 171 (2018), 115-166; arXiv:1505.05116.</w:t>
      </w:r>
    </w:p>
    <w:p>
      <w:pPr>
        <w:widowControl/>
      </w:pPr>
      <w:r>
        <w:t>[V0.20-10] Kurpishev, I. B. Том I v197 RU; Том II T2-RP-v0.1-v0.19. [внутренний авторский корпус]</w:t>
      </w:r>
    </w:p>
    <w:p>
      <w:pPr>
        <w:pStyle w:val="Small"/>
        <w:widowControl/>
      </w:pPr>
      <w:r>
        <w:t>Замороженный Том I v197 RU фиксирует blocker-safe прогнозные коридоры, e-processes, finite-sample power и causal-limit discipline. Настоящая глава добавляет large-deviation action, risk-sensitive и robust rare-event carriers без изменения статуса ПН.2 или F-1-F-14.</w:t>
      </w:r>
    </w:p>
    <w:p>
      <w:pPr>
        <w:pStyle w:val="Heading1"/>
        <w:widowControl/>
      </w:pPr>
      <w:r>
        <w:t>370. Контрольная точка и граница вывода</w:t>
      </w:r>
    </w:p>
    <w:p>
      <w:pPr>
        <w:pStyle w:val="Quote"/>
        <w:widowControl/>
        <w:jc w:val="center"/>
      </w:pPr>
      <w:r>
        <w:t>truth_layer_promotion=0; checkpoint=T2-RP-v0.20; next=T2-RP-v0.21.  (23.41)</w:t>
      </w:r>
    </w:p>
    <w:p>
      <w:pPr>
        <w:widowControl/>
      </w:pPr>
      <w:r>
        <w:t>Глава 23 построила строгий интерфейс редких событий: LDP задаёт экспоненциальную геометрию, Freidlin-Wentzell action и quasipotential локализуют минимально-действующие пути, Donsker-Varadhan/Feynman-Kac и risk-sensitive semigroups задают спектрально-вариационный слой, а ambiguity sets и точные confidence bounds превращают часть выводов в конечновыборочные сертификаты.</w:t>
      </w:r>
    </w:p>
    <w:p>
      <w:pPr>
        <w:pStyle w:val="Lead"/>
        <w:widowControl/>
      </w:pPr>
      <w:r>
        <w:t>Ключевой итог: “экспоненциально подавлено”, “вероятность не выше α с confidence 1-β”, “невозможно внутри support” и “событие наступило” являются четырьмя разными утверждениями. Тому II запрещено превращать первое во второе, второе в третье, а третье в физический закон без дополнительных мостов.</w:t>
      </w:r>
    </w:p>
    <w:p>
      <w:pPr>
        <w:pStyle w:val="Small"/>
        <w:widowControl/>
      </w:pPr>
      <w:r>
        <w:t>Следующая сборка tom2_v0_21 развивает главу 24: синтез всех слоёв в end-to-end предсказательный оператор KLT-RBD, полную композицию бюджетов ошибок, общий theorem schema, алгоритмический контракт и итоговую матрицу фальсифицируемости Тома II.</w:t>
      </w:r>
    </w:p>
    <w:p>
      <w:pPr>
        <w:pStyle w:val="Small"/>
        <w:widowControl/>
      </w:pPr>
      <w:r>
        <w:t>checkpoint=T2-RP-v0.20; source=T2-RP-v0.19; truth_layer_promotion=0; next=T2-RP-v0.21.</w:t>
      </w:r>
    </w:p>
    <w:p>
      <w:pPr>
        <w:widowControl/>
      </w:pPr>
      <w:r>
        <w:br/>
      </w:r>
    </w:p>
    <w:p>
      <w:pPr>
        <w:widowControl/>
      </w:pPr>
      <w:r>
        <w:br w:type="page"/>
      </w:r>
    </w:p>
    <w:p>
      <w:pPr>
        <w:pStyle w:val="Heading1"/>
        <w:widowControl/>
      </w:pPr>
      <w:r>
        <w:t>Глава 24. End-to-end предсказательный оператор KLT-RBD, композиция бюджетов и итоговая фальсифицируемость</w:t>
      </w:r>
    </w:p>
    <w:p>
      <w:pPr>
        <w:pStyle w:val="Lead"/>
        <w:widowControl/>
      </w:pPr>
      <w:r>
        <w:rPr>
          <w:i w:val="0"/>
        </w:rPr>
        <w:t>Статус главы: theorem/conditional/computational synthesis package. Глава замыкает master-skeleton Тома II, не повышая статусы физических мостов и не превращая вычислительный конвейер в оракул будущего.</w:t>
      </w:r>
    </w:p>
    <w:p>
      <w:pPr>
        <w:pStyle w:val="Quote"/>
        <w:widowControl/>
        <w:jc w:val="center"/>
      </w:pPr>
      <w:r>
        <w:t>truth_layer_promotion=0; source=T2-RP-v0.20; checkpoint=T2-RP-v0.21.  (24.1)</w:t>
      </w:r>
    </w:p>
    <w:tbl>
      <w:tblPr>
        <w:tblStyle w:val="TableGrid"/>
        <w:tblW w:type="auto" w:w="0"/>
        <w:jc w:val="center"/>
        <w:tblLook w:firstColumn="1" w:firstRow="1" w:lastColumn="0" w:lastRow="0" w:noHBand="0" w:noVBand="1" w:val="04A0"/>
        <w:tblBorders>
          <w:top w:val="single" w:sz="6" w:color="B5C3D1"/>
          <w:left w:val="single" w:sz="6" w:color="B5C3D1"/>
          <w:bottom w:val="single" w:sz="6" w:color="B5C3D1"/>
          <w:right w:val="single" w:sz="6" w:color="B5C3D1"/>
          <w:insideH w:val="single" w:sz="6" w:color="B5C3D1"/>
          <w:insideV w:val="single" w:sz="6" w:color="B5C3D1"/>
        </w:tblBorders>
      </w:tblPr>
      <w:tblGrid>
        <w:gridCol w:w="4876"/>
        <w:gridCol w:w="4876"/>
      </w:tblGrid>
      <w:tr>
        <w:tc>
          <w:tcPr>
            <w:tcW w:type="dxa" w:w="2232"/>
            <w:shd w:fill="173B67"/>
            <w:tcMar>
              <w:top w:w="130" w:type="dxa"/>
              <w:start w:w="150" w:type="dxa"/>
              <w:bottom w:w="130" w:type="dxa"/>
              <w:end w:w="150" w:type="dxa"/>
            </w:tcMar>
            <w:vAlign w:val="center"/>
          </w:tcPr>
          <w:p>
            <w:r>
              <w:rPr>
                <w:rFonts w:ascii="Aptos" w:hAnsi="Aptos" w:eastAsia="Aptos"/>
                <w:b/>
                <w:color w:val="FFFFFF"/>
                <w:sz w:val="21"/>
              </w:rPr>
              <w:t>ОНТОЛОГИЯ</w:t>
            </w:r>
          </w:p>
        </w:tc>
        <w:tc>
          <w:tcPr>
            <w:tcW w:type="dxa" w:w="7200"/>
            <w:shd w:fill="DCE8F5"/>
            <w:tcMar>
              <w:top w:w="130" w:type="dxa"/>
              <w:start w:w="150" w:type="dxa"/>
              <w:bottom w:w="130" w:type="dxa"/>
              <w:end w:w="150" w:type="dxa"/>
            </w:tcMar>
            <w:vAlign w:val="center"/>
          </w:tcPr>
          <w:p>
            <w:r>
              <w:rPr>
                <w:rFonts w:ascii="Aptos" w:hAnsi="Aptos" w:eastAsia="Aptos"/>
                <w:sz w:val="20"/>
              </w:rPr>
              <w:t>Предсказательный оператор существует не как мистическая функция «данные → будущее», а как композиция частичных математических преобразований, каждое из которых имеет носитель, область определения, доказательную политику и право отказа.</w:t>
            </w:r>
          </w:p>
        </w:tc>
      </w:tr>
      <w:tr>
        <w:tc>
          <w:tcPr>
            <w:tcW w:type="dxa" w:w="2232"/>
            <w:shd w:fill="173B67"/>
            <w:tcMar>
              <w:top w:w="130" w:type="dxa"/>
              <w:start w:w="150" w:type="dxa"/>
              <w:bottom w:w="130" w:type="dxa"/>
              <w:end w:w="150" w:type="dxa"/>
            </w:tcMar>
            <w:vAlign w:val="center"/>
          </w:tcPr>
          <w:p>
            <w:r>
              <w:rPr>
                <w:rFonts w:ascii="Aptos" w:hAnsi="Aptos" w:eastAsia="Aptos"/>
                <w:b/>
                <w:color w:val="FFFFFF"/>
                <w:sz w:val="21"/>
              </w:rPr>
              <w:t>ГНОСЕОЛОГИЯ</w:t>
            </w:r>
          </w:p>
        </w:tc>
        <w:tc>
          <w:tcPr>
            <w:tcW w:type="dxa" w:w="7200"/>
            <w:shd w:fill="DCE8F5"/>
            <w:tcMar>
              <w:top w:w="130" w:type="dxa"/>
              <w:start w:w="150" w:type="dxa"/>
              <w:bottom w:w="130" w:type="dxa"/>
              <w:end w:w="150" w:type="dxa"/>
            </w:tcMar>
            <w:vAlign w:val="center"/>
          </w:tcPr>
          <w:p>
            <w:r>
              <w:rPr>
                <w:rFonts w:ascii="Aptos" w:hAnsi="Aptos" w:eastAsia="Aptos"/>
                <w:sz w:val="20"/>
              </w:rPr>
              <w:t>Знание возникает только тогда, когда маршрут от источника до вывода восстановим: типы согласованы, гипотезы перечислены, локальные сертификаты проверены, ошибки перенесены и внешняя проверка отделена от настройки.</w:t>
            </w:r>
          </w:p>
        </w:tc>
      </w:tr>
      <w:tr>
        <w:tc>
          <w:tcPr>
            <w:tcW w:type="dxa" w:w="2232"/>
            <w:shd w:fill="173B67"/>
            <w:tcMar>
              <w:top w:w="130" w:type="dxa"/>
              <w:start w:w="150" w:type="dxa"/>
              <w:bottom w:w="130" w:type="dxa"/>
              <w:end w:w="150" w:type="dxa"/>
            </w:tcMar>
            <w:vAlign w:val="center"/>
          </w:tcPr>
          <w:p>
            <w:r>
              <w:rPr>
                <w:rFonts w:ascii="Aptos" w:hAnsi="Aptos" w:eastAsia="Aptos"/>
                <w:b/>
                <w:color w:val="FFFFFF"/>
                <w:sz w:val="21"/>
              </w:rPr>
              <w:t>ФЕНОМЕНОЛОГИЯ</w:t>
            </w:r>
          </w:p>
        </w:tc>
        <w:tc>
          <w:tcPr>
            <w:tcW w:type="dxa" w:w="7200"/>
            <w:shd w:fill="DCE8F5"/>
            <w:tcMar>
              <w:top w:w="130" w:type="dxa"/>
              <w:start w:w="150" w:type="dxa"/>
              <w:bottom w:w="130" w:type="dxa"/>
              <w:end w:w="150" w:type="dxa"/>
            </w:tcMar>
            <w:vAlign w:val="center"/>
          </w:tcPr>
          <w:p>
            <w:r>
              <w:rPr>
                <w:rFonts w:ascii="Aptos" w:hAnsi="Aptos" w:eastAsia="Aptos"/>
                <w:sz w:val="20"/>
              </w:rPr>
              <w:t>На практике оператор проявляется как цепь переходов между документом, Reper-узлом, алгеброй, геометрией, пространством препятствий, модульным носителем, динамикой, законом наблюдений и итоговым вердиктом. Разрыв любого перехода виден как blocker, а не маскируется усреднением.</w:t>
            </w:r>
          </w:p>
        </w:tc>
      </w:tr>
      <w:tr>
        <w:tc>
          <w:tcPr>
            <w:tcW w:type="dxa" w:w="2232"/>
            <w:shd w:fill="A87512"/>
            <w:tcMar>
              <w:top w:w="130" w:type="dxa"/>
              <w:start w:w="150" w:type="dxa"/>
              <w:bottom w:w="130" w:type="dxa"/>
              <w:end w:w="150" w:type="dxa"/>
            </w:tcMar>
            <w:vAlign w:val="center"/>
          </w:tcPr>
          <w:p>
            <w:r>
              <w:rPr>
                <w:rFonts w:ascii="Aptos" w:hAnsi="Aptos" w:eastAsia="Aptos"/>
                <w:b/>
                <w:color w:val="FFFFFF"/>
                <w:sz w:val="21"/>
              </w:rPr>
              <w:t>ГРАНИЦА</w:t>
            </w:r>
          </w:p>
        </w:tc>
        <w:tc>
          <w:tcPr>
            <w:tcW w:type="dxa" w:w="7200"/>
            <w:shd w:fill="F7EED4"/>
            <w:tcMar>
              <w:top w:w="130" w:type="dxa"/>
              <w:start w:w="150" w:type="dxa"/>
              <w:bottom w:w="130" w:type="dxa"/>
              <w:end w:w="150" w:type="dxa"/>
            </w:tcMar>
            <w:vAlign w:val="center"/>
          </w:tcPr>
          <w:p>
            <w:r>
              <w:rPr>
                <w:rFonts w:ascii="Aptos" w:hAnsi="Aptos" w:eastAsia="Aptos"/>
                <w:sz w:val="20"/>
              </w:rPr>
              <w:t>Глава не доказывает универсальную предсказуемость мира. Она доказывает правила корректной композиции уже определённых слоёв и задаёт условия, при которых вывод ограниченно действителен внутри модели, данных и бюджета.</w:t>
            </w:r>
          </w:p>
        </w:tc>
      </w:tr>
    </w:tbl>
    <w:p>
      <w:pPr>
        <w:pStyle w:val="Heading1"/>
        <w:widowControl/>
      </w:pPr>
      <w:r>
        <w:t>371. Четыре несовместимых смысла слова «предсказание»</w:t>
      </w:r>
    </w:p>
    <w:p>
      <w:pPr>
        <w:widowControl/>
      </w:pPr>
      <w:r>
        <w:rPr>
          <w:i w:val="0"/>
        </w:rPr>
        <w:t>Том II фиксирует четыре разных объекта, которые в бытовом языке удобно, но математически губительно называют одним словом.</w:t>
      </w:r>
    </w:p>
    <w:tbl>
      <w:tblPr>
        <w:tblStyle w:val="TableGrid"/>
        <w:tblW w:type="auto" w:w="0"/>
        <w:jc w:val="center"/>
        <w:tblLook w:firstColumn="1" w:firstRow="1" w:lastColumn="0" w:lastRow="0" w:noHBand="0" w:noVBand="1" w:val="04A0"/>
        <w:tblBorders>
          <w:top w:val="single" w:sz="6" w:color="B5C3D1"/>
          <w:left w:val="single" w:sz="6" w:color="B5C3D1"/>
          <w:bottom w:val="single" w:sz="6" w:color="B5C3D1"/>
          <w:right w:val="single" w:sz="6" w:color="B5C3D1"/>
          <w:insideH w:val="single" w:sz="6" w:color="B5C3D1"/>
          <w:insideV w:val="single" w:sz="6" w:color="B5C3D1"/>
        </w:tblBorders>
      </w:tblPr>
      <w:tblGrid>
        <w:gridCol w:w="2438"/>
        <w:gridCol w:w="2438"/>
        <w:gridCol w:w="2438"/>
        <w:gridCol w:w="2438"/>
      </w:tblGrid>
      <w:tr>
        <w:trPr>
          <w:tblHeader w:val="true"/>
        </w:trPr>
        <w:tc>
          <w:tcPr>
            <w:tcW w:type="dxa" w:w="1440"/>
            <w:shd w:fill="173B67"/>
            <w:tcMar>
              <w:top w:w="110" w:type="dxa"/>
              <w:start w:w="110" w:type="dxa"/>
              <w:bottom w:w="110" w:type="dxa"/>
              <w:end w:w="110" w:type="dxa"/>
            </w:tcMar>
            <w:vAlign w:val="center"/>
          </w:tcPr>
          <w:p>
            <w:pPr>
              <w:jc w:val="center"/>
            </w:pPr>
            <w:r>
              <w:rPr>
                <w:rFonts w:ascii="Aptos" w:hAnsi="Aptos" w:eastAsia="Aptos"/>
                <w:b/>
                <w:color w:val="FFFFFF"/>
                <w:sz w:val="16"/>
              </w:rPr>
              <w:t>Уровень</w:t>
            </w:r>
          </w:p>
        </w:tc>
        <w:tc>
          <w:tcPr>
            <w:tcW w:type="dxa" w:w="3024"/>
            <w:shd w:fill="173B67"/>
            <w:tcMar>
              <w:top w:w="110" w:type="dxa"/>
              <w:start w:w="110" w:type="dxa"/>
              <w:bottom w:w="110" w:type="dxa"/>
              <w:end w:w="110" w:type="dxa"/>
            </w:tcMar>
            <w:vAlign w:val="center"/>
          </w:tcPr>
          <w:p>
            <w:pPr>
              <w:jc w:val="center"/>
            </w:pPr>
            <w:r>
              <w:rPr>
                <w:rFonts w:ascii="Aptos" w:hAnsi="Aptos" w:eastAsia="Aptos"/>
                <w:b/>
                <w:color w:val="FFFFFF"/>
                <w:sz w:val="16"/>
              </w:rPr>
              <w:t>Формальный объект</w:t>
            </w:r>
          </w:p>
        </w:tc>
        <w:tc>
          <w:tcPr>
            <w:tcW w:type="dxa" w:w="3024"/>
            <w:shd w:fill="173B67"/>
            <w:tcMar>
              <w:top w:w="110" w:type="dxa"/>
              <w:start w:w="110" w:type="dxa"/>
              <w:bottom w:w="110" w:type="dxa"/>
              <w:end w:w="110" w:type="dxa"/>
            </w:tcMar>
            <w:vAlign w:val="center"/>
          </w:tcPr>
          <w:p>
            <w:pPr>
              <w:jc w:val="center"/>
            </w:pPr>
            <w:r>
              <w:rPr>
                <w:rFonts w:ascii="Aptos" w:hAnsi="Aptos" w:eastAsia="Aptos"/>
                <w:b/>
                <w:color w:val="FFFFFF"/>
                <w:sz w:val="16"/>
              </w:rPr>
              <w:t>Что можно утверждать</w:t>
            </w:r>
          </w:p>
        </w:tc>
        <w:tc>
          <w:tcPr>
            <w:tcW w:type="dxa" w:w="2304"/>
            <w:shd w:fill="173B67"/>
            <w:tcMar>
              <w:top w:w="110" w:type="dxa"/>
              <w:start w:w="110" w:type="dxa"/>
              <w:bottom w:w="110" w:type="dxa"/>
              <w:end w:w="110" w:type="dxa"/>
            </w:tcMar>
            <w:vAlign w:val="center"/>
          </w:tcPr>
          <w:p>
            <w:pPr>
              <w:jc w:val="center"/>
            </w:pPr>
            <w:r>
              <w:rPr>
                <w:rFonts w:ascii="Aptos" w:hAnsi="Aptos" w:eastAsia="Aptos"/>
                <w:b/>
                <w:color w:val="FFFFFF"/>
                <w:sz w:val="16"/>
              </w:rPr>
              <w:t>Что запрещено</w:t>
            </w:r>
          </w:p>
        </w:tc>
      </w:tr>
      <w:tr>
        <w:tc>
          <w:tcPr>
            <w:tcW w:type="dxa" w:w="1440"/>
            <w:tcMar>
              <w:top w:w="90" w:type="dxa"/>
              <w:start w:w="100" w:type="dxa"/>
              <w:bottom w:w="90" w:type="dxa"/>
              <w:end w:w="100" w:type="dxa"/>
            </w:tcMar>
            <w:vAlign w:val="center"/>
          </w:tcPr>
          <w:p>
            <w:pPr>
              <w:spacing w:after="0"/>
            </w:pPr>
            <w:r>
              <w:rPr>
                <w:rFonts w:ascii="Aptos" w:hAnsi="Aptos" w:eastAsia="Aptos"/>
                <w:sz w:val="16"/>
              </w:rPr>
              <w:t>P0: структурный</w:t>
            </w:r>
          </w:p>
        </w:tc>
        <w:tc>
          <w:tcPr>
            <w:tcW w:type="dxa" w:w="3024"/>
            <w:tcMar>
              <w:top w:w="90" w:type="dxa"/>
              <w:start w:w="100" w:type="dxa"/>
              <w:bottom w:w="90" w:type="dxa"/>
              <w:end w:w="100" w:type="dxa"/>
            </w:tcMar>
            <w:vAlign w:val="center"/>
          </w:tcPr>
          <w:p>
            <w:pPr>
              <w:spacing w:after="0"/>
            </w:pPr>
            <w:r>
              <w:rPr>
                <w:rFonts w:ascii="Aptos" w:hAnsi="Aptos" w:eastAsia="Aptos"/>
                <w:sz w:val="16"/>
              </w:rPr>
              <w:t>множество допустимых продолжений / пересечение горизонта</w:t>
            </w:r>
          </w:p>
        </w:tc>
        <w:tc>
          <w:tcPr>
            <w:tcW w:type="dxa" w:w="3024"/>
            <w:tcMar>
              <w:top w:w="90" w:type="dxa"/>
              <w:start w:w="100" w:type="dxa"/>
              <w:bottom w:w="90" w:type="dxa"/>
              <w:end w:w="100" w:type="dxa"/>
            </w:tcMar>
            <w:vAlign w:val="center"/>
          </w:tcPr>
          <w:p>
            <w:pPr>
              <w:spacing w:after="0"/>
            </w:pPr>
            <w:r>
              <w:rPr>
                <w:rFonts w:ascii="Aptos" w:hAnsi="Aptos" w:eastAsia="Aptos"/>
                <w:sz w:val="16"/>
              </w:rPr>
              <w:t>NO-STRUCTURAL-TRANSITION-IN-MODEL или CANDIDATE</w:t>
            </w:r>
          </w:p>
        </w:tc>
        <w:tc>
          <w:tcPr>
            <w:tcW w:type="dxa" w:w="2304"/>
            <w:tcMar>
              <w:top w:w="90" w:type="dxa"/>
              <w:start w:w="100" w:type="dxa"/>
              <w:bottom w:w="90" w:type="dxa"/>
              <w:end w:w="100" w:type="dxa"/>
            </w:tcMar>
            <w:vAlign w:val="center"/>
          </w:tcPr>
          <w:p>
            <w:pPr>
              <w:spacing w:after="0"/>
            </w:pPr>
            <w:r>
              <w:rPr>
                <w:rFonts w:ascii="Aptos" w:hAnsi="Aptos" w:eastAsia="Aptos"/>
                <w:sz w:val="16"/>
              </w:rPr>
              <w:t>вероятность и время наступления</w:t>
            </w:r>
          </w:p>
        </w:tc>
      </w:tr>
      <w:tr>
        <w:tc>
          <w:tcPr>
            <w:tcW w:type="dxa" w:w="1440"/>
            <w:tcMar>
              <w:top w:w="90" w:type="dxa"/>
              <w:start w:w="100" w:type="dxa"/>
              <w:bottom w:w="90" w:type="dxa"/>
              <w:end w:w="100" w:type="dxa"/>
            </w:tcMar>
            <w:vAlign w:val="center"/>
            <w:shd w:fill="F5F7F9"/>
          </w:tcPr>
          <w:p>
            <w:pPr>
              <w:spacing w:after="0"/>
            </w:pPr>
            <w:r>
              <w:rPr>
                <w:rFonts w:ascii="Aptos" w:hAnsi="Aptos" w:eastAsia="Aptos"/>
                <w:sz w:val="16"/>
              </w:rPr>
              <w:t>P1: динамический</w:t>
            </w:r>
          </w:p>
        </w:tc>
        <w:tc>
          <w:tcPr>
            <w:tcW w:type="dxa" w:w="3024"/>
            <w:tcMar>
              <w:top w:w="90" w:type="dxa"/>
              <w:start w:w="100" w:type="dxa"/>
              <w:bottom w:w="90" w:type="dxa"/>
              <w:end w:w="100" w:type="dxa"/>
            </w:tcMar>
            <w:vAlign w:val="center"/>
            <w:shd w:fill="F5F7F9"/>
          </w:tcPr>
          <w:p>
            <w:pPr>
              <w:spacing w:after="0"/>
            </w:pPr>
            <w:r>
              <w:rPr>
                <w:rFonts w:ascii="Aptos" w:hAnsi="Aptos" w:eastAsia="Aptos"/>
                <w:sz w:val="16"/>
              </w:rPr>
              <w:t>evolution family, path carrier, hitting functional</w:t>
            </w:r>
          </w:p>
        </w:tc>
        <w:tc>
          <w:tcPr>
            <w:tcW w:type="dxa" w:w="3024"/>
            <w:tcMar>
              <w:top w:w="90" w:type="dxa"/>
              <w:start w:w="100" w:type="dxa"/>
              <w:bottom w:w="90" w:type="dxa"/>
              <w:end w:w="100" w:type="dxa"/>
            </w:tcMar>
            <w:vAlign w:val="center"/>
            <w:shd w:fill="F5F7F9"/>
          </w:tcPr>
          <w:p>
            <w:pPr>
              <w:spacing w:after="0"/>
            </w:pPr>
            <w:r>
              <w:rPr>
                <w:rFonts w:ascii="Aptos" w:hAnsi="Aptos" w:eastAsia="Aptos"/>
                <w:sz w:val="16"/>
              </w:rPr>
              <w:t>достижимость, барьер, временной коридор</w:t>
            </w:r>
          </w:p>
        </w:tc>
        <w:tc>
          <w:tcPr>
            <w:tcW w:type="dxa" w:w="2304"/>
            <w:tcMar>
              <w:top w:w="90" w:type="dxa"/>
              <w:start w:w="100" w:type="dxa"/>
              <w:bottom w:w="90" w:type="dxa"/>
              <w:end w:w="100" w:type="dxa"/>
            </w:tcMar>
            <w:vAlign w:val="center"/>
            <w:shd w:fill="F5F7F9"/>
          </w:tcPr>
          <w:p>
            <w:pPr>
              <w:spacing w:after="0"/>
            </w:pPr>
            <w:r>
              <w:rPr>
                <w:rFonts w:ascii="Aptos" w:hAnsi="Aptos" w:eastAsia="Aptos"/>
                <w:sz w:val="16"/>
              </w:rPr>
              <w:t>причинный эффект без intervention bridge</w:t>
            </w:r>
          </w:p>
        </w:tc>
      </w:tr>
      <w:tr>
        <w:tc>
          <w:tcPr>
            <w:tcW w:type="dxa" w:w="1440"/>
            <w:tcMar>
              <w:top w:w="90" w:type="dxa"/>
              <w:start w:w="100" w:type="dxa"/>
              <w:bottom w:w="90" w:type="dxa"/>
              <w:end w:w="100" w:type="dxa"/>
            </w:tcMar>
            <w:vAlign w:val="center"/>
          </w:tcPr>
          <w:p>
            <w:pPr>
              <w:spacing w:after="0"/>
            </w:pPr>
            <w:r>
              <w:rPr>
                <w:rFonts w:ascii="Aptos" w:hAnsi="Aptos" w:eastAsia="Aptos"/>
                <w:sz w:val="16"/>
              </w:rPr>
              <w:t>P2: вероятностный</w:t>
            </w:r>
          </w:p>
        </w:tc>
        <w:tc>
          <w:tcPr>
            <w:tcW w:type="dxa" w:w="3024"/>
            <w:tcMar>
              <w:top w:w="90" w:type="dxa"/>
              <w:start w:w="100" w:type="dxa"/>
              <w:bottom w:w="90" w:type="dxa"/>
              <w:end w:w="100" w:type="dxa"/>
            </w:tcMar>
            <w:vAlign w:val="center"/>
          </w:tcPr>
          <w:p>
            <w:pPr>
              <w:spacing w:after="0"/>
            </w:pPr>
            <w:r>
              <w:rPr>
                <w:rFonts w:ascii="Aptos" w:hAnsi="Aptos" w:eastAsia="Aptos"/>
                <w:sz w:val="16"/>
              </w:rPr>
              <w:t>law, calibration, confidence/ambiguity certificate</w:t>
            </w:r>
          </w:p>
        </w:tc>
        <w:tc>
          <w:tcPr>
            <w:tcW w:type="dxa" w:w="3024"/>
            <w:tcMar>
              <w:top w:w="90" w:type="dxa"/>
              <w:start w:w="100" w:type="dxa"/>
              <w:bottom w:w="90" w:type="dxa"/>
              <w:end w:w="100" w:type="dxa"/>
            </w:tcMar>
            <w:vAlign w:val="center"/>
          </w:tcPr>
          <w:p>
            <w:pPr>
              <w:spacing w:after="0"/>
            </w:pPr>
            <w:r>
              <w:rPr>
                <w:rFonts w:ascii="Aptos" w:hAnsi="Aptos" w:eastAsia="Aptos"/>
                <w:sz w:val="16"/>
              </w:rPr>
              <w:t>риск, coverage, finite-sample bound</w:t>
            </w:r>
          </w:p>
        </w:tc>
        <w:tc>
          <w:tcPr>
            <w:tcW w:type="dxa" w:w="2304"/>
            <w:tcMar>
              <w:top w:w="90" w:type="dxa"/>
              <w:start w:w="100" w:type="dxa"/>
              <w:bottom w:w="90" w:type="dxa"/>
              <w:end w:w="100" w:type="dxa"/>
            </w:tcMar>
            <w:vAlign w:val="center"/>
          </w:tcPr>
          <w:p>
            <w:pPr>
              <w:spacing w:after="0"/>
            </w:pPr>
            <w:r>
              <w:rPr>
                <w:rFonts w:ascii="Aptos" w:hAnsi="Aptos" w:eastAsia="Aptos"/>
                <w:sz w:val="16"/>
              </w:rPr>
              <w:t>невозможность по малому риску</w:t>
            </w:r>
          </w:p>
        </w:tc>
      </w:tr>
      <w:tr>
        <w:tc>
          <w:tcPr>
            <w:tcW w:type="dxa" w:w="1440"/>
            <w:tcMar>
              <w:top w:w="90" w:type="dxa"/>
              <w:start w:w="100" w:type="dxa"/>
              <w:bottom w:w="90" w:type="dxa"/>
              <w:end w:w="100" w:type="dxa"/>
            </w:tcMar>
            <w:vAlign w:val="center"/>
            <w:shd w:fill="F5F7F9"/>
          </w:tcPr>
          <w:p>
            <w:pPr>
              <w:spacing w:after="0"/>
            </w:pPr>
            <w:r>
              <w:rPr>
                <w:rFonts w:ascii="Aptos" w:hAnsi="Aptos" w:eastAsia="Aptos"/>
                <w:sz w:val="16"/>
              </w:rPr>
              <w:t>P3: физический</w:t>
            </w:r>
          </w:p>
        </w:tc>
        <w:tc>
          <w:tcPr>
            <w:tcW w:type="dxa" w:w="3024"/>
            <w:tcMar>
              <w:top w:w="90" w:type="dxa"/>
              <w:start w:w="100" w:type="dxa"/>
              <w:bottom w:w="90" w:type="dxa"/>
              <w:end w:w="100" w:type="dxa"/>
            </w:tcMar>
            <w:vAlign w:val="center"/>
            <w:shd w:fill="F5F7F9"/>
          </w:tcPr>
          <w:p>
            <w:pPr>
              <w:spacing w:after="0"/>
            </w:pPr>
            <w:r>
              <w:rPr>
                <w:rFonts w:ascii="Aptos" w:hAnsi="Aptos" w:eastAsia="Aptos"/>
                <w:sz w:val="16"/>
              </w:rPr>
              <w:t>операционализированная величина + независимый EXT-RUN</w:t>
            </w:r>
          </w:p>
        </w:tc>
        <w:tc>
          <w:tcPr>
            <w:tcW w:type="dxa" w:w="3024"/>
            <w:tcMar>
              <w:top w:w="90" w:type="dxa"/>
              <w:start w:w="100" w:type="dxa"/>
              <w:bottom w:w="90" w:type="dxa"/>
              <w:end w:w="100" w:type="dxa"/>
            </w:tcMar>
            <w:vAlign w:val="center"/>
            <w:shd w:fill="F5F7F9"/>
          </w:tcPr>
          <w:p>
            <w:pPr>
              <w:spacing w:after="0"/>
            </w:pPr>
            <w:r>
              <w:rPr>
                <w:rFonts w:ascii="Aptos" w:hAnsi="Aptos" w:eastAsia="Aptos"/>
                <w:sz w:val="16"/>
              </w:rPr>
              <w:t>эмпирическое подтверждение/опровержение в протоколе</w:t>
            </w:r>
          </w:p>
        </w:tc>
        <w:tc>
          <w:tcPr>
            <w:tcW w:type="dxa" w:w="2304"/>
            <w:tcMar>
              <w:top w:w="90" w:type="dxa"/>
              <w:start w:w="100" w:type="dxa"/>
              <w:bottom w:w="90" w:type="dxa"/>
              <w:end w:w="100" w:type="dxa"/>
            </w:tcMar>
            <w:vAlign w:val="center"/>
            <w:shd w:fill="F5F7F9"/>
          </w:tcPr>
          <w:p>
            <w:pPr>
              <w:spacing w:after="0"/>
            </w:pPr>
            <w:r>
              <w:rPr>
                <w:rFonts w:ascii="Aptos" w:hAnsi="Aptos" w:eastAsia="Aptos"/>
                <w:sz w:val="16"/>
              </w:rPr>
              <w:t>универсальный закон природы из внутреннего вычисления</w:t>
            </w:r>
          </w:p>
        </w:tc>
      </w:tr>
    </w:tbl>
    <w:tbl>
      <w:tblPr>
        <w:tblStyle w:val="TableGrid"/>
        <w:tblW w:type="auto" w:w="0"/>
        <w:jc w:val="center"/>
        <w:tblLook w:firstColumn="1" w:firstRow="1" w:lastColumn="0" w:lastRow="0" w:noHBand="0" w:noVBand="1" w:val="04A0"/>
        <w:tblBorders>
          <w:top w:val="single" w:sz="10" w:color="B21F24"/>
          <w:left w:val="single" w:sz="10" w:color="B21F24"/>
          <w:bottom w:val="single" w:sz="10" w:color="B21F24"/>
          <w:right w:val="single" w:sz="10" w:color="B21F24"/>
          <w:insideH w:val="single" w:sz="10" w:color="B21F24"/>
          <w:insideV w:val="single" w:sz="10" w:color="B21F24"/>
        </w:tblBorders>
      </w:tblPr>
      <w:tblGrid>
        <w:gridCol w:w="9752"/>
      </w:tblGrid>
      <w:tr>
        <w:tc>
          <w:tcPr>
            <w:tcW w:type="dxa" w:w="9752"/>
            <w:shd w:fill="FBE8E4"/>
            <w:tcMar>
              <w:top w:w="150" w:type="dxa"/>
              <w:start w:w="180" w:type="dxa"/>
              <w:bottom w:w="150" w:type="dxa"/>
              <w:end w:w="180" w:type="dxa"/>
            </w:tcMar>
          </w:tcPr>
          <w:p>
            <w:r>
              <w:rPr>
                <w:rFonts w:ascii="Aptos" w:hAnsi="Aptos" w:eastAsia="Aptos"/>
                <w:b/>
                <w:color w:val="B21F24"/>
                <w:sz w:val="24"/>
              </w:rPr>
              <w:t>ОГРАНИЧИТЕЛЬНЫЙ БЛОК</w:t>
              <w:br/>
            </w:r>
            <w:r>
              <w:rPr>
                <w:rFonts w:ascii="Aptos" w:hAnsi="Aptos" w:eastAsia="Aptos"/>
                <w:sz w:val="21"/>
              </w:rPr>
              <w:t>End-to-end означает полноту проверяемого маршрута, а не полноту знания. Конвейер может быть end-to-end и закончиться ABSTAIN. Это не дефект, а доказательная честность, редкий природный ресурс.</w:t>
            </w:r>
          </w:p>
        </w:tc>
      </w:tr>
    </w:tbl>
    <w:p>
      <w:pPr>
        <w:pStyle w:val="Heading1"/>
        <w:widowControl/>
      </w:pPr>
      <w:r>
        <w:t>372. Предсказательный запрос как типизированный объект</w:t>
      </w:r>
    </w:p>
    <w:p>
      <w:pPr>
        <w:widowControl/>
      </w:pPr>
      <w:r>
        <w:rPr>
          <w:i w:val="0"/>
        </w:rPr>
        <w:t>Определение 24.1 (predictive query). Предсказательный запрос есть кортеж</w:t>
      </w:r>
    </w:p>
    <w:p>
      <w:pPr>
        <w:pStyle w:val="Quote"/>
        <w:widowControl/>
        <w:jc w:val="center"/>
      </w:pPr>
      <w:r>
        <w:t>Q = (S_src, Ω, T, Y, A, Loss, Mode, α, β, L, D, Dom, Split, Policy).  (24.2)</w:t>
      </w:r>
    </w:p>
    <w:p>
      <w:pPr>
        <w:pStyle w:val="ListBullet"/>
        <w:widowControl/>
      </w:pPr>
      <w:r>
        <w:t>S_src: источники, данные и provenance ledger;</w:t>
      </w:r>
    </w:p>
    <w:p>
      <w:pPr>
        <w:pStyle w:val="ListBullet"/>
        <w:widowControl/>
      </w:pPr>
      <w:r>
        <w:t>Ω: пространство состояний или пакетных объектов;</w:t>
      </w:r>
    </w:p>
    <w:p>
      <w:pPr>
        <w:pStyle w:val="ListBullet"/>
        <w:widowControl/>
      </w:pPr>
      <w:r>
        <w:t>T: временной или деформационный параметр;</w:t>
      </w:r>
    </w:p>
    <w:p>
      <w:pPr>
        <w:pStyle w:val="ListBullet"/>
        <w:widowControl/>
      </w:pPr>
      <w:r>
        <w:t>Y и A: наблюдаемая и целевое событие/множество;</w:t>
      </w:r>
    </w:p>
    <w:p>
      <w:pPr>
        <w:pStyle w:val="ListBullet"/>
        <w:widowControl/>
      </w:pPr>
      <w:r>
        <w:t>Loss: функция потерь либо set-valued criterion;</w:t>
      </w:r>
    </w:p>
    <w:p>
      <w:pPr>
        <w:pStyle w:val="ListBullet"/>
        <w:widowControl/>
      </w:pPr>
      <w:r>
        <w:t>Mode ∈ {STRUCTURAL, DYNAMIC, PROBABILISTIC, CAUSAL, PHYSICAL};</w:t>
      </w:r>
    </w:p>
    <w:p>
      <w:pPr>
        <w:pStyle w:val="ListBullet"/>
        <w:widowControl/>
      </w:pPr>
      <w:r>
        <w:t>α, β: заранее распределённые вероятностные бюджеты;</w:t>
      </w:r>
    </w:p>
    <w:p>
      <w:pPr>
        <w:pStyle w:val="ListBullet"/>
        <w:widowControl/>
      </w:pPr>
      <w:r>
        <w:t>L: система пределов и horizon constraints;</w:t>
      </w:r>
    </w:p>
    <w:p>
      <w:pPr>
        <w:pStyle w:val="ListBullet"/>
        <w:widowControl/>
      </w:pPr>
      <w:r>
        <w:t>D, Dom: sufficient foundation и область применимости;</w:t>
      </w:r>
    </w:p>
    <w:p>
      <w:pPr>
        <w:pStyle w:val="ListBullet"/>
        <w:widowControl/>
      </w:pPr>
      <w:r>
        <w:t>Split: train/calibration/validation/external partition;</w:t>
      </w:r>
    </w:p>
    <w:p>
      <w:pPr>
        <w:pStyle w:val="ListBullet"/>
        <w:widowControl/>
      </w:pPr>
      <w:r>
        <w:t>Policy: правило управления, если запрашивается controlled law.</w:t>
      </w:r>
    </w:p>
    <w:p>
      <w:pPr>
        <w:widowControl/>
      </w:pPr>
      <w:r>
        <w:rPr>
          <w:i w:val="0"/>
        </w:rPr>
        <w:t>Запрос без Mode неоднозначен: одна и та же формула может быть структурным индикатором, статистической оценкой или физической гипотезой. Оператор не обязан угадывать, какой смысл пользователь мысленно имел в виду. Он и так вынужден терпеть достаточно человеческой неоднозначности.</w:t>
      </w:r>
    </w:p>
    <w:p>
      <w:pPr>
        <w:pStyle w:val="Heading1"/>
        <w:widowControl/>
      </w:pPr>
      <w:r>
        <w:t>373. Сертифицированное состояние вычисления</w:t>
      </w:r>
    </w:p>
    <w:p>
      <w:pPr>
        <w:widowControl/>
      </w:pPr>
      <w:r>
        <w:rPr>
          <w:i w:val="0"/>
        </w:rPr>
        <w:t>Определение 24.2. Сертифицированное состояние на шаге j есть</w:t>
      </w:r>
    </w:p>
    <w:p>
      <w:pPr>
        <w:pStyle w:val="Quote"/>
        <w:widowControl/>
        <w:jc w:val="center"/>
      </w:pPr>
      <w:r>
        <w:t>Z_j = (X_j, P_j, B_j, C_j, G_j, H_j, V_j),  (24.3)</w:t>
      </w:r>
    </w:p>
    <w:p>
      <w:pPr>
        <w:pStyle w:val="ListBullet"/>
        <w:widowControl/>
      </w:pPr>
      <w:r>
        <w:t>X_j — текущий носитель данных/структур;</w:t>
      </w:r>
    </w:p>
    <w:p>
      <w:pPr>
        <w:pStyle w:val="ListBullet"/>
        <w:widowControl/>
      </w:pPr>
      <w:r>
        <w:t>P_j — проверенные предикаты и инварианты;</w:t>
      </w:r>
    </w:p>
    <w:p>
      <w:pPr>
        <w:pStyle w:val="ListBullet"/>
        <w:widowControl/>
      </w:pPr>
      <w:r>
        <w:t>B_j — вектор бюджета неопределённости;</w:t>
      </w:r>
    </w:p>
    <w:p>
      <w:pPr>
        <w:pStyle w:val="ListBullet"/>
        <w:widowControl/>
      </w:pPr>
      <w:r>
        <w:t>C_j — proof objects, тесты и вычислительные сертификаты;</w:t>
      </w:r>
    </w:p>
    <w:p>
      <w:pPr>
        <w:pStyle w:val="ListBullet"/>
        <w:widowControl/>
      </w:pPr>
      <w:r>
        <w:t>G_j — blockers и незакрытые доказательные обязательства;</w:t>
      </w:r>
    </w:p>
    <w:p>
      <w:pPr>
        <w:pStyle w:val="ListBullet"/>
        <w:widowControl/>
      </w:pPr>
      <w:r>
        <w:t>H_j — provenance/hash chain;</w:t>
      </w:r>
    </w:p>
    <w:p>
      <w:pPr>
        <w:pStyle w:val="ListBullet"/>
        <w:widowControl/>
      </w:pPr>
      <w:r>
        <w:t>V_j — локальный вердикт и его доказательный статус.</w:t>
      </w:r>
    </w:p>
    <w:p>
      <w:pPr>
        <w:widowControl/>
      </w:pPr>
      <w:r>
        <w:rPr>
          <w:i w:val="0"/>
        </w:rPr>
        <w:t>Состояние является достаточным для продолжения только при совместимости интерфейса следующего модуля. Исторический журнал не отделяется от результата: без него один и тот же массив чисел может означать вычисление, симуляцию, пример или красиво оформленную ошибку.</w:t>
      </w:r>
    </w:p>
    <w:p>
      <w:pPr>
        <w:pStyle w:val="Heading1"/>
        <w:widowControl/>
      </w:pPr>
      <w:r>
        <w:t>374. Однородная Reper-координата без искусственного полюса</w:t>
      </w:r>
    </w:p>
    <w:p>
      <w:pPr>
        <w:widowControl/>
      </w:pPr>
      <w:r>
        <w:rPr>
          <w:i w:val="0"/>
        </w:rPr>
        <w:t>Для Reper-четвёрки (R,I,U;D) определим однородную проективную координату</w:t>
      </w:r>
    </w:p>
    <w:p>
      <w:pPr>
        <w:pStyle w:val="Quote"/>
        <w:widowControl/>
        <w:jc w:val="center"/>
      </w:pPr>
      <w:r>
        <w:t>Λ_Rep = [N:Q] = [(U-R)(I-D) : (U-D)(I-R)] ∈ P¹,  (24.4)</w:t>
      </w:r>
    </w:p>
    <w:p>
      <w:pPr>
        <w:widowControl/>
      </w:pPr>
      <w:r>
        <w:rPr>
          <w:i w:val="0"/>
        </w:rPr>
        <w:t>когда (N,Q)≠(0,0). Скаляр λ=N/Q используется только на карте Q≠0. Гармонический locus задаётся инвариантно уравнением N+Q=0 при ненулевой паре [N:Q].</w:t>
      </w:r>
    </w:p>
    <w:p>
      <w:pPr>
        <w:widowControl/>
      </w:pPr>
      <w:r>
        <w:rPr>
          <w:i w:val="0"/>
        </w:rPr>
        <w:t>Лемма 24.1. Однородная координата Λ_Rep не требует деления на Q и потому сохраняет смысл на точках Q=0, кроме общей неопределённости N=Q=0. Переход к числу λ является локальной картой, а не глобальным определением.</w:t>
      </w:r>
    </w:p>
    <w:p>
      <w:pPr>
        <w:widowControl/>
      </w:pPr>
      <w:r>
        <w:rPr>
          <w:i w:val="0"/>
        </w:rPr>
        <w:t>Доказательство. Проективная точка определяется ненулевой парой с точностью до общего множителя. Деление требуется только для выбора аффинной карты. При N=Q=0 проективная точка не существует, что фиксируется как BLOCK-REPER-UNDEFINED. □</w:t>
      </w:r>
    </w:p>
    <w:tbl>
      <w:tblPr>
        <w:tblStyle w:val="TableGrid"/>
        <w:tblW w:type="auto" w:w="0"/>
        <w:jc w:val="center"/>
        <w:tblLook w:firstColumn="1" w:firstRow="1" w:lastColumn="0" w:lastRow="0" w:noHBand="0" w:noVBand="1" w:val="04A0"/>
        <w:tblBorders>
          <w:top w:val="single" w:sz="10" w:color="B21F24"/>
          <w:left w:val="single" w:sz="10" w:color="B21F24"/>
          <w:bottom w:val="single" w:sz="10" w:color="B21F24"/>
          <w:right w:val="single" w:sz="10" w:color="B21F24"/>
          <w:insideH w:val="single" w:sz="10" w:color="B21F24"/>
          <w:insideV w:val="single" w:sz="10" w:color="B21F24"/>
        </w:tblBorders>
      </w:tblPr>
      <w:tblGrid>
        <w:gridCol w:w="9752"/>
      </w:tblGrid>
      <w:tr>
        <w:tc>
          <w:tcPr>
            <w:tcW w:type="dxa" w:w="9752"/>
            <w:shd w:fill="FBE8E4"/>
            <w:tcMar>
              <w:top w:w="150" w:type="dxa"/>
              <w:start w:w="180" w:type="dxa"/>
              <w:bottom w:w="150" w:type="dxa"/>
              <w:end w:w="180" w:type="dxa"/>
            </w:tcMar>
          </w:tcPr>
          <w:p>
            <w:r>
              <w:rPr>
                <w:rFonts w:ascii="Aptos" w:hAnsi="Aptos" w:eastAsia="Aptos"/>
                <w:b/>
                <w:color w:val="B21F24"/>
                <w:sz w:val="24"/>
              </w:rPr>
              <w:t>СМЫСЛ ТРУДНОГО ПЕРЕХОДА</w:t>
              <w:br/>
            </w:r>
            <w:r>
              <w:rPr>
                <w:rFonts w:ascii="Aptos" w:hAnsi="Aptos" w:eastAsia="Aptos"/>
                <w:sz w:val="21"/>
              </w:rPr>
              <w:t>Предыдущие главы уже выявили pole set скалярного кросс-соотношения. Финальный оператор поэтому не должен хранить λ как единственную истину. Он хранит однородную пару [N:Q], карту, в которой выполнялось вычисление, и расстояние до вырожденного множества. Это не косметическая замена записи, а устранение ложной непрерывности.</w:t>
            </w:r>
          </w:p>
        </w:tc>
      </w:tr>
    </w:tbl>
    <w:p>
      <w:pPr>
        <w:pStyle w:val="Heading1"/>
        <w:widowControl/>
      </w:pPr>
      <w:r>
        <w:t>375. Результатный тип: OK, ABSTAIN и FAIL</w:t>
      </w:r>
    </w:p>
    <w:p>
      <w:pPr>
        <w:widowControl/>
      </w:pPr>
      <w:r>
        <w:rPr>
          <w:i w:val="0"/>
        </w:rPr>
        <w:t>Для носителя Y определим результатный объект</w:t>
      </w:r>
    </w:p>
    <w:p>
      <w:pPr>
        <w:pStyle w:val="Quote"/>
        <w:widowControl/>
        <w:jc w:val="center"/>
      </w:pPr>
      <w:r>
        <w:t>Result(Y)=OK(Y,Cert,B) ⊔ ABSTAIN(Block) ⊔ FAIL(Witness).  (24.5)</w:t>
      </w:r>
    </w:p>
    <w:p>
      <w:pPr>
        <w:pStyle w:val="ListBullet"/>
        <w:widowControl/>
      </w:pPr>
      <w:r>
        <w:t>OK означает, что постусловие доказано или сертифицировано в заявленной области и бюджете;</w:t>
      </w:r>
    </w:p>
    <w:p>
      <w:pPr>
        <w:pStyle w:val="ListBullet"/>
        <w:widowControl/>
      </w:pPr>
      <w:r>
        <w:t>ABSTAIN означает отсутствие права на вывод при потенциально исправимом недостатке;</w:t>
      </w:r>
    </w:p>
    <w:p>
      <w:pPr>
        <w:pStyle w:val="ListBullet"/>
        <w:widowControl/>
      </w:pPr>
      <w:r>
        <w:t>FAIL означает найденный отрицательный свидетель: контрпример, нарушение теста, несогласованность хеша или опровержение постусловия.</w:t>
      </w:r>
    </w:p>
    <w:p>
      <w:pPr>
        <w:widowControl/>
      </w:pPr>
      <w:r>
        <w:rPr>
          <w:i w:val="0"/>
        </w:rPr>
        <w:t>ABSTAIN не тождественен FAIL. Отказ сообщает «не установлено при текущих основаниях»; FAIL сообщает «заявленное условие нарушено». Смешение этих ветвей превращает незнание в отрицательное знание и обратно.</w:t>
      </w:r>
    </w:p>
    <w:p>
      <w:pPr>
        <w:pStyle w:val="Heading1"/>
        <w:widowControl/>
      </w:pPr>
      <w:r>
        <w:t>376. Категория сертифицированных частичных операторов</w:t>
      </w:r>
    </w:p>
    <w:p>
      <w:pPr>
        <w:widowControl/>
      </w:pPr>
      <w:r>
        <w:rPr>
          <w:i w:val="0"/>
        </w:rPr>
        <w:t>Определение 24.3. Объектами категории CertKLT являются типизированные носители (X,Inv_X). Морфизм F:X⇀Y задаётся шестёркой</w:t>
      </w:r>
    </w:p>
    <w:p>
      <w:pPr>
        <w:pStyle w:val="Quote"/>
        <w:widowControl/>
        <w:jc w:val="center"/>
      </w:pPr>
      <w:r>
        <w:t>F=(f, Pre_F, Post_F, T_F, E_F, Audit_F),  (24.6)</w:t>
      </w:r>
    </w:p>
    <w:p>
      <w:pPr>
        <w:pStyle w:val="ListBullet"/>
        <w:widowControl/>
      </w:pPr>
      <w:r>
        <w:t>f:X→Result(Y) — частичное вычисление;</w:t>
      </w:r>
    </w:p>
    <w:p>
      <w:pPr>
        <w:pStyle w:val="ListBullet"/>
        <w:widowControl/>
      </w:pPr>
      <w:r>
        <w:t>Pre_F — предусловие и admissible domain;</w:t>
      </w:r>
    </w:p>
    <w:p>
      <w:pPr>
        <w:pStyle w:val="ListBullet"/>
        <w:widowControl/>
      </w:pPr>
      <w:r>
        <w:t>Post_F — гарантируемый предикат при ветви OK;</w:t>
      </w:r>
    </w:p>
    <w:p>
      <w:pPr>
        <w:pStyle w:val="ListBullet"/>
        <w:widowControl/>
      </w:pPr>
      <w:r>
        <w:t>T_F — оператор переноса бюджета;</w:t>
      </w:r>
    </w:p>
    <w:p>
      <w:pPr>
        <w:pStyle w:val="ListBullet"/>
        <w:widowControl/>
      </w:pPr>
      <w:r>
        <w:t>E_F — локальный добавочный бюджет;</w:t>
      </w:r>
    </w:p>
    <w:p>
      <w:pPr>
        <w:pStyle w:val="ListBullet"/>
        <w:widowControl/>
      </w:pPr>
      <w:r>
        <w:t>Audit_F — алгоритм проверки сертификата и блокеров.</w:t>
      </w:r>
    </w:p>
    <w:p>
      <w:pPr>
        <w:widowControl/>
      </w:pPr>
      <w:r>
        <w:rPr>
          <w:i w:val="0"/>
        </w:rPr>
        <w:t>Эта конструкция близка к категориям частичных отображений, но дополнена доказательным и бюджетным слоями. Наличие слова «категория» не освобождает от доказательства ассоциативности композиции; математика, к счастью, пока ещё требует больше, чем удачный логотип.</w:t>
      </w:r>
    </w:p>
    <w:p>
      <w:pPr>
        <w:pStyle w:val="Heading1"/>
        <w:widowControl/>
      </w:pPr>
      <w:r>
        <w:t>377. Композиция операторов и поглощающие ветви</w:t>
      </w:r>
    </w:p>
    <w:p>
      <w:pPr>
        <w:widowControl/>
      </w:pPr>
      <w:r>
        <w:rPr>
          <w:i w:val="0"/>
        </w:rPr>
        <w:t>Пусть F:X⇀Y и G:Y⇀Z. Композиция G⊙F запускает G только на ветви OK от F:</w:t>
      </w:r>
    </w:p>
    <w:p>
      <w:pPr>
        <w:pStyle w:val="Quote"/>
        <w:widowControl/>
        <w:jc w:val="center"/>
      </w:pPr>
      <w:r>
        <w:t>(G⊙F)(x)= G(y), если F(x)=OK(y,C_F,B_F); иначе возвращается та же ветвь ABSTAIN или FAIL.  (24.7)</w:t>
      </w:r>
    </w:p>
    <w:p>
      <w:pPr>
        <w:widowControl/>
      </w:pPr>
      <w:r>
        <w:rPr>
          <w:i w:val="0"/>
        </w:rPr>
        <w:t>Блокеры объединяются множественным объединением, proof objects конкатенируются с проверкой интерфейсных утверждений, а бюджет переносится формулой</w:t>
      </w:r>
    </w:p>
    <w:p>
      <w:pPr>
        <w:pStyle w:val="Quote"/>
        <w:widowControl/>
        <w:jc w:val="center"/>
      </w:pPr>
      <w:r>
        <w:t>B_{G⊙F}=T_G(T_F(B_in) ⊕ E_F) ⊕ E_G.  (24.8)</w:t>
      </w:r>
    </w:p>
    <w:p>
      <w:pPr>
        <w:widowControl/>
      </w:pPr>
      <w:r>
        <w:rPr>
          <w:i w:val="0"/>
        </w:rPr>
        <w:t>Здесь ⊕ является покоординатной операцией соответствующего типа бюджета; она не обязана быть обычным сложением.</w:t>
      </w:r>
    </w:p>
    <w:p>
      <w:pPr>
        <w:pStyle w:val="Heading1"/>
        <w:widowControl/>
      </w:pPr>
      <w:r>
        <w:t>378. Теорема о корректности категории CertKLT</w:t>
      </w:r>
    </w:p>
    <w:p>
      <w:pPr>
        <w:widowControl/>
      </w:pPr>
      <w:r>
        <w:rPr>
          <w:i w:val="0"/>
        </w:rPr>
        <w:t>Теорема 24.1. Если для каждого типа бюджета операции переноса и локального сложения образуют ассоциативную систему, объединение blockers ассоциативно, а proof-chain concatenation сохраняет порядок интерфейсов, то CertKLT является категорией с тождественными морфизмами Id_X.</w:t>
      </w:r>
    </w:p>
    <w:p>
      <w:pPr>
        <w:widowControl/>
      </w:pPr>
      <w:r>
        <w:rPr>
          <w:i w:val="0"/>
        </w:rPr>
        <w:t>Доказательство. Тождественный морфизм возвращает OK(x,IdCert,B) и имеет T=Id, E=0. Для трёх операторов H,G,F результатная ветвь определяется первым не-OK результатом, независимо от расстановки скобок. На OK-ветви бюджет равен композиции операторов переноса; ассоциативность следует из ассоциативности композиции T и ⊕. Blocker union и ordered proof concatenation также ассоциативны. Следовательно, H⊙(G⊙F)=(H⊙G)⊙F. □</w:t>
      </w:r>
    </w:p>
    <w:p>
      <w:pPr>
        <w:widowControl/>
      </w:pPr>
      <w:r>
        <w:rPr>
          <w:i w:val="0"/>
        </w:rPr>
        <w:t>Контрпример. Если локальный модуль самовольно скаляризует вектор бюджета разными весами в разных расстановках скобок, композиция может перестать быть ассоциативной. Поэтому weights являются частью интерфейсного контракта, а не настройкой интерфейса пользователя.</w:t>
      </w:r>
    </w:p>
    <w:p>
      <w:pPr>
        <w:widowControl/>
        <w:jc w:val="center"/>
      </w:pPr>
      <w:r>
        <w:drawing>
          <wp:inline xmlns:a="http://schemas.openxmlformats.org/drawingml/2006/main" xmlns:pic="http://schemas.openxmlformats.org/drawingml/2006/picture">
            <wp:extent cx="5897880" cy="3724977"/>
            <wp:docPr id="65" name="Picture 65" descr="Схема входа, модуля и трёх выходов OK, ABSTAIN, FAIL" title="Рисунок 24.3. Алгоритмический контракт: три результатные ветви и правило композиции. Собственная схема Тома II."/>
            <wp:cNvGraphicFramePr>
              <a:graphicFrameLocks noChangeAspect="1"/>
            </wp:cNvGraphicFramePr>
            <a:graphic>
              <a:graphicData uri="http://schemas.openxmlformats.org/drawingml/2006/picture">
                <pic:pic>
                  <pic:nvPicPr>
                    <pic:cNvPr id="0" name="fig24_3.png"/>
                    <pic:cNvPicPr/>
                  </pic:nvPicPr>
                  <pic:blipFill>
                    <a:blip r:embed="rId102"/>
                    <a:stretch>
                      <a:fillRect/>
                    </a:stretch>
                  </pic:blipFill>
                  <pic:spPr>
                    <a:xfrm>
                      <a:off x="0" y="0"/>
                      <a:ext cx="5897880" cy="3724977"/>
                    </a:xfrm>
                    <a:prstGeom prst="rect"/>
                  </pic:spPr>
                </pic:pic>
              </a:graphicData>
            </a:graphic>
          </wp:inline>
        </w:drawing>
      </w:r>
    </w:p>
    <w:p>
      <w:pPr>
        <w:pStyle w:val="Caption"/>
        <w:widowControl/>
        <w:jc w:val="center"/>
      </w:pPr>
      <w:r>
        <w:t>Рисунок 24.3. Алгоритмический контракт: три результатные ветви и правило композиции. Собственная схема Тома II.</w:t>
      </w:r>
    </w:p>
    <w:p>
      <w:pPr>
        <w:pStyle w:val="Heading1"/>
        <w:widowControl/>
      </w:pPr>
      <w:r>
        <w:t>379. Векторный бюджет неопределённости</w:t>
      </w:r>
    </w:p>
    <w:p>
      <w:pPr>
        <w:widowControl/>
      </w:pPr>
      <w:r>
        <w:rPr>
          <w:i w:val="0"/>
        </w:rPr>
        <w:t>Определение 24.4. Полный бюджет имеет вид</w:t>
      </w:r>
    </w:p>
    <w:p>
      <w:pPr>
        <w:pStyle w:val="Quote"/>
        <w:widowControl/>
        <w:jc w:val="center"/>
      </w:pPr>
      <w:r>
        <w:t>B=(b_type,b_dom,b_alg,b_top,b_num,α_stat,𝒰_shift,b_causal,b_ext,σ_proof).  (24.9)</w:t>
      </w:r>
    </w:p>
    <w:tbl>
      <w:tblPr>
        <w:tblStyle w:val="TableGrid"/>
        <w:tblW w:type="auto" w:w="0"/>
        <w:jc w:val="center"/>
        <w:tblLook w:firstColumn="1" w:firstRow="1" w:lastColumn="0" w:lastRow="0" w:noHBand="0" w:noVBand="1" w:val="04A0"/>
        <w:tblBorders>
          <w:top w:val="single" w:sz="6" w:color="B5C3D1"/>
          <w:left w:val="single" w:sz="6" w:color="B5C3D1"/>
          <w:bottom w:val="single" w:sz="6" w:color="B5C3D1"/>
          <w:right w:val="single" w:sz="6" w:color="B5C3D1"/>
          <w:insideH w:val="single" w:sz="6" w:color="B5C3D1"/>
          <w:insideV w:val="single" w:sz="6" w:color="B5C3D1"/>
        </w:tblBorders>
      </w:tblPr>
      <w:tblGrid>
        <w:gridCol w:w="2438"/>
        <w:gridCol w:w="2438"/>
        <w:gridCol w:w="2438"/>
        <w:gridCol w:w="2438"/>
      </w:tblGrid>
      <w:tr>
        <w:trPr>
          <w:tblHeader w:val="true"/>
        </w:trPr>
        <w:tc>
          <w:tcPr>
            <w:tcW w:type="dxa" w:w="1440"/>
            <w:shd w:fill="173B67"/>
            <w:tcMar>
              <w:top w:w="110" w:type="dxa"/>
              <w:start w:w="110" w:type="dxa"/>
              <w:bottom w:w="110" w:type="dxa"/>
              <w:end w:w="110" w:type="dxa"/>
            </w:tcMar>
            <w:vAlign w:val="center"/>
          </w:tcPr>
          <w:p>
            <w:pPr>
              <w:jc w:val="center"/>
            </w:pPr>
            <w:r>
              <w:rPr>
                <w:rFonts w:ascii="Aptos" w:hAnsi="Aptos" w:eastAsia="Aptos"/>
                <w:b/>
                <w:color w:val="FFFFFF"/>
                <w:sz w:val="16"/>
              </w:rPr>
              <w:t>Компонента</w:t>
            </w:r>
          </w:p>
        </w:tc>
        <w:tc>
          <w:tcPr>
            <w:tcW w:type="dxa" w:w="3168"/>
            <w:shd w:fill="173B67"/>
            <w:tcMar>
              <w:top w:w="110" w:type="dxa"/>
              <w:start w:w="110" w:type="dxa"/>
              <w:bottom w:w="110" w:type="dxa"/>
              <w:end w:w="110" w:type="dxa"/>
            </w:tcMar>
            <w:vAlign w:val="center"/>
          </w:tcPr>
          <w:p>
            <w:pPr>
              <w:jc w:val="center"/>
            </w:pPr>
            <w:r>
              <w:rPr>
                <w:rFonts w:ascii="Aptos" w:hAnsi="Aptos" w:eastAsia="Aptos"/>
                <w:b/>
                <w:color w:val="FFFFFF"/>
                <w:sz w:val="16"/>
              </w:rPr>
              <w:t>Смысл</w:t>
            </w:r>
          </w:p>
        </w:tc>
        <w:tc>
          <w:tcPr>
            <w:tcW w:type="dxa" w:w="2304"/>
            <w:shd w:fill="173B67"/>
            <w:tcMar>
              <w:top w:w="110" w:type="dxa"/>
              <w:start w:w="110" w:type="dxa"/>
              <w:bottom w:w="110" w:type="dxa"/>
              <w:end w:w="110" w:type="dxa"/>
            </w:tcMar>
            <w:vAlign w:val="center"/>
          </w:tcPr>
          <w:p>
            <w:pPr>
              <w:jc w:val="center"/>
            </w:pPr>
            <w:r>
              <w:rPr>
                <w:rFonts w:ascii="Aptos" w:hAnsi="Aptos" w:eastAsia="Aptos"/>
                <w:b/>
                <w:color w:val="FFFFFF"/>
                <w:sz w:val="16"/>
              </w:rPr>
              <w:t>Носитель</w:t>
            </w:r>
          </w:p>
        </w:tc>
        <w:tc>
          <w:tcPr>
            <w:tcW w:type="dxa" w:w="2880"/>
            <w:shd w:fill="173B67"/>
            <w:tcMar>
              <w:top w:w="110" w:type="dxa"/>
              <w:start w:w="110" w:type="dxa"/>
              <w:bottom w:w="110" w:type="dxa"/>
              <w:end w:w="110" w:type="dxa"/>
            </w:tcMar>
            <w:vAlign w:val="center"/>
          </w:tcPr>
          <w:p>
            <w:pPr>
              <w:jc w:val="center"/>
            </w:pPr>
            <w:r>
              <w:rPr>
                <w:rFonts w:ascii="Aptos" w:hAnsi="Aptos" w:eastAsia="Aptos"/>
                <w:b/>
                <w:color w:val="FFFFFF"/>
                <w:sz w:val="16"/>
              </w:rPr>
              <w:t>Закон композиции</w:t>
            </w:r>
          </w:p>
        </w:tc>
      </w:tr>
      <w:tr>
        <w:tc>
          <w:tcPr>
            <w:tcW w:type="dxa" w:w="1440"/>
            <w:tcMar>
              <w:top w:w="90" w:type="dxa"/>
              <w:start w:w="100" w:type="dxa"/>
              <w:bottom w:w="90" w:type="dxa"/>
              <w:end w:w="100" w:type="dxa"/>
            </w:tcMar>
            <w:vAlign w:val="center"/>
          </w:tcPr>
          <w:p>
            <w:pPr>
              <w:spacing w:after="0"/>
            </w:pPr>
            <w:r>
              <w:rPr>
                <w:rFonts w:ascii="Aptos" w:hAnsi="Aptos" w:eastAsia="Aptos"/>
                <w:sz w:val="16"/>
              </w:rPr>
              <w:t>b_type</w:t>
            </w:r>
          </w:p>
        </w:tc>
        <w:tc>
          <w:tcPr>
            <w:tcW w:type="dxa" w:w="3168"/>
            <w:tcMar>
              <w:top w:w="90" w:type="dxa"/>
              <w:start w:w="100" w:type="dxa"/>
              <w:bottom w:w="90" w:type="dxa"/>
              <w:end w:w="100" w:type="dxa"/>
            </w:tcMar>
            <w:vAlign w:val="center"/>
          </w:tcPr>
          <w:p>
            <w:pPr>
              <w:spacing w:after="0"/>
            </w:pPr>
            <w:r>
              <w:rPr>
                <w:rFonts w:ascii="Aptos" w:hAnsi="Aptos" w:eastAsia="Aptos"/>
                <w:sz w:val="16"/>
              </w:rPr>
              <w:t>типовые и интерфейсные дефекты</w:t>
            </w:r>
          </w:p>
        </w:tc>
        <w:tc>
          <w:tcPr>
            <w:tcW w:type="dxa" w:w="2304"/>
            <w:tcMar>
              <w:top w:w="90" w:type="dxa"/>
              <w:start w:w="100" w:type="dxa"/>
              <w:bottom w:w="90" w:type="dxa"/>
              <w:end w:w="100" w:type="dxa"/>
            </w:tcMar>
            <w:vAlign w:val="center"/>
          </w:tcPr>
          <w:p>
            <w:pPr>
              <w:spacing w:after="0"/>
            </w:pPr>
            <w:r>
              <w:rPr>
                <w:rFonts w:ascii="Aptos" w:hAnsi="Aptos" w:eastAsia="Aptos"/>
                <w:sz w:val="16"/>
              </w:rPr>
              <w:t>{0,1} или blocker set</w:t>
            </w:r>
          </w:p>
        </w:tc>
        <w:tc>
          <w:tcPr>
            <w:tcW w:type="dxa" w:w="2880"/>
            <w:tcMar>
              <w:top w:w="90" w:type="dxa"/>
              <w:start w:w="100" w:type="dxa"/>
              <w:bottom w:w="90" w:type="dxa"/>
              <w:end w:w="100" w:type="dxa"/>
            </w:tcMar>
            <w:vAlign w:val="center"/>
          </w:tcPr>
          <w:p>
            <w:pPr>
              <w:spacing w:after="0"/>
            </w:pPr>
            <w:r>
              <w:rPr>
                <w:rFonts w:ascii="Aptos" w:hAnsi="Aptos" w:eastAsia="Aptos"/>
                <w:sz w:val="16"/>
              </w:rPr>
              <w:t>логическое OR / union</w:t>
            </w:r>
          </w:p>
        </w:tc>
      </w:tr>
      <w:tr>
        <w:tc>
          <w:tcPr>
            <w:tcW w:type="dxa" w:w="1440"/>
            <w:tcMar>
              <w:top w:w="90" w:type="dxa"/>
              <w:start w:w="100" w:type="dxa"/>
              <w:bottom w:w="90" w:type="dxa"/>
              <w:end w:w="100" w:type="dxa"/>
            </w:tcMar>
            <w:vAlign w:val="center"/>
            <w:shd w:fill="F5F7F9"/>
          </w:tcPr>
          <w:p>
            <w:pPr>
              <w:spacing w:after="0"/>
            </w:pPr>
            <w:r>
              <w:rPr>
                <w:rFonts w:ascii="Aptos" w:hAnsi="Aptos" w:eastAsia="Aptos"/>
                <w:sz w:val="16"/>
              </w:rPr>
              <w:t>b_dom</w:t>
            </w:r>
          </w:p>
        </w:tc>
        <w:tc>
          <w:tcPr>
            <w:tcW w:type="dxa" w:w="3168"/>
            <w:tcMar>
              <w:top w:w="90" w:type="dxa"/>
              <w:start w:w="100" w:type="dxa"/>
              <w:bottom w:w="90" w:type="dxa"/>
              <w:end w:w="100" w:type="dxa"/>
            </w:tcMar>
            <w:vAlign w:val="center"/>
            <w:shd w:fill="F5F7F9"/>
          </w:tcPr>
          <w:p>
            <w:pPr>
              <w:spacing w:after="0"/>
            </w:pPr>
            <w:r>
              <w:rPr>
                <w:rFonts w:ascii="Aptos" w:hAnsi="Aptos" w:eastAsia="Aptos"/>
                <w:sz w:val="16"/>
              </w:rPr>
              <w:t>выход за Dom и близость к границе</w:t>
            </w:r>
          </w:p>
        </w:tc>
        <w:tc>
          <w:tcPr>
            <w:tcW w:type="dxa" w:w="2304"/>
            <w:tcMar>
              <w:top w:w="90" w:type="dxa"/>
              <w:start w:w="100" w:type="dxa"/>
              <w:bottom w:w="90" w:type="dxa"/>
              <w:end w:w="100" w:type="dxa"/>
            </w:tcMar>
            <w:vAlign w:val="center"/>
            <w:shd w:fill="F5F7F9"/>
          </w:tcPr>
          <w:p>
            <w:pPr>
              <w:spacing w:after="0"/>
            </w:pPr>
            <w:r>
              <w:rPr>
                <w:rFonts w:ascii="Aptos" w:hAnsi="Aptos" w:eastAsia="Aptos"/>
                <w:sz w:val="16"/>
              </w:rPr>
              <w:t>неотрицательный margin</w:t>
            </w:r>
          </w:p>
        </w:tc>
        <w:tc>
          <w:tcPr>
            <w:tcW w:type="dxa" w:w="2880"/>
            <w:tcMar>
              <w:top w:w="90" w:type="dxa"/>
              <w:start w:w="100" w:type="dxa"/>
              <w:bottom w:w="90" w:type="dxa"/>
              <w:end w:w="100" w:type="dxa"/>
            </w:tcMar>
            <w:vAlign w:val="center"/>
            <w:shd w:fill="F5F7F9"/>
          </w:tcPr>
          <w:p>
            <w:pPr>
              <w:spacing w:after="0"/>
            </w:pPr>
            <w:r>
              <w:rPr>
                <w:rFonts w:ascii="Aptos" w:hAnsi="Aptos" w:eastAsia="Aptos"/>
                <w:sz w:val="16"/>
              </w:rPr>
              <w:t>минимум запаса / максимум дефекта</w:t>
            </w:r>
          </w:p>
        </w:tc>
      </w:tr>
      <w:tr>
        <w:tc>
          <w:tcPr>
            <w:tcW w:type="dxa" w:w="1440"/>
            <w:tcMar>
              <w:top w:w="90" w:type="dxa"/>
              <w:start w:w="100" w:type="dxa"/>
              <w:bottom w:w="90" w:type="dxa"/>
              <w:end w:w="100" w:type="dxa"/>
            </w:tcMar>
            <w:vAlign w:val="center"/>
          </w:tcPr>
          <w:p>
            <w:pPr>
              <w:spacing w:after="0"/>
            </w:pPr>
            <w:r>
              <w:rPr>
                <w:rFonts w:ascii="Aptos" w:hAnsi="Aptos" w:eastAsia="Aptos"/>
                <w:sz w:val="16"/>
              </w:rPr>
              <w:t>b_alg</w:t>
            </w:r>
          </w:p>
        </w:tc>
        <w:tc>
          <w:tcPr>
            <w:tcW w:type="dxa" w:w="3168"/>
            <w:tcMar>
              <w:top w:w="90" w:type="dxa"/>
              <w:start w:w="100" w:type="dxa"/>
              <w:bottom w:w="90" w:type="dxa"/>
              <w:end w:w="100" w:type="dxa"/>
            </w:tcMar>
            <w:vAlign w:val="center"/>
          </w:tcPr>
          <w:p>
            <w:pPr>
              <w:spacing w:after="0"/>
            </w:pPr>
            <w:r>
              <w:rPr>
                <w:rFonts w:ascii="Aptos" w:hAnsi="Aptos" w:eastAsia="Aptos"/>
                <w:sz w:val="16"/>
              </w:rPr>
              <w:t>остатки алгебраических тождеств</w:t>
            </w:r>
          </w:p>
        </w:tc>
        <w:tc>
          <w:tcPr>
            <w:tcW w:type="dxa" w:w="2304"/>
            <w:tcMar>
              <w:top w:w="90" w:type="dxa"/>
              <w:start w:w="100" w:type="dxa"/>
              <w:bottom w:w="90" w:type="dxa"/>
              <w:end w:w="100" w:type="dxa"/>
            </w:tcMar>
            <w:vAlign w:val="center"/>
          </w:tcPr>
          <w:p>
            <w:pPr>
              <w:spacing w:after="0"/>
            </w:pPr>
            <w:r>
              <w:rPr>
                <w:rFonts w:ascii="Aptos" w:hAnsi="Aptos" w:eastAsia="Aptos"/>
                <w:sz w:val="16"/>
              </w:rPr>
              <w:t>вектор норм</w:t>
            </w:r>
          </w:p>
        </w:tc>
        <w:tc>
          <w:tcPr>
            <w:tcW w:type="dxa" w:w="2880"/>
            <w:tcMar>
              <w:top w:w="90" w:type="dxa"/>
              <w:start w:w="100" w:type="dxa"/>
              <w:bottom w:w="90" w:type="dxa"/>
              <w:end w:w="100" w:type="dxa"/>
            </w:tcMar>
            <w:vAlign w:val="center"/>
          </w:tcPr>
          <w:p>
            <w:pPr>
              <w:spacing w:after="0"/>
            </w:pPr>
            <w:r>
              <w:rPr>
                <w:rFonts w:ascii="Aptos" w:hAnsi="Aptos" w:eastAsia="Aptos"/>
                <w:sz w:val="16"/>
              </w:rPr>
              <w:t>аффинный перенос</w:t>
            </w:r>
          </w:p>
        </w:tc>
      </w:tr>
      <w:tr>
        <w:tc>
          <w:tcPr>
            <w:tcW w:type="dxa" w:w="1440"/>
            <w:tcMar>
              <w:top w:w="90" w:type="dxa"/>
              <w:start w:w="100" w:type="dxa"/>
              <w:bottom w:w="90" w:type="dxa"/>
              <w:end w:w="100" w:type="dxa"/>
            </w:tcMar>
            <w:vAlign w:val="center"/>
            <w:shd w:fill="F5F7F9"/>
          </w:tcPr>
          <w:p>
            <w:pPr>
              <w:spacing w:after="0"/>
            </w:pPr>
            <w:r>
              <w:rPr>
                <w:rFonts w:ascii="Aptos" w:hAnsi="Aptos" w:eastAsia="Aptos"/>
                <w:sz w:val="16"/>
              </w:rPr>
              <w:t>b_top</w:t>
            </w:r>
          </w:p>
        </w:tc>
        <w:tc>
          <w:tcPr>
            <w:tcW w:type="dxa" w:w="3168"/>
            <w:tcMar>
              <w:top w:w="90" w:type="dxa"/>
              <w:start w:w="100" w:type="dxa"/>
              <w:bottom w:w="90" w:type="dxa"/>
              <w:end w:w="100" w:type="dxa"/>
            </w:tcMar>
            <w:vAlign w:val="center"/>
            <w:shd w:fill="F5F7F9"/>
          </w:tcPr>
          <w:p>
            <w:pPr>
              <w:spacing w:after="0"/>
            </w:pPr>
            <w:r>
              <w:rPr>
                <w:rFonts w:ascii="Aptos" w:hAnsi="Aptos" w:eastAsia="Aptos"/>
                <w:sz w:val="16"/>
              </w:rPr>
              <w:t>топологические/descent долги</w:t>
            </w:r>
          </w:p>
        </w:tc>
        <w:tc>
          <w:tcPr>
            <w:tcW w:type="dxa" w:w="2304"/>
            <w:tcMar>
              <w:top w:w="90" w:type="dxa"/>
              <w:start w:w="100" w:type="dxa"/>
              <w:bottom w:w="90" w:type="dxa"/>
              <w:end w:w="100" w:type="dxa"/>
            </w:tcMar>
            <w:vAlign w:val="center"/>
            <w:shd w:fill="F5F7F9"/>
          </w:tcPr>
          <w:p>
            <w:pPr>
              <w:spacing w:after="0"/>
            </w:pPr>
            <w:r>
              <w:rPr>
                <w:rFonts w:ascii="Aptos" w:hAnsi="Aptos" w:eastAsia="Aptos"/>
                <w:sz w:val="16"/>
              </w:rPr>
              <w:t>классы/множества</w:t>
            </w:r>
          </w:p>
        </w:tc>
        <w:tc>
          <w:tcPr>
            <w:tcW w:type="dxa" w:w="2880"/>
            <w:tcMar>
              <w:top w:w="90" w:type="dxa"/>
              <w:start w:w="100" w:type="dxa"/>
              <w:bottom w:w="90" w:type="dxa"/>
              <w:end w:w="100" w:type="dxa"/>
            </w:tcMar>
            <w:vAlign w:val="center"/>
            <w:shd w:fill="F5F7F9"/>
          </w:tcPr>
          <w:p>
            <w:pPr>
              <w:spacing w:after="0"/>
            </w:pPr>
            <w:r>
              <w:rPr>
                <w:rFonts w:ascii="Aptos" w:hAnsi="Aptos" w:eastAsia="Aptos"/>
                <w:sz w:val="16"/>
              </w:rPr>
              <w:t>pushforward + union</w:t>
            </w:r>
          </w:p>
        </w:tc>
      </w:tr>
      <w:tr>
        <w:tc>
          <w:tcPr>
            <w:tcW w:type="dxa" w:w="1440"/>
            <w:tcMar>
              <w:top w:w="90" w:type="dxa"/>
              <w:start w:w="100" w:type="dxa"/>
              <w:bottom w:w="90" w:type="dxa"/>
              <w:end w:w="100" w:type="dxa"/>
            </w:tcMar>
            <w:vAlign w:val="center"/>
          </w:tcPr>
          <w:p>
            <w:pPr>
              <w:spacing w:after="0"/>
            </w:pPr>
            <w:r>
              <w:rPr>
                <w:rFonts w:ascii="Aptos" w:hAnsi="Aptos" w:eastAsia="Aptos"/>
                <w:sz w:val="16"/>
              </w:rPr>
              <w:t>b_num</w:t>
            </w:r>
          </w:p>
        </w:tc>
        <w:tc>
          <w:tcPr>
            <w:tcW w:type="dxa" w:w="3168"/>
            <w:tcMar>
              <w:top w:w="90" w:type="dxa"/>
              <w:start w:w="100" w:type="dxa"/>
              <w:bottom w:w="90" w:type="dxa"/>
              <w:end w:w="100" w:type="dxa"/>
            </w:tcMar>
            <w:vAlign w:val="center"/>
          </w:tcPr>
          <w:p>
            <w:pPr>
              <w:spacing w:after="0"/>
            </w:pPr>
            <w:r>
              <w:rPr>
                <w:rFonts w:ascii="Aptos" w:hAnsi="Aptos" w:eastAsia="Aptos"/>
                <w:sz w:val="16"/>
              </w:rPr>
              <w:t>округление, дискретизация, solver residual</w:t>
            </w:r>
          </w:p>
        </w:tc>
        <w:tc>
          <w:tcPr>
            <w:tcW w:type="dxa" w:w="2304"/>
            <w:tcMar>
              <w:top w:w="90" w:type="dxa"/>
              <w:start w:w="100" w:type="dxa"/>
              <w:bottom w:w="90" w:type="dxa"/>
              <w:end w:w="100" w:type="dxa"/>
            </w:tcMar>
            <w:vAlign w:val="center"/>
          </w:tcPr>
          <w:p>
            <w:pPr>
              <w:spacing w:after="0"/>
            </w:pPr>
            <w:r>
              <w:rPr>
                <w:rFonts w:ascii="Aptos" w:hAnsi="Aptos" w:eastAsia="Aptos"/>
                <w:sz w:val="16"/>
              </w:rPr>
              <w:t>интервалы</w:t>
            </w:r>
          </w:p>
        </w:tc>
        <w:tc>
          <w:tcPr>
            <w:tcW w:type="dxa" w:w="2880"/>
            <w:tcMar>
              <w:top w:w="90" w:type="dxa"/>
              <w:start w:w="100" w:type="dxa"/>
              <w:bottom w:w="90" w:type="dxa"/>
              <w:end w:w="100" w:type="dxa"/>
            </w:tcMar>
            <w:vAlign w:val="center"/>
          </w:tcPr>
          <w:p>
            <w:pPr>
              <w:spacing w:after="0"/>
            </w:pPr>
            <w:r>
              <w:rPr>
                <w:rFonts w:ascii="Aptos" w:hAnsi="Aptos" w:eastAsia="Aptos"/>
                <w:sz w:val="16"/>
              </w:rPr>
              <w:t>interval/affine arithmetic</w:t>
            </w:r>
          </w:p>
        </w:tc>
      </w:tr>
      <w:tr>
        <w:tc>
          <w:tcPr>
            <w:tcW w:type="dxa" w:w="1440"/>
            <w:tcMar>
              <w:top w:w="90" w:type="dxa"/>
              <w:start w:w="100" w:type="dxa"/>
              <w:bottom w:w="90" w:type="dxa"/>
              <w:end w:w="100" w:type="dxa"/>
            </w:tcMar>
            <w:vAlign w:val="center"/>
            <w:shd w:fill="F5F7F9"/>
          </w:tcPr>
          <w:p>
            <w:pPr>
              <w:spacing w:after="0"/>
            </w:pPr>
            <w:r>
              <w:rPr>
                <w:rFonts w:ascii="Aptos" w:hAnsi="Aptos" w:eastAsia="Aptos"/>
                <w:sz w:val="16"/>
              </w:rPr>
              <w:t>α_stat</w:t>
            </w:r>
          </w:p>
        </w:tc>
        <w:tc>
          <w:tcPr>
            <w:tcW w:type="dxa" w:w="3168"/>
            <w:tcMar>
              <w:top w:w="90" w:type="dxa"/>
              <w:start w:w="100" w:type="dxa"/>
              <w:bottom w:w="90" w:type="dxa"/>
              <w:end w:w="100" w:type="dxa"/>
            </w:tcMar>
            <w:vAlign w:val="center"/>
            <w:shd w:fill="F5F7F9"/>
          </w:tcPr>
          <w:p>
            <w:pPr>
              <w:spacing w:after="0"/>
            </w:pPr>
            <w:r>
              <w:rPr>
                <w:rFonts w:ascii="Aptos" w:hAnsi="Aptos" w:eastAsia="Aptos"/>
                <w:sz w:val="16"/>
              </w:rPr>
              <w:t>ошибка покрытия/теста</w:t>
            </w:r>
          </w:p>
        </w:tc>
        <w:tc>
          <w:tcPr>
            <w:tcW w:type="dxa" w:w="2304"/>
            <w:tcMar>
              <w:top w:w="90" w:type="dxa"/>
              <w:start w:w="100" w:type="dxa"/>
              <w:bottom w:w="90" w:type="dxa"/>
              <w:end w:w="100" w:type="dxa"/>
            </w:tcMar>
            <w:vAlign w:val="center"/>
            <w:shd w:fill="F5F7F9"/>
          </w:tcPr>
          <w:p>
            <w:pPr>
              <w:spacing w:after="0"/>
            </w:pPr>
            <w:r>
              <w:rPr>
                <w:rFonts w:ascii="Aptos" w:hAnsi="Aptos" w:eastAsia="Aptos"/>
                <w:sz w:val="16"/>
              </w:rPr>
              <w:t>[0,1]</w:t>
            </w:r>
          </w:p>
        </w:tc>
        <w:tc>
          <w:tcPr>
            <w:tcW w:type="dxa" w:w="2880"/>
            <w:tcMar>
              <w:top w:w="90" w:type="dxa"/>
              <w:start w:w="100" w:type="dxa"/>
              <w:bottom w:w="90" w:type="dxa"/>
              <w:end w:w="100" w:type="dxa"/>
            </w:tcMar>
            <w:vAlign w:val="center"/>
            <w:shd w:fill="F5F7F9"/>
          </w:tcPr>
          <w:p>
            <w:pPr>
              <w:spacing w:after="0"/>
            </w:pPr>
            <w:r>
              <w:rPr>
                <w:rFonts w:ascii="Aptos" w:hAnsi="Aptos" w:eastAsia="Aptos"/>
                <w:sz w:val="16"/>
              </w:rPr>
              <w:t>Bonferroni или заранее доказанный merge</w:t>
            </w:r>
          </w:p>
        </w:tc>
      </w:tr>
      <w:tr>
        <w:tc>
          <w:tcPr>
            <w:tcW w:type="dxa" w:w="1440"/>
            <w:tcMar>
              <w:top w:w="90" w:type="dxa"/>
              <w:start w:w="100" w:type="dxa"/>
              <w:bottom w:w="90" w:type="dxa"/>
              <w:end w:w="100" w:type="dxa"/>
            </w:tcMar>
            <w:vAlign w:val="center"/>
          </w:tcPr>
          <w:p>
            <w:pPr>
              <w:spacing w:after="0"/>
            </w:pPr>
            <w:r>
              <w:rPr>
                <w:rFonts w:ascii="Aptos" w:hAnsi="Aptos" w:eastAsia="Aptos"/>
                <w:sz w:val="16"/>
              </w:rPr>
              <w:t>𝒰_shift</w:t>
            </w:r>
          </w:p>
        </w:tc>
        <w:tc>
          <w:tcPr>
            <w:tcW w:type="dxa" w:w="3168"/>
            <w:tcMar>
              <w:top w:w="90" w:type="dxa"/>
              <w:start w:w="100" w:type="dxa"/>
              <w:bottom w:w="90" w:type="dxa"/>
              <w:end w:w="100" w:type="dxa"/>
            </w:tcMar>
            <w:vAlign w:val="center"/>
          </w:tcPr>
          <w:p>
            <w:pPr>
              <w:spacing w:after="0"/>
            </w:pPr>
            <w:r>
              <w:rPr>
                <w:rFonts w:ascii="Aptos" w:hAnsi="Aptos" w:eastAsia="Aptos"/>
                <w:sz w:val="16"/>
              </w:rPr>
              <w:t>ambiguity/domain-shift set</w:t>
            </w:r>
          </w:p>
        </w:tc>
        <w:tc>
          <w:tcPr>
            <w:tcW w:type="dxa" w:w="2304"/>
            <w:tcMar>
              <w:top w:w="90" w:type="dxa"/>
              <w:start w:w="100" w:type="dxa"/>
              <w:bottom w:w="90" w:type="dxa"/>
              <w:end w:w="100" w:type="dxa"/>
            </w:tcMar>
            <w:vAlign w:val="center"/>
          </w:tcPr>
          <w:p>
            <w:pPr>
              <w:spacing w:after="0"/>
            </w:pPr>
            <w:r>
              <w:rPr>
                <w:rFonts w:ascii="Aptos" w:hAnsi="Aptos" w:eastAsia="Aptos"/>
                <w:sz w:val="16"/>
              </w:rPr>
              <w:t>множество законов</w:t>
            </w:r>
          </w:p>
        </w:tc>
        <w:tc>
          <w:tcPr>
            <w:tcW w:type="dxa" w:w="2880"/>
            <w:tcMar>
              <w:top w:w="90" w:type="dxa"/>
              <w:start w:w="100" w:type="dxa"/>
              <w:bottom w:w="90" w:type="dxa"/>
              <w:end w:w="100" w:type="dxa"/>
            </w:tcMar>
            <w:vAlign w:val="center"/>
          </w:tcPr>
          <w:p>
            <w:pPr>
              <w:spacing w:after="0"/>
            </w:pPr>
            <w:r>
              <w:rPr>
                <w:rFonts w:ascii="Aptos" w:hAnsi="Aptos" w:eastAsia="Aptos"/>
                <w:sz w:val="16"/>
              </w:rPr>
              <w:t>образ + enlargement</w:t>
            </w:r>
          </w:p>
        </w:tc>
      </w:tr>
      <w:tr>
        <w:tc>
          <w:tcPr>
            <w:tcW w:type="dxa" w:w="1440"/>
            <w:tcMar>
              <w:top w:w="90" w:type="dxa"/>
              <w:start w:w="100" w:type="dxa"/>
              <w:bottom w:w="90" w:type="dxa"/>
              <w:end w:w="100" w:type="dxa"/>
            </w:tcMar>
            <w:vAlign w:val="center"/>
            <w:shd w:fill="F5F7F9"/>
          </w:tcPr>
          <w:p>
            <w:pPr>
              <w:spacing w:after="0"/>
            </w:pPr>
            <w:r>
              <w:rPr>
                <w:rFonts w:ascii="Aptos" w:hAnsi="Aptos" w:eastAsia="Aptos"/>
                <w:sz w:val="16"/>
              </w:rPr>
              <w:t>b_causal</w:t>
            </w:r>
          </w:p>
        </w:tc>
        <w:tc>
          <w:tcPr>
            <w:tcW w:type="dxa" w:w="3168"/>
            <w:tcMar>
              <w:top w:w="90" w:type="dxa"/>
              <w:start w:w="100" w:type="dxa"/>
              <w:bottom w:w="90" w:type="dxa"/>
              <w:end w:w="100" w:type="dxa"/>
            </w:tcMar>
            <w:vAlign w:val="center"/>
            <w:shd w:fill="F5F7F9"/>
          </w:tcPr>
          <w:p>
            <w:pPr>
              <w:spacing w:after="0"/>
            </w:pPr>
            <w:r>
              <w:rPr>
                <w:rFonts w:ascii="Aptos" w:hAnsi="Aptos" w:eastAsia="Aptos"/>
                <w:sz w:val="16"/>
              </w:rPr>
              <w:t>неидентифицируемость/transport</w:t>
            </w:r>
          </w:p>
        </w:tc>
        <w:tc>
          <w:tcPr>
            <w:tcW w:type="dxa" w:w="2304"/>
            <w:tcMar>
              <w:top w:w="90" w:type="dxa"/>
              <w:start w:w="100" w:type="dxa"/>
              <w:bottom w:w="90" w:type="dxa"/>
              <w:end w:w="100" w:type="dxa"/>
            </w:tcMar>
            <w:vAlign w:val="center"/>
            <w:shd w:fill="F5F7F9"/>
          </w:tcPr>
          <w:p>
            <w:pPr>
              <w:spacing w:after="0"/>
            </w:pPr>
            <w:r>
              <w:rPr>
                <w:rFonts w:ascii="Aptos" w:hAnsi="Aptos" w:eastAsia="Aptos"/>
                <w:sz w:val="16"/>
              </w:rPr>
              <w:t>assumption ledger</w:t>
            </w:r>
          </w:p>
        </w:tc>
        <w:tc>
          <w:tcPr>
            <w:tcW w:type="dxa" w:w="2880"/>
            <w:tcMar>
              <w:top w:w="90" w:type="dxa"/>
              <w:start w:w="100" w:type="dxa"/>
              <w:bottom w:w="90" w:type="dxa"/>
              <w:end w:w="100" w:type="dxa"/>
            </w:tcMar>
            <w:vAlign w:val="center"/>
            <w:shd w:fill="F5F7F9"/>
          </w:tcPr>
          <w:p>
            <w:pPr>
              <w:spacing w:after="0"/>
            </w:pPr>
            <w:r>
              <w:rPr>
                <w:rFonts w:ascii="Aptos" w:hAnsi="Aptos" w:eastAsia="Aptos"/>
                <w:sz w:val="16"/>
              </w:rPr>
              <w:t>intersection of assumptions</w:t>
            </w:r>
          </w:p>
        </w:tc>
      </w:tr>
      <w:tr>
        <w:tc>
          <w:tcPr>
            <w:tcW w:type="dxa" w:w="1440"/>
            <w:tcMar>
              <w:top w:w="90" w:type="dxa"/>
              <w:start w:w="100" w:type="dxa"/>
              <w:bottom w:w="90" w:type="dxa"/>
              <w:end w:w="100" w:type="dxa"/>
            </w:tcMar>
            <w:vAlign w:val="center"/>
          </w:tcPr>
          <w:p>
            <w:pPr>
              <w:spacing w:after="0"/>
            </w:pPr>
            <w:r>
              <w:rPr>
                <w:rFonts w:ascii="Aptos" w:hAnsi="Aptos" w:eastAsia="Aptos"/>
                <w:sz w:val="16"/>
              </w:rPr>
              <w:t>b_ext</w:t>
            </w:r>
          </w:p>
        </w:tc>
        <w:tc>
          <w:tcPr>
            <w:tcW w:type="dxa" w:w="3168"/>
            <w:tcMar>
              <w:top w:w="90" w:type="dxa"/>
              <w:start w:w="100" w:type="dxa"/>
              <w:bottom w:w="90" w:type="dxa"/>
              <w:end w:w="100" w:type="dxa"/>
            </w:tcMar>
            <w:vAlign w:val="center"/>
          </w:tcPr>
          <w:p>
            <w:pPr>
              <w:spacing w:after="0"/>
            </w:pPr>
            <w:r>
              <w:rPr>
                <w:rFonts w:ascii="Aptos" w:hAnsi="Aptos" w:eastAsia="Aptos"/>
                <w:sz w:val="16"/>
              </w:rPr>
              <w:t>внешняя валидация и leakage</w:t>
            </w:r>
          </w:p>
        </w:tc>
        <w:tc>
          <w:tcPr>
            <w:tcW w:type="dxa" w:w="2304"/>
            <w:tcMar>
              <w:top w:w="90" w:type="dxa"/>
              <w:start w:w="100" w:type="dxa"/>
              <w:bottom w:w="90" w:type="dxa"/>
              <w:end w:w="100" w:type="dxa"/>
            </w:tcMar>
            <w:vAlign w:val="center"/>
          </w:tcPr>
          <w:p>
            <w:pPr>
              <w:spacing w:after="0"/>
            </w:pPr>
            <w:r>
              <w:rPr>
                <w:rFonts w:ascii="Aptos" w:hAnsi="Aptos" w:eastAsia="Aptos"/>
                <w:sz w:val="16"/>
              </w:rPr>
              <w:t>split ledger</w:t>
            </w:r>
          </w:p>
        </w:tc>
        <w:tc>
          <w:tcPr>
            <w:tcW w:type="dxa" w:w="2880"/>
            <w:tcMar>
              <w:top w:w="90" w:type="dxa"/>
              <w:start w:w="100" w:type="dxa"/>
              <w:bottom w:w="90" w:type="dxa"/>
              <w:end w:w="100" w:type="dxa"/>
            </w:tcMar>
            <w:vAlign w:val="center"/>
          </w:tcPr>
          <w:p>
            <w:pPr>
              <w:spacing w:after="0"/>
            </w:pPr>
            <w:r>
              <w:rPr>
                <w:rFonts w:ascii="Aptos" w:hAnsi="Aptos" w:eastAsia="Aptos"/>
                <w:sz w:val="16"/>
              </w:rPr>
              <w:t>blocker union</w:t>
            </w:r>
          </w:p>
        </w:tc>
      </w:tr>
      <w:tr>
        <w:tc>
          <w:tcPr>
            <w:tcW w:type="dxa" w:w="1440"/>
            <w:tcMar>
              <w:top w:w="90" w:type="dxa"/>
              <w:start w:w="100" w:type="dxa"/>
              <w:bottom w:w="90" w:type="dxa"/>
              <w:end w:w="100" w:type="dxa"/>
            </w:tcMar>
            <w:vAlign w:val="center"/>
            <w:shd w:fill="F5F7F9"/>
          </w:tcPr>
          <w:p>
            <w:pPr>
              <w:spacing w:after="0"/>
            </w:pPr>
            <w:r>
              <w:rPr>
                <w:rFonts w:ascii="Aptos" w:hAnsi="Aptos" w:eastAsia="Aptos"/>
                <w:sz w:val="16"/>
              </w:rPr>
              <w:t>σ_proof</w:t>
            </w:r>
          </w:p>
        </w:tc>
        <w:tc>
          <w:tcPr>
            <w:tcW w:type="dxa" w:w="3168"/>
            <w:tcMar>
              <w:top w:w="90" w:type="dxa"/>
              <w:start w:w="100" w:type="dxa"/>
              <w:bottom w:w="90" w:type="dxa"/>
              <w:end w:w="100" w:type="dxa"/>
            </w:tcMar>
            <w:vAlign w:val="center"/>
            <w:shd w:fill="F5F7F9"/>
          </w:tcPr>
          <w:p>
            <w:pPr>
              <w:spacing w:after="0"/>
            </w:pPr>
            <w:r>
              <w:rPr>
                <w:rFonts w:ascii="Aptos" w:hAnsi="Aptos" w:eastAsia="Aptos"/>
                <w:sz w:val="16"/>
              </w:rPr>
              <w:t>минимальный доказательный статус</w:t>
            </w:r>
          </w:p>
        </w:tc>
        <w:tc>
          <w:tcPr>
            <w:tcW w:type="dxa" w:w="2304"/>
            <w:tcMar>
              <w:top w:w="90" w:type="dxa"/>
              <w:start w:w="100" w:type="dxa"/>
              <w:bottom w:w="90" w:type="dxa"/>
              <w:end w:w="100" w:type="dxa"/>
            </w:tcMar>
            <w:vAlign w:val="center"/>
            <w:shd w:fill="F5F7F9"/>
          </w:tcPr>
          <w:p>
            <w:pPr>
              <w:spacing w:after="0"/>
            </w:pPr>
            <w:r>
              <w:rPr>
                <w:rFonts w:ascii="Aptos" w:hAnsi="Aptos" w:eastAsia="Aptos"/>
                <w:sz w:val="16"/>
              </w:rPr>
              <w:t>решётка статусов</w:t>
            </w:r>
          </w:p>
        </w:tc>
        <w:tc>
          <w:tcPr>
            <w:tcW w:type="dxa" w:w="2880"/>
            <w:tcMar>
              <w:top w:w="90" w:type="dxa"/>
              <w:start w:w="100" w:type="dxa"/>
              <w:bottom w:w="90" w:type="dxa"/>
              <w:end w:w="100" w:type="dxa"/>
            </w:tcMar>
            <w:vAlign w:val="center"/>
            <w:shd w:fill="F5F7F9"/>
          </w:tcPr>
          <w:p>
            <w:pPr>
              <w:spacing w:after="0"/>
            </w:pPr>
            <w:r>
              <w:rPr>
                <w:rFonts w:ascii="Aptos" w:hAnsi="Aptos" w:eastAsia="Aptos"/>
                <w:sz w:val="16"/>
              </w:rPr>
              <w:t>meet</w:t>
            </w:r>
          </w:p>
        </w:tc>
      </w:tr>
    </w:tbl>
    <w:p>
      <w:pPr>
        <w:pStyle w:val="Heading1"/>
        <w:widowControl/>
      </w:pPr>
      <w:r>
        <w:t>380. Детерминированный перенос ошибки</w:t>
      </w:r>
    </w:p>
    <w:p>
      <w:pPr>
        <w:widowControl/>
      </w:pPr>
      <w:r>
        <w:rPr>
          <w:i w:val="0"/>
        </w:rPr>
        <w:t>Пусть F_j между нормированными пространствами локально L_j-липшицевы, а реализация шага имеет остаток ε_j. Тогда для цепи m шагов</w:t>
      </w:r>
    </w:p>
    <w:p>
      <w:pPr>
        <w:pStyle w:val="Quote"/>
        <w:widowControl/>
        <w:jc w:val="center"/>
      </w:pPr>
      <w:r>
        <w:t>ε_out ≤ (Π_{k=1}^m L_k)ε_in + Σ_{j=1}^m (Π_{k=j+1}^m L_k) ε_j.  (24.10)</w:t>
      </w:r>
    </w:p>
    <w:p>
      <w:pPr>
        <w:widowControl/>
      </w:pPr>
      <w:r>
        <w:rPr>
          <w:i w:val="0"/>
        </w:rPr>
        <w:t>Это обычный аффинный перенос ошибок. Если один L_j не ограничен, малая локальная ошибка не даёт конечного end-to-end сертификата. Особенно неприятно, что график при этом может выглядеть безупречно.</w:t>
      </w:r>
    </w:p>
    <w:p>
      <w:pPr>
        <w:widowControl/>
      </w:pPr>
      <w:r>
        <w:rPr>
          <w:i w:val="0"/>
        </w:rPr>
        <w:t>Следствие 24.1. Для стабильной цепи с L_j≤1 имеем ε_out≤ε_in+Σ ε_j. Для экспансивной цепи необходимо хранить произведения condition numbers и не заменять их числом шагов.</w:t>
      </w:r>
    </w:p>
    <w:p>
      <w:pPr>
        <w:pStyle w:val="Heading1"/>
        <w:widowControl/>
      </w:pPr>
      <w:r>
        <w:t>381. Вероятностный бюджет без предположения независимости</w:t>
      </w:r>
    </w:p>
    <w:p>
      <w:pPr>
        <w:widowControl/>
      </w:pPr>
      <w:r>
        <w:rPr>
          <w:i w:val="0"/>
        </w:rPr>
        <w:t>Пусть локальные события отказа E_j удовлетворяют P(E_j)≤α_j. Тогда</w:t>
      </w:r>
    </w:p>
    <w:p>
      <w:pPr>
        <w:pStyle w:val="Quote"/>
        <w:widowControl/>
        <w:jc w:val="center"/>
      </w:pPr>
      <w:r>
        <w:t>P(∪_{j=1}^m E_j) ≤ Σ_{j=1}^m α_j,  α_tot=min(1,Σα_j).  (24.11)</w:t>
      </w:r>
    </w:p>
    <w:p>
      <w:pPr>
        <w:widowControl/>
      </w:pPr>
      <w:r>
        <w:rPr>
          <w:i w:val="0"/>
        </w:rPr>
        <w:t>Неравенство не требует независимости. Если требуется общий уровень α*, бюджеты α_j должны быть распределены до раскрытия результатов либо скорректированы валидной процедурой. Десять модулей по 0,05 не образуют систему уровня 0,05; арифметика по-прежнему сопротивляется маркетингу.</w:t>
      </w:r>
    </w:p>
    <w:p>
      <w:pPr>
        <w:widowControl/>
      </w:pPr>
      <w:r>
        <w:rPr>
          <w:i w:val="0"/>
        </w:rPr>
        <w:t>При доказанной независимости можно использовать P(∩E_j^c)=Π(1-α_j), но независимость является отдельной гипотезой, а не эстетическим предпочтением.</w:t>
      </w:r>
    </w:p>
    <w:p>
      <w:pPr>
        <w:pStyle w:val="Heading1"/>
        <w:widowControl/>
      </w:pPr>
      <w:r>
        <w:t>382. Последовательный бюджет и необязательная остановка</w:t>
      </w:r>
    </w:p>
    <w:p>
      <w:pPr>
        <w:widowControl/>
      </w:pPr>
      <w:r>
        <w:rPr>
          <w:i w:val="0"/>
        </w:rPr>
        <w:t>Для sequential modules допускаются e-processes или confidence sequences, если их условия доказаны. Смесь E_t=Σ w_j E_t^{(j)}, w_j≥0, Σw_j=1, сохраняет e-process property при общей нулевой модели. Для отдельных тестов пороги 1/α_j задаются до наблюдения.</w:t>
      </w:r>
    </w:p>
    <w:p>
      <w:pPr>
        <w:pStyle w:val="Quote"/>
        <w:widowControl/>
        <w:jc w:val="center"/>
      </w:pPr>
      <w:r>
        <w:t>P_{H0}(∃t: E_t ≥ 1/α) ≤ α.  (24.12)</w:t>
      </w:r>
    </w:p>
    <w:p>
      <w:pPr>
        <w:widowControl/>
      </w:pPr>
      <w:r>
        <w:rPr>
          <w:i w:val="0"/>
        </w:rPr>
        <w:t>Произведение e-процессов разрешается только при соответствующей условной supermartingale структуре; формальное перемножение «доказательств» не заменяет проверку фильтрации.</w:t>
      </w:r>
    </w:p>
    <w:p>
      <w:pPr>
        <w:pStyle w:val="Heading1"/>
        <w:widowControl/>
      </w:pPr>
      <w:r>
        <w:t>383. Робастный и транспортный бюджет</w:t>
      </w:r>
    </w:p>
    <w:p>
      <w:pPr>
        <w:widowControl/>
      </w:pPr>
      <w:r>
        <w:rPr>
          <w:i w:val="0"/>
        </w:rPr>
        <w:t>Робастная неопределённость хранится множеством законов 𝒰, а не числом. Для отображения F и локальной неопределённости 𝒱_F корректный внешний охват задаётся включением</w:t>
      </w:r>
    </w:p>
    <w:p>
      <w:pPr>
        <w:pStyle w:val="Quote"/>
        <w:widowControl/>
        <w:jc w:val="center"/>
      </w:pPr>
      <w:r>
        <w:t>𝒰_out ⊇ F_#(𝒰_in) ⊕ 𝒱_F.  (24.13)</w:t>
      </w:r>
    </w:p>
    <w:p>
      <w:pPr>
        <w:widowControl/>
      </w:pPr>
      <w:r>
        <w:rPr>
          <w:i w:val="0"/>
        </w:rPr>
        <w:t>Знак ⊕ означает выбранное enlargement: Wasserstein radius, f-divergence ball, moment set или иной заявленный класс. Сложение радиусов допустимо только при доказанном неравенстве треугольника в одной метрике.</w:t>
      </w:r>
    </w:p>
    <w:p>
      <w:pPr>
        <w:widowControl/>
      </w:pPr>
      <w:r>
        <w:rPr>
          <w:i w:val="0"/>
        </w:rPr>
        <w:t>Если transportability не идентифицирована, компонент b_causal остаётся OPEN и блокирует причинный вывод, но не обязательно блокирует чисто наблюдательный риск в исходном домене.</w:t>
      </w:r>
    </w:p>
    <w:p>
      <w:pPr>
        <w:pStyle w:val="Heading1"/>
        <w:widowControl/>
      </w:pPr>
      <w:r>
        <w:t>384. Вычислительный бюджет и proof-carrying output</w:t>
      </w:r>
    </w:p>
    <w:p>
      <w:pPr>
        <w:widowControl/>
      </w:pPr>
      <w:r>
        <w:rPr>
          <w:i w:val="0"/>
        </w:rPr>
        <w:t>Каждый численный модуль возвращает кортеж</w:t>
      </w:r>
    </w:p>
    <w:p>
      <w:pPr>
        <w:pStyle w:val="Quote"/>
        <w:widowControl/>
        <w:jc w:val="center"/>
      </w:pPr>
      <w:r>
        <w:t>C_comp=(value, interval, residual, dual_gap, discretization, seed, environment, code_hash, data_hash).  (24.14)</w:t>
      </w:r>
    </w:p>
    <w:p>
      <w:pPr>
        <w:widowControl/>
      </w:pPr>
      <w:r>
        <w:rPr>
          <w:i w:val="0"/>
        </w:rPr>
        <w:t>Сертификат не обязан доказывать общую теорему, но обязан точно отделять проверенное равенство, интервальную оценку, выборочный тест и эвристический поиск. Proof-carrying output наследует идею proof-carrying code: потребитель проверяет компактный сертификат относительно заранее определённой политики безопасности.</w:t>
      </w:r>
    </w:p>
    <w:p>
      <w:pPr>
        <w:pStyle w:val="Heading1"/>
        <w:widowControl/>
      </w:pPr>
      <w:r>
        <w:t>385. Решётка доказательных статусов</w:t>
      </w:r>
    </w:p>
    <w:p>
      <w:pPr>
        <w:widowControl/>
      </w:pPr>
      <w:r>
        <w:rPr>
          <w:i w:val="0"/>
        </w:rPr>
        <w:t>Вводится частичный порядок по силе разрешённого вывода:</w:t>
      </w:r>
    </w:p>
    <w:p>
      <w:pPr>
        <w:pStyle w:val="Quote"/>
        <w:widowControl/>
        <w:jc w:val="center"/>
      </w:pPr>
      <w:r>
        <w:t>OPEN ≼ CONJ ≼ MODEL ≼ COMP ≼ COND ≼ THM,  PHY-HYP образует отдельную ветвь.  (24.15)</w:t>
      </w:r>
    </w:p>
    <w:p>
      <w:pPr>
        <w:widowControl/>
      </w:pPr>
      <w:r>
        <w:rPr>
          <w:i w:val="0"/>
        </w:rPr>
        <w:t>Статус композиции равен meet статусов её необходимых рёбер. THM в алгебраическом слое, соединённая с COND-мостом и OPEN-валидацией, даёт не THM, а не более чем OPEN/COND end-to-end вывод. Физический статус не сравнивается автоматически с математическим.</w:t>
      </w:r>
    </w:p>
    <w:p>
      <w:pPr>
        <w:widowControl/>
      </w:pPr>
      <w:r>
        <w:rPr>
          <w:i w:val="0"/>
        </w:rPr>
        <w:t>Лемма 24.2 (weakest-link rule). Если заключение зависит от утверждений S_1,…,S_m и ни одно не является избыточным, статус составного вывода не может превосходить ∧_j status(S_j).</w:t>
      </w:r>
    </w:p>
    <w:p>
      <w:pPr>
        <w:pStyle w:val="Heading1"/>
        <w:widowControl/>
      </w:pPr>
      <w:r>
        <w:t>386. Теорема о невозможности канонической скаляризации</w:t>
      </w:r>
    </w:p>
    <w:p>
      <w:pPr>
        <w:widowControl/>
      </w:pPr>
      <w:r>
        <w:rPr>
          <w:i w:val="0"/>
        </w:rPr>
        <w:t>Теорема 24.2. Пусть бюджет содержит по меньшей мере две независимые компоненты b_1,b_2 с покоординатным порядком. Не существует канонического строго монотонного скаляра ρ(b_1,b_2), инвариантного относительно всех независимых положительных перенормировок координат, если не задана дополнительная структура предпочтений.</w:t>
      </w:r>
    </w:p>
    <w:p>
      <w:pPr>
        <w:widowControl/>
      </w:pPr>
      <w:r>
        <w:rPr>
          <w:i w:val="0"/>
        </w:rPr>
        <w:t>Доказательство. Предположим инвариантность относительно b_1↦c_1b_1 и b_2↦c_2b_2 для произвольных c_i&gt;0. Две несравнимые точки (1,0) и (0,1) могут быть переведены перенормировками в произвольные относительные масштабы, поэтому фиксированный строгий порядок между ними не инвариантен. Равенство нарушает строгую монотонность. Следовательно, требуется вес, utility, norm или иная внешняя структура. □</w:t>
      </w:r>
    </w:p>
    <w:p>
      <w:pPr>
        <w:widowControl/>
      </w:pPr>
      <w:r>
        <w:rPr>
          <w:i w:val="0"/>
        </w:rPr>
        <w:t>Следствие 24.2. Показатель «общая достоверность 87%» запрещён, если не задана формула агрегации, её единицы, калибровка и статус. Иначе 87% означает только удивительную точность типографского набора.</w:t>
      </w:r>
    </w:p>
    <w:p>
      <w:pPr>
        <w:widowControl/>
        <w:jc w:val="center"/>
      </w:pPr>
      <w:r>
        <w:drawing>
          <wp:inline xmlns:a="http://schemas.openxmlformats.org/drawingml/2006/main" xmlns:pic="http://schemas.openxmlformats.org/drawingml/2006/picture">
            <wp:extent cx="5897880" cy="3724977"/>
            <wp:docPr id="66" name="Picture 66" descr="Пять колонок бюджетов ошибок и запрет произвольной скаляризации" title="Рисунок 24.2. Разные типы бюджета и их несовместимые законы композиции. Собственная схема Тома II."/>
            <wp:cNvGraphicFramePr>
              <a:graphicFrameLocks noChangeAspect="1"/>
            </wp:cNvGraphicFramePr>
            <a:graphic>
              <a:graphicData uri="http://schemas.openxmlformats.org/drawingml/2006/picture">
                <pic:pic>
                  <pic:nvPicPr>
                    <pic:cNvPr id="0" name="fig24_2.png"/>
                    <pic:cNvPicPr/>
                  </pic:nvPicPr>
                  <pic:blipFill>
                    <a:blip r:embed="rId103"/>
                    <a:stretch>
                      <a:fillRect/>
                    </a:stretch>
                  </pic:blipFill>
                  <pic:spPr>
                    <a:xfrm>
                      <a:off x="0" y="0"/>
                      <a:ext cx="5897880" cy="3724977"/>
                    </a:xfrm>
                    <a:prstGeom prst="rect"/>
                  </pic:spPr>
                </pic:pic>
              </a:graphicData>
            </a:graphic>
          </wp:inline>
        </w:drawing>
      </w:r>
    </w:p>
    <w:p>
      <w:pPr>
        <w:pStyle w:val="Caption"/>
        <w:widowControl/>
        <w:jc w:val="center"/>
      </w:pPr>
      <w:r>
        <w:t>Рисунок 24.2. Разные типы бюджета и их несовместимые законы композиции. Собственная схема Тома II.</w:t>
      </w:r>
    </w:p>
    <w:p>
      <w:pPr>
        <w:pStyle w:val="Heading1"/>
        <w:widowControl/>
      </w:pPr>
      <w:r>
        <w:t>387. Локальный алгоритмический контракт</w:t>
      </w:r>
    </w:p>
    <w:p>
      <w:pPr>
        <w:widowControl/>
      </w:pPr>
      <w:r>
        <w:rPr>
          <w:i w:val="0"/>
        </w:rPr>
        <w:t>Контракт каждого модуля содержит следующие обязательные поля.</w:t>
      </w:r>
    </w:p>
    <w:tbl>
      <w:tblPr>
        <w:tblStyle w:val="TableGrid"/>
        <w:tblW w:type="auto" w:w="0"/>
        <w:jc w:val="center"/>
        <w:tblLook w:firstColumn="1" w:firstRow="1" w:lastColumn="0" w:lastRow="0" w:noHBand="0" w:noVBand="1" w:val="04A0"/>
        <w:tblBorders>
          <w:top w:val="single" w:sz="6" w:color="B5C3D1"/>
          <w:left w:val="single" w:sz="6" w:color="B5C3D1"/>
          <w:bottom w:val="single" w:sz="6" w:color="B5C3D1"/>
          <w:right w:val="single" w:sz="6" w:color="B5C3D1"/>
          <w:insideH w:val="single" w:sz="6" w:color="B5C3D1"/>
          <w:insideV w:val="single" w:sz="6" w:color="B5C3D1"/>
        </w:tblBorders>
      </w:tblPr>
      <w:tblGrid>
        <w:gridCol w:w="3251"/>
        <w:gridCol w:w="3251"/>
        <w:gridCol w:w="3251"/>
      </w:tblGrid>
      <w:tr>
        <w:trPr>
          <w:tblHeader w:val="true"/>
        </w:trPr>
        <w:tc>
          <w:tcPr>
            <w:tcW w:type="dxa" w:w="1800"/>
            <w:shd w:fill="173B67"/>
            <w:tcMar>
              <w:top w:w="110" w:type="dxa"/>
              <w:start w:w="110" w:type="dxa"/>
              <w:bottom w:w="110" w:type="dxa"/>
              <w:end w:w="110" w:type="dxa"/>
            </w:tcMar>
            <w:vAlign w:val="center"/>
          </w:tcPr>
          <w:p>
            <w:pPr>
              <w:jc w:val="center"/>
            </w:pPr>
            <w:r>
              <w:rPr>
                <w:rFonts w:ascii="Aptos" w:hAnsi="Aptos" w:eastAsia="Aptos"/>
                <w:b/>
                <w:color w:val="FFFFFF"/>
                <w:sz w:val="16"/>
              </w:rPr>
              <w:t>Поле</w:t>
            </w:r>
          </w:p>
        </w:tc>
        <w:tc>
          <w:tcPr>
            <w:tcW w:type="dxa" w:w="5040"/>
            <w:shd w:fill="173B67"/>
            <w:tcMar>
              <w:top w:w="110" w:type="dxa"/>
              <w:start w:w="110" w:type="dxa"/>
              <w:bottom w:w="110" w:type="dxa"/>
              <w:end w:w="110" w:type="dxa"/>
            </w:tcMar>
            <w:vAlign w:val="center"/>
          </w:tcPr>
          <w:p>
            <w:pPr>
              <w:jc w:val="center"/>
            </w:pPr>
            <w:r>
              <w:rPr>
                <w:rFonts w:ascii="Aptos" w:hAnsi="Aptos" w:eastAsia="Aptos"/>
                <w:b/>
                <w:color w:val="FFFFFF"/>
                <w:sz w:val="16"/>
              </w:rPr>
              <w:t>Содержание</w:t>
            </w:r>
          </w:p>
        </w:tc>
        <w:tc>
          <w:tcPr>
            <w:tcW w:type="dxa" w:w="2160"/>
            <w:shd w:fill="173B67"/>
            <w:tcMar>
              <w:top w:w="110" w:type="dxa"/>
              <w:start w:w="110" w:type="dxa"/>
              <w:bottom w:w="110" w:type="dxa"/>
              <w:end w:w="110" w:type="dxa"/>
            </w:tcMar>
            <w:vAlign w:val="center"/>
          </w:tcPr>
          <w:p>
            <w:pPr>
              <w:jc w:val="center"/>
            </w:pPr>
            <w:r>
              <w:rPr>
                <w:rFonts w:ascii="Aptos" w:hAnsi="Aptos" w:eastAsia="Aptos"/>
                <w:b/>
                <w:color w:val="FFFFFF"/>
                <w:sz w:val="16"/>
              </w:rPr>
              <w:t>Нарушение</w:t>
            </w:r>
          </w:p>
        </w:tc>
      </w:tr>
      <w:tr>
        <w:tc>
          <w:tcPr>
            <w:tcW w:type="dxa" w:w="1800"/>
            <w:tcMar>
              <w:top w:w="90" w:type="dxa"/>
              <w:start w:w="100" w:type="dxa"/>
              <w:bottom w:w="90" w:type="dxa"/>
              <w:end w:w="100" w:type="dxa"/>
            </w:tcMar>
            <w:vAlign w:val="center"/>
          </w:tcPr>
          <w:p>
            <w:pPr>
              <w:spacing w:after="0"/>
            </w:pPr>
            <w:r>
              <w:rPr>
                <w:rFonts w:ascii="Aptos" w:hAnsi="Aptos" w:eastAsia="Aptos"/>
                <w:sz w:val="16"/>
              </w:rPr>
              <w:t>module_id/version</w:t>
            </w:r>
          </w:p>
        </w:tc>
        <w:tc>
          <w:tcPr>
            <w:tcW w:type="dxa" w:w="5040"/>
            <w:tcMar>
              <w:top w:w="90" w:type="dxa"/>
              <w:start w:w="100" w:type="dxa"/>
              <w:bottom w:w="90" w:type="dxa"/>
              <w:end w:w="100" w:type="dxa"/>
            </w:tcMar>
            <w:vAlign w:val="center"/>
          </w:tcPr>
          <w:p>
            <w:pPr>
              <w:spacing w:after="0"/>
            </w:pPr>
            <w:r>
              <w:rPr>
                <w:rFonts w:ascii="Aptos" w:hAnsi="Aptos" w:eastAsia="Aptos"/>
                <w:sz w:val="16"/>
              </w:rPr>
              <w:t>стабильный идентификатор и семантическая версия</w:t>
            </w:r>
          </w:p>
        </w:tc>
        <w:tc>
          <w:tcPr>
            <w:tcW w:type="dxa" w:w="2160"/>
            <w:tcMar>
              <w:top w:w="90" w:type="dxa"/>
              <w:start w:w="100" w:type="dxa"/>
              <w:bottom w:w="90" w:type="dxa"/>
              <w:end w:w="100" w:type="dxa"/>
            </w:tcMar>
            <w:vAlign w:val="center"/>
          </w:tcPr>
          <w:p>
            <w:pPr>
              <w:spacing w:after="0"/>
            </w:pPr>
            <w:r>
              <w:rPr>
                <w:rFonts w:ascii="Aptos" w:hAnsi="Aptos" w:eastAsia="Aptos"/>
                <w:sz w:val="16"/>
              </w:rPr>
              <w:t>BLOCK-VERSION</w:t>
            </w:r>
          </w:p>
        </w:tc>
      </w:tr>
      <w:tr>
        <w:tc>
          <w:tcPr>
            <w:tcW w:type="dxa" w:w="1800"/>
            <w:tcMar>
              <w:top w:w="90" w:type="dxa"/>
              <w:start w:w="100" w:type="dxa"/>
              <w:bottom w:w="90" w:type="dxa"/>
              <w:end w:w="100" w:type="dxa"/>
            </w:tcMar>
            <w:vAlign w:val="center"/>
            <w:shd w:fill="F5F7F9"/>
          </w:tcPr>
          <w:p>
            <w:pPr>
              <w:spacing w:after="0"/>
            </w:pPr>
            <w:r>
              <w:rPr>
                <w:rFonts w:ascii="Aptos" w:hAnsi="Aptos" w:eastAsia="Aptos"/>
                <w:sz w:val="16"/>
              </w:rPr>
              <w:t>input/output schema</w:t>
            </w:r>
          </w:p>
        </w:tc>
        <w:tc>
          <w:tcPr>
            <w:tcW w:type="dxa" w:w="5040"/>
            <w:tcMar>
              <w:top w:w="90" w:type="dxa"/>
              <w:start w:w="100" w:type="dxa"/>
              <w:bottom w:w="90" w:type="dxa"/>
              <w:end w:w="100" w:type="dxa"/>
            </w:tcMar>
            <w:vAlign w:val="center"/>
            <w:shd w:fill="F5F7F9"/>
          </w:tcPr>
          <w:p>
            <w:pPr>
              <w:spacing w:after="0"/>
            </w:pPr>
            <w:r>
              <w:rPr>
                <w:rFonts w:ascii="Aptos" w:hAnsi="Aptos" w:eastAsia="Aptos"/>
                <w:sz w:val="16"/>
              </w:rPr>
              <w:t>типы, единицы, размерности, nullability</w:t>
            </w:r>
          </w:p>
        </w:tc>
        <w:tc>
          <w:tcPr>
            <w:tcW w:type="dxa" w:w="2160"/>
            <w:tcMar>
              <w:top w:w="90" w:type="dxa"/>
              <w:start w:w="100" w:type="dxa"/>
              <w:bottom w:w="90" w:type="dxa"/>
              <w:end w:w="100" w:type="dxa"/>
            </w:tcMar>
            <w:vAlign w:val="center"/>
            <w:shd w:fill="F5F7F9"/>
          </w:tcPr>
          <w:p>
            <w:pPr>
              <w:spacing w:after="0"/>
            </w:pPr>
            <w:r>
              <w:rPr>
                <w:rFonts w:ascii="Aptos" w:hAnsi="Aptos" w:eastAsia="Aptos"/>
                <w:sz w:val="16"/>
              </w:rPr>
              <w:t>FAIL-TYPE</w:t>
            </w:r>
          </w:p>
        </w:tc>
      </w:tr>
      <w:tr>
        <w:tc>
          <w:tcPr>
            <w:tcW w:type="dxa" w:w="1800"/>
            <w:tcMar>
              <w:top w:w="90" w:type="dxa"/>
              <w:start w:w="100" w:type="dxa"/>
              <w:bottom w:w="90" w:type="dxa"/>
              <w:end w:w="100" w:type="dxa"/>
            </w:tcMar>
            <w:vAlign w:val="center"/>
          </w:tcPr>
          <w:p>
            <w:pPr>
              <w:spacing w:after="0"/>
            </w:pPr>
            <w:r>
              <w:rPr>
                <w:rFonts w:ascii="Aptos" w:hAnsi="Aptos" w:eastAsia="Aptos"/>
                <w:sz w:val="16"/>
              </w:rPr>
              <w:t>Pre / Dom</w:t>
            </w:r>
          </w:p>
        </w:tc>
        <w:tc>
          <w:tcPr>
            <w:tcW w:type="dxa" w:w="5040"/>
            <w:tcMar>
              <w:top w:w="90" w:type="dxa"/>
              <w:start w:w="100" w:type="dxa"/>
              <w:bottom w:w="90" w:type="dxa"/>
              <w:end w:w="100" w:type="dxa"/>
            </w:tcMar>
            <w:vAlign w:val="center"/>
          </w:tcPr>
          <w:p>
            <w:pPr>
              <w:spacing w:after="0"/>
            </w:pPr>
            <w:r>
              <w:rPr>
                <w:rFonts w:ascii="Aptos" w:hAnsi="Aptos" w:eastAsia="Aptos"/>
                <w:sz w:val="16"/>
              </w:rPr>
              <w:t>предусловия и область определения</w:t>
            </w:r>
          </w:p>
        </w:tc>
        <w:tc>
          <w:tcPr>
            <w:tcW w:type="dxa" w:w="2160"/>
            <w:tcMar>
              <w:top w:w="90" w:type="dxa"/>
              <w:start w:w="100" w:type="dxa"/>
              <w:bottom w:w="90" w:type="dxa"/>
              <w:end w:w="100" w:type="dxa"/>
            </w:tcMar>
            <w:vAlign w:val="center"/>
          </w:tcPr>
          <w:p>
            <w:pPr>
              <w:spacing w:after="0"/>
            </w:pPr>
            <w:r>
              <w:rPr>
                <w:rFonts w:ascii="Aptos" w:hAnsi="Aptos" w:eastAsia="Aptos"/>
                <w:sz w:val="16"/>
              </w:rPr>
              <w:t>ABSTAIN-DOM</w:t>
            </w:r>
          </w:p>
        </w:tc>
      </w:tr>
      <w:tr>
        <w:tc>
          <w:tcPr>
            <w:tcW w:type="dxa" w:w="1800"/>
            <w:tcMar>
              <w:top w:w="90" w:type="dxa"/>
              <w:start w:w="100" w:type="dxa"/>
              <w:bottom w:w="90" w:type="dxa"/>
              <w:end w:w="100" w:type="dxa"/>
            </w:tcMar>
            <w:vAlign w:val="center"/>
            <w:shd w:fill="F5F7F9"/>
          </w:tcPr>
          <w:p>
            <w:pPr>
              <w:spacing w:after="0"/>
            </w:pPr>
            <w:r>
              <w:rPr>
                <w:rFonts w:ascii="Aptos" w:hAnsi="Aptos" w:eastAsia="Aptos"/>
                <w:sz w:val="16"/>
              </w:rPr>
              <w:t>Post</w:t>
            </w:r>
          </w:p>
        </w:tc>
        <w:tc>
          <w:tcPr>
            <w:tcW w:type="dxa" w:w="5040"/>
            <w:tcMar>
              <w:top w:w="90" w:type="dxa"/>
              <w:start w:w="100" w:type="dxa"/>
              <w:bottom w:w="90" w:type="dxa"/>
              <w:end w:w="100" w:type="dxa"/>
            </w:tcMar>
            <w:vAlign w:val="center"/>
            <w:shd w:fill="F5F7F9"/>
          </w:tcPr>
          <w:p>
            <w:pPr>
              <w:spacing w:after="0"/>
            </w:pPr>
            <w:r>
              <w:rPr>
                <w:rFonts w:ascii="Aptos" w:hAnsi="Aptos" w:eastAsia="Aptos"/>
                <w:sz w:val="16"/>
              </w:rPr>
              <w:t>проверяемое постусловие</w:t>
            </w:r>
          </w:p>
        </w:tc>
        <w:tc>
          <w:tcPr>
            <w:tcW w:type="dxa" w:w="2160"/>
            <w:tcMar>
              <w:top w:w="90" w:type="dxa"/>
              <w:start w:w="100" w:type="dxa"/>
              <w:bottom w:w="90" w:type="dxa"/>
              <w:end w:w="100" w:type="dxa"/>
            </w:tcMar>
            <w:vAlign w:val="center"/>
            <w:shd w:fill="F5F7F9"/>
          </w:tcPr>
          <w:p>
            <w:pPr>
              <w:spacing w:after="0"/>
            </w:pPr>
            <w:r>
              <w:rPr>
                <w:rFonts w:ascii="Aptos" w:hAnsi="Aptos" w:eastAsia="Aptos"/>
                <w:sz w:val="16"/>
              </w:rPr>
              <w:t>FAIL-POST</w:t>
            </w:r>
          </w:p>
        </w:tc>
      </w:tr>
      <w:tr>
        <w:tc>
          <w:tcPr>
            <w:tcW w:type="dxa" w:w="1800"/>
            <w:tcMar>
              <w:top w:w="90" w:type="dxa"/>
              <w:start w:w="100" w:type="dxa"/>
              <w:bottom w:w="90" w:type="dxa"/>
              <w:end w:w="100" w:type="dxa"/>
            </w:tcMar>
            <w:vAlign w:val="center"/>
          </w:tcPr>
          <w:p>
            <w:pPr>
              <w:spacing w:after="0"/>
            </w:pPr>
            <w:r>
              <w:rPr>
                <w:rFonts w:ascii="Aptos" w:hAnsi="Aptos" w:eastAsia="Aptos"/>
                <w:sz w:val="16"/>
              </w:rPr>
              <w:t>invariants</w:t>
            </w:r>
          </w:p>
        </w:tc>
        <w:tc>
          <w:tcPr>
            <w:tcW w:type="dxa" w:w="5040"/>
            <w:tcMar>
              <w:top w:w="90" w:type="dxa"/>
              <w:start w:w="100" w:type="dxa"/>
              <w:bottom w:w="90" w:type="dxa"/>
              <w:end w:w="100" w:type="dxa"/>
            </w:tcMar>
            <w:vAlign w:val="center"/>
          </w:tcPr>
          <w:p>
            <w:pPr>
              <w:spacing w:after="0"/>
            </w:pPr>
            <w:r>
              <w:rPr>
                <w:rFonts w:ascii="Aptos" w:hAnsi="Aptos" w:eastAsia="Aptos"/>
                <w:sz w:val="16"/>
              </w:rPr>
              <w:t>сохраняемые структуры и знаковые соглашения</w:t>
            </w:r>
          </w:p>
        </w:tc>
        <w:tc>
          <w:tcPr>
            <w:tcW w:type="dxa" w:w="2160"/>
            <w:tcMar>
              <w:top w:w="90" w:type="dxa"/>
              <w:start w:w="100" w:type="dxa"/>
              <w:bottom w:w="90" w:type="dxa"/>
              <w:end w:w="100" w:type="dxa"/>
            </w:tcMar>
            <w:vAlign w:val="center"/>
          </w:tcPr>
          <w:p>
            <w:pPr>
              <w:spacing w:after="0"/>
            </w:pPr>
            <w:r>
              <w:rPr>
                <w:rFonts w:ascii="Aptos" w:hAnsi="Aptos" w:eastAsia="Aptos"/>
                <w:sz w:val="16"/>
              </w:rPr>
              <w:t>FAIL-INVARIANT</w:t>
            </w:r>
          </w:p>
        </w:tc>
      </w:tr>
      <w:tr>
        <w:tc>
          <w:tcPr>
            <w:tcW w:type="dxa" w:w="1800"/>
            <w:tcMar>
              <w:top w:w="90" w:type="dxa"/>
              <w:start w:w="100" w:type="dxa"/>
              <w:bottom w:w="90" w:type="dxa"/>
              <w:end w:w="100" w:type="dxa"/>
            </w:tcMar>
            <w:vAlign w:val="center"/>
            <w:shd w:fill="F5F7F9"/>
          </w:tcPr>
          <w:p>
            <w:pPr>
              <w:spacing w:after="0"/>
            </w:pPr>
            <w:r>
              <w:rPr>
                <w:rFonts w:ascii="Aptos" w:hAnsi="Aptos" w:eastAsia="Aptos"/>
                <w:sz w:val="16"/>
              </w:rPr>
              <w:t>budget transformer</w:t>
            </w:r>
          </w:p>
        </w:tc>
        <w:tc>
          <w:tcPr>
            <w:tcW w:type="dxa" w:w="5040"/>
            <w:tcMar>
              <w:top w:w="90" w:type="dxa"/>
              <w:start w:w="100" w:type="dxa"/>
              <w:bottom w:w="90" w:type="dxa"/>
              <w:end w:w="100" w:type="dxa"/>
            </w:tcMar>
            <w:vAlign w:val="center"/>
            <w:shd w:fill="F5F7F9"/>
          </w:tcPr>
          <w:p>
            <w:pPr>
              <w:spacing w:after="0"/>
            </w:pPr>
            <w:r>
              <w:rPr>
                <w:rFonts w:ascii="Aptos" w:hAnsi="Aptos" w:eastAsia="Aptos"/>
                <w:sz w:val="16"/>
              </w:rPr>
              <w:t>T_F и E_F</w:t>
            </w:r>
          </w:p>
        </w:tc>
        <w:tc>
          <w:tcPr>
            <w:tcW w:type="dxa" w:w="2160"/>
            <w:tcMar>
              <w:top w:w="90" w:type="dxa"/>
              <w:start w:w="100" w:type="dxa"/>
              <w:bottom w:w="90" w:type="dxa"/>
              <w:end w:w="100" w:type="dxa"/>
            </w:tcMar>
            <w:vAlign w:val="center"/>
            <w:shd w:fill="F5F7F9"/>
          </w:tcPr>
          <w:p>
            <w:pPr>
              <w:spacing w:after="0"/>
            </w:pPr>
            <w:r>
              <w:rPr>
                <w:rFonts w:ascii="Aptos" w:hAnsi="Aptos" w:eastAsia="Aptos"/>
                <w:sz w:val="16"/>
              </w:rPr>
              <w:t>BLOCK-BUDGET</w:t>
            </w:r>
          </w:p>
        </w:tc>
      </w:tr>
      <w:tr>
        <w:tc>
          <w:tcPr>
            <w:tcW w:type="dxa" w:w="1800"/>
            <w:tcMar>
              <w:top w:w="90" w:type="dxa"/>
              <w:start w:w="100" w:type="dxa"/>
              <w:bottom w:w="90" w:type="dxa"/>
              <w:end w:w="100" w:type="dxa"/>
            </w:tcMar>
            <w:vAlign w:val="center"/>
          </w:tcPr>
          <w:p>
            <w:pPr>
              <w:spacing w:after="0"/>
            </w:pPr>
            <w:r>
              <w:rPr>
                <w:rFonts w:ascii="Aptos" w:hAnsi="Aptos" w:eastAsia="Aptos"/>
                <w:sz w:val="16"/>
              </w:rPr>
              <w:t>proof object</w:t>
            </w:r>
          </w:p>
        </w:tc>
        <w:tc>
          <w:tcPr>
            <w:tcW w:type="dxa" w:w="5040"/>
            <w:tcMar>
              <w:top w:w="90" w:type="dxa"/>
              <w:start w:w="100" w:type="dxa"/>
              <w:bottom w:w="90" w:type="dxa"/>
              <w:end w:w="100" w:type="dxa"/>
            </w:tcMar>
            <w:vAlign w:val="center"/>
          </w:tcPr>
          <w:p>
            <w:pPr>
              <w:spacing w:after="0"/>
            </w:pPr>
            <w:r>
              <w:rPr>
                <w:rFonts w:ascii="Aptos" w:hAnsi="Aptos" w:eastAsia="Aptos"/>
                <w:sz w:val="16"/>
              </w:rPr>
              <w:t>теорема, тест, residual, certificate</w:t>
            </w:r>
          </w:p>
        </w:tc>
        <w:tc>
          <w:tcPr>
            <w:tcW w:type="dxa" w:w="2160"/>
            <w:tcMar>
              <w:top w:w="90" w:type="dxa"/>
              <w:start w:w="100" w:type="dxa"/>
              <w:bottom w:w="90" w:type="dxa"/>
              <w:end w:w="100" w:type="dxa"/>
            </w:tcMar>
            <w:vAlign w:val="center"/>
          </w:tcPr>
          <w:p>
            <w:pPr>
              <w:spacing w:after="0"/>
            </w:pPr>
            <w:r>
              <w:rPr>
                <w:rFonts w:ascii="Aptos" w:hAnsi="Aptos" w:eastAsia="Aptos"/>
                <w:sz w:val="16"/>
              </w:rPr>
              <w:t>BLOCK-PROOF</w:t>
            </w:r>
          </w:p>
        </w:tc>
      </w:tr>
      <w:tr>
        <w:tc>
          <w:tcPr>
            <w:tcW w:type="dxa" w:w="1800"/>
            <w:tcMar>
              <w:top w:w="90" w:type="dxa"/>
              <w:start w:w="100" w:type="dxa"/>
              <w:bottom w:w="90" w:type="dxa"/>
              <w:end w:w="100" w:type="dxa"/>
            </w:tcMar>
            <w:vAlign w:val="center"/>
            <w:shd w:fill="F5F7F9"/>
          </w:tcPr>
          <w:p>
            <w:pPr>
              <w:spacing w:after="0"/>
            </w:pPr>
            <w:r>
              <w:rPr>
                <w:rFonts w:ascii="Aptos" w:hAnsi="Aptos" w:eastAsia="Aptos"/>
                <w:sz w:val="16"/>
              </w:rPr>
              <w:t>determinism/randomness</w:t>
            </w:r>
          </w:p>
        </w:tc>
        <w:tc>
          <w:tcPr>
            <w:tcW w:type="dxa" w:w="5040"/>
            <w:tcMar>
              <w:top w:w="90" w:type="dxa"/>
              <w:start w:w="100" w:type="dxa"/>
              <w:bottom w:w="90" w:type="dxa"/>
              <w:end w:w="100" w:type="dxa"/>
            </w:tcMar>
            <w:vAlign w:val="center"/>
            <w:shd w:fill="F5F7F9"/>
          </w:tcPr>
          <w:p>
            <w:pPr>
              <w:spacing w:after="0"/>
            </w:pPr>
            <w:r>
              <w:rPr>
                <w:rFonts w:ascii="Aptos" w:hAnsi="Aptos" w:eastAsia="Aptos"/>
                <w:sz w:val="16"/>
              </w:rPr>
              <w:t>seed, nondeterministic branch policy</w:t>
            </w:r>
          </w:p>
        </w:tc>
        <w:tc>
          <w:tcPr>
            <w:tcW w:type="dxa" w:w="2160"/>
            <w:tcMar>
              <w:top w:w="90" w:type="dxa"/>
              <w:start w:w="100" w:type="dxa"/>
              <w:bottom w:w="90" w:type="dxa"/>
              <w:end w:w="100" w:type="dxa"/>
            </w:tcMar>
            <w:vAlign w:val="center"/>
            <w:shd w:fill="F5F7F9"/>
          </w:tcPr>
          <w:p>
            <w:pPr>
              <w:spacing w:after="0"/>
            </w:pPr>
            <w:r>
              <w:rPr>
                <w:rFonts w:ascii="Aptos" w:hAnsi="Aptos" w:eastAsia="Aptos"/>
                <w:sz w:val="16"/>
              </w:rPr>
              <w:t>BLOCK-SEED</w:t>
            </w:r>
          </w:p>
        </w:tc>
      </w:tr>
      <w:tr>
        <w:tc>
          <w:tcPr>
            <w:tcW w:type="dxa" w:w="1800"/>
            <w:tcMar>
              <w:top w:w="90" w:type="dxa"/>
              <w:start w:w="100" w:type="dxa"/>
              <w:bottom w:w="90" w:type="dxa"/>
              <w:end w:w="100" w:type="dxa"/>
            </w:tcMar>
            <w:vAlign w:val="center"/>
          </w:tcPr>
          <w:p>
            <w:pPr>
              <w:spacing w:after="0"/>
            </w:pPr>
            <w:r>
              <w:rPr>
                <w:rFonts w:ascii="Aptos" w:hAnsi="Aptos" w:eastAsia="Aptos"/>
                <w:sz w:val="16"/>
              </w:rPr>
              <w:t>side effects</w:t>
            </w:r>
          </w:p>
        </w:tc>
        <w:tc>
          <w:tcPr>
            <w:tcW w:type="dxa" w:w="5040"/>
            <w:tcMar>
              <w:top w:w="90" w:type="dxa"/>
              <w:start w:w="100" w:type="dxa"/>
              <w:bottom w:w="90" w:type="dxa"/>
              <w:end w:w="100" w:type="dxa"/>
            </w:tcMar>
            <w:vAlign w:val="center"/>
          </w:tcPr>
          <w:p>
            <w:pPr>
              <w:spacing w:after="0"/>
            </w:pPr>
            <w:r>
              <w:rPr>
                <w:rFonts w:ascii="Aptos" w:hAnsi="Aptos" w:eastAsia="Aptos"/>
                <w:sz w:val="16"/>
              </w:rPr>
              <w:t>запись в RBD, cache, external calls</w:t>
            </w:r>
          </w:p>
        </w:tc>
        <w:tc>
          <w:tcPr>
            <w:tcW w:type="dxa" w:w="2160"/>
            <w:tcMar>
              <w:top w:w="90" w:type="dxa"/>
              <w:start w:w="100" w:type="dxa"/>
              <w:bottom w:w="90" w:type="dxa"/>
              <w:end w:w="100" w:type="dxa"/>
            </w:tcMar>
            <w:vAlign w:val="center"/>
          </w:tcPr>
          <w:p>
            <w:pPr>
              <w:spacing w:after="0"/>
            </w:pPr>
            <w:r>
              <w:rPr>
                <w:rFonts w:ascii="Aptos" w:hAnsi="Aptos" w:eastAsia="Aptos"/>
                <w:sz w:val="16"/>
              </w:rPr>
              <w:t>BLOCK-AUDIT</w:t>
            </w:r>
          </w:p>
        </w:tc>
      </w:tr>
      <w:tr>
        <w:tc>
          <w:tcPr>
            <w:tcW w:type="dxa" w:w="1800"/>
            <w:tcMar>
              <w:top w:w="90" w:type="dxa"/>
              <w:start w:w="100" w:type="dxa"/>
              <w:bottom w:w="90" w:type="dxa"/>
              <w:end w:w="100" w:type="dxa"/>
            </w:tcMar>
            <w:vAlign w:val="center"/>
            <w:shd w:fill="F5F7F9"/>
          </w:tcPr>
          <w:p>
            <w:pPr>
              <w:spacing w:after="0"/>
            </w:pPr>
            <w:r>
              <w:rPr>
                <w:rFonts w:ascii="Aptos" w:hAnsi="Aptos" w:eastAsia="Aptos"/>
                <w:sz w:val="16"/>
              </w:rPr>
              <w:t>failure semantics</w:t>
            </w:r>
          </w:p>
        </w:tc>
        <w:tc>
          <w:tcPr>
            <w:tcW w:type="dxa" w:w="5040"/>
            <w:tcMar>
              <w:top w:w="90" w:type="dxa"/>
              <w:start w:w="100" w:type="dxa"/>
              <w:bottom w:w="90" w:type="dxa"/>
              <w:end w:w="100" w:type="dxa"/>
            </w:tcMar>
            <w:vAlign w:val="center"/>
            <w:shd w:fill="F5F7F9"/>
          </w:tcPr>
          <w:p>
            <w:pPr>
              <w:spacing w:after="0"/>
            </w:pPr>
            <w:r>
              <w:rPr>
                <w:rFonts w:ascii="Aptos" w:hAnsi="Aptos" w:eastAsia="Aptos"/>
                <w:sz w:val="16"/>
              </w:rPr>
              <w:t>OK/ABSTAIN/FAIL и witness schema</w:t>
            </w:r>
          </w:p>
        </w:tc>
        <w:tc>
          <w:tcPr>
            <w:tcW w:type="dxa" w:w="2160"/>
            <w:tcMar>
              <w:top w:w="90" w:type="dxa"/>
              <w:start w:w="100" w:type="dxa"/>
              <w:bottom w:w="90" w:type="dxa"/>
              <w:end w:w="100" w:type="dxa"/>
            </w:tcMar>
            <w:vAlign w:val="center"/>
            <w:shd w:fill="F5F7F9"/>
          </w:tcPr>
          <w:p>
            <w:pPr>
              <w:spacing w:after="0"/>
            </w:pPr>
            <w:r>
              <w:rPr>
                <w:rFonts w:ascii="Aptos" w:hAnsi="Aptos" w:eastAsia="Aptos"/>
                <w:sz w:val="16"/>
              </w:rPr>
              <w:t>FAIL-CONTRACT</w:t>
            </w:r>
          </w:p>
        </w:tc>
      </w:tr>
    </w:tbl>
    <w:p>
      <w:pPr>
        <w:pStyle w:val="Heading1"/>
        <w:widowControl/>
      </w:pPr>
      <w:r>
        <w:t>388. Интерфейсный контракт между модулями</w:t>
      </w:r>
    </w:p>
    <w:p>
      <w:pPr>
        <w:widowControl/>
      </w:pPr>
      <w:r>
        <w:rPr>
          <w:i w:val="0"/>
        </w:rPr>
        <w:t>Для F:X⇀Y и G:Y′⇀Z требуется не только совпадение названия поля, но и доказанный адаптер A:Y→Y′. Интерфейсный proof obligation включает:</w:t>
      </w:r>
    </w:p>
    <w:p>
      <w:pPr>
        <w:pStyle w:val="ListNumber"/>
        <w:widowControl/>
      </w:pPr>
      <w:r>
        <w:t>type preservation и согласование единиц;</w:t>
      </w:r>
    </w:p>
    <w:p>
      <w:pPr>
        <w:pStyle w:val="ListNumber"/>
        <w:widowControl/>
      </w:pPr>
      <w:r>
        <w:t>перенос Dom и boundary flags;</w:t>
      </w:r>
    </w:p>
    <w:p>
      <w:pPr>
        <w:pStyle w:val="ListNumber"/>
        <w:widowControl/>
      </w:pPr>
      <w:r>
        <w:t>сохранение provenance и Evidence-D;</w:t>
      </w:r>
    </w:p>
    <w:p>
      <w:pPr>
        <w:pStyle w:val="ListNumber"/>
        <w:widowControl/>
      </w:pPr>
      <w:r>
        <w:t>согласование топологии/σ-алгебры;</w:t>
      </w:r>
    </w:p>
    <w:p>
      <w:pPr>
        <w:pStyle w:val="ListNumber"/>
        <w:widowControl/>
      </w:pPr>
      <w:r>
        <w:t>сохранение или контролируемую потерю инвариантов;</w:t>
      </w:r>
    </w:p>
    <w:p>
      <w:pPr>
        <w:pStyle w:val="ListNumber"/>
        <w:widowControl/>
      </w:pPr>
      <w:r>
        <w:t>перенос бюджета и доказательный статус адаптера;</w:t>
      </w:r>
    </w:p>
    <w:p>
      <w:pPr>
        <w:pStyle w:val="ListNumber"/>
        <w:widowControl/>
      </w:pPr>
      <w:r>
        <w:t>контрпример к снятию существенного условия.</w:t>
      </w:r>
    </w:p>
    <w:p>
      <w:pPr>
        <w:pStyle w:val="Quote"/>
        <w:widowControl/>
        <w:jc w:val="center"/>
      </w:pPr>
      <w:r>
        <w:t>Interface(F,G;A)=PASS ⇔ Post_F ⇒ Pre_G∘A и Budget_G∘A определён.  (24.16)</w:t>
      </w:r>
    </w:p>
    <w:p>
      <w:pPr>
        <w:pStyle w:val="Heading1"/>
        <w:widowControl/>
      </w:pPr>
      <w:r>
        <w:t>389. Глобальный контракт выпуска</w:t>
      </w:r>
    </w:p>
    <w:p>
      <w:pPr>
        <w:widowControl/>
      </w:pPr>
      <w:r>
        <w:rPr>
          <w:i w:val="0"/>
        </w:rPr>
        <w:t>Глобальный контракт фиксирует immutability исходников, версии нотации, список активных модулей, полный граф зависимостей, policy разрешённых verdicts, целевой error budget и обязательный external split. Изменение любого элемента порождает новый checkpoint.</w:t>
      </w:r>
    </w:p>
    <w:p>
      <w:pPr>
        <w:widowControl/>
      </w:pPr>
      <w:r>
        <w:rPr>
          <w:i w:val="0"/>
        </w:rPr>
        <w:t>Определение 24.5. Release manifest есть</w:t>
      </w:r>
    </w:p>
    <w:p>
      <w:pPr>
        <w:pStyle w:val="Quote"/>
        <w:widowControl/>
        <w:jc w:val="center"/>
      </w:pPr>
      <w:r>
        <w:t>M_rel=(Q, Modules, Edges, Notation, Budgets, Policies, Sources, Code, Data, Env, HashRoot).  (24.17)</w:t>
      </w:r>
    </w:p>
    <w:p>
      <w:pPr>
        <w:widowControl/>
      </w:pPr>
      <w:r>
        <w:rPr>
          <w:i w:val="0"/>
        </w:rPr>
        <w:t>Manifest не включает секретные «разумные значения по умолчанию». Неуказанное значение становится blocker. Это несколько менее удобно, зато значительно реже производит уверенную чепуху.</w:t>
      </w:r>
    </w:p>
    <w:p>
      <w:pPr>
        <w:pStyle w:val="Heading1"/>
        <w:widowControl/>
      </w:pPr>
      <w:r>
        <w:t>390. Определение end-to-end оператора KLT-RBD</w:t>
      </w:r>
    </w:p>
    <w:p>
      <w:pPr>
        <w:widowControl/>
      </w:pPr>
      <w:r>
        <w:rPr>
          <w:i w:val="0"/>
        </w:rPr>
        <w:t>Пусть F_0,…,F_10 являются сертифицированными частичными операторами модулей. Определим</w:t>
      </w:r>
    </w:p>
    <w:p>
      <w:pPr>
        <w:pStyle w:val="Quote"/>
        <w:widowControl/>
        <w:jc w:val="center"/>
      </w:pPr>
      <w:r>
        <w:t>𝔓_KLT(Q)=Gate_release ⊙ F_10 ⊙ ··· ⊙ F_1 ⊙ F_0 (Q).  (24.18)</w:t>
      </w:r>
    </w:p>
    <w:p>
      <w:pPr>
        <w:widowControl/>
      </w:pPr>
      <w:r>
        <w:rPr>
          <w:i w:val="0"/>
        </w:rPr>
        <w:t>Композиция вычисляется в CertKLT и возвращает Result(V×Cert). В развёрнутом виде:</w:t>
      </w:r>
    </w:p>
    <w:p>
      <w:pPr>
        <w:pStyle w:val="Quote"/>
        <w:widowControl/>
        <w:jc w:val="center"/>
      </w:pPr>
      <w:r>
        <w:t>𝔓_KLT = Release ⊙ Validate ⊙ Robust ⊙ Rare ⊙ Causal ⊙ Stoch ⊙ Evol ⊙ Global ⊙ Obstruct ⊙ NAPG ⊙ Reper ⊙ Ingest.  (24.19)</w:t>
      </w:r>
    </w:p>
    <w:p>
      <w:pPr>
        <w:widowControl/>
      </w:pPr>
      <w:r>
        <w:rPr>
          <w:i w:val="0"/>
        </w:rPr>
        <w:t>Операторы Causal, Stoch, Rare и Validate являются опциональными по режиму запроса, но их отсутствие отражается в соответствующей координате вердикта, а не молча заменяется нулём.</w:t>
      </w:r>
    </w:p>
    <w:p>
      <w:pPr>
        <w:widowControl/>
        <w:jc w:val="center"/>
      </w:pPr>
      <w:r>
        <w:drawing>
          <wp:inline xmlns:a="http://schemas.openxmlformats.org/drawingml/2006/main" xmlns:pic="http://schemas.openxmlformats.org/drawingml/2006/picture">
            <wp:extent cx="5897880" cy="3724977"/>
            <wp:docPr id="67" name="Picture 67" descr="Восемь стадий от источника до release gate и четыре независимых ворот" title="Рисунок 24.1. Архитектура end-to-end оператора KLT-RBD и независимые доказательные ворота. Собственная схема Тома II."/>
            <wp:cNvGraphicFramePr>
              <a:graphicFrameLocks noChangeAspect="1"/>
            </wp:cNvGraphicFramePr>
            <a:graphic>
              <a:graphicData uri="http://schemas.openxmlformats.org/drawingml/2006/picture">
                <pic:pic>
                  <pic:nvPicPr>
                    <pic:cNvPr id="0" name="fig24_1.png"/>
                    <pic:cNvPicPr/>
                  </pic:nvPicPr>
                  <pic:blipFill>
                    <a:blip r:embed="rId104"/>
                    <a:stretch>
                      <a:fillRect/>
                    </a:stretch>
                  </pic:blipFill>
                  <pic:spPr>
                    <a:xfrm>
                      <a:off x="0" y="0"/>
                      <a:ext cx="5897880" cy="3724977"/>
                    </a:xfrm>
                    <a:prstGeom prst="rect"/>
                  </pic:spPr>
                </pic:pic>
              </a:graphicData>
            </a:graphic>
          </wp:inline>
        </w:drawing>
      </w:r>
    </w:p>
    <w:p>
      <w:pPr>
        <w:pStyle w:val="Caption"/>
        <w:widowControl/>
        <w:jc w:val="center"/>
      </w:pPr>
      <w:r>
        <w:t>Рисунок 24.1. Архитектура end-to-end оператора KLT-RBD и независимые доказательные ворота. Собственная схема Тома II.</w:t>
      </w:r>
    </w:p>
    <w:p>
      <w:pPr>
        <w:pStyle w:val="Heading1"/>
        <w:widowControl/>
      </w:pPr>
      <w:r>
        <w:t>391. Модульная декомпозиция F₀-F₁₁</w:t>
      </w:r>
    </w:p>
    <w:tbl>
      <w:tblPr>
        <w:tblStyle w:val="TableGrid"/>
        <w:tblW w:type="auto" w:w="0"/>
        <w:jc w:val="center"/>
        <w:tblLook w:firstColumn="1" w:firstRow="1" w:lastColumn="0" w:lastRow="0" w:noHBand="0" w:noVBand="1" w:val="04A0"/>
        <w:tblBorders>
          <w:top w:val="single" w:sz="6" w:color="B5C3D1"/>
          <w:left w:val="single" w:sz="6" w:color="B5C3D1"/>
          <w:bottom w:val="single" w:sz="6" w:color="B5C3D1"/>
          <w:right w:val="single" w:sz="6" w:color="B5C3D1"/>
          <w:insideH w:val="single" w:sz="6" w:color="B5C3D1"/>
          <w:insideV w:val="single" w:sz="6" w:color="B5C3D1"/>
        </w:tblBorders>
      </w:tblPr>
      <w:tblGrid>
        <w:gridCol w:w="1950"/>
        <w:gridCol w:w="1950"/>
        <w:gridCol w:w="1950"/>
        <w:gridCol w:w="1950"/>
        <w:gridCol w:w="1950"/>
      </w:tblGrid>
      <w:tr>
        <w:trPr>
          <w:tblHeader w:val="true"/>
        </w:trPr>
        <w:tc>
          <w:tcPr>
            <w:tcW w:type="dxa" w:w="648"/>
            <w:shd w:fill="173B67"/>
            <w:tcMar>
              <w:top w:w="110" w:type="dxa"/>
              <w:start w:w="110" w:type="dxa"/>
              <w:bottom w:w="110" w:type="dxa"/>
              <w:end w:w="110" w:type="dxa"/>
            </w:tcMar>
            <w:vAlign w:val="center"/>
          </w:tcPr>
          <w:p>
            <w:pPr>
              <w:jc w:val="center"/>
            </w:pPr>
            <w:r>
              <w:rPr>
                <w:rFonts w:ascii="Aptos" w:hAnsi="Aptos" w:eastAsia="Aptos"/>
                <w:b/>
                <w:color w:val="FFFFFF"/>
                <w:sz w:val="15"/>
              </w:rPr>
              <w:t>ID</w:t>
            </w:r>
          </w:p>
        </w:tc>
        <w:tc>
          <w:tcPr>
            <w:tcW w:type="dxa" w:w="2016"/>
            <w:shd w:fill="173B67"/>
            <w:tcMar>
              <w:top w:w="110" w:type="dxa"/>
              <w:start w:w="110" w:type="dxa"/>
              <w:bottom w:w="110" w:type="dxa"/>
              <w:end w:w="110" w:type="dxa"/>
            </w:tcMar>
            <w:vAlign w:val="center"/>
          </w:tcPr>
          <w:p>
            <w:pPr>
              <w:jc w:val="center"/>
            </w:pPr>
            <w:r>
              <w:rPr>
                <w:rFonts w:ascii="Aptos" w:hAnsi="Aptos" w:eastAsia="Aptos"/>
                <w:b/>
                <w:color w:val="FFFFFF"/>
                <w:sz w:val="15"/>
              </w:rPr>
              <w:t>Модуль</w:t>
            </w:r>
          </w:p>
        </w:tc>
        <w:tc>
          <w:tcPr>
            <w:tcW w:type="dxa" w:w="2232"/>
            <w:shd w:fill="173B67"/>
            <w:tcMar>
              <w:top w:w="110" w:type="dxa"/>
              <w:start w:w="110" w:type="dxa"/>
              <w:bottom w:w="110" w:type="dxa"/>
              <w:end w:w="110" w:type="dxa"/>
            </w:tcMar>
            <w:vAlign w:val="center"/>
          </w:tcPr>
          <w:p>
            <w:pPr>
              <w:jc w:val="center"/>
            </w:pPr>
            <w:r>
              <w:rPr>
                <w:rFonts w:ascii="Aptos" w:hAnsi="Aptos" w:eastAsia="Aptos"/>
                <w:b/>
                <w:color w:val="FFFFFF"/>
                <w:sz w:val="15"/>
              </w:rPr>
              <w:t>Вход</w:t>
            </w:r>
          </w:p>
        </w:tc>
        <w:tc>
          <w:tcPr>
            <w:tcW w:type="dxa" w:w="3600"/>
            <w:shd w:fill="173B67"/>
            <w:tcMar>
              <w:top w:w="110" w:type="dxa"/>
              <w:start w:w="110" w:type="dxa"/>
              <w:bottom w:w="110" w:type="dxa"/>
              <w:end w:w="110" w:type="dxa"/>
            </w:tcMar>
            <w:vAlign w:val="center"/>
          </w:tcPr>
          <w:p>
            <w:pPr>
              <w:jc w:val="center"/>
            </w:pPr>
            <w:r>
              <w:rPr>
                <w:rFonts w:ascii="Aptos" w:hAnsi="Aptos" w:eastAsia="Aptos"/>
                <w:b/>
                <w:color w:val="FFFFFF"/>
                <w:sz w:val="15"/>
              </w:rPr>
              <w:t>OK-постусловие</w:t>
            </w:r>
          </w:p>
        </w:tc>
        <w:tc>
          <w:tcPr>
            <w:tcW w:type="dxa" w:w="2016"/>
            <w:shd w:fill="173B67"/>
            <w:tcMar>
              <w:top w:w="110" w:type="dxa"/>
              <w:start w:w="110" w:type="dxa"/>
              <w:bottom w:w="110" w:type="dxa"/>
              <w:end w:w="110" w:type="dxa"/>
            </w:tcMar>
            <w:vAlign w:val="center"/>
          </w:tcPr>
          <w:p>
            <w:pPr>
              <w:jc w:val="center"/>
            </w:pPr>
            <w:r>
              <w:rPr>
                <w:rFonts w:ascii="Aptos" w:hAnsi="Aptos" w:eastAsia="Aptos"/>
                <w:b/>
                <w:color w:val="FFFFFF"/>
                <w:sz w:val="15"/>
              </w:rPr>
              <w:t>Типичный blocker</w:t>
            </w:r>
          </w:p>
        </w:tc>
      </w:tr>
      <w:tr>
        <w:tc>
          <w:tcPr>
            <w:tcW w:type="dxa" w:w="648"/>
            <w:tcMar>
              <w:top w:w="90" w:type="dxa"/>
              <w:start w:w="100" w:type="dxa"/>
              <w:bottom w:w="90" w:type="dxa"/>
              <w:end w:w="100" w:type="dxa"/>
            </w:tcMar>
            <w:vAlign w:val="center"/>
          </w:tcPr>
          <w:p>
            <w:pPr>
              <w:spacing w:after="0"/>
            </w:pPr>
            <w:r>
              <w:rPr>
                <w:rFonts w:ascii="Aptos" w:hAnsi="Aptos" w:eastAsia="Aptos"/>
                <w:sz w:val="15"/>
              </w:rPr>
              <w:t>F0</w:t>
            </w:r>
          </w:p>
        </w:tc>
        <w:tc>
          <w:tcPr>
            <w:tcW w:type="dxa" w:w="2016"/>
            <w:tcMar>
              <w:top w:w="90" w:type="dxa"/>
              <w:start w:w="100" w:type="dxa"/>
              <w:bottom w:w="90" w:type="dxa"/>
              <w:end w:w="100" w:type="dxa"/>
            </w:tcMar>
            <w:vAlign w:val="center"/>
          </w:tcPr>
          <w:p>
            <w:pPr>
              <w:spacing w:after="0"/>
            </w:pPr>
            <w:r>
              <w:rPr>
                <w:rFonts w:ascii="Aptos" w:hAnsi="Aptos" w:eastAsia="Aptos"/>
                <w:sz w:val="15"/>
              </w:rPr>
              <w:t>Ingest/Provenance</w:t>
            </w:r>
          </w:p>
        </w:tc>
        <w:tc>
          <w:tcPr>
            <w:tcW w:type="dxa" w:w="2232"/>
            <w:tcMar>
              <w:top w:w="90" w:type="dxa"/>
              <w:start w:w="100" w:type="dxa"/>
              <w:bottom w:w="90" w:type="dxa"/>
              <w:end w:w="100" w:type="dxa"/>
            </w:tcMar>
            <w:vAlign w:val="center"/>
          </w:tcPr>
          <w:p>
            <w:pPr>
              <w:spacing w:after="0"/>
            </w:pPr>
            <w:r>
              <w:rPr>
                <w:rFonts w:ascii="Aptos" w:hAnsi="Aptos" w:eastAsia="Aptos"/>
                <w:sz w:val="15"/>
              </w:rPr>
              <w:t>файлы, данные, метаданные</w:t>
            </w:r>
          </w:p>
        </w:tc>
        <w:tc>
          <w:tcPr>
            <w:tcW w:type="dxa" w:w="3600"/>
            <w:tcMar>
              <w:top w:w="90" w:type="dxa"/>
              <w:start w:w="100" w:type="dxa"/>
              <w:bottom w:w="90" w:type="dxa"/>
              <w:end w:w="100" w:type="dxa"/>
            </w:tcMar>
            <w:vAlign w:val="center"/>
          </w:tcPr>
          <w:p>
            <w:pPr>
              <w:spacing w:after="0"/>
            </w:pPr>
            <w:r>
              <w:rPr>
                <w:rFonts w:ascii="Aptos" w:hAnsi="Aptos" w:eastAsia="Aptos"/>
                <w:sz w:val="15"/>
              </w:rPr>
              <w:t>идентичность и происхождение подтверждены</w:t>
            </w:r>
          </w:p>
        </w:tc>
        <w:tc>
          <w:tcPr>
            <w:tcW w:type="dxa" w:w="2016"/>
            <w:tcMar>
              <w:top w:w="90" w:type="dxa"/>
              <w:start w:w="100" w:type="dxa"/>
              <w:bottom w:w="90" w:type="dxa"/>
              <w:end w:w="100" w:type="dxa"/>
            </w:tcMar>
            <w:vAlign w:val="center"/>
          </w:tcPr>
          <w:p>
            <w:pPr>
              <w:spacing w:after="0"/>
            </w:pPr>
            <w:r>
              <w:rPr>
                <w:rFonts w:ascii="Aptos" w:hAnsi="Aptos" w:eastAsia="Aptos"/>
                <w:sz w:val="15"/>
              </w:rPr>
              <w:t>hash/schema/source</w:t>
            </w:r>
          </w:p>
        </w:tc>
      </w:tr>
      <w:tr>
        <w:tc>
          <w:tcPr>
            <w:tcW w:type="dxa" w:w="648"/>
            <w:tcMar>
              <w:top w:w="90" w:type="dxa"/>
              <w:start w:w="100" w:type="dxa"/>
              <w:bottom w:w="90" w:type="dxa"/>
              <w:end w:w="100" w:type="dxa"/>
            </w:tcMar>
            <w:vAlign w:val="center"/>
            <w:shd w:fill="F5F7F9"/>
          </w:tcPr>
          <w:p>
            <w:pPr>
              <w:spacing w:after="0"/>
            </w:pPr>
            <w:r>
              <w:rPr>
                <w:rFonts w:ascii="Aptos" w:hAnsi="Aptos" w:eastAsia="Aptos"/>
                <w:sz w:val="15"/>
              </w:rPr>
              <w:t>F1</w:t>
            </w:r>
          </w:p>
        </w:tc>
        <w:tc>
          <w:tcPr>
            <w:tcW w:type="dxa" w:w="2016"/>
            <w:tcMar>
              <w:top w:w="90" w:type="dxa"/>
              <w:start w:w="100" w:type="dxa"/>
              <w:bottom w:w="90" w:type="dxa"/>
              <w:end w:w="100" w:type="dxa"/>
            </w:tcMar>
            <w:vAlign w:val="center"/>
            <w:shd w:fill="F5F7F9"/>
          </w:tcPr>
          <w:p>
            <w:pPr>
              <w:spacing w:after="0"/>
            </w:pPr>
            <w:r>
              <w:rPr>
                <w:rFonts w:ascii="Aptos" w:hAnsi="Aptos" w:eastAsia="Aptos"/>
                <w:sz w:val="15"/>
              </w:rPr>
              <w:t>Reper lift</w:t>
            </w:r>
          </w:p>
        </w:tc>
        <w:tc>
          <w:tcPr>
            <w:tcW w:type="dxa" w:w="2232"/>
            <w:tcMar>
              <w:top w:w="90" w:type="dxa"/>
              <w:start w:w="100" w:type="dxa"/>
              <w:bottom w:w="90" w:type="dxa"/>
              <w:end w:w="100" w:type="dxa"/>
            </w:tcMar>
            <w:vAlign w:val="center"/>
            <w:shd w:fill="F5F7F9"/>
          </w:tcPr>
          <w:p>
            <w:pPr>
              <w:spacing w:after="0"/>
            </w:pPr>
            <w:r>
              <w:rPr>
                <w:rFonts w:ascii="Aptos" w:hAnsi="Aptos" w:eastAsia="Aptos"/>
                <w:sz w:val="15"/>
              </w:rPr>
              <w:t>C@C / объект</w:t>
            </w:r>
          </w:p>
        </w:tc>
        <w:tc>
          <w:tcPr>
            <w:tcW w:type="dxa" w:w="3600"/>
            <w:tcMar>
              <w:top w:w="90" w:type="dxa"/>
              <w:start w:w="100" w:type="dxa"/>
              <w:bottom w:w="90" w:type="dxa"/>
              <w:end w:w="100" w:type="dxa"/>
            </w:tcMar>
            <w:vAlign w:val="center"/>
            <w:shd w:fill="F5F7F9"/>
          </w:tcPr>
          <w:p>
            <w:pPr>
              <w:spacing w:after="0"/>
            </w:pPr>
            <w:r>
              <w:rPr>
                <w:rFonts w:ascii="Aptos" w:hAnsi="Aptos" w:eastAsia="Aptos"/>
                <w:sz w:val="15"/>
              </w:rPr>
              <w:t>(R,I,U;D), Λ и Dom определены</w:t>
            </w:r>
          </w:p>
        </w:tc>
        <w:tc>
          <w:tcPr>
            <w:tcW w:type="dxa" w:w="2016"/>
            <w:tcMar>
              <w:top w:w="90" w:type="dxa"/>
              <w:start w:w="100" w:type="dxa"/>
              <w:bottom w:w="90" w:type="dxa"/>
              <w:end w:w="100" w:type="dxa"/>
            </w:tcMar>
            <w:vAlign w:val="center"/>
            <w:shd w:fill="F5F7F9"/>
          </w:tcPr>
          <w:p>
            <w:pPr>
              <w:spacing w:after="0"/>
            </w:pPr>
            <w:r>
              <w:rPr>
                <w:rFonts w:ascii="Aptos" w:hAnsi="Aptos" w:eastAsia="Aptos"/>
                <w:sz w:val="15"/>
              </w:rPr>
              <w:t>D missing / [0:0]</w:t>
            </w:r>
          </w:p>
        </w:tc>
      </w:tr>
      <w:tr>
        <w:tc>
          <w:tcPr>
            <w:tcW w:type="dxa" w:w="648"/>
            <w:tcMar>
              <w:top w:w="90" w:type="dxa"/>
              <w:start w:w="100" w:type="dxa"/>
              <w:bottom w:w="90" w:type="dxa"/>
              <w:end w:w="100" w:type="dxa"/>
            </w:tcMar>
            <w:vAlign w:val="center"/>
          </w:tcPr>
          <w:p>
            <w:pPr>
              <w:spacing w:after="0"/>
            </w:pPr>
            <w:r>
              <w:rPr>
                <w:rFonts w:ascii="Aptos" w:hAnsi="Aptos" w:eastAsia="Aptos"/>
                <w:sz w:val="15"/>
              </w:rPr>
              <w:t>F2</w:t>
            </w:r>
          </w:p>
        </w:tc>
        <w:tc>
          <w:tcPr>
            <w:tcW w:type="dxa" w:w="2016"/>
            <w:tcMar>
              <w:top w:w="90" w:type="dxa"/>
              <w:start w:w="100" w:type="dxa"/>
              <w:bottom w:w="90" w:type="dxa"/>
              <w:end w:w="100" w:type="dxa"/>
            </w:tcMar>
            <w:vAlign w:val="center"/>
          </w:tcPr>
          <w:p>
            <w:pPr>
              <w:spacing w:after="0"/>
            </w:pPr>
            <w:r>
              <w:rPr>
                <w:rFonts w:ascii="Aptos" w:hAnsi="Aptos" w:eastAsia="Aptos"/>
                <w:sz w:val="15"/>
              </w:rPr>
              <w:t>NAPG algebra</w:t>
            </w:r>
          </w:p>
        </w:tc>
        <w:tc>
          <w:tcPr>
            <w:tcW w:type="dxa" w:w="2232"/>
            <w:tcMar>
              <w:top w:w="90" w:type="dxa"/>
              <w:start w:w="100" w:type="dxa"/>
              <w:bottom w:w="90" w:type="dxa"/>
              <w:end w:w="100" w:type="dxa"/>
            </w:tcMar>
            <w:vAlign w:val="center"/>
          </w:tcPr>
          <w:p>
            <w:pPr>
              <w:spacing w:after="0"/>
            </w:pPr>
            <w:r>
              <w:rPr>
                <w:rFonts w:ascii="Aptos" w:hAnsi="Aptos" w:eastAsia="Aptos"/>
                <w:sz w:val="15"/>
              </w:rPr>
              <w:t>операция, градуировка, 𝔊</w:t>
            </w:r>
          </w:p>
        </w:tc>
        <w:tc>
          <w:tcPr>
            <w:tcW w:type="dxa" w:w="3600"/>
            <w:tcMar>
              <w:top w:w="90" w:type="dxa"/>
              <w:start w:w="100" w:type="dxa"/>
              <w:bottom w:w="90" w:type="dxa"/>
              <w:end w:w="100" w:type="dxa"/>
            </w:tcMar>
            <w:vAlign w:val="center"/>
          </w:tcPr>
          <w:p>
            <w:pPr>
              <w:spacing w:after="0"/>
            </w:pPr>
            <w:r>
              <w:rPr>
                <w:rFonts w:ascii="Aptos" w:hAnsi="Aptos" w:eastAsia="Aptos"/>
                <w:sz w:val="15"/>
              </w:rPr>
              <w:t>ассоциатор/ядра/инварианты типизированы</w:t>
            </w:r>
          </w:p>
        </w:tc>
        <w:tc>
          <w:tcPr>
            <w:tcW w:type="dxa" w:w="2016"/>
            <w:tcMar>
              <w:top w:w="90" w:type="dxa"/>
              <w:start w:w="100" w:type="dxa"/>
              <w:bottom w:w="90" w:type="dxa"/>
              <w:end w:w="100" w:type="dxa"/>
            </w:tcMar>
            <w:vAlign w:val="center"/>
          </w:tcPr>
          <w:p>
            <w:pPr>
              <w:spacing w:after="0"/>
            </w:pPr>
            <w:r>
              <w:rPr>
                <w:rFonts w:ascii="Aptos" w:hAnsi="Aptos" w:eastAsia="Aptos"/>
                <w:sz w:val="15"/>
              </w:rPr>
              <w:t>closure/bilinearity</w:t>
            </w:r>
          </w:p>
        </w:tc>
      </w:tr>
      <w:tr>
        <w:tc>
          <w:tcPr>
            <w:tcW w:type="dxa" w:w="648"/>
            <w:tcMar>
              <w:top w:w="90" w:type="dxa"/>
              <w:start w:w="100" w:type="dxa"/>
              <w:bottom w:w="90" w:type="dxa"/>
              <w:end w:w="100" w:type="dxa"/>
            </w:tcMar>
            <w:vAlign w:val="center"/>
            <w:shd w:fill="F5F7F9"/>
          </w:tcPr>
          <w:p>
            <w:pPr>
              <w:spacing w:after="0"/>
            </w:pPr>
            <w:r>
              <w:rPr>
                <w:rFonts w:ascii="Aptos" w:hAnsi="Aptos" w:eastAsia="Aptos"/>
                <w:sz w:val="15"/>
              </w:rPr>
              <w:t>F3</w:t>
            </w:r>
          </w:p>
        </w:tc>
        <w:tc>
          <w:tcPr>
            <w:tcW w:type="dxa" w:w="2016"/>
            <w:tcMar>
              <w:top w:w="90" w:type="dxa"/>
              <w:start w:w="100" w:type="dxa"/>
              <w:bottom w:w="90" w:type="dxa"/>
              <w:end w:w="100" w:type="dxa"/>
            </w:tcMar>
            <w:vAlign w:val="center"/>
            <w:shd w:fill="F5F7F9"/>
          </w:tcPr>
          <w:p>
            <w:pPr>
              <w:spacing w:after="0"/>
            </w:pPr>
            <w:r>
              <w:rPr>
                <w:rFonts w:ascii="Aptos" w:hAnsi="Aptos" w:eastAsia="Aptos"/>
                <w:sz w:val="15"/>
              </w:rPr>
              <w:t>Geometry</w:t>
            </w:r>
          </w:p>
        </w:tc>
        <w:tc>
          <w:tcPr>
            <w:tcW w:type="dxa" w:w="2232"/>
            <w:tcMar>
              <w:top w:w="90" w:type="dxa"/>
              <w:start w:w="100" w:type="dxa"/>
              <w:bottom w:w="90" w:type="dxa"/>
              <w:end w:w="100" w:type="dxa"/>
            </w:tcMar>
            <w:vAlign w:val="center"/>
            <w:shd w:fill="F5F7F9"/>
          </w:tcPr>
          <w:p>
            <w:pPr>
              <w:spacing w:after="0"/>
            </w:pPr>
            <w:r>
              <w:rPr>
                <w:rFonts w:ascii="Aptos" w:hAnsi="Aptos" w:eastAsia="Aptos"/>
                <w:sz w:val="15"/>
              </w:rPr>
              <w:t>атлас, расслоение, connection</w:t>
            </w:r>
          </w:p>
        </w:tc>
        <w:tc>
          <w:tcPr>
            <w:tcW w:type="dxa" w:w="3600"/>
            <w:tcMar>
              <w:top w:w="90" w:type="dxa"/>
              <w:start w:w="100" w:type="dxa"/>
              <w:bottom w:w="90" w:type="dxa"/>
              <w:end w:w="100" w:type="dxa"/>
            </w:tcMar>
            <w:vAlign w:val="center"/>
            <w:shd w:fill="F5F7F9"/>
          </w:tcPr>
          <w:p>
            <w:pPr>
              <w:spacing w:after="0"/>
            </w:pPr>
            <w:r>
              <w:rPr>
                <w:rFonts w:ascii="Aptos" w:hAnsi="Aptos" w:eastAsia="Aptos"/>
                <w:sz w:val="15"/>
              </w:rPr>
              <w:t>descent/curvature certificates</w:t>
            </w:r>
          </w:p>
        </w:tc>
        <w:tc>
          <w:tcPr>
            <w:tcW w:type="dxa" w:w="2016"/>
            <w:tcMar>
              <w:top w:w="90" w:type="dxa"/>
              <w:start w:w="100" w:type="dxa"/>
              <w:bottom w:w="90" w:type="dxa"/>
              <w:end w:w="100" w:type="dxa"/>
            </w:tcMar>
            <w:vAlign w:val="center"/>
            <w:shd w:fill="F5F7F9"/>
          </w:tcPr>
          <w:p>
            <w:pPr>
              <w:spacing w:after="0"/>
            </w:pPr>
            <w:r>
              <w:rPr>
                <w:rFonts w:ascii="Aptos" w:hAnsi="Aptos" w:eastAsia="Aptos"/>
                <w:sz w:val="15"/>
              </w:rPr>
              <w:t>cocycle/chart</w:t>
            </w:r>
          </w:p>
        </w:tc>
      </w:tr>
      <w:tr>
        <w:tc>
          <w:tcPr>
            <w:tcW w:type="dxa" w:w="648"/>
            <w:tcMar>
              <w:top w:w="90" w:type="dxa"/>
              <w:start w:w="100" w:type="dxa"/>
              <w:bottom w:w="90" w:type="dxa"/>
              <w:end w:w="100" w:type="dxa"/>
            </w:tcMar>
            <w:vAlign w:val="center"/>
          </w:tcPr>
          <w:p>
            <w:pPr>
              <w:spacing w:after="0"/>
            </w:pPr>
            <w:r>
              <w:rPr>
                <w:rFonts w:ascii="Aptos" w:hAnsi="Aptos" w:eastAsia="Aptos"/>
                <w:sz w:val="15"/>
              </w:rPr>
              <w:t>F4</w:t>
            </w:r>
          </w:p>
        </w:tc>
        <w:tc>
          <w:tcPr>
            <w:tcW w:type="dxa" w:w="2016"/>
            <w:tcMar>
              <w:top w:w="90" w:type="dxa"/>
              <w:start w:w="100" w:type="dxa"/>
              <w:bottom w:w="90" w:type="dxa"/>
              <w:end w:w="100" w:type="dxa"/>
            </w:tcMar>
            <w:vAlign w:val="center"/>
          </w:tcPr>
          <w:p>
            <w:pPr>
              <w:spacing w:after="0"/>
            </w:pPr>
            <w:r>
              <w:rPr>
                <w:rFonts w:ascii="Aptos" w:hAnsi="Aptos" w:eastAsia="Aptos"/>
                <w:sz w:val="15"/>
              </w:rPr>
              <w:t>Obstruction</w:t>
            </w:r>
          </w:p>
        </w:tc>
        <w:tc>
          <w:tcPr>
            <w:tcW w:type="dxa" w:w="2232"/>
            <w:tcMar>
              <w:top w:w="90" w:type="dxa"/>
              <w:start w:w="100" w:type="dxa"/>
              <w:bottom w:w="90" w:type="dxa"/>
              <w:end w:w="100" w:type="dxa"/>
            </w:tcMar>
            <w:vAlign w:val="center"/>
          </w:tcPr>
          <w:p>
            <w:pPr>
              <w:spacing w:after="0"/>
            </w:pPr>
            <w:r>
              <w:rPr>
                <w:rFonts w:ascii="Aptos" w:hAnsi="Aptos" w:eastAsia="Aptos"/>
                <w:sz w:val="15"/>
              </w:rPr>
              <w:t>комплекс, q, quotient</w:t>
            </w:r>
          </w:p>
        </w:tc>
        <w:tc>
          <w:tcPr>
            <w:tcW w:type="dxa" w:w="3600"/>
            <w:tcMar>
              <w:top w:w="90" w:type="dxa"/>
              <w:start w:w="100" w:type="dxa"/>
              <w:bottom w:w="90" w:type="dxa"/>
              <w:end w:w="100" w:type="dxa"/>
            </w:tcMar>
            <w:vAlign w:val="center"/>
          </w:tcPr>
          <w:p>
            <w:pPr>
              <w:spacing w:after="0"/>
            </w:pPr>
            <w:r>
              <w:rPr>
                <w:rFonts w:ascii="Aptos" w:hAnsi="Aptos" w:eastAsia="Aptos"/>
                <w:sz w:val="15"/>
              </w:rPr>
              <w:t>well-defined obstruction profile</w:t>
            </w:r>
          </w:p>
        </w:tc>
        <w:tc>
          <w:tcPr>
            <w:tcW w:type="dxa" w:w="2016"/>
            <w:tcMar>
              <w:top w:w="90" w:type="dxa"/>
              <w:start w:w="100" w:type="dxa"/>
              <w:bottom w:w="90" w:type="dxa"/>
              <w:end w:w="100" w:type="dxa"/>
            </w:tcMar>
            <w:vAlign w:val="center"/>
          </w:tcPr>
          <w:p>
            <w:pPr>
              <w:spacing w:after="0"/>
            </w:pPr>
            <w:r>
              <w:rPr>
                <w:rFonts w:ascii="Aptos" w:hAnsi="Aptos" w:eastAsia="Aptos"/>
                <w:sz w:val="15"/>
              </w:rPr>
              <w:t>δ² / representative</w:t>
            </w:r>
          </w:p>
        </w:tc>
      </w:tr>
      <w:tr>
        <w:tc>
          <w:tcPr>
            <w:tcW w:type="dxa" w:w="648"/>
            <w:tcMar>
              <w:top w:w="90" w:type="dxa"/>
              <w:start w:w="100" w:type="dxa"/>
              <w:bottom w:w="90" w:type="dxa"/>
              <w:end w:w="100" w:type="dxa"/>
            </w:tcMar>
            <w:vAlign w:val="center"/>
            <w:shd w:fill="F5F7F9"/>
          </w:tcPr>
          <w:p>
            <w:pPr>
              <w:spacing w:after="0"/>
            </w:pPr>
            <w:r>
              <w:rPr>
                <w:rFonts w:ascii="Aptos" w:hAnsi="Aptos" w:eastAsia="Aptos"/>
                <w:sz w:val="15"/>
              </w:rPr>
              <w:t>F5</w:t>
            </w:r>
          </w:p>
        </w:tc>
        <w:tc>
          <w:tcPr>
            <w:tcW w:type="dxa" w:w="2016"/>
            <w:tcMar>
              <w:top w:w="90" w:type="dxa"/>
              <w:start w:w="100" w:type="dxa"/>
              <w:bottom w:w="90" w:type="dxa"/>
              <w:end w:w="100" w:type="dxa"/>
            </w:tcMar>
            <w:vAlign w:val="center"/>
            <w:shd w:fill="F5F7F9"/>
          </w:tcPr>
          <w:p>
            <w:pPr>
              <w:spacing w:after="0"/>
            </w:pPr>
            <w:r>
              <w:rPr>
                <w:rFonts w:ascii="Aptos" w:hAnsi="Aptos" w:eastAsia="Aptos"/>
                <w:sz w:val="15"/>
              </w:rPr>
              <w:t>Global/moduli</w:t>
            </w:r>
          </w:p>
        </w:tc>
        <w:tc>
          <w:tcPr>
            <w:tcW w:type="dxa" w:w="2232"/>
            <w:tcMar>
              <w:top w:w="90" w:type="dxa"/>
              <w:start w:w="100" w:type="dxa"/>
              <w:bottom w:w="90" w:type="dxa"/>
              <w:end w:w="100" w:type="dxa"/>
            </w:tcMar>
            <w:vAlign w:val="center"/>
            <w:shd w:fill="F5F7F9"/>
          </w:tcPr>
          <w:p>
            <w:pPr>
              <w:spacing w:after="0"/>
            </w:pPr>
            <w:r>
              <w:rPr>
                <w:rFonts w:ascii="Aptos" w:hAnsi="Aptos" w:eastAsia="Aptos"/>
                <w:sz w:val="15"/>
              </w:rPr>
              <w:t>charts, coherence, path</w:t>
            </w:r>
          </w:p>
        </w:tc>
        <w:tc>
          <w:tcPr>
            <w:tcW w:type="dxa" w:w="3600"/>
            <w:tcMar>
              <w:top w:w="90" w:type="dxa"/>
              <w:start w:w="100" w:type="dxa"/>
              <w:bottom w:w="90" w:type="dxa"/>
              <w:end w:w="100" w:type="dxa"/>
            </w:tcMar>
            <w:vAlign w:val="center"/>
            <w:shd w:fill="F5F7F9"/>
          </w:tcPr>
          <w:p>
            <w:pPr>
              <w:spacing w:after="0"/>
            </w:pPr>
            <w:r>
              <w:rPr>
                <w:rFonts w:ascii="Aptos" w:hAnsi="Aptos" w:eastAsia="Aptos"/>
                <w:sz w:val="15"/>
              </w:rPr>
              <w:t>global carrier / wall ledger</w:t>
            </w:r>
          </w:p>
        </w:tc>
        <w:tc>
          <w:tcPr>
            <w:tcW w:type="dxa" w:w="2016"/>
            <w:tcMar>
              <w:top w:w="90" w:type="dxa"/>
              <w:start w:w="100" w:type="dxa"/>
              <w:bottom w:w="90" w:type="dxa"/>
              <w:end w:w="100" w:type="dxa"/>
            </w:tcMar>
            <w:vAlign w:val="center"/>
            <w:shd w:fill="F5F7F9"/>
          </w:tcPr>
          <w:p>
            <w:pPr>
              <w:spacing w:after="0"/>
            </w:pPr>
            <w:r>
              <w:rPr>
                <w:rFonts w:ascii="Aptos" w:hAnsi="Aptos" w:eastAsia="Aptos"/>
                <w:sz w:val="15"/>
              </w:rPr>
              <w:t>triple coherence</w:t>
            </w:r>
          </w:p>
        </w:tc>
      </w:tr>
      <w:tr>
        <w:tc>
          <w:tcPr>
            <w:tcW w:type="dxa" w:w="648"/>
            <w:tcMar>
              <w:top w:w="90" w:type="dxa"/>
              <w:start w:w="100" w:type="dxa"/>
              <w:bottom w:w="90" w:type="dxa"/>
              <w:end w:w="100" w:type="dxa"/>
            </w:tcMar>
            <w:vAlign w:val="center"/>
          </w:tcPr>
          <w:p>
            <w:pPr>
              <w:spacing w:after="0"/>
            </w:pPr>
            <w:r>
              <w:rPr>
                <w:rFonts w:ascii="Aptos" w:hAnsi="Aptos" w:eastAsia="Aptos"/>
                <w:sz w:val="15"/>
              </w:rPr>
              <w:t>F6</w:t>
            </w:r>
          </w:p>
        </w:tc>
        <w:tc>
          <w:tcPr>
            <w:tcW w:type="dxa" w:w="2016"/>
            <w:tcMar>
              <w:top w:w="90" w:type="dxa"/>
              <w:start w:w="100" w:type="dxa"/>
              <w:bottom w:w="90" w:type="dxa"/>
              <w:end w:w="100" w:type="dxa"/>
            </w:tcMar>
            <w:vAlign w:val="center"/>
          </w:tcPr>
          <w:p>
            <w:pPr>
              <w:spacing w:after="0"/>
            </w:pPr>
            <w:r>
              <w:rPr>
                <w:rFonts w:ascii="Aptos" w:hAnsi="Aptos" w:eastAsia="Aptos"/>
                <w:sz w:val="15"/>
              </w:rPr>
              <w:t>Evolution</w:t>
            </w:r>
          </w:p>
        </w:tc>
        <w:tc>
          <w:tcPr>
            <w:tcW w:type="dxa" w:w="2232"/>
            <w:tcMar>
              <w:top w:w="90" w:type="dxa"/>
              <w:start w:w="100" w:type="dxa"/>
              <w:bottom w:w="90" w:type="dxa"/>
              <w:end w:w="100" w:type="dxa"/>
            </w:tcMar>
            <w:vAlign w:val="center"/>
          </w:tcPr>
          <w:p>
            <w:pPr>
              <w:spacing w:after="0"/>
            </w:pPr>
            <w:r>
              <w:rPr>
                <w:rFonts w:ascii="Aptos" w:hAnsi="Aptos" w:eastAsia="Aptos"/>
                <w:sz w:val="15"/>
              </w:rPr>
              <w:t>generator/evolution family</w:t>
            </w:r>
          </w:p>
        </w:tc>
        <w:tc>
          <w:tcPr>
            <w:tcW w:type="dxa" w:w="3600"/>
            <w:tcMar>
              <w:top w:w="90" w:type="dxa"/>
              <w:start w:w="100" w:type="dxa"/>
              <w:bottom w:w="90" w:type="dxa"/>
              <w:end w:w="100" w:type="dxa"/>
            </w:tcMar>
            <w:vAlign w:val="center"/>
          </w:tcPr>
          <w:p>
            <w:pPr>
              <w:spacing w:after="0"/>
            </w:pPr>
            <w:r>
              <w:rPr>
                <w:rFonts w:ascii="Aptos" w:hAnsi="Aptos" w:eastAsia="Aptos"/>
                <w:sz w:val="15"/>
              </w:rPr>
              <w:t>path consistency и horizon</w:t>
            </w:r>
          </w:p>
        </w:tc>
        <w:tc>
          <w:tcPr>
            <w:tcW w:type="dxa" w:w="2016"/>
            <w:tcMar>
              <w:top w:w="90" w:type="dxa"/>
              <w:start w:w="100" w:type="dxa"/>
              <w:bottom w:w="90" w:type="dxa"/>
              <w:end w:w="100" w:type="dxa"/>
            </w:tcMar>
            <w:vAlign w:val="center"/>
          </w:tcPr>
          <w:p>
            <w:pPr>
              <w:spacing w:after="0"/>
            </w:pPr>
            <w:r>
              <w:rPr>
                <w:rFonts w:ascii="Aptos" w:hAnsi="Aptos" w:eastAsia="Aptos"/>
                <w:sz w:val="15"/>
              </w:rPr>
              <w:t>existence/uniqueness</w:t>
            </w:r>
          </w:p>
        </w:tc>
      </w:tr>
      <w:tr>
        <w:tc>
          <w:tcPr>
            <w:tcW w:type="dxa" w:w="648"/>
            <w:tcMar>
              <w:top w:w="90" w:type="dxa"/>
              <w:start w:w="100" w:type="dxa"/>
              <w:bottom w:w="90" w:type="dxa"/>
              <w:end w:w="100" w:type="dxa"/>
            </w:tcMar>
            <w:vAlign w:val="center"/>
            <w:shd w:fill="F5F7F9"/>
          </w:tcPr>
          <w:p>
            <w:pPr>
              <w:spacing w:after="0"/>
            </w:pPr>
            <w:r>
              <w:rPr>
                <w:rFonts w:ascii="Aptos" w:hAnsi="Aptos" w:eastAsia="Aptos"/>
                <w:sz w:val="15"/>
              </w:rPr>
              <w:t>F7</w:t>
            </w:r>
          </w:p>
        </w:tc>
        <w:tc>
          <w:tcPr>
            <w:tcW w:type="dxa" w:w="2016"/>
            <w:tcMar>
              <w:top w:w="90" w:type="dxa"/>
              <w:start w:w="100" w:type="dxa"/>
              <w:bottom w:w="90" w:type="dxa"/>
              <w:end w:w="100" w:type="dxa"/>
            </w:tcMar>
            <w:vAlign w:val="center"/>
            <w:shd w:fill="F5F7F9"/>
          </w:tcPr>
          <w:p>
            <w:pPr>
              <w:spacing w:after="0"/>
            </w:pPr>
            <w:r>
              <w:rPr>
                <w:rFonts w:ascii="Aptos" w:hAnsi="Aptos" w:eastAsia="Aptos"/>
                <w:sz w:val="15"/>
              </w:rPr>
              <w:t>Stochastic</w:t>
            </w:r>
          </w:p>
        </w:tc>
        <w:tc>
          <w:tcPr>
            <w:tcW w:type="dxa" w:w="2232"/>
            <w:tcMar>
              <w:top w:w="90" w:type="dxa"/>
              <w:start w:w="100" w:type="dxa"/>
              <w:bottom w:w="90" w:type="dxa"/>
              <w:end w:w="100" w:type="dxa"/>
            </w:tcMar>
            <w:vAlign w:val="center"/>
            <w:shd w:fill="F5F7F9"/>
          </w:tcPr>
          <w:p>
            <w:pPr>
              <w:spacing w:after="0"/>
            </w:pPr>
            <w:r>
              <w:rPr>
                <w:rFonts w:ascii="Aptos" w:hAnsi="Aptos" w:eastAsia="Aptos"/>
                <w:sz w:val="15"/>
              </w:rPr>
              <w:t>basis, law, filtration</w:t>
            </w:r>
          </w:p>
        </w:tc>
        <w:tc>
          <w:tcPr>
            <w:tcW w:type="dxa" w:w="3600"/>
            <w:tcMar>
              <w:top w:w="90" w:type="dxa"/>
              <w:start w:w="100" w:type="dxa"/>
              <w:bottom w:w="90" w:type="dxa"/>
              <w:end w:w="100" w:type="dxa"/>
            </w:tcMar>
            <w:vAlign w:val="center"/>
            <w:shd w:fill="F5F7F9"/>
          </w:tcPr>
          <w:p>
            <w:pPr>
              <w:spacing w:after="0"/>
            </w:pPr>
            <w:r>
              <w:rPr>
                <w:rFonts w:ascii="Aptos" w:hAnsi="Aptos" w:eastAsia="Aptos"/>
                <w:sz w:val="15"/>
              </w:rPr>
              <w:t>martingale/generator certificate</w:t>
            </w:r>
          </w:p>
        </w:tc>
        <w:tc>
          <w:tcPr>
            <w:tcW w:type="dxa" w:w="2016"/>
            <w:tcMar>
              <w:top w:w="90" w:type="dxa"/>
              <w:start w:w="100" w:type="dxa"/>
              <w:bottom w:w="90" w:type="dxa"/>
              <w:end w:w="100" w:type="dxa"/>
            </w:tcMar>
            <w:vAlign w:val="center"/>
            <w:shd w:fill="F5F7F9"/>
          </w:tcPr>
          <w:p>
            <w:pPr>
              <w:spacing w:after="0"/>
            </w:pPr>
            <w:r>
              <w:rPr>
                <w:rFonts w:ascii="Aptos" w:hAnsi="Aptos" w:eastAsia="Aptos"/>
                <w:sz w:val="15"/>
              </w:rPr>
              <w:t>measurability/core</w:t>
            </w:r>
          </w:p>
        </w:tc>
      </w:tr>
      <w:tr>
        <w:tc>
          <w:tcPr>
            <w:tcW w:type="dxa" w:w="648"/>
            <w:tcMar>
              <w:top w:w="90" w:type="dxa"/>
              <w:start w:w="100" w:type="dxa"/>
              <w:bottom w:w="90" w:type="dxa"/>
              <w:end w:w="100" w:type="dxa"/>
            </w:tcMar>
            <w:vAlign w:val="center"/>
          </w:tcPr>
          <w:p>
            <w:pPr>
              <w:spacing w:after="0"/>
            </w:pPr>
            <w:r>
              <w:rPr>
                <w:rFonts w:ascii="Aptos" w:hAnsi="Aptos" w:eastAsia="Aptos"/>
                <w:sz w:val="15"/>
              </w:rPr>
              <w:t>F8</w:t>
            </w:r>
          </w:p>
        </w:tc>
        <w:tc>
          <w:tcPr>
            <w:tcW w:type="dxa" w:w="2016"/>
            <w:tcMar>
              <w:top w:w="90" w:type="dxa"/>
              <w:start w:w="100" w:type="dxa"/>
              <w:bottom w:w="90" w:type="dxa"/>
              <w:end w:w="100" w:type="dxa"/>
            </w:tcMar>
            <w:vAlign w:val="center"/>
          </w:tcPr>
          <w:p>
            <w:pPr>
              <w:spacing w:after="0"/>
            </w:pPr>
            <w:r>
              <w:rPr>
                <w:rFonts w:ascii="Aptos" w:hAnsi="Aptos" w:eastAsia="Aptos"/>
                <w:sz w:val="15"/>
              </w:rPr>
              <w:t>Causal</w:t>
            </w:r>
          </w:p>
        </w:tc>
        <w:tc>
          <w:tcPr>
            <w:tcW w:type="dxa" w:w="2232"/>
            <w:tcMar>
              <w:top w:w="90" w:type="dxa"/>
              <w:start w:w="100" w:type="dxa"/>
              <w:bottom w:w="90" w:type="dxa"/>
              <w:end w:w="100" w:type="dxa"/>
            </w:tcMar>
            <w:vAlign w:val="center"/>
          </w:tcPr>
          <w:p>
            <w:pPr>
              <w:spacing w:after="0"/>
            </w:pPr>
            <w:r>
              <w:rPr>
                <w:rFonts w:ascii="Aptos" w:hAnsi="Aptos" w:eastAsia="Aptos"/>
                <w:sz w:val="15"/>
              </w:rPr>
              <w:t>SCM/intervention assumptions</w:t>
            </w:r>
          </w:p>
        </w:tc>
        <w:tc>
          <w:tcPr>
            <w:tcW w:type="dxa" w:w="3600"/>
            <w:tcMar>
              <w:top w:w="90" w:type="dxa"/>
              <w:start w:w="100" w:type="dxa"/>
              <w:bottom w:w="90" w:type="dxa"/>
              <w:end w:w="100" w:type="dxa"/>
            </w:tcMar>
            <w:vAlign w:val="center"/>
          </w:tcPr>
          <w:p>
            <w:pPr>
              <w:spacing w:after="0"/>
            </w:pPr>
            <w:r>
              <w:rPr>
                <w:rFonts w:ascii="Aptos" w:hAnsi="Aptos" w:eastAsia="Aptos"/>
                <w:sz w:val="15"/>
              </w:rPr>
              <w:t>identified causal functional</w:t>
            </w:r>
          </w:p>
        </w:tc>
        <w:tc>
          <w:tcPr>
            <w:tcW w:type="dxa" w:w="2016"/>
            <w:tcMar>
              <w:top w:w="90" w:type="dxa"/>
              <w:start w:w="100" w:type="dxa"/>
              <w:bottom w:w="90" w:type="dxa"/>
              <w:end w:w="100" w:type="dxa"/>
            </w:tcMar>
            <w:vAlign w:val="center"/>
          </w:tcPr>
          <w:p>
            <w:pPr>
              <w:spacing w:after="0"/>
            </w:pPr>
            <w:r>
              <w:rPr>
                <w:rFonts w:ascii="Aptos" w:hAnsi="Aptos" w:eastAsia="Aptos"/>
                <w:sz w:val="15"/>
              </w:rPr>
              <w:t>nonidentifiability</w:t>
            </w:r>
          </w:p>
        </w:tc>
      </w:tr>
      <w:tr>
        <w:tc>
          <w:tcPr>
            <w:tcW w:type="dxa" w:w="648"/>
            <w:tcMar>
              <w:top w:w="90" w:type="dxa"/>
              <w:start w:w="100" w:type="dxa"/>
              <w:bottom w:w="90" w:type="dxa"/>
              <w:end w:w="100" w:type="dxa"/>
            </w:tcMar>
            <w:vAlign w:val="center"/>
            <w:shd w:fill="F5F7F9"/>
          </w:tcPr>
          <w:p>
            <w:pPr>
              <w:spacing w:after="0"/>
            </w:pPr>
            <w:r>
              <w:rPr>
                <w:rFonts w:ascii="Aptos" w:hAnsi="Aptos" w:eastAsia="Aptos"/>
                <w:sz w:val="15"/>
              </w:rPr>
              <w:t>F9</w:t>
            </w:r>
          </w:p>
        </w:tc>
        <w:tc>
          <w:tcPr>
            <w:tcW w:type="dxa" w:w="2016"/>
            <w:tcMar>
              <w:top w:w="90" w:type="dxa"/>
              <w:start w:w="100" w:type="dxa"/>
              <w:bottom w:w="90" w:type="dxa"/>
              <w:end w:w="100" w:type="dxa"/>
            </w:tcMar>
            <w:vAlign w:val="center"/>
            <w:shd w:fill="F5F7F9"/>
          </w:tcPr>
          <w:p>
            <w:pPr>
              <w:spacing w:after="0"/>
            </w:pPr>
            <w:r>
              <w:rPr>
                <w:rFonts w:ascii="Aptos" w:hAnsi="Aptos" w:eastAsia="Aptos"/>
                <w:sz w:val="15"/>
              </w:rPr>
              <w:t>Rare/Robust</w:t>
            </w:r>
          </w:p>
        </w:tc>
        <w:tc>
          <w:tcPr>
            <w:tcW w:type="dxa" w:w="2232"/>
            <w:tcMar>
              <w:top w:w="90" w:type="dxa"/>
              <w:start w:w="100" w:type="dxa"/>
              <w:bottom w:w="90" w:type="dxa"/>
              <w:end w:w="100" w:type="dxa"/>
            </w:tcMar>
            <w:vAlign w:val="center"/>
            <w:shd w:fill="F5F7F9"/>
          </w:tcPr>
          <w:p>
            <w:pPr>
              <w:spacing w:after="0"/>
            </w:pPr>
            <w:r>
              <w:rPr>
                <w:rFonts w:ascii="Aptos" w:hAnsi="Aptos" w:eastAsia="Aptos"/>
                <w:sz w:val="15"/>
              </w:rPr>
              <w:t>LDP, target, ambiguity</w:t>
            </w:r>
          </w:p>
        </w:tc>
        <w:tc>
          <w:tcPr>
            <w:tcW w:type="dxa" w:w="3600"/>
            <w:tcMar>
              <w:top w:w="90" w:type="dxa"/>
              <w:start w:w="100" w:type="dxa"/>
              <w:bottom w:w="90" w:type="dxa"/>
              <w:end w:w="100" w:type="dxa"/>
            </w:tcMar>
            <w:vAlign w:val="center"/>
            <w:shd w:fill="F5F7F9"/>
          </w:tcPr>
          <w:p>
            <w:pPr>
              <w:spacing w:after="0"/>
            </w:pPr>
            <w:r>
              <w:rPr>
                <w:rFonts w:ascii="Aptos" w:hAnsi="Aptos" w:eastAsia="Aptos"/>
                <w:sz w:val="15"/>
              </w:rPr>
              <w:t>finite-n/LDP/robust risk status</w:t>
            </w:r>
          </w:p>
        </w:tc>
        <w:tc>
          <w:tcPr>
            <w:tcW w:type="dxa" w:w="2016"/>
            <w:tcMar>
              <w:top w:w="90" w:type="dxa"/>
              <w:start w:w="100" w:type="dxa"/>
              <w:bottom w:w="90" w:type="dxa"/>
              <w:end w:w="100" w:type="dxa"/>
            </w:tcMar>
            <w:vAlign w:val="center"/>
            <w:shd w:fill="F5F7F9"/>
          </w:tcPr>
          <w:p>
            <w:pPr>
              <w:spacing w:after="0"/>
            </w:pPr>
            <w:r>
              <w:rPr>
                <w:rFonts w:ascii="Aptos" w:hAnsi="Aptos" w:eastAsia="Aptos"/>
                <w:sz w:val="15"/>
              </w:rPr>
              <w:t>remainder/coverage</w:t>
            </w:r>
          </w:p>
        </w:tc>
      </w:tr>
      <w:tr>
        <w:tc>
          <w:tcPr>
            <w:tcW w:type="dxa" w:w="648"/>
            <w:tcMar>
              <w:top w:w="90" w:type="dxa"/>
              <w:start w:w="100" w:type="dxa"/>
              <w:bottom w:w="90" w:type="dxa"/>
              <w:end w:w="100" w:type="dxa"/>
            </w:tcMar>
            <w:vAlign w:val="center"/>
          </w:tcPr>
          <w:p>
            <w:pPr>
              <w:spacing w:after="0"/>
            </w:pPr>
            <w:r>
              <w:rPr>
                <w:rFonts w:ascii="Aptos" w:hAnsi="Aptos" w:eastAsia="Aptos"/>
                <w:sz w:val="15"/>
              </w:rPr>
              <w:t>F10</w:t>
            </w:r>
          </w:p>
        </w:tc>
        <w:tc>
          <w:tcPr>
            <w:tcW w:type="dxa" w:w="2016"/>
            <w:tcMar>
              <w:top w:w="90" w:type="dxa"/>
              <w:start w:w="100" w:type="dxa"/>
              <w:bottom w:w="90" w:type="dxa"/>
              <w:end w:w="100" w:type="dxa"/>
            </w:tcMar>
            <w:vAlign w:val="center"/>
          </w:tcPr>
          <w:p>
            <w:pPr>
              <w:spacing w:after="0"/>
            </w:pPr>
            <w:r>
              <w:rPr>
                <w:rFonts w:ascii="Aptos" w:hAnsi="Aptos" w:eastAsia="Aptos"/>
                <w:sz w:val="15"/>
              </w:rPr>
              <w:t>Validation</w:t>
            </w:r>
          </w:p>
        </w:tc>
        <w:tc>
          <w:tcPr>
            <w:tcW w:type="dxa" w:w="2232"/>
            <w:tcMar>
              <w:top w:w="90" w:type="dxa"/>
              <w:start w:w="100" w:type="dxa"/>
              <w:bottom w:w="90" w:type="dxa"/>
              <w:end w:w="100" w:type="dxa"/>
            </w:tcMar>
            <w:vAlign w:val="center"/>
          </w:tcPr>
          <w:p>
            <w:pPr>
              <w:spacing w:after="0"/>
            </w:pPr>
            <w:r>
              <w:rPr>
                <w:rFonts w:ascii="Aptos" w:hAnsi="Aptos" w:eastAsia="Aptos"/>
                <w:sz w:val="15"/>
              </w:rPr>
              <w:t>blind external split</w:t>
            </w:r>
          </w:p>
        </w:tc>
        <w:tc>
          <w:tcPr>
            <w:tcW w:type="dxa" w:w="3600"/>
            <w:tcMar>
              <w:top w:w="90" w:type="dxa"/>
              <w:start w:w="100" w:type="dxa"/>
              <w:bottom w:w="90" w:type="dxa"/>
              <w:end w:w="100" w:type="dxa"/>
            </w:tcMar>
            <w:vAlign w:val="center"/>
          </w:tcPr>
          <w:p>
            <w:pPr>
              <w:spacing w:after="0"/>
            </w:pPr>
            <w:r>
              <w:rPr>
                <w:rFonts w:ascii="Aptos" w:hAnsi="Aptos" w:eastAsia="Aptos"/>
                <w:sz w:val="15"/>
              </w:rPr>
              <w:t>independent performance certificate</w:t>
            </w:r>
          </w:p>
        </w:tc>
        <w:tc>
          <w:tcPr>
            <w:tcW w:type="dxa" w:w="2016"/>
            <w:tcMar>
              <w:top w:w="90" w:type="dxa"/>
              <w:start w:w="100" w:type="dxa"/>
              <w:bottom w:w="90" w:type="dxa"/>
              <w:end w:w="100" w:type="dxa"/>
            </w:tcMar>
            <w:vAlign w:val="center"/>
          </w:tcPr>
          <w:p>
            <w:pPr>
              <w:spacing w:after="0"/>
            </w:pPr>
            <w:r>
              <w:rPr>
                <w:rFonts w:ascii="Aptos" w:hAnsi="Aptos" w:eastAsia="Aptos"/>
                <w:sz w:val="15"/>
              </w:rPr>
              <w:t>leakage/power</w:t>
            </w:r>
          </w:p>
        </w:tc>
      </w:tr>
      <w:tr>
        <w:tc>
          <w:tcPr>
            <w:tcW w:type="dxa" w:w="648"/>
            <w:tcMar>
              <w:top w:w="90" w:type="dxa"/>
              <w:start w:w="100" w:type="dxa"/>
              <w:bottom w:w="90" w:type="dxa"/>
              <w:end w:w="100" w:type="dxa"/>
            </w:tcMar>
            <w:vAlign w:val="center"/>
            <w:shd w:fill="F5F7F9"/>
          </w:tcPr>
          <w:p>
            <w:pPr>
              <w:spacing w:after="0"/>
            </w:pPr>
            <w:r>
              <w:rPr>
                <w:rFonts w:ascii="Aptos" w:hAnsi="Aptos" w:eastAsia="Aptos"/>
                <w:sz w:val="15"/>
              </w:rPr>
              <w:t>F11</w:t>
            </w:r>
          </w:p>
        </w:tc>
        <w:tc>
          <w:tcPr>
            <w:tcW w:type="dxa" w:w="2016"/>
            <w:tcMar>
              <w:top w:w="90" w:type="dxa"/>
              <w:start w:w="100" w:type="dxa"/>
              <w:bottom w:w="90" w:type="dxa"/>
              <w:end w:w="100" w:type="dxa"/>
            </w:tcMar>
            <w:vAlign w:val="center"/>
            <w:shd w:fill="F5F7F9"/>
          </w:tcPr>
          <w:p>
            <w:pPr>
              <w:spacing w:after="0"/>
            </w:pPr>
            <w:r>
              <w:rPr>
                <w:rFonts w:ascii="Aptos" w:hAnsi="Aptos" w:eastAsia="Aptos"/>
                <w:sz w:val="15"/>
              </w:rPr>
              <w:t>Release</w:t>
            </w:r>
          </w:p>
        </w:tc>
        <w:tc>
          <w:tcPr>
            <w:tcW w:type="dxa" w:w="2232"/>
            <w:tcMar>
              <w:top w:w="90" w:type="dxa"/>
              <w:start w:w="100" w:type="dxa"/>
              <w:bottom w:w="90" w:type="dxa"/>
              <w:end w:w="100" w:type="dxa"/>
            </w:tcMar>
            <w:vAlign w:val="center"/>
            <w:shd w:fill="F5F7F9"/>
          </w:tcPr>
          <w:p>
            <w:pPr>
              <w:spacing w:after="0"/>
            </w:pPr>
            <w:r>
              <w:rPr>
                <w:rFonts w:ascii="Aptos" w:hAnsi="Aptos" w:eastAsia="Aptos"/>
                <w:sz w:val="15"/>
              </w:rPr>
              <w:t>all ledgers</w:t>
            </w:r>
          </w:p>
        </w:tc>
        <w:tc>
          <w:tcPr>
            <w:tcW w:type="dxa" w:w="3600"/>
            <w:tcMar>
              <w:top w:w="90" w:type="dxa"/>
              <w:start w:w="100" w:type="dxa"/>
              <w:bottom w:w="90" w:type="dxa"/>
              <w:end w:w="100" w:type="dxa"/>
            </w:tcMar>
            <w:vAlign w:val="center"/>
            <w:shd w:fill="F5F7F9"/>
          </w:tcPr>
          <w:p>
            <w:pPr>
              <w:spacing w:after="0"/>
            </w:pPr>
            <w:r>
              <w:rPr>
                <w:rFonts w:ascii="Aptos" w:hAnsi="Aptos" w:eastAsia="Aptos"/>
                <w:sz w:val="15"/>
              </w:rPr>
              <w:t>typed verdict + immutable manifest</w:t>
            </w:r>
          </w:p>
        </w:tc>
        <w:tc>
          <w:tcPr>
            <w:tcW w:type="dxa" w:w="2016"/>
            <w:tcMar>
              <w:top w:w="90" w:type="dxa"/>
              <w:start w:w="100" w:type="dxa"/>
              <w:bottom w:w="90" w:type="dxa"/>
              <w:end w:w="100" w:type="dxa"/>
            </w:tcMar>
            <w:vAlign w:val="center"/>
            <w:shd w:fill="F5F7F9"/>
          </w:tcPr>
          <w:p>
            <w:pPr>
              <w:spacing w:after="0"/>
            </w:pPr>
            <w:r>
              <w:rPr>
                <w:rFonts w:ascii="Aptos" w:hAnsi="Aptos" w:eastAsia="Aptos"/>
                <w:sz w:val="15"/>
              </w:rPr>
              <w:t>any unresolved required blocker</w:t>
            </w:r>
          </w:p>
        </w:tc>
      </w:tr>
    </w:tbl>
    <w:p>
      <w:pPr>
        <w:pStyle w:val="Heading1"/>
        <w:widowControl/>
      </w:pPr>
      <w:r>
        <w:t>392. F₀: источник, идентичность и происхождение</w:t>
      </w:r>
    </w:p>
    <w:p>
      <w:pPr>
        <w:widowControl/>
      </w:pPr>
      <w:r>
        <w:rPr>
          <w:i w:val="0"/>
        </w:rPr>
        <w:t>F₀ проверяет byte identity, MIME/type, schema version, timestamps как низкодоверительный сигнал, creator/owner metadata, лицензирование и связь с source ledger. Две копии с одинаковым названием не считаются одним источником без хеша или содержательной сверки.</w:t>
      </w:r>
    </w:p>
    <w:p>
      <w:pPr>
        <w:pStyle w:val="Quote"/>
        <w:widowControl/>
        <w:jc w:val="center"/>
      </w:pPr>
      <w:r>
        <w:t>F₀(S)=OK(S*, Cert_src, B₀) или FAIL(HASH-MISMATCH) или ABSTAIN(SOURCE-AMBIGUOUS).  (24.20)</w:t>
      </w:r>
    </w:p>
    <w:p>
      <w:pPr>
        <w:pStyle w:val="Heading1"/>
        <w:widowControl/>
      </w:pPr>
      <w:r>
        <w:t>393. F₁: Reper-lift и D/Dom authorization</w:t>
      </w:r>
    </w:p>
    <w:p>
      <w:pPr>
        <w:widowControl/>
      </w:pPr>
      <w:r>
        <w:rPr>
          <w:i w:val="0"/>
        </w:rPr>
        <w:t>F₁ строит событие@состояние, Reper-четвёрку и однородную координату Λ. Гармоническое условие не создаёт truth-status без D и Dom, согласно formula-chain discipline PILOT-01.</w:t>
      </w:r>
    </w:p>
    <w:p>
      <w:pPr>
        <w:pStyle w:val="Quote"/>
        <w:widowControl/>
        <w:jc w:val="center"/>
      </w:pPr>
      <w:r>
        <w:t>F₁(x)=OK(Rep_x,Λ_x,Cert_D) только если Valid(D_x)∧Admissible(Dom_x).  (24.21)</w:t>
      </w:r>
    </w:p>
    <w:p>
      <w:pPr>
        <w:widowControl/>
      </w:pPr>
      <w:r>
        <w:rPr>
          <w:i w:val="0"/>
        </w:rPr>
        <w:t>Если D отсутствует, создаётся GAP-ASSUMP-MISSING; если Dom отсутствует, GAP-DOMAIN-MISSING. Это blocker, а не «низкая уверенность».</w:t>
      </w:r>
    </w:p>
    <w:p>
      <w:pPr>
        <w:pStyle w:val="Heading1"/>
        <w:widowControl/>
      </w:pPr>
      <w:r>
        <w:t>394. F₂-F₃: алгебро-геометрическое ядро NAPG</w:t>
      </w:r>
    </w:p>
    <w:p>
      <w:pPr>
        <w:widowControl/>
      </w:pPr>
      <w:r>
        <w:rPr>
          <w:i w:val="0"/>
        </w:rPr>
        <w:t>Алгебраический модуль проверяет носитель, поле, градуировку, билинейность, замкнутость, ассоциатор и структурные инварианты. Геометрический модуль проверяет атлас, переходы, расслоение, связность, кривизну и голономию. Неассоциативность операции в волокне не переносится на композицию переходных отображений без 2-категориальной структуры.</w:t>
      </w:r>
    </w:p>
    <w:p>
      <w:pPr>
        <w:pStyle w:val="Quote"/>
        <w:widowControl/>
        <w:jc w:val="center"/>
      </w:pPr>
      <w:r>
        <w:t>Cert_NAPG=(Ass_⊙, nuclei, invariants, atlas, cocycle, ∇,R_∇,Hol_D; Dom).  (24.22)</w:t>
      </w:r>
    </w:p>
    <w:p>
      <w:pPr>
        <w:pStyle w:val="Heading1"/>
        <w:widowControl/>
      </w:pPr>
      <w:r>
        <w:t>395. F₄: препятствия, когомологии и внешний E-мост</w:t>
      </w:r>
    </w:p>
    <w:p>
      <w:pPr>
        <w:widowControl/>
      </w:pPr>
      <w:r>
        <w:rPr>
          <w:i w:val="0"/>
        </w:rPr>
        <w:t>F₄ строит внутренний минимальный комплекс, obstruction carrier и, при выполнении мостовых гипотез, внешний образ Π_E. Well-definedness, независимость от представителя и естественность проверяются раздельно.</w:t>
      </w:r>
    </w:p>
    <w:p>
      <w:pPr>
        <w:pStyle w:val="Quote"/>
        <w:widowControl/>
        <w:jc w:val="center"/>
      </w:pPr>
      <w:r>
        <w:t>Π_E: 𝒪_B ⇀ H³(E),  status(Π_E)≤COND до закрытия B1-B8.  (24.23)</w:t>
      </w:r>
    </w:p>
    <w:p>
      <w:pPr>
        <w:widowControl/>
      </w:pPr>
      <w:r>
        <w:rPr>
          <w:i w:val="0"/>
        </w:rPr>
        <w:t>Нулевой образ не означает отсутствия внутреннего препятствия без инъективности. Ненулевой образ может дать одностороннюю детекцию, но не физический эффект.</w:t>
      </w:r>
    </w:p>
    <w:p>
      <w:pPr>
        <w:pStyle w:val="Heading1"/>
        <w:widowControl/>
      </w:pPr>
      <w:r>
        <w:t>396. F₅: global/derived/virtual слой</w:t>
      </w:r>
    </w:p>
    <w:p>
      <w:pPr>
        <w:widowControl/>
      </w:pPr>
      <w:r>
        <w:rPr>
          <w:i w:val="0"/>
        </w:rPr>
        <w:t>F₅ объединяет descent, Kuranishi charts, stratified moduli, wall-crossing, monodromy, stacky coherence, virtual classes и refined invariants. Каждый уровень имеет собственный carrier и не редуцируется автоматически к вероятности или времени.</w:t>
      </w:r>
    </w:p>
    <w:p>
      <w:pPr>
        <w:pStyle w:val="Quote"/>
        <w:widowControl/>
        <w:jc w:val="center"/>
      </w:pPr>
      <w:r>
        <w:t>GlobalOK ⇔ Descent∧Coherence∧Orientation∧Transport∧NoRequiredBlocker.  (24.24)</w:t>
      </w:r>
    </w:p>
    <w:p>
      <w:pPr>
        <w:pStyle w:val="Heading1"/>
        <w:widowControl/>
      </w:pPr>
      <w:r>
        <w:t>397. F₆: временной интерфейс и эволюция</w:t>
      </w:r>
    </w:p>
    <w:p>
      <w:pPr>
        <w:widowControl/>
      </w:pPr>
      <w:r>
        <w:rPr>
          <w:i w:val="0"/>
        </w:rPr>
        <w:t>Эволюционный модуль принимает generator/evolution family, path domain и initial state. Он проверяет существование, uniqueness там, где заявлена, cocycle/semigroup law, non-anticipation и сохранение admissible sector.</w:t>
      </w:r>
    </w:p>
    <w:p>
      <w:pPr>
        <w:pStyle w:val="Quote"/>
        <w:widowControl/>
        <w:jc w:val="center"/>
      </w:pPr>
      <w:r>
        <w:t>𝒰(t,r)𝒰(r,s)=𝒰(t,s),  s≤r≤t,  при согласованных Dom.  (24.25)</w:t>
      </w:r>
    </w:p>
    <w:p>
      <w:pPr>
        <w:widowControl/>
      </w:pPr>
      <w:r>
        <w:rPr>
          <w:i w:val="0"/>
        </w:rPr>
        <w:t>Параметр t считается физическим временем только после отдельной операционализации. В остальных случаях это deformation, iteration или bookkeeping parameter.</w:t>
      </w:r>
    </w:p>
    <w:p>
      <w:pPr>
        <w:pStyle w:val="Heading1"/>
        <w:widowControl/>
      </w:pPr>
      <w:r>
        <w:t>398. F₇-F₈: стохастический закон и причинный firewall</w:t>
      </w:r>
    </w:p>
    <w:p>
      <w:pPr>
        <w:widowControl/>
      </w:pPr>
      <w:r>
        <w:rPr>
          <w:i w:val="0"/>
        </w:rPr>
        <w:t>Стохастический модуль проверяет filtration, transition law/generator, martingale problem, stopping conditions и calibration. Причинный модуль отдельно проверяет intervention semantics, identification и transportability.</w:t>
      </w:r>
    </w:p>
    <w:p>
      <w:pPr>
        <w:pStyle w:val="Quote"/>
        <w:widowControl/>
        <w:jc w:val="center"/>
      </w:pPr>
      <w:r>
        <w:t>P_obs(Y|X) ≠ P(Y|do(X)) без структурного моста.  (24.26)</w:t>
      </w:r>
    </w:p>
    <w:p>
      <w:pPr>
        <w:widowControl/>
      </w:pPr>
      <w:r>
        <w:rPr>
          <w:i w:val="0"/>
        </w:rPr>
        <w:t>Даже идеальная наблюдательная калибровка не идентифицирует causal effect. Если causal Mode не запрошен, этот компонент может оставаться UNAVAILABLE без блокировки наблюдательного прогноза; если запрошен, он блокирует release.</w:t>
      </w:r>
    </w:p>
    <w:p>
      <w:pPr>
        <w:pStyle w:val="Heading1"/>
        <w:widowControl/>
      </w:pPr>
      <w:r>
        <w:t>399. F₉: rare-event и robust finite-sample слой</w:t>
      </w:r>
    </w:p>
    <w:p>
      <w:pPr>
        <w:widowControl/>
      </w:pPr>
      <w:r>
        <w:rPr>
          <w:i w:val="0"/>
        </w:rPr>
        <w:t>F₉ различает support impossibility, finite-sample risk bound, exponential suppression и low-action candidate. Он проверяет LDP, continuity, remainder, ambiguity coverage, importance weights и tail assumptions.</w:t>
      </w:r>
    </w:p>
    <w:p>
      <w:pPr>
        <w:pStyle w:val="Quote"/>
        <w:widowControl/>
        <w:jc w:val="center"/>
      </w:pPr>
      <w:r>
        <w:t>V_rare∈{IMPOSSIBLE-IN-MODEL, FINITE-SAMPLE-RISK-BOUND, EXPONENTIALLY-SUPPRESSED-IN-MODEL, CANDIDATE-RARE-TRANSITION, ABSTAIN}.  (24.27)</w:t>
      </w:r>
    </w:p>
    <w:p>
      <w:pPr>
        <w:pStyle w:val="Heading1"/>
        <w:widowControl/>
      </w:pPr>
      <w:r>
        <w:t>400. F₁₀-F₁₁: внешняя проверка и release gate</w:t>
      </w:r>
    </w:p>
    <w:p>
      <w:pPr>
        <w:widowControl/>
      </w:pPr>
      <w:r>
        <w:rPr>
          <w:i w:val="0"/>
        </w:rPr>
        <w:t>Validation использует только заранее отделённый внешний набор или независимый run. Release gate сравнивает запрошенный Mode с фактически доступными координатами вердикта, проверяет бюджеты, blockers, хеши и запрещённые повышения статуса.</w:t>
      </w:r>
    </w:p>
    <w:p>
      <w:pPr>
        <w:pStyle w:val="Quote"/>
        <w:widowControl/>
        <w:jc w:val="center"/>
      </w:pPr>
      <w:r>
        <w:t>Release=OK ⇔ Required(V,Q)=PASS ∧ B≤B* ∧ Block_required=∅ ∧ HashChain=VALID.  (24.28)</w:t>
      </w:r>
    </w:p>
    <w:p>
      <w:pPr>
        <w:widowControl/>
      </w:pPr>
      <w:r>
        <w:rPr>
          <w:i w:val="0"/>
        </w:rPr>
        <w:t>Внутренняя cross-validation не заменяет независимый EXT-RUN для F-1-F-14. Сколько бы раз ни перемешивался один и тот же набор, он не становится внешним. Прачечная тоже не превращает рубашку в нового владельца.</w:t>
      </w:r>
    </w:p>
    <w:p>
      <w:pPr>
        <w:pStyle w:val="Heading1"/>
        <w:widowControl/>
      </w:pPr>
      <w:r>
        <w:t>401. Составной вердикт вместо одного ярлыка</w:t>
      </w:r>
    </w:p>
    <w:p>
      <w:pPr>
        <w:widowControl/>
      </w:pPr>
      <w:r>
        <w:rPr>
          <w:i w:val="0"/>
        </w:rPr>
        <w:t>Определение 24.6. Итоговый вердикт есть кортеж</w:t>
      </w:r>
    </w:p>
    <w:p>
      <w:pPr>
        <w:pStyle w:val="Quote"/>
        <w:widowControl/>
        <w:jc w:val="center"/>
      </w:pPr>
      <w:r>
        <w:t>V=(V_struct,V_geom,V_ob,V_global,V_dyn,V_prob,V_causal,V_phys).  (24.29)</w:t>
      </w:r>
    </w:p>
    <w:tbl>
      <w:tblPr>
        <w:tblStyle w:val="TableGrid"/>
        <w:tblW w:type="auto" w:w="0"/>
        <w:jc w:val="center"/>
        <w:tblLook w:firstColumn="1" w:firstRow="1" w:lastColumn="0" w:lastRow="0" w:noHBand="0" w:noVBand="1" w:val="04A0"/>
        <w:tblBorders>
          <w:top w:val="single" w:sz="6" w:color="B5C3D1"/>
          <w:left w:val="single" w:sz="6" w:color="B5C3D1"/>
          <w:bottom w:val="single" w:sz="6" w:color="B5C3D1"/>
          <w:right w:val="single" w:sz="6" w:color="B5C3D1"/>
          <w:insideH w:val="single" w:sz="6" w:color="B5C3D1"/>
          <w:insideV w:val="single" w:sz="6" w:color="B5C3D1"/>
        </w:tblBorders>
      </w:tblPr>
      <w:tblGrid>
        <w:gridCol w:w="4876"/>
        <w:gridCol w:w="4876"/>
      </w:tblGrid>
      <w:tr>
        <w:trPr>
          <w:tblHeader w:val="true"/>
        </w:trPr>
        <w:tc>
          <w:tcPr>
            <w:tcW w:type="dxa" w:w="2016"/>
            <w:shd w:fill="173B67"/>
            <w:tcMar>
              <w:top w:w="110" w:type="dxa"/>
              <w:start w:w="110" w:type="dxa"/>
              <w:bottom w:w="110" w:type="dxa"/>
              <w:end w:w="110" w:type="dxa"/>
            </w:tcMar>
            <w:vAlign w:val="center"/>
          </w:tcPr>
          <w:p>
            <w:pPr>
              <w:jc w:val="center"/>
            </w:pPr>
            <w:r>
              <w:rPr>
                <w:rFonts w:ascii="Aptos" w:hAnsi="Aptos" w:eastAsia="Aptos"/>
                <w:b/>
                <w:color w:val="FFFFFF"/>
                <w:sz w:val="17"/>
              </w:rPr>
              <w:t>Координата</w:t>
            </w:r>
          </w:p>
        </w:tc>
        <w:tc>
          <w:tcPr>
            <w:tcW w:type="dxa" w:w="7344"/>
            <w:shd w:fill="173B67"/>
            <w:tcMar>
              <w:top w:w="110" w:type="dxa"/>
              <w:start w:w="110" w:type="dxa"/>
              <w:bottom w:w="110" w:type="dxa"/>
              <w:end w:w="110" w:type="dxa"/>
            </w:tcMar>
            <w:vAlign w:val="center"/>
          </w:tcPr>
          <w:p>
            <w:pPr>
              <w:jc w:val="center"/>
            </w:pPr>
            <w:r>
              <w:rPr>
                <w:rFonts w:ascii="Aptos" w:hAnsi="Aptos" w:eastAsia="Aptos"/>
                <w:b/>
                <w:color w:val="FFFFFF"/>
                <w:sz w:val="17"/>
              </w:rPr>
              <w:t>Допустимые значения</w:t>
            </w:r>
          </w:p>
        </w:tc>
      </w:tr>
      <w:tr>
        <w:tc>
          <w:tcPr>
            <w:tcW w:type="dxa" w:w="2016"/>
            <w:tcMar>
              <w:top w:w="90" w:type="dxa"/>
              <w:start w:w="100" w:type="dxa"/>
              <w:bottom w:w="90" w:type="dxa"/>
              <w:end w:w="100" w:type="dxa"/>
            </w:tcMar>
            <w:vAlign w:val="center"/>
          </w:tcPr>
          <w:p>
            <w:pPr>
              <w:spacing w:after="0"/>
            </w:pPr>
            <w:r>
              <w:rPr>
                <w:rFonts w:ascii="Aptos" w:hAnsi="Aptos" w:eastAsia="Aptos"/>
                <w:sz w:val="17"/>
              </w:rPr>
              <w:t>V_struct</w:t>
            </w:r>
          </w:p>
        </w:tc>
        <w:tc>
          <w:tcPr>
            <w:tcW w:type="dxa" w:w="7344"/>
            <w:tcMar>
              <w:top w:w="90" w:type="dxa"/>
              <w:start w:w="100" w:type="dxa"/>
              <w:bottom w:w="90" w:type="dxa"/>
              <w:end w:w="100" w:type="dxa"/>
            </w:tcMar>
            <w:vAlign w:val="center"/>
          </w:tcPr>
          <w:p>
            <w:pPr>
              <w:spacing w:after="0"/>
            </w:pPr>
            <w:r>
              <w:rPr>
                <w:rFonts w:ascii="Aptos" w:hAnsi="Aptos" w:eastAsia="Aptos"/>
                <w:sz w:val="17"/>
              </w:rPr>
              <w:t>NO-CHANGE-IN-MODEL / CANDIDATE / FAIL / ABSTAIN</w:t>
            </w:r>
          </w:p>
        </w:tc>
      </w:tr>
      <w:tr>
        <w:tc>
          <w:tcPr>
            <w:tcW w:type="dxa" w:w="2016"/>
            <w:tcMar>
              <w:top w:w="90" w:type="dxa"/>
              <w:start w:w="100" w:type="dxa"/>
              <w:bottom w:w="90" w:type="dxa"/>
              <w:end w:w="100" w:type="dxa"/>
            </w:tcMar>
            <w:vAlign w:val="center"/>
            <w:shd w:fill="F5F7F9"/>
          </w:tcPr>
          <w:p>
            <w:pPr>
              <w:spacing w:after="0"/>
            </w:pPr>
            <w:r>
              <w:rPr>
                <w:rFonts w:ascii="Aptos" w:hAnsi="Aptos" w:eastAsia="Aptos"/>
                <w:sz w:val="17"/>
              </w:rPr>
              <w:t>V_geom</w:t>
            </w:r>
          </w:p>
        </w:tc>
        <w:tc>
          <w:tcPr>
            <w:tcW w:type="dxa" w:w="7344"/>
            <w:tcMar>
              <w:top w:w="90" w:type="dxa"/>
              <w:start w:w="100" w:type="dxa"/>
              <w:bottom w:w="90" w:type="dxa"/>
              <w:end w:w="100" w:type="dxa"/>
            </w:tcMar>
            <w:vAlign w:val="center"/>
            <w:shd w:fill="F5F7F9"/>
          </w:tcPr>
          <w:p>
            <w:pPr>
              <w:spacing w:after="0"/>
            </w:pPr>
            <w:r>
              <w:rPr>
                <w:rFonts w:ascii="Aptos" w:hAnsi="Aptos" w:eastAsia="Aptos"/>
                <w:sz w:val="17"/>
              </w:rPr>
              <w:t>WELL-DEFINED / LOCAL-ONLY / GLOBAL / FAIL / ABSTAIN</w:t>
            </w:r>
          </w:p>
        </w:tc>
      </w:tr>
      <w:tr>
        <w:tc>
          <w:tcPr>
            <w:tcW w:type="dxa" w:w="2016"/>
            <w:tcMar>
              <w:top w:w="90" w:type="dxa"/>
              <w:start w:w="100" w:type="dxa"/>
              <w:bottom w:w="90" w:type="dxa"/>
              <w:end w:w="100" w:type="dxa"/>
            </w:tcMar>
            <w:vAlign w:val="center"/>
          </w:tcPr>
          <w:p>
            <w:pPr>
              <w:spacing w:after="0"/>
            </w:pPr>
            <w:r>
              <w:rPr>
                <w:rFonts w:ascii="Aptos" w:hAnsi="Aptos" w:eastAsia="Aptos"/>
                <w:sz w:val="17"/>
              </w:rPr>
              <w:t>V_ob</w:t>
            </w:r>
          </w:p>
        </w:tc>
        <w:tc>
          <w:tcPr>
            <w:tcW w:type="dxa" w:w="7344"/>
            <w:tcMar>
              <w:top w:w="90" w:type="dxa"/>
              <w:start w:w="100" w:type="dxa"/>
              <w:bottom w:w="90" w:type="dxa"/>
              <w:end w:w="100" w:type="dxa"/>
            </w:tcMar>
            <w:vAlign w:val="center"/>
          </w:tcPr>
          <w:p>
            <w:pPr>
              <w:spacing w:after="0"/>
            </w:pPr>
            <w:r>
              <w:rPr>
                <w:rFonts w:ascii="Aptos" w:hAnsi="Aptos" w:eastAsia="Aptos"/>
                <w:sz w:val="17"/>
              </w:rPr>
              <w:t>OBSTRUCTED / UNOBSTRUCTED-IN-CERTIFIED-COMPLEX / UNDETECTED / ABSTAIN</w:t>
            </w:r>
          </w:p>
        </w:tc>
      </w:tr>
      <w:tr>
        <w:tc>
          <w:tcPr>
            <w:tcW w:type="dxa" w:w="2016"/>
            <w:tcMar>
              <w:top w:w="90" w:type="dxa"/>
              <w:start w:w="100" w:type="dxa"/>
              <w:bottom w:w="90" w:type="dxa"/>
              <w:end w:w="100" w:type="dxa"/>
            </w:tcMar>
            <w:vAlign w:val="center"/>
            <w:shd w:fill="F5F7F9"/>
          </w:tcPr>
          <w:p>
            <w:pPr>
              <w:spacing w:after="0"/>
            </w:pPr>
            <w:r>
              <w:rPr>
                <w:rFonts w:ascii="Aptos" w:hAnsi="Aptos" w:eastAsia="Aptos"/>
                <w:sz w:val="17"/>
              </w:rPr>
              <w:t>V_global</w:t>
            </w:r>
          </w:p>
        </w:tc>
        <w:tc>
          <w:tcPr>
            <w:tcW w:type="dxa" w:w="7344"/>
            <w:tcMar>
              <w:top w:w="90" w:type="dxa"/>
              <w:start w:w="100" w:type="dxa"/>
              <w:bottom w:w="90" w:type="dxa"/>
              <w:end w:w="100" w:type="dxa"/>
            </w:tcMar>
            <w:vAlign w:val="center"/>
            <w:shd w:fill="F5F7F9"/>
          </w:tcPr>
          <w:p>
            <w:pPr>
              <w:spacing w:after="0"/>
            </w:pPr>
            <w:r>
              <w:rPr>
                <w:rFonts w:ascii="Aptos" w:hAnsi="Aptos" w:eastAsia="Aptos"/>
                <w:sz w:val="17"/>
              </w:rPr>
              <w:t>NO-GLOBAL-TRANSITION / CANDIDATE-GLOBAL / ABSTAIN</w:t>
            </w:r>
          </w:p>
        </w:tc>
      </w:tr>
      <w:tr>
        <w:tc>
          <w:tcPr>
            <w:tcW w:type="dxa" w:w="2016"/>
            <w:tcMar>
              <w:top w:w="90" w:type="dxa"/>
              <w:start w:w="100" w:type="dxa"/>
              <w:bottom w:w="90" w:type="dxa"/>
              <w:end w:w="100" w:type="dxa"/>
            </w:tcMar>
            <w:vAlign w:val="center"/>
          </w:tcPr>
          <w:p>
            <w:pPr>
              <w:spacing w:after="0"/>
            </w:pPr>
            <w:r>
              <w:rPr>
                <w:rFonts w:ascii="Aptos" w:hAnsi="Aptos" w:eastAsia="Aptos"/>
                <w:sz w:val="17"/>
              </w:rPr>
              <w:t>V_dyn</w:t>
            </w:r>
          </w:p>
        </w:tc>
        <w:tc>
          <w:tcPr>
            <w:tcW w:type="dxa" w:w="7344"/>
            <w:tcMar>
              <w:top w:w="90" w:type="dxa"/>
              <w:start w:w="100" w:type="dxa"/>
              <w:bottom w:w="90" w:type="dxa"/>
              <w:end w:w="100" w:type="dxa"/>
            </w:tcMar>
            <w:vAlign w:val="center"/>
          </w:tcPr>
          <w:p>
            <w:pPr>
              <w:spacing w:after="0"/>
            </w:pPr>
            <w:r>
              <w:rPr>
                <w:rFonts w:ascii="Aptos" w:hAnsi="Aptos" w:eastAsia="Aptos"/>
                <w:sz w:val="17"/>
              </w:rPr>
              <w:t>NO-HIT / TIME-CORRIDOR / CANDIDATE / ABSTAIN</w:t>
            </w:r>
          </w:p>
        </w:tc>
      </w:tr>
      <w:tr>
        <w:tc>
          <w:tcPr>
            <w:tcW w:type="dxa" w:w="2016"/>
            <w:tcMar>
              <w:top w:w="90" w:type="dxa"/>
              <w:start w:w="100" w:type="dxa"/>
              <w:bottom w:w="90" w:type="dxa"/>
              <w:end w:w="100" w:type="dxa"/>
            </w:tcMar>
            <w:vAlign w:val="center"/>
            <w:shd w:fill="F5F7F9"/>
          </w:tcPr>
          <w:p>
            <w:pPr>
              <w:spacing w:after="0"/>
            </w:pPr>
            <w:r>
              <w:rPr>
                <w:rFonts w:ascii="Aptos" w:hAnsi="Aptos" w:eastAsia="Aptos"/>
                <w:sz w:val="17"/>
              </w:rPr>
              <w:t>V_prob</w:t>
            </w:r>
          </w:p>
        </w:tc>
        <w:tc>
          <w:tcPr>
            <w:tcW w:type="dxa" w:w="7344"/>
            <w:tcMar>
              <w:top w:w="90" w:type="dxa"/>
              <w:start w:w="100" w:type="dxa"/>
              <w:bottom w:w="90" w:type="dxa"/>
              <w:end w:w="100" w:type="dxa"/>
            </w:tcMar>
            <w:vAlign w:val="center"/>
            <w:shd w:fill="F5F7F9"/>
          </w:tcPr>
          <w:p>
            <w:pPr>
              <w:spacing w:after="0"/>
            </w:pPr>
            <w:r>
              <w:rPr>
                <w:rFonts w:ascii="Aptos" w:hAnsi="Aptos" w:eastAsia="Aptos"/>
                <w:sz w:val="17"/>
              </w:rPr>
              <w:t>RISK-BOUND / EXP-SUPPRESSED / UNCERTIFIED</w:t>
            </w:r>
          </w:p>
        </w:tc>
      </w:tr>
      <w:tr>
        <w:tc>
          <w:tcPr>
            <w:tcW w:type="dxa" w:w="2016"/>
            <w:tcMar>
              <w:top w:w="90" w:type="dxa"/>
              <w:start w:w="100" w:type="dxa"/>
              <w:bottom w:w="90" w:type="dxa"/>
              <w:end w:w="100" w:type="dxa"/>
            </w:tcMar>
            <w:vAlign w:val="center"/>
          </w:tcPr>
          <w:p>
            <w:pPr>
              <w:spacing w:after="0"/>
            </w:pPr>
            <w:r>
              <w:rPr>
                <w:rFonts w:ascii="Aptos" w:hAnsi="Aptos" w:eastAsia="Aptos"/>
                <w:sz w:val="17"/>
              </w:rPr>
              <w:t>V_causal</w:t>
            </w:r>
          </w:p>
        </w:tc>
        <w:tc>
          <w:tcPr>
            <w:tcW w:type="dxa" w:w="7344"/>
            <w:tcMar>
              <w:top w:w="90" w:type="dxa"/>
              <w:start w:w="100" w:type="dxa"/>
              <w:bottom w:w="90" w:type="dxa"/>
              <w:end w:w="100" w:type="dxa"/>
            </w:tcMar>
            <w:vAlign w:val="center"/>
          </w:tcPr>
          <w:p>
            <w:pPr>
              <w:spacing w:after="0"/>
            </w:pPr>
            <w:r>
              <w:rPr>
                <w:rFonts w:ascii="Aptos" w:hAnsi="Aptos" w:eastAsia="Aptos"/>
                <w:sz w:val="17"/>
              </w:rPr>
              <w:t>IDENTIFIED / PARTIAL-BOUND / UNAVAILABLE / FALSIFIED</w:t>
            </w:r>
          </w:p>
        </w:tc>
      </w:tr>
      <w:tr>
        <w:tc>
          <w:tcPr>
            <w:tcW w:type="dxa" w:w="2016"/>
            <w:tcMar>
              <w:top w:w="90" w:type="dxa"/>
              <w:start w:w="100" w:type="dxa"/>
              <w:bottom w:w="90" w:type="dxa"/>
              <w:end w:w="100" w:type="dxa"/>
            </w:tcMar>
            <w:vAlign w:val="center"/>
            <w:shd w:fill="F5F7F9"/>
          </w:tcPr>
          <w:p>
            <w:pPr>
              <w:spacing w:after="0"/>
            </w:pPr>
            <w:r>
              <w:rPr>
                <w:rFonts w:ascii="Aptos" w:hAnsi="Aptos" w:eastAsia="Aptos"/>
                <w:sz w:val="17"/>
              </w:rPr>
              <w:t>V_phys</w:t>
            </w:r>
          </w:p>
        </w:tc>
        <w:tc>
          <w:tcPr>
            <w:tcW w:type="dxa" w:w="7344"/>
            <w:tcMar>
              <w:top w:w="90" w:type="dxa"/>
              <w:start w:w="100" w:type="dxa"/>
              <w:bottom w:w="90" w:type="dxa"/>
              <w:end w:w="100" w:type="dxa"/>
            </w:tcMar>
            <w:vAlign w:val="center"/>
            <w:shd w:fill="F5F7F9"/>
          </w:tcPr>
          <w:p>
            <w:pPr>
              <w:spacing w:after="0"/>
            </w:pPr>
            <w:r>
              <w:rPr>
                <w:rFonts w:ascii="Aptos" w:hAnsi="Aptos" w:eastAsia="Aptos"/>
                <w:sz w:val="17"/>
              </w:rPr>
              <w:t>NOT-TESTED / EXT-RUN-SUPPORTED / EXT-RUN-FALSIFIED</w:t>
            </w:r>
          </w:p>
        </w:tc>
      </w:tr>
    </w:tbl>
    <w:p>
      <w:pPr>
        <w:widowControl/>
      </w:pPr>
      <w:r>
        <w:rPr>
          <w:i w:val="0"/>
        </w:rPr>
        <w:t>Сводный ярлык может отображаться для интерфейса, но полный кортеж сохраняется в сертификате. Компонента V_phys по умолчанию NOT-TESTED и не наследует математические статусы.</w:t>
      </w:r>
    </w:p>
    <w:p>
      <w:pPr>
        <w:pStyle w:val="Heading1"/>
        <w:widowControl/>
      </w:pPr>
      <w:r>
        <w:t>402. Прогноз как множество сертифицированных продолжений</w:t>
      </w:r>
    </w:p>
    <w:p>
      <w:pPr>
        <w:widowControl/>
      </w:pPr>
      <w:r>
        <w:rPr>
          <w:i w:val="0"/>
        </w:rPr>
        <w:t>Пусть 𝒞(Q) — множество кандидатов, прошедших structural/dynamic gates. Определим</w:t>
      </w:r>
    </w:p>
    <w:p>
      <w:pPr>
        <w:pStyle w:val="Quote"/>
        <w:widowControl/>
        <w:jc w:val="center"/>
      </w:pPr>
      <w:r>
        <w:t>Pred(Q)= {z∈𝒞(Q): margin(z,Δ_safe)≥m*, B(z)≼B*, Valid(D_z), Dom_z}.  (24.30)</w:t>
      </w:r>
    </w:p>
    <w:p>
      <w:pPr>
        <w:widowControl/>
      </w:pPr>
      <w:r>
        <w:rPr>
          <w:i w:val="0"/>
        </w:rPr>
        <w:t>Если Pred(Q) содержит несколько несравнимых элементов, оператор возвращает set-valued forecast, Pareto frontier или интервальный carrier. Выбор одного элемента требует loss/utility, указанных в Q.</w:t>
      </w:r>
    </w:p>
    <w:p>
      <w:pPr>
        <w:widowControl/>
      </w:pPr>
      <w:r>
        <w:rPr>
          <w:i w:val="0"/>
        </w:rPr>
        <w:t>Если множество пусто из-за blockers, возвращается ABSTAIN; если пустота доказана как непересечение support, допускается IMPOSSIBLE-IN-MODEL. Эти две пустоты различны.</w:t>
      </w:r>
    </w:p>
    <w:p>
      <w:pPr>
        <w:pStyle w:val="Heading1"/>
        <w:widowControl/>
      </w:pPr>
      <w:r>
        <w:t>403. Теорема о монотонности ABSTAIN</w:t>
      </w:r>
    </w:p>
    <w:p>
      <w:pPr>
        <w:widowControl/>
      </w:pPr>
      <w:r>
        <w:rPr>
          <w:i w:val="0"/>
        </w:rPr>
        <w:t>Теорема 24.3. Пусть Block(Q)⊆Block(Q′) и все остальные данные одинаковы. Если 𝔓_KLT(Q)=ABSTAIN из-за обязательного blocker b, то 𝔓_KLT(Q′) не может стать OK без proof object, закрывающего b или доказывающего его нерелевантность для запрошенного Mode.</w:t>
      </w:r>
    </w:p>
    <w:p>
      <w:pPr>
        <w:widowControl/>
      </w:pPr>
      <w:r>
        <w:rPr>
          <w:i w:val="0"/>
        </w:rPr>
        <w:t>Доказательство. Release predicate содержит условие Block_required=∅. Простое добавление blockers не меняет это условие на истинное. Изменение статуса возможно только при изменении графа зависимостей с доказательством нерелевантности либо при добавлении закрывающего сертификата. □</w:t>
      </w:r>
    </w:p>
    <w:p>
      <w:pPr>
        <w:widowControl/>
      </w:pPr>
      <w:r>
        <w:rPr>
          <w:i w:val="0"/>
        </w:rPr>
        <w:t>Следствие. Перезапуск программы, увеличение числа знаков после запятой и более убедительная цветовая палитра не закрывают математический blocker.</w:t>
      </w:r>
    </w:p>
    <w:p>
      <w:pPr>
        <w:pStyle w:val="Heading1"/>
        <w:widowControl/>
      </w:pPr>
      <w:r>
        <w:t>404. Общая условная теорема end-to-end безопасности</w:t>
      </w:r>
    </w:p>
    <w:p>
      <w:pPr>
        <w:widowControl/>
      </w:pPr>
      <w:r>
        <w:rPr>
          <w:i w:val="0"/>
        </w:rPr>
        <w:t>Теорема 24.4 (KLT-RBD end-to-end safety theorem). [COND] Для запроса Q и цепи F₀,…,F₁₁ предположим H1-H24:</w:t>
      </w:r>
    </w:p>
    <w:p>
      <w:pPr>
        <w:pStyle w:val="ListNumber"/>
        <w:widowControl/>
      </w:pPr>
      <w:r>
        <w:t>H1: source identity, schema и provenance подтверждены;</w:t>
      </w:r>
    </w:p>
    <w:p>
      <w:pPr>
        <w:pStyle w:val="ListNumber"/>
        <w:widowControl/>
      </w:pPr>
      <w:r>
        <w:t>H2: все Dom/Cod и единицы согласованы;</w:t>
      </w:r>
    </w:p>
    <w:p>
      <w:pPr>
        <w:pStyle w:val="ListNumber"/>
        <w:widowControl/>
      </w:pPr>
      <w:r>
        <w:t>H3: Reper-lift определён и (N,Q)≠(0,0);</w:t>
      </w:r>
    </w:p>
    <w:p>
      <w:pPr>
        <w:pStyle w:val="ListNumber"/>
        <w:widowControl/>
      </w:pPr>
      <w:r>
        <w:t>H4: D и Dom валидны для каждого обязательного узла;</w:t>
      </w:r>
    </w:p>
    <w:p>
      <w:pPr>
        <w:pStyle w:val="ListNumber"/>
        <w:widowControl/>
      </w:pPr>
      <w:r>
        <w:t>H5: алгебраические операции замкнуты и типизированы;</w:t>
      </w:r>
    </w:p>
    <w:p>
      <w:pPr>
        <w:pStyle w:val="ListNumber"/>
        <w:widowControl/>
      </w:pPr>
      <w:r>
        <w:t>H6: ассоциаторные/геометрические инварианты вычислены с сертификатом;</w:t>
      </w:r>
    </w:p>
    <w:p>
      <w:pPr>
        <w:pStyle w:val="ListNumber"/>
        <w:widowControl/>
      </w:pPr>
      <w:r>
        <w:t>H7: descent/cocycle/coherence условия закрыты там, где нужен global output;</w:t>
      </w:r>
    </w:p>
    <w:p>
      <w:pPr>
        <w:pStyle w:val="ListNumber"/>
        <w:widowControl/>
      </w:pPr>
      <w:r>
        <w:t>H8: obstruction quotients well-defined;</w:t>
      </w:r>
    </w:p>
    <w:p>
      <w:pPr>
        <w:pStyle w:val="ListNumber"/>
        <w:widowControl/>
      </w:pPr>
      <w:r>
        <w:t>H9: внешний мост Π_E используется только в доказанной области B1-B8;</w:t>
      </w:r>
    </w:p>
    <w:p>
      <w:pPr>
        <w:pStyle w:val="ListNumber"/>
        <w:widowControl/>
      </w:pPr>
      <w:r>
        <w:t>H10: moduli/virtual/refined переходы имеют свои carriers и не интерпретируются вероятностно без моста;</w:t>
      </w:r>
    </w:p>
    <w:p>
      <w:pPr>
        <w:pStyle w:val="ListNumber"/>
        <w:widowControl/>
      </w:pPr>
      <w:r>
        <w:t>H11: evolution family/generator существует на заявленном горизонте;</w:t>
      </w:r>
    </w:p>
    <w:p>
      <w:pPr>
        <w:pStyle w:val="ListNumber"/>
        <w:widowControl/>
      </w:pPr>
      <w:r>
        <w:t>H12: path domain и non-anticipation проверены;</w:t>
      </w:r>
    </w:p>
    <w:p>
      <w:pPr>
        <w:pStyle w:val="ListNumber"/>
        <w:widowControl/>
      </w:pPr>
      <w:r>
        <w:t>H13: stochastic law, filtration и martingale problem корректны;</w:t>
      </w:r>
    </w:p>
    <w:p>
      <w:pPr>
        <w:pStyle w:val="ListNumber"/>
        <w:widowControl/>
      </w:pPr>
      <w:r>
        <w:t>H14: stopping/selection/dependence учтены;</w:t>
      </w:r>
    </w:p>
    <w:p>
      <w:pPr>
        <w:pStyle w:val="ListNumber"/>
        <w:widowControl/>
      </w:pPr>
      <w:r>
        <w:t>H15: causal вывод имеет SCM/intervention/identification hypotheses;</w:t>
      </w:r>
    </w:p>
    <w:p>
      <w:pPr>
        <w:pStyle w:val="ListNumber"/>
        <w:widowControl/>
      </w:pPr>
      <w:r>
        <w:t>H16: LDP/rare-event слой не подменяет finite-sample bound;</w:t>
      </w:r>
    </w:p>
    <w:p>
      <w:pPr>
        <w:pStyle w:val="ListNumber"/>
        <w:widowControl/>
      </w:pPr>
      <w:r>
        <w:t>H17: finite-sample guarantee имеет coverage/remainder certificate;</w:t>
      </w:r>
    </w:p>
    <w:p>
      <w:pPr>
        <w:pStyle w:val="ListNumber"/>
        <w:widowControl/>
      </w:pPr>
      <w:r>
        <w:t>H18: ambiguity set имеет доказанный coverage status;</w:t>
      </w:r>
    </w:p>
    <w:p>
      <w:pPr>
        <w:pStyle w:val="ListNumber"/>
        <w:widowControl/>
      </w:pPr>
      <w:r>
        <w:t>H19: deterministic/numerical budgets перенесены через T_j;</w:t>
      </w:r>
    </w:p>
    <w:p>
      <w:pPr>
        <w:pStyle w:val="ListNumber"/>
        <w:widowControl/>
      </w:pPr>
      <w:r>
        <w:t>H20: общий α-budget распределён до раскрытия результата либо объединён валидной процедурой;</w:t>
      </w:r>
    </w:p>
    <w:p>
      <w:pPr>
        <w:pStyle w:val="ListNumber"/>
        <w:widowControl/>
      </w:pPr>
      <w:r>
        <w:t>H21: train/calibration/validation/external split не содержит leakage;</w:t>
      </w:r>
    </w:p>
    <w:p>
      <w:pPr>
        <w:pStyle w:val="ListNumber"/>
        <w:widowControl/>
      </w:pPr>
      <w:r>
        <w:t>H22: required blockers пусты и safe horizons не пересечены без явного candidate verdict;</w:t>
      </w:r>
    </w:p>
    <w:p>
      <w:pPr>
        <w:pStyle w:val="ListNumber"/>
        <w:widowControl/>
      </w:pPr>
      <w:r>
        <w:t>H23: code/data/environment hashes и manifest валидны;</w:t>
      </w:r>
    </w:p>
    <w:p>
      <w:pPr>
        <w:pStyle w:val="ListNumber"/>
        <w:widowControl/>
      </w:pPr>
      <w:r>
        <w:t>H24: release policy не повышает статусы и соответствует Mode.</w:t>
      </w:r>
    </w:p>
    <w:p>
      <w:pPr>
        <w:widowControl/>
      </w:pPr>
      <w:r>
        <w:rPr>
          <w:i w:val="0"/>
        </w:rPr>
        <w:t>Тогда 𝔓_KLT(Q) возвращает либо ABSTAIN/FAIL с корректным свидетельством, либо OK(V,Cert,B_out), причём:</w:t>
      </w:r>
    </w:p>
    <w:p>
      <w:pPr>
        <w:pStyle w:val="ListBullet"/>
        <w:widowControl/>
      </w:pPr>
      <w:r>
        <w:t>каждая координата V имеет статус не выше meet статусов необходимых рёбер;</w:t>
      </w:r>
    </w:p>
    <w:p>
      <w:pPr>
        <w:pStyle w:val="ListBullet"/>
        <w:widowControl/>
      </w:pPr>
      <w:r>
        <w:t>детерминированная ошибка ограничена аффинной формулой (24.10);</w:t>
      </w:r>
    </w:p>
    <w:p>
      <w:pPr>
        <w:pStyle w:val="ListBullet"/>
        <w:widowControl/>
      </w:pPr>
      <w:r>
        <w:t>вероятность хотя бы одного заявленного statistical failure не превышает α_tot из (24.11);</w:t>
      </w:r>
    </w:p>
    <w:p>
      <w:pPr>
        <w:pStyle w:val="ListBullet"/>
        <w:widowControl/>
      </w:pPr>
      <w:r>
        <w:t>робастный вывод действует для законов внутри сертифицированного 𝒰_out;</w:t>
      </w:r>
    </w:p>
    <w:p>
      <w:pPr>
        <w:pStyle w:val="ListBullet"/>
        <w:widowControl/>
      </w:pPr>
      <w:r>
        <w:t>причинная и физическая координаты остаются UNAVAILABLE/NOT-TESTED без своих мостов;</w:t>
      </w:r>
    </w:p>
    <w:p>
      <w:pPr>
        <w:pStyle w:val="ListBullet"/>
        <w:widowControl/>
      </w:pPr>
      <w:r>
        <w:t>все выводы ограничены Q, Dom, D, horizon, release manifest и версиями модулей.</w:t>
      </w:r>
    </w:p>
    <w:p>
      <w:pPr>
        <w:pStyle w:val="Heading1"/>
        <w:widowControl/>
      </w:pPr>
      <w:r>
        <w:t>405. Доказательство Теоремы 24.4</w:t>
      </w:r>
    </w:p>
    <w:p>
      <w:pPr>
        <w:widowControl/>
      </w:pPr>
      <w:r>
        <w:rPr>
          <w:i w:val="0"/>
        </w:rPr>
        <w:t>Доказательство ведётся индукцией по длине цепи.</w:t>
      </w:r>
    </w:p>
    <w:p>
      <w:pPr>
        <w:pStyle w:val="ListNumber"/>
        <w:widowControl/>
      </w:pPr>
      <w:r>
        <w:t>База. F₀ возвращает одну из ветвей Result и создаёт исходный сертификат. При OK выполнены H1 и начальный бюджет B₀.</w:t>
      </w:r>
    </w:p>
    <w:p>
      <w:pPr>
        <w:pStyle w:val="ListNumber"/>
        <w:widowControl/>
      </w:pPr>
      <w:r>
        <w:t>Индукционный шаг. Предположим, что после F_j получено OK(Z_j,C_j,B_j) с заявленными постусловиями. H2 и интерфейсный контракт дают Pre_{j+1}. Local soundness F_{j+1} даёт Post_{j+1}; бюджет обновляется T_{j+1}(B_j)⊕E_{j+1}.</w:t>
      </w:r>
    </w:p>
    <w:p>
      <w:pPr>
        <w:pStyle w:val="ListNumber"/>
        <w:widowControl/>
      </w:pPr>
      <w:r>
        <w:t>Если на любом шаге возникает ABSTAIN или FAIL, поглощающая семантика (24.7) сохраняет свидетельство до release и не допускает ложной OK-ветви.</w:t>
      </w:r>
    </w:p>
    <w:p>
      <w:pPr>
        <w:pStyle w:val="ListNumber"/>
        <w:widowControl/>
      </w:pPr>
      <w:r>
        <w:t>Ассоциативность категории CertKLT обеспечивает независимость от группировки модулей, если manifest фиксирует один и тот же порядок.</w:t>
      </w:r>
    </w:p>
    <w:p>
      <w:pPr>
        <w:pStyle w:val="ListNumber"/>
        <w:widowControl/>
      </w:pPr>
      <w:r>
        <w:t>Формула (24.10) доказывает deterministic bound; union bound доказывает α_tot без требования независимости; set pushforward доказывает robust enclosure.</w:t>
      </w:r>
    </w:p>
    <w:p>
      <w:pPr>
        <w:pStyle w:val="ListNumber"/>
        <w:widowControl/>
      </w:pPr>
      <w:r>
        <w:t>Weakest-link rule даёт ограничение статуса. H15 и H24 предотвращают перенос observational output в causal/physical координаты.</w:t>
      </w:r>
    </w:p>
    <w:p>
      <w:pPr>
        <w:pStyle w:val="ListNumber"/>
        <w:widowControl/>
      </w:pPr>
      <w:r>
        <w:t>H21-H23 обеспечивают независимую проверку и воспроизводимость. Release predicate (24.28) завершает вывод.</w:t>
      </w:r>
    </w:p>
    <w:p>
      <w:pPr>
        <w:widowControl/>
      </w:pPr>
      <w:r>
        <w:rPr>
          <w:i w:val="0"/>
        </w:rPr>
        <w:t>Следовательно, ветвь OK sound относительно заявленных гипотез и бюджета; сильнейших выводов вне них теорема не даёт. □</w:t>
      </w:r>
    </w:p>
    <w:p>
      <w:pPr>
        <w:pStyle w:val="Heading1"/>
        <w:widowControl/>
      </w:pPr>
      <w:r>
        <w:t>406. Что Теорема 24.4 не доказывает</w:t>
      </w:r>
    </w:p>
    <w:p>
      <w:pPr>
        <w:pStyle w:val="ListBullet"/>
        <w:widowControl/>
      </w:pPr>
      <w:r>
        <w:t>не доказывает существование универсального предсказательного оператора для любой предметной области;</w:t>
      </w:r>
    </w:p>
    <w:p>
      <w:pPr>
        <w:pStyle w:val="ListBullet"/>
        <w:widowControl/>
      </w:pPr>
      <w:r>
        <w:t>не доказывает completeness: истинный переход может не быть обнаружен;</w:t>
      </w:r>
    </w:p>
    <w:p>
      <w:pPr>
        <w:pStyle w:val="ListBullet"/>
        <w:widowControl/>
      </w:pPr>
      <w:r>
        <w:t>не доказывает корректность конкретной реализации без выполнения E2E-тестов;</w:t>
      </w:r>
    </w:p>
    <w:p>
      <w:pPr>
        <w:pStyle w:val="ListBullet"/>
        <w:widowControl/>
      </w:pPr>
      <w:r>
        <w:t>не превращает Reper-гармонию в эмпирическую вероятность;</w:t>
      </w:r>
    </w:p>
    <w:p>
      <w:pPr>
        <w:pStyle w:val="ListBullet"/>
        <w:widowControl/>
      </w:pPr>
      <w:r>
        <w:t>не превращает виртуальные или motivic коэффициенты во временную динамику;</w:t>
      </w:r>
    </w:p>
    <w:p>
      <w:pPr>
        <w:pStyle w:val="ListBullet"/>
        <w:widowControl/>
      </w:pPr>
      <w:r>
        <w:t>не идентифицирует причинность из наблюдательного закона;</w:t>
      </w:r>
    </w:p>
    <w:p>
      <w:pPr>
        <w:pStyle w:val="ListBullet"/>
        <w:widowControl/>
      </w:pPr>
      <w:r>
        <w:t>не подтверждает F-1-F-14 без независимого EXT-RUN;</w:t>
      </w:r>
    </w:p>
    <w:p>
      <w:pPr>
        <w:pStyle w:val="ListBullet"/>
        <w:widowControl/>
      </w:pPr>
      <w:r>
        <w:t>не расширяет юридическое значение регистрационных документов.</w:t>
      </w:r>
    </w:p>
    <w:tbl>
      <w:tblPr>
        <w:tblStyle w:val="TableGrid"/>
        <w:tblW w:type="auto" w:w="0"/>
        <w:jc w:val="center"/>
        <w:tblLook w:firstColumn="1" w:firstRow="1" w:lastColumn="0" w:lastRow="0" w:noHBand="0" w:noVBand="1" w:val="04A0"/>
        <w:tblBorders>
          <w:top w:val="single" w:sz="10" w:color="B21F24"/>
          <w:left w:val="single" w:sz="10" w:color="B21F24"/>
          <w:bottom w:val="single" w:sz="10" w:color="B21F24"/>
          <w:right w:val="single" w:sz="10" w:color="B21F24"/>
          <w:insideH w:val="single" w:sz="10" w:color="B21F24"/>
          <w:insideV w:val="single" w:sz="10" w:color="B21F24"/>
        </w:tblBorders>
      </w:tblPr>
      <w:tblGrid>
        <w:gridCol w:w="9752"/>
      </w:tblGrid>
      <w:tr>
        <w:tc>
          <w:tcPr>
            <w:tcW w:type="dxa" w:w="9752"/>
            <w:shd w:fill="FBE8E4"/>
            <w:tcMar>
              <w:top w:w="150" w:type="dxa"/>
              <w:start w:w="180" w:type="dxa"/>
              <w:bottom w:w="150" w:type="dxa"/>
              <w:end w:w="180" w:type="dxa"/>
            </w:tcMar>
          </w:tcPr>
          <w:p>
            <w:r>
              <w:rPr>
                <w:rFonts w:ascii="Aptos" w:hAnsi="Aptos" w:eastAsia="Aptos"/>
                <w:b/>
                <w:color w:val="B21F24"/>
                <w:sz w:val="24"/>
              </w:rPr>
              <w:t>ГНОСЕОЛОГИЧЕСКИЙ ПРЕДЕЛ</w:t>
              <w:br/>
            </w:r>
            <w:r>
              <w:rPr>
                <w:rFonts w:ascii="Aptos" w:hAnsi="Aptos" w:eastAsia="Aptos"/>
                <w:sz w:val="21"/>
              </w:rPr>
              <w:t>Soundness говорит: «если оператор выдал OK при выполненных гипотезах, вывод допустим». Completeness говорила бы: «оператор найдёт всякий допустимый вывод». Второе здесь не заявляется. ABSTAIN может быть следствием ограниченности метода, а не отсутствия структуры в мире.</w:t>
            </w:r>
          </w:p>
        </w:tc>
      </w:tr>
    </w:tbl>
    <w:p>
      <w:pPr>
        <w:pStyle w:val="Heading1"/>
        <w:widowControl/>
      </w:pPr>
      <w:r>
        <w:t>407. Контрпример: локально корректные, глобально несовместимые модули</w:t>
      </w:r>
    </w:p>
    <w:p>
      <w:pPr>
        <w:widowControl/>
      </w:pPr>
      <w:r>
        <w:rPr>
          <w:i w:val="0"/>
        </w:rPr>
        <w:t>Пусть F возвращает кривизну в единицах 1/м², а G интерпретирует числовое поле как безразмерный индекс. Оба модуля локально проходят свои тесты, но адаптер единиц отсутствует. Композиция численно определена, типово некорректна и должна вернуть FAIL-TYPE.</w:t>
      </w:r>
    </w:p>
    <w:p>
      <w:pPr>
        <w:widowControl/>
      </w:pPr>
      <w:r>
        <w:rPr>
          <w:i w:val="0"/>
        </w:rPr>
        <w:t>Контрпример показывает, что local pass не имплицирует end-to-end pass. Имя поля curvature не является доказательством его семантики.</w:t>
      </w:r>
    </w:p>
    <w:p>
      <w:pPr>
        <w:pStyle w:val="Heading1"/>
        <w:widowControl/>
      </w:pPr>
      <w:r>
        <w:t>408. Контрпример: инфляция вероятностного бюджета</w:t>
      </w:r>
    </w:p>
    <w:p>
      <w:pPr>
        <w:widowControl/>
      </w:pPr>
      <w:r>
        <w:rPr>
          <w:i w:val="0"/>
        </w:rPr>
        <w:t>Пусть десять независимых или зависимых модулей каждый заявляет ошибку не более 0,05. Без дополнительной процедуры общий уровень по union bound не превышает 0,5, а не 0,05. Использование 0,05 в финальном отчёте фальсифицирует release contract.</w:t>
      </w:r>
    </w:p>
    <w:p>
      <w:pPr>
        <w:pStyle w:val="Quote"/>
        <w:widowControl/>
        <w:jc w:val="center"/>
      </w:pPr>
      <w:r>
        <w:t>10×0,05=0,50,  а не 0,05.  (24.31)</w:t>
      </w:r>
    </w:p>
    <w:p>
      <w:pPr>
        <w:pStyle w:val="Heading1"/>
        <w:widowControl/>
      </w:pPr>
      <w:r>
        <w:t>409. Контрпример: малая локальная ошибка и неограниченное усиление</w:t>
      </w:r>
    </w:p>
    <w:p>
      <w:pPr>
        <w:widowControl/>
      </w:pPr>
      <w:r>
        <w:rPr>
          <w:i w:val="0"/>
        </w:rPr>
        <w:t>Пусть F(x)=x+ε, |ε|≤10⁻⁶, а G(y)=1/y на области, допускающей y→0. Локальная ошибка F мала, но Lipschitz constant G не ограничен. End-to-end ошибка может быть сколь угодно большой. Поэтому близость к pole/boundary входит в b_dom и b_num.</w:t>
      </w:r>
    </w:p>
    <w:p>
      <w:pPr>
        <w:pStyle w:val="Heading1"/>
        <w:widowControl/>
      </w:pPr>
      <w:r>
        <w:t>410. Контрпример: скаляр λ у проективного полюса</w:t>
      </w:r>
    </w:p>
    <w:p>
      <w:pPr>
        <w:widowControl/>
      </w:pPr>
      <w:r>
        <w:rPr>
          <w:i w:val="0"/>
        </w:rPr>
        <w:t>Если Q=(U-D)(I-R) близок к нулю, λ=N/Q может иметь огромную численную вариацию при малом изменении входа. Однородная Λ=[N:Q] остаётся корректной, а scalar report обязан содержать chart и condition number. Без них вывод ABSTAIN-PROJECTIVE-CHART.</w:t>
      </w:r>
    </w:p>
    <w:p>
      <w:pPr>
        <w:pStyle w:val="Heading1"/>
        <w:widowControl/>
      </w:pPr>
      <w:r>
        <w:t>411. Контрпример: наблюдательная точность без причинной идентификации</w:t>
      </w:r>
    </w:p>
    <w:p>
      <w:pPr>
        <w:widowControl/>
      </w:pPr>
      <w:r>
        <w:rPr>
          <w:i w:val="0"/>
        </w:rPr>
        <w:t>Существуют две структурные причинные модели с одинаковым наблюдательным распределением P(X,Y), но разными P(Y|do(X)). Любой оператор, использующий только наблюдения, выдаёт одинаковый прогноз для обеих моделей и потому не может идентифицировать causal effect без дополнительных предпосылок.</w:t>
      </w:r>
    </w:p>
    <w:p>
      <w:pPr>
        <w:widowControl/>
      </w:pPr>
      <w:r>
        <w:rPr>
          <w:i w:val="0"/>
        </w:rPr>
        <w:t>Следовательно, V_prob=CALIBRATED совместимо с V_causal=UNAVAILABLE.</w:t>
      </w:r>
    </w:p>
    <w:p>
      <w:pPr>
        <w:pStyle w:val="Heading1"/>
        <w:widowControl/>
      </w:pPr>
      <w:r>
        <w:t>412. Протокол фальсифицируемости</w:t>
      </w:r>
    </w:p>
    <w:p>
      <w:pPr>
        <w:widowControl/>
      </w:pPr>
      <w:r>
        <w:rPr>
          <w:i w:val="0"/>
        </w:rPr>
        <w:t>Каждое утверждение Тома II должно иметь один из четырёх отрицательных интерфейсов:</w:t>
      </w:r>
    </w:p>
    <w:tbl>
      <w:tblPr>
        <w:tblStyle w:val="TableGrid"/>
        <w:tblW w:type="auto" w:w="0"/>
        <w:jc w:val="center"/>
        <w:tblLook w:firstColumn="1" w:firstRow="1" w:lastColumn="0" w:lastRow="0" w:noHBand="0" w:noVBand="1" w:val="04A0"/>
        <w:tblBorders>
          <w:top w:val="single" w:sz="6" w:color="B5C3D1"/>
          <w:left w:val="single" w:sz="6" w:color="B5C3D1"/>
          <w:bottom w:val="single" w:sz="6" w:color="B5C3D1"/>
          <w:right w:val="single" w:sz="6" w:color="B5C3D1"/>
          <w:insideH w:val="single" w:sz="6" w:color="B5C3D1"/>
          <w:insideV w:val="single" w:sz="6" w:color="B5C3D1"/>
        </w:tblBorders>
      </w:tblPr>
      <w:tblGrid>
        <w:gridCol w:w="3251"/>
        <w:gridCol w:w="3251"/>
        <w:gridCol w:w="3251"/>
      </w:tblGrid>
      <w:tr>
        <w:trPr>
          <w:tblHeader w:val="true"/>
        </w:trPr>
        <w:tc>
          <w:tcPr>
            <w:tcW w:type="dxa" w:w="2016"/>
            <w:shd w:fill="173B67"/>
            <w:tcMar>
              <w:top w:w="110" w:type="dxa"/>
              <w:start w:w="110" w:type="dxa"/>
              <w:bottom w:w="110" w:type="dxa"/>
              <w:end w:w="110" w:type="dxa"/>
            </w:tcMar>
            <w:vAlign w:val="center"/>
          </w:tcPr>
          <w:p>
            <w:pPr>
              <w:jc w:val="center"/>
            </w:pPr>
            <w:r>
              <w:rPr>
                <w:rFonts w:ascii="Aptos" w:hAnsi="Aptos" w:eastAsia="Aptos"/>
                <w:b/>
                <w:color w:val="FFFFFF"/>
                <w:sz w:val="16"/>
              </w:rPr>
              <w:t>Тип утверждения</w:t>
            </w:r>
          </w:p>
        </w:tc>
        <w:tc>
          <w:tcPr>
            <w:tcW w:type="dxa" w:w="5040"/>
            <w:shd w:fill="173B67"/>
            <w:tcMar>
              <w:top w:w="110" w:type="dxa"/>
              <w:start w:w="110" w:type="dxa"/>
              <w:bottom w:w="110" w:type="dxa"/>
              <w:end w:w="110" w:type="dxa"/>
            </w:tcMar>
            <w:vAlign w:val="center"/>
          </w:tcPr>
          <w:p>
            <w:pPr>
              <w:jc w:val="center"/>
            </w:pPr>
            <w:r>
              <w:rPr>
                <w:rFonts w:ascii="Aptos" w:hAnsi="Aptos" w:eastAsia="Aptos"/>
                <w:b/>
                <w:color w:val="FFFFFF"/>
                <w:sz w:val="16"/>
              </w:rPr>
              <w:t>Фальсифицирующий объект</w:t>
            </w:r>
          </w:p>
        </w:tc>
        <w:tc>
          <w:tcPr>
            <w:tcW w:type="dxa" w:w="2304"/>
            <w:shd w:fill="173B67"/>
            <w:tcMar>
              <w:top w:w="110" w:type="dxa"/>
              <w:start w:w="110" w:type="dxa"/>
              <w:bottom w:w="110" w:type="dxa"/>
              <w:end w:w="110" w:type="dxa"/>
            </w:tcMar>
            <w:vAlign w:val="center"/>
          </w:tcPr>
          <w:p>
            <w:pPr>
              <w:jc w:val="center"/>
            </w:pPr>
            <w:r>
              <w:rPr>
                <w:rFonts w:ascii="Aptos" w:hAnsi="Aptos" w:eastAsia="Aptos"/>
                <w:b/>
                <w:color w:val="FFFFFF"/>
                <w:sz w:val="16"/>
              </w:rPr>
              <w:t>Результат</w:t>
            </w:r>
          </w:p>
        </w:tc>
      </w:tr>
      <w:tr>
        <w:tc>
          <w:tcPr>
            <w:tcW w:type="dxa" w:w="2016"/>
            <w:tcMar>
              <w:top w:w="90" w:type="dxa"/>
              <w:start w:w="100" w:type="dxa"/>
              <w:bottom w:w="90" w:type="dxa"/>
              <w:end w:w="100" w:type="dxa"/>
            </w:tcMar>
            <w:vAlign w:val="center"/>
          </w:tcPr>
          <w:p>
            <w:pPr>
              <w:spacing w:after="0"/>
            </w:pPr>
            <w:r>
              <w:rPr>
                <w:rFonts w:ascii="Aptos" w:hAnsi="Aptos" w:eastAsia="Aptos"/>
                <w:sz w:val="16"/>
              </w:rPr>
              <w:t>чистая теорема</w:t>
            </w:r>
          </w:p>
        </w:tc>
        <w:tc>
          <w:tcPr>
            <w:tcW w:type="dxa" w:w="5040"/>
            <w:tcMar>
              <w:top w:w="90" w:type="dxa"/>
              <w:start w:w="100" w:type="dxa"/>
              <w:bottom w:w="90" w:type="dxa"/>
              <w:end w:w="100" w:type="dxa"/>
            </w:tcMar>
            <w:vAlign w:val="center"/>
          </w:tcPr>
          <w:p>
            <w:pPr>
              <w:spacing w:after="0"/>
            </w:pPr>
            <w:r>
              <w:rPr>
                <w:rFonts w:ascii="Aptos" w:hAnsi="Aptos" w:eastAsia="Aptos"/>
                <w:sz w:val="16"/>
              </w:rPr>
              <w:t>модель, удовлетворяющая гипотезам и нарушающая заключение</w:t>
            </w:r>
          </w:p>
        </w:tc>
        <w:tc>
          <w:tcPr>
            <w:tcW w:type="dxa" w:w="2304"/>
            <w:tcMar>
              <w:top w:w="90" w:type="dxa"/>
              <w:start w:w="100" w:type="dxa"/>
              <w:bottom w:w="90" w:type="dxa"/>
              <w:end w:w="100" w:type="dxa"/>
            </w:tcMar>
            <w:vAlign w:val="center"/>
          </w:tcPr>
          <w:p>
            <w:pPr>
              <w:spacing w:after="0"/>
            </w:pPr>
            <w:r>
              <w:rPr>
                <w:rFonts w:ascii="Aptos" w:hAnsi="Aptos" w:eastAsia="Aptos"/>
                <w:sz w:val="16"/>
              </w:rPr>
              <w:t>теорема опровергнута либо доказательство дефектно</w:t>
            </w:r>
          </w:p>
        </w:tc>
      </w:tr>
      <w:tr>
        <w:tc>
          <w:tcPr>
            <w:tcW w:type="dxa" w:w="2016"/>
            <w:tcMar>
              <w:top w:w="90" w:type="dxa"/>
              <w:start w:w="100" w:type="dxa"/>
              <w:bottom w:w="90" w:type="dxa"/>
              <w:end w:w="100" w:type="dxa"/>
            </w:tcMar>
            <w:vAlign w:val="center"/>
            <w:shd w:fill="F5F7F9"/>
          </w:tcPr>
          <w:p>
            <w:pPr>
              <w:spacing w:after="0"/>
            </w:pPr>
            <w:r>
              <w:rPr>
                <w:rFonts w:ascii="Aptos" w:hAnsi="Aptos" w:eastAsia="Aptos"/>
                <w:sz w:val="16"/>
              </w:rPr>
              <w:t>условный мост</w:t>
            </w:r>
          </w:p>
        </w:tc>
        <w:tc>
          <w:tcPr>
            <w:tcW w:type="dxa" w:w="5040"/>
            <w:tcMar>
              <w:top w:w="90" w:type="dxa"/>
              <w:start w:w="100" w:type="dxa"/>
              <w:bottom w:w="90" w:type="dxa"/>
              <w:end w:w="100" w:type="dxa"/>
            </w:tcMar>
            <w:vAlign w:val="center"/>
            <w:shd w:fill="F5F7F9"/>
          </w:tcPr>
          <w:p>
            <w:pPr>
              <w:spacing w:after="0"/>
            </w:pPr>
            <w:r>
              <w:rPr>
                <w:rFonts w:ascii="Aptos" w:hAnsi="Aptos" w:eastAsia="Aptos"/>
                <w:sz w:val="16"/>
              </w:rPr>
              <w:t>контрпример к well-definedness/invariance/identification</w:t>
            </w:r>
          </w:p>
        </w:tc>
        <w:tc>
          <w:tcPr>
            <w:tcW w:type="dxa" w:w="2304"/>
            <w:tcMar>
              <w:top w:w="90" w:type="dxa"/>
              <w:start w:w="100" w:type="dxa"/>
              <w:bottom w:w="90" w:type="dxa"/>
              <w:end w:w="100" w:type="dxa"/>
            </w:tcMar>
            <w:vAlign w:val="center"/>
            <w:shd w:fill="F5F7F9"/>
          </w:tcPr>
          <w:p>
            <w:pPr>
              <w:spacing w:after="0"/>
            </w:pPr>
            <w:r>
              <w:rPr>
                <w:rFonts w:ascii="Aptos" w:hAnsi="Aptos" w:eastAsia="Aptos"/>
                <w:sz w:val="16"/>
              </w:rPr>
              <w:t>мост понижен до OPEN/FAIL</w:t>
            </w:r>
          </w:p>
        </w:tc>
      </w:tr>
      <w:tr>
        <w:tc>
          <w:tcPr>
            <w:tcW w:type="dxa" w:w="2016"/>
            <w:tcMar>
              <w:top w:w="90" w:type="dxa"/>
              <w:start w:w="100" w:type="dxa"/>
              <w:bottom w:w="90" w:type="dxa"/>
              <w:end w:w="100" w:type="dxa"/>
            </w:tcMar>
            <w:vAlign w:val="center"/>
          </w:tcPr>
          <w:p>
            <w:pPr>
              <w:spacing w:after="0"/>
            </w:pPr>
            <w:r>
              <w:rPr>
                <w:rFonts w:ascii="Aptos" w:hAnsi="Aptos" w:eastAsia="Aptos"/>
                <w:sz w:val="16"/>
              </w:rPr>
              <w:t>вычислительный модуль</w:t>
            </w:r>
          </w:p>
        </w:tc>
        <w:tc>
          <w:tcPr>
            <w:tcW w:type="dxa" w:w="5040"/>
            <w:tcMar>
              <w:top w:w="90" w:type="dxa"/>
              <w:start w:w="100" w:type="dxa"/>
              <w:bottom w:w="90" w:type="dxa"/>
              <w:end w:w="100" w:type="dxa"/>
            </w:tcMar>
            <w:vAlign w:val="center"/>
          </w:tcPr>
          <w:p>
            <w:pPr>
              <w:spacing w:after="0"/>
            </w:pPr>
            <w:r>
              <w:rPr>
                <w:rFonts w:ascii="Aptos" w:hAnsi="Aptos" w:eastAsia="Aptos"/>
                <w:sz w:val="16"/>
              </w:rPr>
              <w:t>вход из заявленного Dom с нарушением postcondition</w:t>
            </w:r>
          </w:p>
        </w:tc>
        <w:tc>
          <w:tcPr>
            <w:tcW w:type="dxa" w:w="2304"/>
            <w:tcMar>
              <w:top w:w="90" w:type="dxa"/>
              <w:start w:w="100" w:type="dxa"/>
              <w:bottom w:w="90" w:type="dxa"/>
              <w:end w:w="100" w:type="dxa"/>
            </w:tcMar>
            <w:vAlign w:val="center"/>
          </w:tcPr>
          <w:p>
            <w:pPr>
              <w:spacing w:after="0"/>
            </w:pPr>
            <w:r>
              <w:rPr>
                <w:rFonts w:ascii="Aptos" w:hAnsi="Aptos" w:eastAsia="Aptos"/>
                <w:sz w:val="16"/>
              </w:rPr>
              <w:t>реализация FAIL; математическая теорема может сохраниться</w:t>
            </w:r>
          </w:p>
        </w:tc>
      </w:tr>
      <w:tr>
        <w:tc>
          <w:tcPr>
            <w:tcW w:type="dxa" w:w="2016"/>
            <w:tcMar>
              <w:top w:w="90" w:type="dxa"/>
              <w:start w:w="100" w:type="dxa"/>
              <w:bottom w:w="90" w:type="dxa"/>
              <w:end w:w="100" w:type="dxa"/>
            </w:tcMar>
            <w:vAlign w:val="center"/>
            <w:shd w:fill="F5F7F9"/>
          </w:tcPr>
          <w:p>
            <w:pPr>
              <w:spacing w:after="0"/>
            </w:pPr>
            <w:r>
              <w:rPr>
                <w:rFonts w:ascii="Aptos" w:hAnsi="Aptos" w:eastAsia="Aptos"/>
                <w:sz w:val="16"/>
              </w:rPr>
              <w:t>эмпирическая гипотеза</w:t>
            </w:r>
          </w:p>
        </w:tc>
        <w:tc>
          <w:tcPr>
            <w:tcW w:type="dxa" w:w="5040"/>
            <w:tcMar>
              <w:top w:w="90" w:type="dxa"/>
              <w:start w:w="100" w:type="dxa"/>
              <w:bottom w:w="90" w:type="dxa"/>
              <w:end w:w="100" w:type="dxa"/>
            </w:tcMar>
            <w:vAlign w:val="center"/>
            <w:shd w:fill="F5F7F9"/>
          </w:tcPr>
          <w:p>
            <w:pPr>
              <w:spacing w:after="0"/>
            </w:pPr>
            <w:r>
              <w:rPr>
                <w:rFonts w:ascii="Aptos" w:hAnsi="Aptos" w:eastAsia="Aptos"/>
                <w:sz w:val="16"/>
              </w:rPr>
              <w:t>предзарегистрированный независимый тест</w:t>
            </w:r>
          </w:p>
        </w:tc>
        <w:tc>
          <w:tcPr>
            <w:tcW w:type="dxa" w:w="2304"/>
            <w:tcMar>
              <w:top w:w="90" w:type="dxa"/>
              <w:start w:w="100" w:type="dxa"/>
              <w:bottom w:w="90" w:type="dxa"/>
              <w:end w:w="100" w:type="dxa"/>
            </w:tcMar>
            <w:vAlign w:val="center"/>
            <w:shd w:fill="F5F7F9"/>
          </w:tcPr>
          <w:p>
            <w:pPr>
              <w:spacing w:after="0"/>
            </w:pPr>
            <w:r>
              <w:rPr>
                <w:rFonts w:ascii="Aptos" w:hAnsi="Aptos" w:eastAsia="Aptos"/>
                <w:sz w:val="16"/>
              </w:rPr>
              <w:t>SUPPORTED / FALSIFIED / INCONCLUSIVE</w:t>
            </w:r>
          </w:p>
        </w:tc>
      </w:tr>
    </w:tbl>
    <w:p>
      <w:pPr>
        <w:widowControl/>
      </w:pPr>
      <w:r>
        <w:rPr>
          <w:i w:val="0"/>
        </w:rPr>
        <w:t>Фальсификация реализации не равна фальсификации абстрактной теоремы, а фальсификация физического моста не уничтожает внутреннюю алгебру. Граф зависимостей определяет область повреждения.</w:t>
      </w:r>
    </w:p>
    <w:p>
      <w:pPr>
        <w:widowControl/>
        <w:jc w:val="center"/>
      </w:pPr>
      <w:r>
        <w:drawing>
          <wp:inline xmlns:a="http://schemas.openxmlformats.org/drawingml/2006/main" xmlns:pic="http://schemas.openxmlformats.org/drawingml/2006/picture">
            <wp:extent cx="5897880" cy="3880184"/>
            <wp:docPr id="68" name="Picture 68" descr="Таблица слоёв, проверяемых объектов, отрицательных свидетелей и выводов" title="Рисунок 24.4. Фальсифицирующие свидетели для разных слоёв и допустимые последствия. Собственная схема Тома II."/>
            <wp:cNvGraphicFramePr>
              <a:graphicFrameLocks noChangeAspect="1"/>
            </wp:cNvGraphicFramePr>
            <a:graphic>
              <a:graphicData uri="http://schemas.openxmlformats.org/drawingml/2006/picture">
                <pic:pic>
                  <pic:nvPicPr>
                    <pic:cNvPr id="0" name="fig24_4.png"/>
                    <pic:cNvPicPr/>
                  </pic:nvPicPr>
                  <pic:blipFill>
                    <a:blip r:embed="rId105"/>
                    <a:stretch>
                      <a:fillRect/>
                    </a:stretch>
                  </pic:blipFill>
                  <pic:spPr>
                    <a:xfrm>
                      <a:off x="0" y="0"/>
                      <a:ext cx="5897880" cy="3880184"/>
                    </a:xfrm>
                    <a:prstGeom prst="rect"/>
                  </pic:spPr>
                </pic:pic>
              </a:graphicData>
            </a:graphic>
          </wp:inline>
        </w:drawing>
      </w:r>
    </w:p>
    <w:p>
      <w:pPr>
        <w:pStyle w:val="Caption"/>
        <w:widowControl/>
        <w:jc w:val="center"/>
      </w:pPr>
      <w:r>
        <w:t>Рисунок 24.4. Фальсифицирующие свидетели для разных слоёв и допустимые последствия. Собственная схема Тома II.</w:t>
      </w:r>
    </w:p>
    <w:p>
      <w:pPr>
        <w:pStyle w:val="Heading1"/>
        <w:widowControl/>
      </w:pPr>
      <w:r>
        <w:t>413. Итоговая матрица фальсифицируемости глав 1-24</w:t>
      </w:r>
    </w:p>
    <w:p>
      <w:pPr>
        <w:pStyle w:val="Heading2"/>
        <w:widowControl/>
      </w:pPr>
      <w:r>
        <w:t>Матрица 24-A: главы 1-8</w:t>
      </w:r>
    </w:p>
    <w:tbl>
      <w:tblPr>
        <w:tblStyle w:val="TableGrid"/>
        <w:tblW w:type="auto" w:w="0"/>
        <w:jc w:val="center"/>
        <w:tblLook w:firstColumn="1" w:firstRow="1" w:lastColumn="0" w:lastRow="0" w:noHBand="0" w:noVBand="1" w:val="04A0"/>
        <w:tblBorders>
          <w:top w:val="single" w:sz="6" w:color="B5C3D1"/>
          <w:left w:val="single" w:sz="6" w:color="B5C3D1"/>
          <w:bottom w:val="single" w:sz="6" w:color="B5C3D1"/>
          <w:right w:val="single" w:sz="6" w:color="B5C3D1"/>
          <w:insideH w:val="single" w:sz="6" w:color="B5C3D1"/>
          <w:insideV w:val="single" w:sz="6" w:color="B5C3D1"/>
        </w:tblBorders>
      </w:tblPr>
      <w:tblGrid>
        <w:gridCol w:w="1950"/>
        <w:gridCol w:w="1950"/>
        <w:gridCol w:w="1950"/>
        <w:gridCol w:w="1950"/>
        <w:gridCol w:w="1950"/>
      </w:tblGrid>
      <w:tr>
        <w:trPr>
          <w:tblHeader w:val="true"/>
        </w:trPr>
        <w:tc>
          <w:tcPr>
            <w:tcW w:type="dxa" w:w="576"/>
            <w:shd w:fill="173B67"/>
            <w:tcMar>
              <w:top w:w="110" w:type="dxa"/>
              <w:start w:w="110" w:type="dxa"/>
              <w:bottom w:w="110" w:type="dxa"/>
              <w:end w:w="110" w:type="dxa"/>
            </w:tcMar>
            <w:vAlign w:val="center"/>
          </w:tcPr>
          <w:p>
            <w:pPr>
              <w:jc w:val="center"/>
            </w:pPr>
            <w:r>
              <w:rPr>
                <w:rFonts w:ascii="Aptos" w:hAnsi="Aptos" w:eastAsia="Aptos"/>
                <w:b/>
                <w:color w:val="FFFFFF"/>
                <w:sz w:val="15"/>
              </w:rPr>
              <w:t>Гл.</w:t>
            </w:r>
          </w:p>
        </w:tc>
        <w:tc>
          <w:tcPr>
            <w:tcW w:type="dxa" w:w="2016"/>
            <w:shd w:fill="173B67"/>
            <w:tcMar>
              <w:top w:w="110" w:type="dxa"/>
              <w:start w:w="110" w:type="dxa"/>
              <w:bottom w:w="110" w:type="dxa"/>
              <w:end w:w="110" w:type="dxa"/>
            </w:tcMar>
            <w:vAlign w:val="center"/>
          </w:tcPr>
          <w:p>
            <w:pPr>
              <w:jc w:val="center"/>
            </w:pPr>
            <w:r>
              <w:rPr>
                <w:rFonts w:ascii="Aptos" w:hAnsi="Aptos" w:eastAsia="Aptos"/>
                <w:b/>
                <w:color w:val="FFFFFF"/>
                <w:sz w:val="15"/>
              </w:rPr>
              <w:t>Слой</w:t>
            </w:r>
          </w:p>
        </w:tc>
        <w:tc>
          <w:tcPr>
            <w:tcW w:type="dxa" w:w="3312"/>
            <w:shd w:fill="173B67"/>
            <w:tcMar>
              <w:top w:w="110" w:type="dxa"/>
              <w:start w:w="110" w:type="dxa"/>
              <w:bottom w:w="110" w:type="dxa"/>
              <w:end w:w="110" w:type="dxa"/>
            </w:tcMar>
            <w:vAlign w:val="center"/>
          </w:tcPr>
          <w:p>
            <w:pPr>
              <w:jc w:val="center"/>
            </w:pPr>
            <w:r>
              <w:rPr>
                <w:rFonts w:ascii="Aptos" w:hAnsi="Aptos" w:eastAsia="Aptos"/>
                <w:b/>
                <w:color w:val="FFFFFF"/>
                <w:sz w:val="15"/>
              </w:rPr>
              <w:t>Отрицательный свидетель</w:t>
            </w:r>
          </w:p>
        </w:tc>
        <w:tc>
          <w:tcPr>
            <w:tcW w:type="dxa" w:w="2160"/>
            <w:shd w:fill="173B67"/>
            <w:tcMar>
              <w:top w:w="110" w:type="dxa"/>
              <w:start w:w="110" w:type="dxa"/>
              <w:bottom w:w="110" w:type="dxa"/>
              <w:end w:w="110" w:type="dxa"/>
            </w:tcMar>
            <w:vAlign w:val="center"/>
          </w:tcPr>
          <w:p>
            <w:pPr>
              <w:jc w:val="center"/>
            </w:pPr>
            <w:r>
              <w:rPr>
                <w:rFonts w:ascii="Aptos" w:hAnsi="Aptos" w:eastAsia="Aptos"/>
                <w:b/>
                <w:color w:val="FFFFFF"/>
                <w:sz w:val="15"/>
              </w:rPr>
              <w:t>Проверка</w:t>
            </w:r>
          </w:p>
        </w:tc>
        <w:tc>
          <w:tcPr>
            <w:tcW w:type="dxa" w:w="1728"/>
            <w:shd w:fill="173B67"/>
            <w:tcMar>
              <w:top w:w="110" w:type="dxa"/>
              <w:start w:w="110" w:type="dxa"/>
              <w:bottom w:w="110" w:type="dxa"/>
              <w:end w:w="110" w:type="dxa"/>
            </w:tcMar>
            <w:vAlign w:val="center"/>
          </w:tcPr>
          <w:p>
            <w:pPr>
              <w:jc w:val="center"/>
            </w:pPr>
            <w:r>
              <w:rPr>
                <w:rFonts w:ascii="Aptos" w:hAnsi="Aptos" w:eastAsia="Aptos"/>
                <w:b/>
                <w:color w:val="FFFFFF"/>
                <w:sz w:val="15"/>
              </w:rPr>
              <w:t>Допустимый статус</w:t>
            </w:r>
          </w:p>
        </w:tc>
      </w:tr>
      <w:tr>
        <w:tc>
          <w:tcPr>
            <w:tcW w:type="dxa" w:w="576"/>
            <w:tcMar>
              <w:top w:w="90" w:type="dxa"/>
              <w:start w:w="100" w:type="dxa"/>
              <w:bottom w:w="90" w:type="dxa"/>
              <w:end w:w="100" w:type="dxa"/>
            </w:tcMar>
            <w:vAlign w:val="center"/>
          </w:tcPr>
          <w:p>
            <w:pPr>
              <w:spacing w:after="0"/>
            </w:pPr>
            <w:r>
              <w:rPr>
                <w:rFonts w:ascii="Aptos" w:hAnsi="Aptos" w:eastAsia="Aptos"/>
                <w:sz w:val="15"/>
              </w:rPr>
              <w:t>1</w:t>
            </w:r>
          </w:p>
        </w:tc>
        <w:tc>
          <w:tcPr>
            <w:tcW w:type="dxa" w:w="2016"/>
            <w:tcMar>
              <w:top w:w="90" w:type="dxa"/>
              <w:start w:w="100" w:type="dxa"/>
              <w:bottom w:w="90" w:type="dxa"/>
              <w:end w:w="100" w:type="dxa"/>
            </w:tcMar>
            <w:vAlign w:val="center"/>
          </w:tcPr>
          <w:p>
            <w:pPr>
              <w:spacing w:after="0"/>
            </w:pPr>
            <w:r>
              <w:rPr>
                <w:rFonts w:ascii="Aptos" w:hAnsi="Aptos" w:eastAsia="Aptos"/>
                <w:sz w:val="15"/>
              </w:rPr>
              <w:t>Интерфейс с Томом I</w:t>
            </w:r>
          </w:p>
        </w:tc>
        <w:tc>
          <w:tcPr>
            <w:tcW w:type="dxa" w:w="3312"/>
            <w:tcMar>
              <w:top w:w="90" w:type="dxa"/>
              <w:start w:w="100" w:type="dxa"/>
              <w:bottom w:w="90" w:type="dxa"/>
              <w:end w:w="100" w:type="dxa"/>
            </w:tcMar>
            <w:vAlign w:val="center"/>
          </w:tcPr>
          <w:p>
            <w:pPr>
              <w:spacing w:after="0"/>
            </w:pPr>
            <w:r>
              <w:rPr>
                <w:rFonts w:ascii="Aptos" w:hAnsi="Aptos" w:eastAsia="Aptos"/>
                <w:sz w:val="15"/>
              </w:rPr>
              <w:t>несогласованный импорт/изменение канона</w:t>
            </w:r>
          </w:p>
        </w:tc>
        <w:tc>
          <w:tcPr>
            <w:tcW w:type="dxa" w:w="2160"/>
            <w:tcMar>
              <w:top w:w="90" w:type="dxa"/>
              <w:start w:w="100" w:type="dxa"/>
              <w:bottom w:w="90" w:type="dxa"/>
              <w:end w:w="100" w:type="dxa"/>
            </w:tcMar>
            <w:vAlign w:val="center"/>
          </w:tcPr>
          <w:p>
            <w:pPr>
              <w:spacing w:after="0"/>
            </w:pPr>
            <w:r>
              <w:rPr>
                <w:rFonts w:ascii="Aptos" w:hAnsi="Aptos" w:eastAsia="Aptos"/>
                <w:sz w:val="15"/>
              </w:rPr>
              <w:t>hash/page/ID diff</w:t>
            </w:r>
          </w:p>
        </w:tc>
        <w:tc>
          <w:tcPr>
            <w:tcW w:type="dxa" w:w="1728"/>
            <w:tcMar>
              <w:top w:w="90" w:type="dxa"/>
              <w:start w:w="100" w:type="dxa"/>
              <w:bottom w:w="90" w:type="dxa"/>
              <w:end w:w="100" w:type="dxa"/>
            </w:tcMar>
            <w:vAlign w:val="center"/>
          </w:tcPr>
          <w:p>
            <w:pPr>
              <w:spacing w:after="0"/>
            </w:pPr>
            <w:r>
              <w:rPr>
                <w:rFonts w:ascii="Aptos" w:hAnsi="Aptos" w:eastAsia="Aptos"/>
                <w:sz w:val="15"/>
              </w:rPr>
              <w:t>FAIL-IMPORT</w:t>
            </w:r>
          </w:p>
        </w:tc>
      </w:tr>
      <w:tr>
        <w:tc>
          <w:tcPr>
            <w:tcW w:type="dxa" w:w="576"/>
            <w:tcMar>
              <w:top w:w="90" w:type="dxa"/>
              <w:start w:w="100" w:type="dxa"/>
              <w:bottom w:w="90" w:type="dxa"/>
              <w:end w:w="100" w:type="dxa"/>
            </w:tcMar>
            <w:vAlign w:val="center"/>
            <w:shd w:fill="F5F7F9"/>
          </w:tcPr>
          <w:p>
            <w:pPr>
              <w:spacing w:after="0"/>
            </w:pPr>
            <w:r>
              <w:rPr>
                <w:rFonts w:ascii="Aptos" w:hAnsi="Aptos" w:eastAsia="Aptos"/>
                <w:sz w:val="15"/>
              </w:rPr>
              <w:t>2</w:t>
            </w:r>
          </w:p>
        </w:tc>
        <w:tc>
          <w:tcPr>
            <w:tcW w:type="dxa" w:w="2016"/>
            <w:tcMar>
              <w:top w:w="90" w:type="dxa"/>
              <w:start w:w="100" w:type="dxa"/>
              <w:bottom w:w="90" w:type="dxa"/>
              <w:end w:w="100" w:type="dxa"/>
            </w:tcMar>
            <w:vAlign w:val="center"/>
            <w:shd w:fill="F5F7F9"/>
          </w:tcPr>
          <w:p>
            <w:pPr>
              <w:spacing w:after="0"/>
            </w:pPr>
            <w:r>
              <w:rPr>
                <w:rFonts w:ascii="Aptos" w:hAnsi="Aptos" w:eastAsia="Aptos"/>
                <w:sz w:val="15"/>
              </w:rPr>
              <w:t>Notation ledger</w:t>
            </w:r>
          </w:p>
        </w:tc>
        <w:tc>
          <w:tcPr>
            <w:tcW w:type="dxa" w:w="3312"/>
            <w:tcMar>
              <w:top w:w="90" w:type="dxa"/>
              <w:start w:w="100" w:type="dxa"/>
              <w:bottom w:w="90" w:type="dxa"/>
              <w:end w:w="100" w:type="dxa"/>
            </w:tcMar>
            <w:vAlign w:val="center"/>
            <w:shd w:fill="F5F7F9"/>
          </w:tcPr>
          <w:p>
            <w:pPr>
              <w:spacing w:after="0"/>
            </w:pPr>
            <w:r>
              <w:rPr>
                <w:rFonts w:ascii="Aptos" w:hAnsi="Aptos" w:eastAsia="Aptos"/>
                <w:sz w:val="15"/>
              </w:rPr>
              <w:t>две семантики одного символа</w:t>
            </w:r>
          </w:p>
        </w:tc>
        <w:tc>
          <w:tcPr>
            <w:tcW w:type="dxa" w:w="2160"/>
            <w:tcMar>
              <w:top w:w="90" w:type="dxa"/>
              <w:start w:w="100" w:type="dxa"/>
              <w:bottom w:w="90" w:type="dxa"/>
              <w:end w:w="100" w:type="dxa"/>
            </w:tcMar>
            <w:vAlign w:val="center"/>
            <w:shd w:fill="F5F7F9"/>
          </w:tcPr>
          <w:p>
            <w:pPr>
              <w:spacing w:after="0"/>
            </w:pPr>
            <w:r>
              <w:rPr>
                <w:rFonts w:ascii="Aptos" w:hAnsi="Aptos" w:eastAsia="Aptos"/>
                <w:sz w:val="15"/>
              </w:rPr>
              <w:t>notation collision test</w:t>
            </w:r>
          </w:p>
        </w:tc>
        <w:tc>
          <w:tcPr>
            <w:tcW w:type="dxa" w:w="1728"/>
            <w:tcMar>
              <w:top w:w="90" w:type="dxa"/>
              <w:start w:w="100" w:type="dxa"/>
              <w:bottom w:w="90" w:type="dxa"/>
              <w:end w:w="100" w:type="dxa"/>
            </w:tcMar>
            <w:vAlign w:val="center"/>
            <w:shd w:fill="F5F7F9"/>
          </w:tcPr>
          <w:p>
            <w:pPr>
              <w:spacing w:after="0"/>
            </w:pPr>
            <w:r>
              <w:rPr>
                <w:rFonts w:ascii="Aptos" w:hAnsi="Aptos" w:eastAsia="Aptos"/>
                <w:sz w:val="15"/>
              </w:rPr>
              <w:t>FAIL-NOTATION</w:t>
            </w:r>
          </w:p>
        </w:tc>
      </w:tr>
      <w:tr>
        <w:tc>
          <w:tcPr>
            <w:tcW w:type="dxa" w:w="576"/>
            <w:tcMar>
              <w:top w:w="90" w:type="dxa"/>
              <w:start w:w="100" w:type="dxa"/>
              <w:bottom w:w="90" w:type="dxa"/>
              <w:end w:w="100" w:type="dxa"/>
            </w:tcMar>
            <w:vAlign w:val="center"/>
          </w:tcPr>
          <w:p>
            <w:pPr>
              <w:spacing w:after="0"/>
            </w:pPr>
            <w:r>
              <w:rPr>
                <w:rFonts w:ascii="Aptos" w:hAnsi="Aptos" w:eastAsia="Aptos"/>
                <w:sz w:val="15"/>
              </w:rPr>
              <w:t>3</w:t>
            </w:r>
          </w:p>
        </w:tc>
        <w:tc>
          <w:tcPr>
            <w:tcW w:type="dxa" w:w="2016"/>
            <w:tcMar>
              <w:top w:w="90" w:type="dxa"/>
              <w:start w:w="100" w:type="dxa"/>
              <w:bottom w:w="90" w:type="dxa"/>
              <w:end w:w="100" w:type="dxa"/>
            </w:tcMar>
            <w:vAlign w:val="center"/>
          </w:tcPr>
          <w:p>
            <w:pPr>
              <w:spacing w:after="0"/>
            </w:pPr>
            <w:r>
              <w:rPr>
                <w:rFonts w:ascii="Aptos" w:hAnsi="Aptos" w:eastAsia="Aptos"/>
                <w:sz w:val="15"/>
              </w:rPr>
              <w:t>Категория NAPG</w:t>
            </w:r>
          </w:p>
        </w:tc>
        <w:tc>
          <w:tcPr>
            <w:tcW w:type="dxa" w:w="3312"/>
            <w:tcMar>
              <w:top w:w="90" w:type="dxa"/>
              <w:start w:w="100" w:type="dxa"/>
              <w:bottom w:w="90" w:type="dxa"/>
              <w:end w:w="100" w:type="dxa"/>
            </w:tcMar>
            <w:vAlign w:val="center"/>
          </w:tcPr>
          <w:p>
            <w:pPr>
              <w:spacing w:after="0"/>
            </w:pPr>
            <w:r>
              <w:rPr>
                <w:rFonts w:ascii="Aptos" w:hAnsi="Aptos" w:eastAsia="Aptos"/>
                <w:sz w:val="15"/>
              </w:rPr>
              <w:t>нарушение identity/composition</w:t>
            </w:r>
          </w:p>
        </w:tc>
        <w:tc>
          <w:tcPr>
            <w:tcW w:type="dxa" w:w="2160"/>
            <w:tcMar>
              <w:top w:w="90" w:type="dxa"/>
              <w:start w:w="100" w:type="dxa"/>
              <w:bottom w:w="90" w:type="dxa"/>
              <w:end w:w="100" w:type="dxa"/>
            </w:tcMar>
            <w:vAlign w:val="center"/>
          </w:tcPr>
          <w:p>
            <w:pPr>
              <w:spacing w:after="0"/>
            </w:pPr>
            <w:r>
              <w:rPr>
                <w:rFonts w:ascii="Aptos" w:hAnsi="Aptos" w:eastAsia="Aptos"/>
                <w:sz w:val="15"/>
              </w:rPr>
              <w:t>явный морфизм</w:t>
            </w:r>
          </w:p>
        </w:tc>
        <w:tc>
          <w:tcPr>
            <w:tcW w:type="dxa" w:w="1728"/>
            <w:tcMar>
              <w:top w:w="90" w:type="dxa"/>
              <w:start w:w="100" w:type="dxa"/>
              <w:bottom w:w="90" w:type="dxa"/>
              <w:end w:w="100" w:type="dxa"/>
            </w:tcMar>
            <w:vAlign w:val="center"/>
          </w:tcPr>
          <w:p>
            <w:pPr>
              <w:spacing w:after="0"/>
            </w:pPr>
            <w:r>
              <w:rPr>
                <w:rFonts w:ascii="Aptos" w:hAnsi="Aptos" w:eastAsia="Aptos"/>
                <w:sz w:val="15"/>
              </w:rPr>
              <w:t>FAIL-CATEGORY</w:t>
            </w:r>
          </w:p>
        </w:tc>
      </w:tr>
      <w:tr>
        <w:tc>
          <w:tcPr>
            <w:tcW w:type="dxa" w:w="576"/>
            <w:tcMar>
              <w:top w:w="90" w:type="dxa"/>
              <w:start w:w="100" w:type="dxa"/>
              <w:bottom w:w="90" w:type="dxa"/>
              <w:end w:w="100" w:type="dxa"/>
            </w:tcMar>
            <w:vAlign w:val="center"/>
            <w:shd w:fill="F5F7F9"/>
          </w:tcPr>
          <w:p>
            <w:pPr>
              <w:spacing w:after="0"/>
            </w:pPr>
            <w:r>
              <w:rPr>
                <w:rFonts w:ascii="Aptos" w:hAnsi="Aptos" w:eastAsia="Aptos"/>
                <w:sz w:val="15"/>
              </w:rPr>
              <w:t>4</w:t>
            </w:r>
          </w:p>
        </w:tc>
        <w:tc>
          <w:tcPr>
            <w:tcW w:type="dxa" w:w="2016"/>
            <w:tcMar>
              <w:top w:w="90" w:type="dxa"/>
              <w:start w:w="100" w:type="dxa"/>
              <w:bottom w:w="90" w:type="dxa"/>
              <w:end w:w="100" w:type="dxa"/>
            </w:tcMar>
            <w:vAlign w:val="center"/>
            <w:shd w:fill="F5F7F9"/>
          </w:tcPr>
          <w:p>
            <w:pPr>
              <w:spacing w:after="0"/>
            </w:pPr>
            <w:r>
              <w:rPr>
                <w:rFonts w:ascii="Aptos" w:hAnsi="Aptos" w:eastAsia="Aptos"/>
                <w:sz w:val="15"/>
              </w:rPr>
              <w:t>Градуированная алгебра</w:t>
            </w:r>
          </w:p>
        </w:tc>
        <w:tc>
          <w:tcPr>
            <w:tcW w:type="dxa" w:w="3312"/>
            <w:tcMar>
              <w:top w:w="90" w:type="dxa"/>
              <w:start w:w="100" w:type="dxa"/>
              <w:bottom w:w="90" w:type="dxa"/>
              <w:end w:w="100" w:type="dxa"/>
            </w:tcMar>
            <w:vAlign w:val="center"/>
            <w:shd w:fill="F5F7F9"/>
          </w:tcPr>
          <w:p>
            <w:pPr>
              <w:spacing w:after="0"/>
            </w:pPr>
            <w:r>
              <w:rPr>
                <w:rFonts w:ascii="Aptos" w:hAnsi="Aptos" w:eastAsia="Aptos"/>
                <w:sz w:val="15"/>
              </w:rPr>
              <w:t>незамкнутость/небилинейность</w:t>
            </w:r>
          </w:p>
        </w:tc>
        <w:tc>
          <w:tcPr>
            <w:tcW w:type="dxa" w:w="2160"/>
            <w:tcMar>
              <w:top w:w="90" w:type="dxa"/>
              <w:start w:w="100" w:type="dxa"/>
              <w:bottom w:w="90" w:type="dxa"/>
              <w:end w:w="100" w:type="dxa"/>
            </w:tcMar>
            <w:vAlign w:val="center"/>
            <w:shd w:fill="F5F7F9"/>
          </w:tcPr>
          <w:p>
            <w:pPr>
              <w:spacing w:after="0"/>
            </w:pPr>
            <w:r>
              <w:rPr>
                <w:rFonts w:ascii="Aptos" w:hAnsi="Aptos" w:eastAsia="Aptos"/>
                <w:sz w:val="15"/>
              </w:rPr>
              <w:t>явная пара элементов</w:t>
            </w:r>
          </w:p>
        </w:tc>
        <w:tc>
          <w:tcPr>
            <w:tcW w:type="dxa" w:w="1728"/>
            <w:tcMar>
              <w:top w:w="90" w:type="dxa"/>
              <w:start w:w="100" w:type="dxa"/>
              <w:bottom w:w="90" w:type="dxa"/>
              <w:end w:w="100" w:type="dxa"/>
            </w:tcMar>
            <w:vAlign w:val="center"/>
            <w:shd w:fill="F5F7F9"/>
          </w:tcPr>
          <w:p>
            <w:pPr>
              <w:spacing w:after="0"/>
            </w:pPr>
            <w:r>
              <w:rPr>
                <w:rFonts w:ascii="Aptos" w:hAnsi="Aptos" w:eastAsia="Aptos"/>
                <w:sz w:val="15"/>
              </w:rPr>
              <w:t>FAIL-ALG</w:t>
            </w:r>
          </w:p>
        </w:tc>
      </w:tr>
      <w:tr>
        <w:tc>
          <w:tcPr>
            <w:tcW w:type="dxa" w:w="576"/>
            <w:tcMar>
              <w:top w:w="90" w:type="dxa"/>
              <w:start w:w="100" w:type="dxa"/>
              <w:bottom w:w="90" w:type="dxa"/>
              <w:end w:w="100" w:type="dxa"/>
            </w:tcMar>
            <w:vAlign w:val="center"/>
          </w:tcPr>
          <w:p>
            <w:pPr>
              <w:spacing w:after="0"/>
            </w:pPr>
            <w:r>
              <w:rPr>
                <w:rFonts w:ascii="Aptos" w:hAnsi="Aptos" w:eastAsia="Aptos"/>
                <w:sz w:val="15"/>
              </w:rPr>
              <w:t>5</w:t>
            </w:r>
          </w:p>
        </w:tc>
        <w:tc>
          <w:tcPr>
            <w:tcW w:type="dxa" w:w="2016"/>
            <w:tcMar>
              <w:top w:w="90" w:type="dxa"/>
              <w:start w:w="100" w:type="dxa"/>
              <w:bottom w:w="90" w:type="dxa"/>
              <w:end w:w="100" w:type="dxa"/>
            </w:tcMar>
            <w:vAlign w:val="center"/>
          </w:tcPr>
          <w:p>
            <w:pPr>
              <w:spacing w:after="0"/>
            </w:pPr>
            <w:r>
              <w:rPr>
                <w:rFonts w:ascii="Aptos" w:hAnsi="Aptos" w:eastAsia="Aptos"/>
                <w:sz w:val="15"/>
              </w:rPr>
              <w:t>Ассоциатор и инварианты</w:t>
            </w:r>
          </w:p>
        </w:tc>
        <w:tc>
          <w:tcPr>
            <w:tcW w:type="dxa" w:w="3312"/>
            <w:tcMar>
              <w:top w:w="90" w:type="dxa"/>
              <w:start w:w="100" w:type="dxa"/>
              <w:bottom w:w="90" w:type="dxa"/>
              <w:end w:w="100" w:type="dxa"/>
            </w:tcMar>
            <w:vAlign w:val="center"/>
          </w:tcPr>
          <w:p>
            <w:pPr>
              <w:spacing w:after="0"/>
            </w:pPr>
            <w:r>
              <w:rPr>
                <w:rFonts w:ascii="Aptos" w:hAnsi="Aptos" w:eastAsia="Aptos"/>
                <w:sz w:val="15"/>
              </w:rPr>
              <w:t>зависимость от выбора/неверная тройка</w:t>
            </w:r>
          </w:p>
        </w:tc>
        <w:tc>
          <w:tcPr>
            <w:tcW w:type="dxa" w:w="2160"/>
            <w:tcMar>
              <w:top w:w="90" w:type="dxa"/>
              <w:start w:w="100" w:type="dxa"/>
              <w:bottom w:w="90" w:type="dxa"/>
              <w:end w:w="100" w:type="dxa"/>
            </w:tcMar>
            <w:vAlign w:val="center"/>
          </w:tcPr>
          <w:p>
            <w:pPr>
              <w:spacing w:after="0"/>
            </w:pPr>
            <w:r>
              <w:rPr>
                <w:rFonts w:ascii="Aptos" w:hAnsi="Aptos" w:eastAsia="Aptos"/>
                <w:sz w:val="15"/>
              </w:rPr>
              <w:t>exact counterexample</w:t>
            </w:r>
          </w:p>
        </w:tc>
        <w:tc>
          <w:tcPr>
            <w:tcW w:type="dxa" w:w="1728"/>
            <w:tcMar>
              <w:top w:w="90" w:type="dxa"/>
              <w:start w:w="100" w:type="dxa"/>
              <w:bottom w:w="90" w:type="dxa"/>
              <w:end w:w="100" w:type="dxa"/>
            </w:tcMar>
            <w:vAlign w:val="center"/>
          </w:tcPr>
          <w:p>
            <w:pPr>
              <w:spacing w:after="0"/>
            </w:pPr>
            <w:r>
              <w:rPr>
                <w:rFonts w:ascii="Aptos" w:hAnsi="Aptos" w:eastAsia="Aptos"/>
                <w:sz w:val="15"/>
              </w:rPr>
              <w:t>FAIL-INVARIANT</w:t>
            </w:r>
          </w:p>
        </w:tc>
      </w:tr>
      <w:tr>
        <w:tc>
          <w:tcPr>
            <w:tcW w:type="dxa" w:w="576"/>
            <w:tcMar>
              <w:top w:w="90" w:type="dxa"/>
              <w:start w:w="100" w:type="dxa"/>
              <w:bottom w:w="90" w:type="dxa"/>
              <w:end w:w="100" w:type="dxa"/>
            </w:tcMar>
            <w:vAlign w:val="center"/>
            <w:shd w:fill="F5F7F9"/>
          </w:tcPr>
          <w:p>
            <w:pPr>
              <w:spacing w:after="0"/>
            </w:pPr>
            <w:r>
              <w:rPr>
                <w:rFonts w:ascii="Aptos" w:hAnsi="Aptos" w:eastAsia="Aptos"/>
                <w:sz w:val="15"/>
              </w:rPr>
              <w:t>6</w:t>
            </w:r>
          </w:p>
        </w:tc>
        <w:tc>
          <w:tcPr>
            <w:tcW w:type="dxa" w:w="2016"/>
            <w:tcMar>
              <w:top w:w="90" w:type="dxa"/>
              <w:start w:w="100" w:type="dxa"/>
              <w:bottom w:w="90" w:type="dxa"/>
              <w:end w:w="100" w:type="dxa"/>
            </w:tcMar>
            <w:vAlign w:val="center"/>
            <w:shd w:fill="F5F7F9"/>
          </w:tcPr>
          <w:p>
            <w:pPr>
              <w:spacing w:after="0"/>
            </w:pPr>
            <w:r>
              <w:rPr>
                <w:rFonts w:ascii="Aptos" w:hAnsi="Aptos" w:eastAsia="Aptos"/>
                <w:sz w:val="15"/>
              </w:rPr>
              <w:t>Двойственность</w:t>
            </w:r>
          </w:p>
        </w:tc>
        <w:tc>
          <w:tcPr>
            <w:tcW w:type="dxa" w:w="3312"/>
            <w:tcMar>
              <w:top w:w="90" w:type="dxa"/>
              <w:start w:w="100" w:type="dxa"/>
              <w:bottom w:w="90" w:type="dxa"/>
              <w:end w:w="100" w:type="dxa"/>
            </w:tcMar>
            <w:vAlign w:val="center"/>
            <w:shd w:fill="F5F7F9"/>
          </w:tcPr>
          <w:p>
            <w:pPr>
              <w:spacing w:after="0"/>
            </w:pPr>
            <w:r>
              <w:rPr>
                <w:rFonts w:ascii="Aptos" w:hAnsi="Aptos" w:eastAsia="Aptos"/>
                <w:sz w:val="15"/>
              </w:rPr>
              <w:t>неполнота/неверность функтора</w:t>
            </w:r>
          </w:p>
        </w:tc>
        <w:tc>
          <w:tcPr>
            <w:tcW w:type="dxa" w:w="2160"/>
            <w:tcMar>
              <w:top w:w="90" w:type="dxa"/>
              <w:start w:w="100" w:type="dxa"/>
              <w:bottom w:w="90" w:type="dxa"/>
              <w:end w:w="100" w:type="dxa"/>
            </w:tcMar>
            <w:vAlign w:val="center"/>
            <w:shd w:fill="F5F7F9"/>
          </w:tcPr>
          <w:p>
            <w:pPr>
              <w:spacing w:after="0"/>
            </w:pPr>
            <w:r>
              <w:rPr>
                <w:rFonts w:ascii="Aptos" w:hAnsi="Aptos" w:eastAsia="Aptos"/>
                <w:sz w:val="15"/>
              </w:rPr>
              <w:t>неизоморфные образы</w:t>
            </w:r>
          </w:p>
        </w:tc>
        <w:tc>
          <w:tcPr>
            <w:tcW w:type="dxa" w:w="1728"/>
            <w:tcMar>
              <w:top w:w="90" w:type="dxa"/>
              <w:start w:w="100" w:type="dxa"/>
              <w:bottom w:w="90" w:type="dxa"/>
              <w:end w:w="100" w:type="dxa"/>
            </w:tcMar>
            <w:vAlign w:val="center"/>
            <w:shd w:fill="F5F7F9"/>
          </w:tcPr>
          <w:p>
            <w:pPr>
              <w:spacing w:after="0"/>
            </w:pPr>
            <w:r>
              <w:rPr>
                <w:rFonts w:ascii="Aptos" w:hAnsi="Aptos" w:eastAsia="Aptos"/>
                <w:sz w:val="15"/>
              </w:rPr>
              <w:t>FAIL-DUAL</w:t>
            </w:r>
          </w:p>
        </w:tc>
      </w:tr>
      <w:tr>
        <w:tc>
          <w:tcPr>
            <w:tcW w:type="dxa" w:w="576"/>
            <w:tcMar>
              <w:top w:w="90" w:type="dxa"/>
              <w:start w:w="100" w:type="dxa"/>
              <w:bottom w:w="90" w:type="dxa"/>
              <w:end w:w="100" w:type="dxa"/>
            </w:tcMar>
            <w:vAlign w:val="center"/>
          </w:tcPr>
          <w:p>
            <w:pPr>
              <w:spacing w:after="0"/>
            </w:pPr>
            <w:r>
              <w:rPr>
                <w:rFonts w:ascii="Aptos" w:hAnsi="Aptos" w:eastAsia="Aptos"/>
                <w:sz w:val="15"/>
              </w:rPr>
              <w:t>7</w:t>
            </w:r>
          </w:p>
        </w:tc>
        <w:tc>
          <w:tcPr>
            <w:tcW w:type="dxa" w:w="2016"/>
            <w:tcMar>
              <w:top w:w="90" w:type="dxa"/>
              <w:start w:w="100" w:type="dxa"/>
              <w:bottom w:w="90" w:type="dxa"/>
              <w:end w:w="100" w:type="dxa"/>
            </w:tcMar>
            <w:vAlign w:val="center"/>
          </w:tcPr>
          <w:p>
            <w:pPr>
              <w:spacing w:after="0"/>
            </w:pPr>
            <w:r>
              <w:rPr>
                <w:rFonts w:ascii="Aptos" w:hAnsi="Aptos" w:eastAsia="Aptos"/>
                <w:sz w:val="15"/>
              </w:rPr>
              <w:t>Атласы и расслоения</w:t>
            </w:r>
          </w:p>
        </w:tc>
        <w:tc>
          <w:tcPr>
            <w:tcW w:type="dxa" w:w="3312"/>
            <w:tcMar>
              <w:top w:w="90" w:type="dxa"/>
              <w:start w:w="100" w:type="dxa"/>
              <w:bottom w:w="90" w:type="dxa"/>
              <w:end w:w="100" w:type="dxa"/>
            </w:tcMar>
            <w:vAlign w:val="center"/>
          </w:tcPr>
          <w:p>
            <w:pPr>
              <w:spacing w:after="0"/>
            </w:pPr>
            <w:r>
              <w:rPr>
                <w:rFonts w:ascii="Aptos" w:hAnsi="Aptos" w:eastAsia="Aptos"/>
                <w:sz w:val="15"/>
              </w:rPr>
              <w:t>нарушение cocycle</w:t>
            </w:r>
          </w:p>
        </w:tc>
        <w:tc>
          <w:tcPr>
            <w:tcW w:type="dxa" w:w="2160"/>
            <w:tcMar>
              <w:top w:w="90" w:type="dxa"/>
              <w:start w:w="100" w:type="dxa"/>
              <w:bottom w:w="90" w:type="dxa"/>
              <w:end w:w="100" w:type="dxa"/>
            </w:tcMar>
            <w:vAlign w:val="center"/>
          </w:tcPr>
          <w:p>
            <w:pPr>
              <w:spacing w:after="0"/>
            </w:pPr>
            <w:r>
              <w:rPr>
                <w:rFonts w:ascii="Aptos" w:hAnsi="Aptos" w:eastAsia="Aptos"/>
                <w:sz w:val="15"/>
              </w:rPr>
              <w:t>тройное перекрытие</w:t>
            </w:r>
          </w:p>
        </w:tc>
        <w:tc>
          <w:tcPr>
            <w:tcW w:type="dxa" w:w="1728"/>
            <w:tcMar>
              <w:top w:w="90" w:type="dxa"/>
              <w:start w:w="100" w:type="dxa"/>
              <w:bottom w:w="90" w:type="dxa"/>
              <w:end w:w="100" w:type="dxa"/>
            </w:tcMar>
            <w:vAlign w:val="center"/>
          </w:tcPr>
          <w:p>
            <w:pPr>
              <w:spacing w:after="0"/>
            </w:pPr>
            <w:r>
              <w:rPr>
                <w:rFonts w:ascii="Aptos" w:hAnsi="Aptos" w:eastAsia="Aptos"/>
                <w:sz w:val="15"/>
              </w:rPr>
              <w:t>FAIL-DESCENT</w:t>
            </w:r>
          </w:p>
        </w:tc>
      </w:tr>
      <w:tr>
        <w:tc>
          <w:tcPr>
            <w:tcW w:type="dxa" w:w="576"/>
            <w:tcMar>
              <w:top w:w="90" w:type="dxa"/>
              <w:start w:w="100" w:type="dxa"/>
              <w:bottom w:w="90" w:type="dxa"/>
              <w:end w:w="100" w:type="dxa"/>
            </w:tcMar>
            <w:vAlign w:val="center"/>
            <w:shd w:fill="F5F7F9"/>
          </w:tcPr>
          <w:p>
            <w:pPr>
              <w:spacing w:after="0"/>
            </w:pPr>
            <w:r>
              <w:rPr>
                <w:rFonts w:ascii="Aptos" w:hAnsi="Aptos" w:eastAsia="Aptos"/>
                <w:sz w:val="15"/>
              </w:rPr>
              <w:t>8</w:t>
            </w:r>
          </w:p>
        </w:tc>
        <w:tc>
          <w:tcPr>
            <w:tcW w:type="dxa" w:w="2016"/>
            <w:tcMar>
              <w:top w:w="90" w:type="dxa"/>
              <w:start w:w="100" w:type="dxa"/>
              <w:bottom w:w="90" w:type="dxa"/>
              <w:end w:w="100" w:type="dxa"/>
            </w:tcMar>
            <w:vAlign w:val="center"/>
            <w:shd w:fill="F5F7F9"/>
          </w:tcPr>
          <w:p>
            <w:pPr>
              <w:spacing w:after="0"/>
            </w:pPr>
            <w:r>
              <w:rPr>
                <w:rFonts w:ascii="Aptos" w:hAnsi="Aptos" w:eastAsia="Aptos"/>
                <w:sz w:val="15"/>
              </w:rPr>
              <w:t>Касательные объекты</w:t>
            </w:r>
          </w:p>
        </w:tc>
        <w:tc>
          <w:tcPr>
            <w:tcW w:type="dxa" w:w="3312"/>
            <w:tcMar>
              <w:top w:w="90" w:type="dxa"/>
              <w:start w:w="100" w:type="dxa"/>
              <w:bottom w:w="90" w:type="dxa"/>
              <w:end w:w="100" w:type="dxa"/>
            </w:tcMar>
            <w:vAlign w:val="center"/>
            <w:shd w:fill="F5F7F9"/>
          </w:tcPr>
          <w:p>
            <w:pPr>
              <w:spacing w:after="0"/>
            </w:pPr>
            <w:r>
              <w:rPr>
                <w:rFonts w:ascii="Aptos" w:hAnsi="Aptos" w:eastAsia="Aptos"/>
                <w:sz w:val="15"/>
              </w:rPr>
              <w:t>формальное направление не интегрируется</w:t>
            </w:r>
          </w:p>
        </w:tc>
        <w:tc>
          <w:tcPr>
            <w:tcW w:type="dxa" w:w="2160"/>
            <w:tcMar>
              <w:top w:w="90" w:type="dxa"/>
              <w:start w:w="100" w:type="dxa"/>
              <w:bottom w:w="90" w:type="dxa"/>
              <w:end w:w="100" w:type="dxa"/>
            </w:tcMar>
            <w:vAlign w:val="center"/>
            <w:shd w:fill="F5F7F9"/>
          </w:tcPr>
          <w:p>
            <w:pPr>
              <w:spacing w:after="0"/>
            </w:pPr>
            <w:r>
              <w:rPr>
                <w:rFonts w:ascii="Aptos" w:hAnsi="Aptos" w:eastAsia="Aptos"/>
                <w:sz w:val="15"/>
              </w:rPr>
              <w:t>obstruction/arc absence</w:t>
            </w:r>
          </w:p>
        </w:tc>
        <w:tc>
          <w:tcPr>
            <w:tcW w:type="dxa" w:w="1728"/>
            <w:tcMar>
              <w:top w:w="90" w:type="dxa"/>
              <w:start w:w="100" w:type="dxa"/>
              <w:bottom w:w="90" w:type="dxa"/>
              <w:end w:w="100" w:type="dxa"/>
            </w:tcMar>
            <w:vAlign w:val="center"/>
            <w:shd w:fill="F5F7F9"/>
          </w:tcPr>
          <w:p>
            <w:pPr>
              <w:spacing w:after="0"/>
            </w:pPr>
            <w:r>
              <w:rPr>
                <w:rFonts w:ascii="Aptos" w:hAnsi="Aptos" w:eastAsia="Aptos"/>
                <w:sz w:val="15"/>
              </w:rPr>
              <w:t>FORMAL-ONLY</w:t>
            </w:r>
          </w:p>
        </w:tc>
      </w:tr>
    </w:tbl>
    <w:p>
      <w:pPr>
        <w:pStyle w:val="Heading2"/>
        <w:widowControl/>
      </w:pPr>
      <w:r>
        <w:t>Матрица 24-B: главы 9-16</w:t>
      </w:r>
    </w:p>
    <w:tbl>
      <w:tblPr>
        <w:tblStyle w:val="TableGrid"/>
        <w:tblW w:type="auto" w:w="0"/>
        <w:jc w:val="center"/>
        <w:tblLook w:firstColumn="1" w:firstRow="1" w:lastColumn="0" w:lastRow="0" w:noHBand="0" w:noVBand="1" w:val="04A0"/>
        <w:tblBorders>
          <w:top w:val="single" w:sz="6" w:color="B5C3D1"/>
          <w:left w:val="single" w:sz="6" w:color="B5C3D1"/>
          <w:bottom w:val="single" w:sz="6" w:color="B5C3D1"/>
          <w:right w:val="single" w:sz="6" w:color="B5C3D1"/>
          <w:insideH w:val="single" w:sz="6" w:color="B5C3D1"/>
          <w:insideV w:val="single" w:sz="6" w:color="B5C3D1"/>
        </w:tblBorders>
      </w:tblPr>
      <w:tblGrid>
        <w:gridCol w:w="1950"/>
        <w:gridCol w:w="1950"/>
        <w:gridCol w:w="1950"/>
        <w:gridCol w:w="1950"/>
        <w:gridCol w:w="1950"/>
      </w:tblGrid>
      <w:tr>
        <w:trPr>
          <w:tblHeader w:val="true"/>
        </w:trPr>
        <w:tc>
          <w:tcPr>
            <w:tcW w:type="dxa" w:w="576"/>
            <w:shd w:fill="173B67"/>
            <w:tcMar>
              <w:top w:w="110" w:type="dxa"/>
              <w:start w:w="110" w:type="dxa"/>
              <w:bottom w:w="110" w:type="dxa"/>
              <w:end w:w="110" w:type="dxa"/>
            </w:tcMar>
            <w:vAlign w:val="center"/>
          </w:tcPr>
          <w:p>
            <w:pPr>
              <w:jc w:val="center"/>
            </w:pPr>
            <w:r>
              <w:rPr>
                <w:rFonts w:ascii="Aptos" w:hAnsi="Aptos" w:eastAsia="Aptos"/>
                <w:b/>
                <w:color w:val="FFFFFF"/>
                <w:sz w:val="15"/>
              </w:rPr>
              <w:t>Гл.</w:t>
            </w:r>
          </w:p>
        </w:tc>
        <w:tc>
          <w:tcPr>
            <w:tcW w:type="dxa" w:w="2016"/>
            <w:shd w:fill="173B67"/>
            <w:tcMar>
              <w:top w:w="110" w:type="dxa"/>
              <w:start w:w="110" w:type="dxa"/>
              <w:bottom w:w="110" w:type="dxa"/>
              <w:end w:w="110" w:type="dxa"/>
            </w:tcMar>
            <w:vAlign w:val="center"/>
          </w:tcPr>
          <w:p>
            <w:pPr>
              <w:jc w:val="center"/>
            </w:pPr>
            <w:r>
              <w:rPr>
                <w:rFonts w:ascii="Aptos" w:hAnsi="Aptos" w:eastAsia="Aptos"/>
                <w:b/>
                <w:color w:val="FFFFFF"/>
                <w:sz w:val="15"/>
              </w:rPr>
              <w:t>Слой</w:t>
            </w:r>
          </w:p>
        </w:tc>
        <w:tc>
          <w:tcPr>
            <w:tcW w:type="dxa" w:w="3312"/>
            <w:shd w:fill="173B67"/>
            <w:tcMar>
              <w:top w:w="110" w:type="dxa"/>
              <w:start w:w="110" w:type="dxa"/>
              <w:bottom w:w="110" w:type="dxa"/>
              <w:end w:w="110" w:type="dxa"/>
            </w:tcMar>
            <w:vAlign w:val="center"/>
          </w:tcPr>
          <w:p>
            <w:pPr>
              <w:jc w:val="center"/>
            </w:pPr>
            <w:r>
              <w:rPr>
                <w:rFonts w:ascii="Aptos" w:hAnsi="Aptos" w:eastAsia="Aptos"/>
                <w:b/>
                <w:color w:val="FFFFFF"/>
                <w:sz w:val="15"/>
              </w:rPr>
              <w:t>Отрицательный свидетель</w:t>
            </w:r>
          </w:p>
        </w:tc>
        <w:tc>
          <w:tcPr>
            <w:tcW w:type="dxa" w:w="2160"/>
            <w:shd w:fill="173B67"/>
            <w:tcMar>
              <w:top w:w="110" w:type="dxa"/>
              <w:start w:w="110" w:type="dxa"/>
              <w:bottom w:w="110" w:type="dxa"/>
              <w:end w:w="110" w:type="dxa"/>
            </w:tcMar>
            <w:vAlign w:val="center"/>
          </w:tcPr>
          <w:p>
            <w:pPr>
              <w:jc w:val="center"/>
            </w:pPr>
            <w:r>
              <w:rPr>
                <w:rFonts w:ascii="Aptos" w:hAnsi="Aptos" w:eastAsia="Aptos"/>
                <w:b/>
                <w:color w:val="FFFFFF"/>
                <w:sz w:val="15"/>
              </w:rPr>
              <w:t>Проверка</w:t>
            </w:r>
          </w:p>
        </w:tc>
        <w:tc>
          <w:tcPr>
            <w:tcW w:type="dxa" w:w="1728"/>
            <w:shd w:fill="173B67"/>
            <w:tcMar>
              <w:top w:w="110" w:type="dxa"/>
              <w:start w:w="110" w:type="dxa"/>
              <w:bottom w:w="110" w:type="dxa"/>
              <w:end w:w="110" w:type="dxa"/>
            </w:tcMar>
            <w:vAlign w:val="center"/>
          </w:tcPr>
          <w:p>
            <w:pPr>
              <w:jc w:val="center"/>
            </w:pPr>
            <w:r>
              <w:rPr>
                <w:rFonts w:ascii="Aptos" w:hAnsi="Aptos" w:eastAsia="Aptos"/>
                <w:b/>
                <w:color w:val="FFFFFF"/>
                <w:sz w:val="15"/>
              </w:rPr>
              <w:t>Допустимый статус</w:t>
            </w:r>
          </w:p>
        </w:tc>
      </w:tr>
      <w:tr>
        <w:tc>
          <w:tcPr>
            <w:tcW w:type="dxa" w:w="576"/>
            <w:tcMar>
              <w:top w:w="90" w:type="dxa"/>
              <w:start w:w="100" w:type="dxa"/>
              <w:bottom w:w="90" w:type="dxa"/>
              <w:end w:w="100" w:type="dxa"/>
            </w:tcMar>
            <w:vAlign w:val="center"/>
          </w:tcPr>
          <w:p>
            <w:pPr>
              <w:spacing w:after="0"/>
            </w:pPr>
            <w:r>
              <w:rPr>
                <w:rFonts w:ascii="Aptos" w:hAnsi="Aptos" w:eastAsia="Aptos"/>
                <w:sz w:val="15"/>
              </w:rPr>
              <w:t>9</w:t>
            </w:r>
          </w:p>
        </w:tc>
        <w:tc>
          <w:tcPr>
            <w:tcW w:type="dxa" w:w="2016"/>
            <w:tcMar>
              <w:top w:w="90" w:type="dxa"/>
              <w:start w:w="100" w:type="dxa"/>
              <w:bottom w:w="90" w:type="dxa"/>
              <w:end w:w="100" w:type="dxa"/>
            </w:tcMar>
            <w:vAlign w:val="center"/>
          </w:tcPr>
          <w:p>
            <w:pPr>
              <w:spacing w:after="0"/>
            </w:pPr>
            <w:r>
              <w:rPr>
                <w:rFonts w:ascii="Aptos" w:hAnsi="Aptos" w:eastAsia="Aptos"/>
                <w:sz w:val="15"/>
              </w:rPr>
              <w:t>Связность и голономия</w:t>
            </w:r>
          </w:p>
        </w:tc>
        <w:tc>
          <w:tcPr>
            <w:tcW w:type="dxa" w:w="3312"/>
            <w:tcMar>
              <w:top w:w="90" w:type="dxa"/>
              <w:start w:w="100" w:type="dxa"/>
              <w:bottom w:w="90" w:type="dxa"/>
              <w:end w:w="100" w:type="dxa"/>
            </w:tcMar>
            <w:vAlign w:val="center"/>
          </w:tcPr>
          <w:p>
            <w:pPr>
              <w:spacing w:after="0"/>
            </w:pPr>
            <w:r>
              <w:rPr>
                <w:rFonts w:ascii="Aptos" w:hAnsi="Aptos" w:eastAsia="Aptos"/>
                <w:sz w:val="15"/>
              </w:rPr>
              <w:t>несогласованность транспорта</w:t>
            </w:r>
          </w:p>
        </w:tc>
        <w:tc>
          <w:tcPr>
            <w:tcW w:type="dxa" w:w="2160"/>
            <w:tcMar>
              <w:top w:w="90" w:type="dxa"/>
              <w:start w:w="100" w:type="dxa"/>
              <w:bottom w:w="90" w:type="dxa"/>
              <w:end w:w="100" w:type="dxa"/>
            </w:tcMar>
            <w:vAlign w:val="center"/>
          </w:tcPr>
          <w:p>
            <w:pPr>
              <w:spacing w:after="0"/>
            </w:pPr>
            <w:r>
              <w:rPr>
                <w:rFonts w:ascii="Aptos" w:hAnsi="Aptos" w:eastAsia="Aptos"/>
                <w:sz w:val="15"/>
              </w:rPr>
              <w:t>loop/composition residual</w:t>
            </w:r>
          </w:p>
        </w:tc>
        <w:tc>
          <w:tcPr>
            <w:tcW w:type="dxa" w:w="1728"/>
            <w:tcMar>
              <w:top w:w="90" w:type="dxa"/>
              <w:start w:w="100" w:type="dxa"/>
              <w:bottom w:w="90" w:type="dxa"/>
              <w:end w:w="100" w:type="dxa"/>
            </w:tcMar>
            <w:vAlign w:val="center"/>
          </w:tcPr>
          <w:p>
            <w:pPr>
              <w:spacing w:after="0"/>
            </w:pPr>
            <w:r>
              <w:rPr>
                <w:rFonts w:ascii="Aptos" w:hAnsi="Aptos" w:eastAsia="Aptos"/>
                <w:sz w:val="15"/>
              </w:rPr>
              <w:t>FAIL-CONN</w:t>
            </w:r>
          </w:p>
        </w:tc>
      </w:tr>
      <w:tr>
        <w:tc>
          <w:tcPr>
            <w:tcW w:type="dxa" w:w="576"/>
            <w:tcMar>
              <w:top w:w="90" w:type="dxa"/>
              <w:start w:w="100" w:type="dxa"/>
              <w:bottom w:w="90" w:type="dxa"/>
              <w:end w:w="100" w:type="dxa"/>
            </w:tcMar>
            <w:vAlign w:val="center"/>
            <w:shd w:fill="F5F7F9"/>
          </w:tcPr>
          <w:p>
            <w:pPr>
              <w:spacing w:after="0"/>
            </w:pPr>
            <w:r>
              <w:rPr>
                <w:rFonts w:ascii="Aptos" w:hAnsi="Aptos" w:eastAsia="Aptos"/>
                <w:sz w:val="15"/>
              </w:rPr>
              <w:t>10</w:t>
            </w:r>
          </w:p>
        </w:tc>
        <w:tc>
          <w:tcPr>
            <w:tcW w:type="dxa" w:w="2016"/>
            <w:tcMar>
              <w:top w:w="90" w:type="dxa"/>
              <w:start w:w="100" w:type="dxa"/>
              <w:bottom w:w="90" w:type="dxa"/>
              <w:end w:w="100" w:type="dxa"/>
            </w:tcMar>
            <w:vAlign w:val="center"/>
            <w:shd w:fill="F5F7F9"/>
          </w:tcPr>
          <w:p>
            <w:pPr>
              <w:spacing w:after="0"/>
            </w:pPr>
            <w:r>
              <w:rPr>
                <w:rFonts w:ascii="Aptos" w:hAnsi="Aptos" w:eastAsia="Aptos"/>
                <w:sz w:val="15"/>
              </w:rPr>
              <w:t>Дифференциальные формы</w:t>
            </w:r>
          </w:p>
        </w:tc>
        <w:tc>
          <w:tcPr>
            <w:tcW w:type="dxa" w:w="3312"/>
            <w:tcMar>
              <w:top w:w="90" w:type="dxa"/>
              <w:start w:w="100" w:type="dxa"/>
              <w:bottom w:w="90" w:type="dxa"/>
              <w:end w:w="100" w:type="dxa"/>
            </w:tcMar>
            <w:vAlign w:val="center"/>
            <w:shd w:fill="F5F7F9"/>
          </w:tcPr>
          <w:p>
            <w:pPr>
              <w:spacing w:after="0"/>
            </w:pPr>
            <w:r>
              <w:rPr>
                <w:rFonts w:ascii="Aptos" w:hAnsi="Aptos" w:eastAsia="Aptos"/>
                <w:sz w:val="15"/>
              </w:rPr>
              <w:t>δ²≠0 или Leibniz failure</w:t>
            </w:r>
          </w:p>
        </w:tc>
        <w:tc>
          <w:tcPr>
            <w:tcW w:type="dxa" w:w="2160"/>
            <w:tcMar>
              <w:top w:w="90" w:type="dxa"/>
              <w:start w:w="100" w:type="dxa"/>
              <w:bottom w:w="90" w:type="dxa"/>
              <w:end w:w="100" w:type="dxa"/>
            </w:tcMar>
            <w:vAlign w:val="center"/>
            <w:shd w:fill="F5F7F9"/>
          </w:tcPr>
          <w:p>
            <w:pPr>
              <w:spacing w:after="0"/>
            </w:pPr>
            <w:r>
              <w:rPr>
                <w:rFonts w:ascii="Aptos" w:hAnsi="Aptos" w:eastAsia="Aptos"/>
                <w:sz w:val="15"/>
              </w:rPr>
              <w:t>точная форма</w:t>
            </w:r>
          </w:p>
        </w:tc>
        <w:tc>
          <w:tcPr>
            <w:tcW w:type="dxa" w:w="1728"/>
            <w:tcMar>
              <w:top w:w="90" w:type="dxa"/>
              <w:start w:w="100" w:type="dxa"/>
              <w:bottom w:w="90" w:type="dxa"/>
              <w:end w:w="100" w:type="dxa"/>
            </w:tcMar>
            <w:vAlign w:val="center"/>
            <w:shd w:fill="F5F7F9"/>
          </w:tcPr>
          <w:p>
            <w:pPr>
              <w:spacing w:after="0"/>
            </w:pPr>
            <w:r>
              <w:rPr>
                <w:rFonts w:ascii="Aptos" w:hAnsi="Aptos" w:eastAsia="Aptos"/>
                <w:sz w:val="15"/>
              </w:rPr>
              <w:t>FAIL-COMPLEX</w:t>
            </w:r>
          </w:p>
        </w:tc>
      </w:tr>
      <w:tr>
        <w:tc>
          <w:tcPr>
            <w:tcW w:type="dxa" w:w="576"/>
            <w:tcMar>
              <w:top w:w="90" w:type="dxa"/>
              <w:start w:w="100" w:type="dxa"/>
              <w:bottom w:w="90" w:type="dxa"/>
              <w:end w:w="100" w:type="dxa"/>
            </w:tcMar>
            <w:vAlign w:val="center"/>
          </w:tcPr>
          <w:p>
            <w:pPr>
              <w:spacing w:after="0"/>
            </w:pPr>
            <w:r>
              <w:rPr>
                <w:rFonts w:ascii="Aptos" w:hAnsi="Aptos" w:eastAsia="Aptos"/>
                <w:sz w:val="15"/>
              </w:rPr>
              <w:t>11</w:t>
            </w:r>
          </w:p>
        </w:tc>
        <w:tc>
          <w:tcPr>
            <w:tcW w:type="dxa" w:w="2016"/>
            <w:tcMar>
              <w:top w:w="90" w:type="dxa"/>
              <w:start w:w="100" w:type="dxa"/>
              <w:bottom w:w="90" w:type="dxa"/>
              <w:end w:w="100" w:type="dxa"/>
            </w:tcMar>
            <w:vAlign w:val="center"/>
          </w:tcPr>
          <w:p>
            <w:pPr>
              <w:spacing w:after="0"/>
            </w:pPr>
            <w:r>
              <w:rPr>
                <w:rFonts w:ascii="Aptos" w:hAnsi="Aptos" w:eastAsia="Aptos"/>
                <w:sz w:val="15"/>
              </w:rPr>
              <w:t>Hodge/Fredholm</w:t>
            </w:r>
          </w:p>
        </w:tc>
        <w:tc>
          <w:tcPr>
            <w:tcW w:type="dxa" w:w="3312"/>
            <w:tcMar>
              <w:top w:w="90" w:type="dxa"/>
              <w:start w:w="100" w:type="dxa"/>
              <w:bottom w:w="90" w:type="dxa"/>
              <w:end w:w="100" w:type="dxa"/>
            </w:tcMar>
            <w:vAlign w:val="center"/>
          </w:tcPr>
          <w:p>
            <w:pPr>
              <w:spacing w:after="0"/>
            </w:pPr>
            <w:r>
              <w:rPr>
                <w:rFonts w:ascii="Aptos" w:hAnsi="Aptos" w:eastAsia="Aptos"/>
                <w:sz w:val="15"/>
              </w:rPr>
              <w:t>нет области/сопряжённости/compactness</w:t>
            </w:r>
          </w:p>
        </w:tc>
        <w:tc>
          <w:tcPr>
            <w:tcW w:type="dxa" w:w="2160"/>
            <w:tcMar>
              <w:top w:w="90" w:type="dxa"/>
              <w:start w:w="100" w:type="dxa"/>
              <w:bottom w:w="90" w:type="dxa"/>
              <w:end w:w="100" w:type="dxa"/>
            </w:tcMar>
            <w:vAlign w:val="center"/>
          </w:tcPr>
          <w:p>
            <w:pPr>
              <w:spacing w:after="0"/>
            </w:pPr>
            <w:r>
              <w:rPr>
                <w:rFonts w:ascii="Aptos" w:hAnsi="Aptos" w:eastAsia="Aptos"/>
                <w:sz w:val="15"/>
              </w:rPr>
              <w:t>boundary counterexample</w:t>
            </w:r>
          </w:p>
        </w:tc>
        <w:tc>
          <w:tcPr>
            <w:tcW w:type="dxa" w:w="1728"/>
            <w:tcMar>
              <w:top w:w="90" w:type="dxa"/>
              <w:start w:w="100" w:type="dxa"/>
              <w:bottom w:w="90" w:type="dxa"/>
              <w:end w:w="100" w:type="dxa"/>
            </w:tcMar>
            <w:vAlign w:val="center"/>
          </w:tcPr>
          <w:p>
            <w:pPr>
              <w:spacing w:after="0"/>
            </w:pPr>
            <w:r>
              <w:rPr>
                <w:rFonts w:ascii="Aptos" w:hAnsi="Aptos" w:eastAsia="Aptos"/>
                <w:sz w:val="15"/>
              </w:rPr>
              <w:t>COND/FAIL</w:t>
            </w:r>
          </w:p>
        </w:tc>
      </w:tr>
      <w:tr>
        <w:tc>
          <w:tcPr>
            <w:tcW w:type="dxa" w:w="576"/>
            <w:tcMar>
              <w:top w:w="90" w:type="dxa"/>
              <w:start w:w="100" w:type="dxa"/>
              <w:bottom w:w="90" w:type="dxa"/>
              <w:end w:w="100" w:type="dxa"/>
            </w:tcMar>
            <w:vAlign w:val="center"/>
            <w:shd w:fill="F5F7F9"/>
          </w:tcPr>
          <w:p>
            <w:pPr>
              <w:spacing w:after="0"/>
            </w:pPr>
            <w:r>
              <w:rPr>
                <w:rFonts w:ascii="Aptos" w:hAnsi="Aptos" w:eastAsia="Aptos"/>
                <w:sz w:val="15"/>
              </w:rPr>
              <w:t>12</w:t>
            </w:r>
          </w:p>
        </w:tc>
        <w:tc>
          <w:tcPr>
            <w:tcW w:type="dxa" w:w="2016"/>
            <w:tcMar>
              <w:top w:w="90" w:type="dxa"/>
              <w:start w:w="100" w:type="dxa"/>
              <w:bottom w:w="90" w:type="dxa"/>
              <w:end w:w="100" w:type="dxa"/>
            </w:tcMar>
            <w:vAlign w:val="center"/>
            <w:shd w:fill="F5F7F9"/>
          </w:tcPr>
          <w:p>
            <w:pPr>
              <w:spacing w:after="0"/>
            </w:pPr>
            <w:r>
              <w:rPr>
                <w:rFonts w:ascii="Aptos" w:hAnsi="Aptos" w:eastAsia="Aptos"/>
                <w:sz w:val="15"/>
              </w:rPr>
              <w:t>C_min, δ_min, Θ_min</w:t>
            </w:r>
          </w:p>
        </w:tc>
        <w:tc>
          <w:tcPr>
            <w:tcW w:type="dxa" w:w="3312"/>
            <w:tcMar>
              <w:top w:w="90" w:type="dxa"/>
              <w:start w:w="100" w:type="dxa"/>
              <w:bottom w:w="90" w:type="dxa"/>
              <w:end w:w="100" w:type="dxa"/>
            </w:tcMar>
            <w:vAlign w:val="center"/>
            <w:shd w:fill="F5F7F9"/>
          </w:tcPr>
          <w:p>
            <w:pPr>
              <w:spacing w:after="0"/>
            </w:pPr>
            <w:r>
              <w:rPr>
                <w:rFonts w:ascii="Aptos" w:hAnsi="Aptos" w:eastAsia="Aptos"/>
                <w:sz w:val="15"/>
              </w:rPr>
              <w:t>зависимость от выбора</w:t>
            </w:r>
          </w:p>
        </w:tc>
        <w:tc>
          <w:tcPr>
            <w:tcW w:type="dxa" w:w="2160"/>
            <w:tcMar>
              <w:top w:w="90" w:type="dxa"/>
              <w:start w:w="100" w:type="dxa"/>
              <w:bottom w:w="90" w:type="dxa"/>
              <w:end w:w="100" w:type="dxa"/>
            </w:tcMar>
            <w:vAlign w:val="center"/>
            <w:shd w:fill="F5F7F9"/>
          </w:tcPr>
          <w:p>
            <w:pPr>
              <w:spacing w:after="0"/>
            </w:pPr>
            <w:r>
              <w:rPr>
                <w:rFonts w:ascii="Aptos" w:hAnsi="Aptos" w:eastAsia="Aptos"/>
                <w:sz w:val="15"/>
              </w:rPr>
              <w:t>две реализации</w:t>
            </w:r>
          </w:p>
        </w:tc>
        <w:tc>
          <w:tcPr>
            <w:tcW w:type="dxa" w:w="1728"/>
            <w:tcMar>
              <w:top w:w="90" w:type="dxa"/>
              <w:start w:w="100" w:type="dxa"/>
              <w:bottom w:w="90" w:type="dxa"/>
              <w:end w:w="100" w:type="dxa"/>
            </w:tcMar>
            <w:vAlign w:val="center"/>
            <w:shd w:fill="F5F7F9"/>
          </w:tcPr>
          <w:p>
            <w:pPr>
              <w:spacing w:after="0"/>
            </w:pPr>
            <w:r>
              <w:rPr>
                <w:rFonts w:ascii="Aptos" w:hAnsi="Aptos" w:eastAsia="Aptos"/>
                <w:sz w:val="15"/>
              </w:rPr>
              <w:t>FAIL-INTERNAL</w:t>
            </w:r>
          </w:p>
        </w:tc>
      </w:tr>
      <w:tr>
        <w:tc>
          <w:tcPr>
            <w:tcW w:type="dxa" w:w="576"/>
            <w:tcMar>
              <w:top w:w="90" w:type="dxa"/>
              <w:start w:w="100" w:type="dxa"/>
              <w:bottom w:w="90" w:type="dxa"/>
              <w:end w:w="100" w:type="dxa"/>
            </w:tcMar>
            <w:vAlign w:val="center"/>
          </w:tcPr>
          <w:p>
            <w:pPr>
              <w:spacing w:after="0"/>
            </w:pPr>
            <w:r>
              <w:rPr>
                <w:rFonts w:ascii="Aptos" w:hAnsi="Aptos" w:eastAsia="Aptos"/>
                <w:sz w:val="15"/>
              </w:rPr>
              <w:t>13</w:t>
            </w:r>
          </w:p>
        </w:tc>
        <w:tc>
          <w:tcPr>
            <w:tcW w:type="dxa" w:w="2016"/>
            <w:tcMar>
              <w:top w:w="90" w:type="dxa"/>
              <w:start w:w="100" w:type="dxa"/>
              <w:bottom w:w="90" w:type="dxa"/>
              <w:end w:w="100" w:type="dxa"/>
            </w:tcMar>
            <w:vAlign w:val="center"/>
          </w:tcPr>
          <w:p>
            <w:pPr>
              <w:spacing w:after="0"/>
            </w:pPr>
            <w:r>
              <w:rPr>
                <w:rFonts w:ascii="Aptos" w:hAnsi="Aptos" w:eastAsia="Aptos"/>
                <w:sz w:val="15"/>
              </w:rPr>
              <w:t>Внешний E-мост</w:t>
            </w:r>
          </w:p>
        </w:tc>
        <w:tc>
          <w:tcPr>
            <w:tcW w:type="dxa" w:w="3312"/>
            <w:tcMar>
              <w:top w:w="90" w:type="dxa"/>
              <w:start w:w="100" w:type="dxa"/>
              <w:bottom w:w="90" w:type="dxa"/>
              <w:end w:w="100" w:type="dxa"/>
            </w:tcMar>
            <w:vAlign w:val="center"/>
          </w:tcPr>
          <w:p>
            <w:pPr>
              <w:spacing w:after="0"/>
            </w:pPr>
            <w:r>
              <w:rPr>
                <w:rFonts w:ascii="Aptos" w:hAnsi="Aptos" w:eastAsia="Aptos"/>
                <w:sz w:val="15"/>
              </w:rPr>
              <w:t>Π_E не well-defined/неинъективен</w:t>
            </w:r>
          </w:p>
        </w:tc>
        <w:tc>
          <w:tcPr>
            <w:tcW w:type="dxa" w:w="2160"/>
            <w:tcMar>
              <w:top w:w="90" w:type="dxa"/>
              <w:start w:w="100" w:type="dxa"/>
              <w:bottom w:w="90" w:type="dxa"/>
              <w:end w:w="100" w:type="dxa"/>
            </w:tcMar>
            <w:vAlign w:val="center"/>
          </w:tcPr>
          <w:p>
            <w:pPr>
              <w:spacing w:after="0"/>
            </w:pPr>
            <w:r>
              <w:rPr>
                <w:rFonts w:ascii="Aptos" w:hAnsi="Aptos" w:eastAsia="Aptos"/>
                <w:sz w:val="15"/>
              </w:rPr>
              <w:t>representative counterexample</w:t>
            </w:r>
          </w:p>
        </w:tc>
        <w:tc>
          <w:tcPr>
            <w:tcW w:type="dxa" w:w="1728"/>
            <w:tcMar>
              <w:top w:w="90" w:type="dxa"/>
              <w:start w:w="100" w:type="dxa"/>
              <w:bottom w:w="90" w:type="dxa"/>
              <w:end w:w="100" w:type="dxa"/>
            </w:tcMar>
            <w:vAlign w:val="center"/>
          </w:tcPr>
          <w:p>
            <w:pPr>
              <w:spacing w:after="0"/>
            </w:pPr>
            <w:r>
              <w:rPr>
                <w:rFonts w:ascii="Aptos" w:hAnsi="Aptos" w:eastAsia="Aptos"/>
                <w:sz w:val="15"/>
              </w:rPr>
              <w:t>OPEN/ONE-WAY</w:t>
            </w:r>
          </w:p>
        </w:tc>
      </w:tr>
      <w:tr>
        <w:tc>
          <w:tcPr>
            <w:tcW w:type="dxa" w:w="576"/>
            <w:tcMar>
              <w:top w:w="90" w:type="dxa"/>
              <w:start w:w="100" w:type="dxa"/>
              <w:bottom w:w="90" w:type="dxa"/>
              <w:end w:w="100" w:type="dxa"/>
            </w:tcMar>
            <w:vAlign w:val="center"/>
            <w:shd w:fill="F5F7F9"/>
          </w:tcPr>
          <w:p>
            <w:pPr>
              <w:spacing w:after="0"/>
            </w:pPr>
            <w:r>
              <w:rPr>
                <w:rFonts w:ascii="Aptos" w:hAnsi="Aptos" w:eastAsia="Aptos"/>
                <w:sz w:val="15"/>
              </w:rPr>
              <w:t>14</w:t>
            </w:r>
          </w:p>
        </w:tc>
        <w:tc>
          <w:tcPr>
            <w:tcW w:type="dxa" w:w="2016"/>
            <w:tcMar>
              <w:top w:w="90" w:type="dxa"/>
              <w:start w:w="100" w:type="dxa"/>
              <w:bottom w:w="90" w:type="dxa"/>
              <w:end w:w="100" w:type="dxa"/>
            </w:tcMar>
            <w:vAlign w:val="center"/>
            <w:shd w:fill="F5F7F9"/>
          </w:tcPr>
          <w:p>
            <w:pPr>
              <w:spacing w:after="0"/>
            </w:pPr>
            <w:r>
              <w:rPr>
                <w:rFonts w:ascii="Aptos" w:hAnsi="Aptos" w:eastAsia="Aptos"/>
                <w:sz w:val="15"/>
              </w:rPr>
              <w:t>Пространства препятствий</w:t>
            </w:r>
          </w:p>
        </w:tc>
        <w:tc>
          <w:tcPr>
            <w:tcW w:type="dxa" w:w="3312"/>
            <w:tcMar>
              <w:top w:w="90" w:type="dxa"/>
              <w:start w:w="100" w:type="dxa"/>
              <w:bottom w:w="90" w:type="dxa"/>
              <w:end w:w="100" w:type="dxa"/>
            </w:tcMar>
            <w:vAlign w:val="center"/>
            <w:shd w:fill="F5F7F9"/>
          </w:tcPr>
          <w:p>
            <w:pPr>
              <w:spacing w:after="0"/>
            </w:pPr>
            <w:r>
              <w:rPr>
                <w:rFonts w:ascii="Aptos" w:hAnsi="Aptos" w:eastAsia="Aptos"/>
                <w:sz w:val="15"/>
              </w:rPr>
              <w:t>quotient/carrier неверен</w:t>
            </w:r>
          </w:p>
        </w:tc>
        <w:tc>
          <w:tcPr>
            <w:tcW w:type="dxa" w:w="2160"/>
            <w:tcMar>
              <w:top w:w="90" w:type="dxa"/>
              <w:start w:w="100" w:type="dxa"/>
              <w:bottom w:w="90" w:type="dxa"/>
              <w:end w:w="100" w:type="dxa"/>
            </w:tcMar>
            <w:vAlign w:val="center"/>
            <w:shd w:fill="F5F7F9"/>
          </w:tcPr>
          <w:p>
            <w:pPr>
              <w:spacing w:after="0"/>
            </w:pPr>
            <w:r>
              <w:rPr>
                <w:rFonts w:ascii="Aptos" w:hAnsi="Aptos" w:eastAsia="Aptos"/>
                <w:sz w:val="15"/>
              </w:rPr>
              <w:t>class calculation</w:t>
            </w:r>
          </w:p>
        </w:tc>
        <w:tc>
          <w:tcPr>
            <w:tcW w:type="dxa" w:w="1728"/>
            <w:tcMar>
              <w:top w:w="90" w:type="dxa"/>
              <w:start w:w="100" w:type="dxa"/>
              <w:bottom w:w="90" w:type="dxa"/>
              <w:end w:w="100" w:type="dxa"/>
            </w:tcMar>
            <w:vAlign w:val="center"/>
            <w:shd w:fill="F5F7F9"/>
          </w:tcPr>
          <w:p>
            <w:pPr>
              <w:spacing w:after="0"/>
            </w:pPr>
            <w:r>
              <w:rPr>
                <w:rFonts w:ascii="Aptos" w:hAnsi="Aptos" w:eastAsia="Aptos"/>
                <w:sz w:val="15"/>
              </w:rPr>
              <w:t>FAIL-OB</w:t>
            </w:r>
          </w:p>
        </w:tc>
      </w:tr>
      <w:tr>
        <w:tc>
          <w:tcPr>
            <w:tcW w:type="dxa" w:w="576"/>
            <w:tcMar>
              <w:top w:w="90" w:type="dxa"/>
              <w:start w:w="100" w:type="dxa"/>
              <w:bottom w:w="90" w:type="dxa"/>
              <w:end w:w="100" w:type="dxa"/>
            </w:tcMar>
            <w:vAlign w:val="center"/>
          </w:tcPr>
          <w:p>
            <w:pPr>
              <w:spacing w:after="0"/>
            </w:pPr>
            <w:r>
              <w:rPr>
                <w:rFonts w:ascii="Aptos" w:hAnsi="Aptos" w:eastAsia="Aptos"/>
                <w:sz w:val="15"/>
              </w:rPr>
              <w:t>15</w:t>
            </w:r>
          </w:p>
        </w:tc>
        <w:tc>
          <w:tcPr>
            <w:tcW w:type="dxa" w:w="2016"/>
            <w:tcMar>
              <w:top w:w="90" w:type="dxa"/>
              <w:start w:w="100" w:type="dxa"/>
              <w:bottom w:w="90" w:type="dxa"/>
              <w:end w:w="100" w:type="dxa"/>
            </w:tcMar>
            <w:vAlign w:val="center"/>
          </w:tcPr>
          <w:p>
            <w:pPr>
              <w:spacing w:after="0"/>
            </w:pPr>
            <w:r>
              <w:rPr>
                <w:rFonts w:ascii="Aptos" w:hAnsi="Aptos" w:eastAsia="Aptos"/>
                <w:sz w:val="15"/>
              </w:rPr>
              <w:t>Относительные конструкции</w:t>
            </w:r>
          </w:p>
        </w:tc>
        <w:tc>
          <w:tcPr>
            <w:tcW w:type="dxa" w:w="3312"/>
            <w:tcMar>
              <w:top w:w="90" w:type="dxa"/>
              <w:start w:w="100" w:type="dxa"/>
              <w:bottom w:w="90" w:type="dxa"/>
              <w:end w:w="100" w:type="dxa"/>
            </w:tcMar>
            <w:vAlign w:val="center"/>
          </w:tcPr>
          <w:p>
            <w:pPr>
              <w:spacing w:after="0"/>
            </w:pPr>
            <w:r>
              <w:rPr>
                <w:rFonts w:ascii="Aptos" w:hAnsi="Aptos" w:eastAsia="Aptos"/>
                <w:sz w:val="15"/>
              </w:rPr>
              <w:t>точность последовательности нарушена</w:t>
            </w:r>
          </w:p>
        </w:tc>
        <w:tc>
          <w:tcPr>
            <w:tcW w:type="dxa" w:w="2160"/>
            <w:tcMar>
              <w:top w:w="90" w:type="dxa"/>
              <w:start w:w="100" w:type="dxa"/>
              <w:bottom w:w="90" w:type="dxa"/>
              <w:end w:w="100" w:type="dxa"/>
            </w:tcMar>
            <w:vAlign w:val="center"/>
          </w:tcPr>
          <w:p>
            <w:pPr>
              <w:spacing w:after="0"/>
            </w:pPr>
            <w:r>
              <w:rPr>
                <w:rFonts w:ascii="Aptos" w:hAnsi="Aptos" w:eastAsia="Aptos"/>
                <w:sz w:val="15"/>
              </w:rPr>
              <w:t>explicit pair</w:t>
            </w:r>
          </w:p>
        </w:tc>
        <w:tc>
          <w:tcPr>
            <w:tcW w:type="dxa" w:w="1728"/>
            <w:tcMar>
              <w:top w:w="90" w:type="dxa"/>
              <w:start w:w="100" w:type="dxa"/>
              <w:bottom w:w="90" w:type="dxa"/>
              <w:end w:w="100" w:type="dxa"/>
            </w:tcMar>
            <w:vAlign w:val="center"/>
          </w:tcPr>
          <w:p>
            <w:pPr>
              <w:spacing w:after="0"/>
            </w:pPr>
            <w:r>
              <w:rPr>
                <w:rFonts w:ascii="Aptos" w:hAnsi="Aptos" w:eastAsia="Aptos"/>
                <w:sz w:val="15"/>
              </w:rPr>
              <w:t>FAIL-REL</w:t>
            </w:r>
          </w:p>
        </w:tc>
      </w:tr>
      <w:tr>
        <w:tc>
          <w:tcPr>
            <w:tcW w:type="dxa" w:w="576"/>
            <w:tcMar>
              <w:top w:w="90" w:type="dxa"/>
              <w:start w:w="100" w:type="dxa"/>
              <w:bottom w:w="90" w:type="dxa"/>
              <w:end w:w="100" w:type="dxa"/>
            </w:tcMar>
            <w:vAlign w:val="center"/>
            <w:shd w:fill="F5F7F9"/>
          </w:tcPr>
          <w:p>
            <w:pPr>
              <w:spacing w:after="0"/>
            </w:pPr>
            <w:r>
              <w:rPr>
                <w:rFonts w:ascii="Aptos" w:hAnsi="Aptos" w:eastAsia="Aptos"/>
                <w:sz w:val="15"/>
              </w:rPr>
              <w:t>16</w:t>
            </w:r>
          </w:p>
        </w:tc>
        <w:tc>
          <w:tcPr>
            <w:tcW w:type="dxa" w:w="2016"/>
            <w:tcMar>
              <w:top w:w="90" w:type="dxa"/>
              <w:start w:w="100" w:type="dxa"/>
              <w:bottom w:w="90" w:type="dxa"/>
              <w:end w:w="100" w:type="dxa"/>
            </w:tcMar>
            <w:vAlign w:val="center"/>
            <w:shd w:fill="F5F7F9"/>
          </w:tcPr>
          <w:p>
            <w:pPr>
              <w:spacing w:after="0"/>
            </w:pPr>
            <w:r>
              <w:rPr>
                <w:rFonts w:ascii="Aptos" w:hAnsi="Aptos" w:eastAsia="Aptos"/>
                <w:sz w:val="15"/>
              </w:rPr>
              <w:t>Деформации/модули</w:t>
            </w:r>
          </w:p>
        </w:tc>
        <w:tc>
          <w:tcPr>
            <w:tcW w:type="dxa" w:w="3312"/>
            <w:tcMar>
              <w:top w:w="90" w:type="dxa"/>
              <w:start w:w="100" w:type="dxa"/>
              <w:bottom w:w="90" w:type="dxa"/>
              <w:end w:w="100" w:type="dxa"/>
            </w:tcMar>
            <w:vAlign w:val="center"/>
            <w:shd w:fill="F5F7F9"/>
          </w:tcPr>
          <w:p>
            <w:pPr>
              <w:spacing w:after="0"/>
            </w:pPr>
            <w:r>
              <w:rPr>
                <w:rFonts w:ascii="Aptos" w:hAnsi="Aptos" w:eastAsia="Aptos"/>
                <w:sz w:val="15"/>
              </w:rPr>
              <w:t>tangent не интегрируется</w:t>
            </w:r>
          </w:p>
        </w:tc>
        <w:tc>
          <w:tcPr>
            <w:tcW w:type="dxa" w:w="2160"/>
            <w:tcMar>
              <w:top w:w="90" w:type="dxa"/>
              <w:start w:w="100" w:type="dxa"/>
              <w:bottom w:w="90" w:type="dxa"/>
              <w:end w:w="100" w:type="dxa"/>
            </w:tcMar>
            <w:vAlign w:val="center"/>
            <w:shd w:fill="F5F7F9"/>
          </w:tcPr>
          <w:p>
            <w:pPr>
              <w:spacing w:after="0"/>
            </w:pPr>
            <w:r>
              <w:rPr>
                <w:rFonts w:ascii="Aptos" w:hAnsi="Aptos" w:eastAsia="Aptos"/>
                <w:sz w:val="15"/>
              </w:rPr>
              <w:t>higher obstruction</w:t>
            </w:r>
          </w:p>
        </w:tc>
        <w:tc>
          <w:tcPr>
            <w:tcW w:type="dxa" w:w="1728"/>
            <w:tcMar>
              <w:top w:w="90" w:type="dxa"/>
              <w:start w:w="100" w:type="dxa"/>
              <w:bottom w:w="90" w:type="dxa"/>
              <w:end w:w="100" w:type="dxa"/>
            </w:tcMar>
            <w:vAlign w:val="center"/>
            <w:shd w:fill="F5F7F9"/>
          </w:tcPr>
          <w:p>
            <w:pPr>
              <w:spacing w:after="0"/>
            </w:pPr>
            <w:r>
              <w:rPr>
                <w:rFonts w:ascii="Aptos" w:hAnsi="Aptos" w:eastAsia="Aptos"/>
                <w:sz w:val="15"/>
              </w:rPr>
              <w:t>COND</w:t>
            </w:r>
          </w:p>
        </w:tc>
      </w:tr>
    </w:tbl>
    <w:p>
      <w:pPr>
        <w:pStyle w:val="Heading2"/>
        <w:widowControl/>
      </w:pPr>
      <w:r>
        <w:t>Матрица 24-C: главы 17-24</w:t>
      </w:r>
    </w:p>
    <w:tbl>
      <w:tblPr>
        <w:tblStyle w:val="TableGrid"/>
        <w:tblW w:type="auto" w:w="0"/>
        <w:jc w:val="center"/>
        <w:tblLook w:firstColumn="1" w:firstRow="1" w:lastColumn="0" w:lastRow="0" w:noHBand="0" w:noVBand="1" w:val="04A0"/>
        <w:tblBorders>
          <w:top w:val="single" w:sz="6" w:color="B5C3D1"/>
          <w:left w:val="single" w:sz="6" w:color="B5C3D1"/>
          <w:bottom w:val="single" w:sz="6" w:color="B5C3D1"/>
          <w:right w:val="single" w:sz="6" w:color="B5C3D1"/>
          <w:insideH w:val="single" w:sz="6" w:color="B5C3D1"/>
          <w:insideV w:val="single" w:sz="6" w:color="B5C3D1"/>
        </w:tblBorders>
      </w:tblPr>
      <w:tblGrid>
        <w:gridCol w:w="1950"/>
        <w:gridCol w:w="1950"/>
        <w:gridCol w:w="1950"/>
        <w:gridCol w:w="1950"/>
        <w:gridCol w:w="1950"/>
      </w:tblGrid>
      <w:tr>
        <w:trPr>
          <w:tblHeader w:val="true"/>
        </w:trPr>
        <w:tc>
          <w:tcPr>
            <w:tcW w:type="dxa" w:w="576"/>
            <w:shd w:fill="173B67"/>
            <w:tcMar>
              <w:top w:w="110" w:type="dxa"/>
              <w:start w:w="110" w:type="dxa"/>
              <w:bottom w:w="110" w:type="dxa"/>
              <w:end w:w="110" w:type="dxa"/>
            </w:tcMar>
            <w:vAlign w:val="center"/>
          </w:tcPr>
          <w:p>
            <w:pPr>
              <w:jc w:val="center"/>
            </w:pPr>
            <w:r>
              <w:rPr>
                <w:rFonts w:ascii="Aptos" w:hAnsi="Aptos" w:eastAsia="Aptos"/>
                <w:b/>
                <w:color w:val="FFFFFF"/>
                <w:sz w:val="15"/>
              </w:rPr>
              <w:t>Гл.</w:t>
            </w:r>
          </w:p>
        </w:tc>
        <w:tc>
          <w:tcPr>
            <w:tcW w:type="dxa" w:w="2016"/>
            <w:shd w:fill="173B67"/>
            <w:tcMar>
              <w:top w:w="110" w:type="dxa"/>
              <w:start w:w="110" w:type="dxa"/>
              <w:bottom w:w="110" w:type="dxa"/>
              <w:end w:w="110" w:type="dxa"/>
            </w:tcMar>
            <w:vAlign w:val="center"/>
          </w:tcPr>
          <w:p>
            <w:pPr>
              <w:jc w:val="center"/>
            </w:pPr>
            <w:r>
              <w:rPr>
                <w:rFonts w:ascii="Aptos" w:hAnsi="Aptos" w:eastAsia="Aptos"/>
                <w:b/>
                <w:color w:val="FFFFFF"/>
                <w:sz w:val="15"/>
              </w:rPr>
              <w:t>Слой</w:t>
            </w:r>
          </w:p>
        </w:tc>
        <w:tc>
          <w:tcPr>
            <w:tcW w:type="dxa" w:w="3312"/>
            <w:shd w:fill="173B67"/>
            <w:tcMar>
              <w:top w:w="110" w:type="dxa"/>
              <w:start w:w="110" w:type="dxa"/>
              <w:bottom w:w="110" w:type="dxa"/>
              <w:end w:w="110" w:type="dxa"/>
            </w:tcMar>
            <w:vAlign w:val="center"/>
          </w:tcPr>
          <w:p>
            <w:pPr>
              <w:jc w:val="center"/>
            </w:pPr>
            <w:r>
              <w:rPr>
                <w:rFonts w:ascii="Aptos" w:hAnsi="Aptos" w:eastAsia="Aptos"/>
                <w:b/>
                <w:color w:val="FFFFFF"/>
                <w:sz w:val="15"/>
              </w:rPr>
              <w:t>Отрицательный свидетель</w:t>
            </w:r>
          </w:p>
        </w:tc>
        <w:tc>
          <w:tcPr>
            <w:tcW w:type="dxa" w:w="2160"/>
            <w:shd w:fill="173B67"/>
            <w:tcMar>
              <w:top w:w="110" w:type="dxa"/>
              <w:start w:w="110" w:type="dxa"/>
              <w:bottom w:w="110" w:type="dxa"/>
              <w:end w:w="110" w:type="dxa"/>
            </w:tcMar>
            <w:vAlign w:val="center"/>
          </w:tcPr>
          <w:p>
            <w:pPr>
              <w:jc w:val="center"/>
            </w:pPr>
            <w:r>
              <w:rPr>
                <w:rFonts w:ascii="Aptos" w:hAnsi="Aptos" w:eastAsia="Aptos"/>
                <w:b/>
                <w:color w:val="FFFFFF"/>
                <w:sz w:val="15"/>
              </w:rPr>
              <w:t>Проверка</w:t>
            </w:r>
          </w:p>
        </w:tc>
        <w:tc>
          <w:tcPr>
            <w:tcW w:type="dxa" w:w="1728"/>
            <w:shd w:fill="173B67"/>
            <w:tcMar>
              <w:top w:w="110" w:type="dxa"/>
              <w:start w:w="110" w:type="dxa"/>
              <w:bottom w:w="110" w:type="dxa"/>
              <w:end w:w="110" w:type="dxa"/>
            </w:tcMar>
            <w:vAlign w:val="center"/>
          </w:tcPr>
          <w:p>
            <w:pPr>
              <w:jc w:val="center"/>
            </w:pPr>
            <w:r>
              <w:rPr>
                <w:rFonts w:ascii="Aptos" w:hAnsi="Aptos" w:eastAsia="Aptos"/>
                <w:b/>
                <w:color w:val="FFFFFF"/>
                <w:sz w:val="15"/>
              </w:rPr>
              <w:t>Допустимый статус</w:t>
            </w:r>
          </w:p>
        </w:tc>
      </w:tr>
      <w:tr>
        <w:tc>
          <w:tcPr>
            <w:tcW w:type="dxa" w:w="576"/>
            <w:tcMar>
              <w:top w:w="90" w:type="dxa"/>
              <w:start w:w="100" w:type="dxa"/>
              <w:bottom w:w="90" w:type="dxa"/>
              <w:end w:w="100" w:type="dxa"/>
            </w:tcMar>
            <w:vAlign w:val="center"/>
          </w:tcPr>
          <w:p>
            <w:pPr>
              <w:spacing w:after="0"/>
            </w:pPr>
            <w:r>
              <w:rPr>
                <w:rFonts w:ascii="Aptos" w:hAnsi="Aptos" w:eastAsia="Aptos"/>
                <w:sz w:val="15"/>
              </w:rPr>
              <w:t>17</w:t>
            </w:r>
          </w:p>
        </w:tc>
        <w:tc>
          <w:tcPr>
            <w:tcW w:type="dxa" w:w="2016"/>
            <w:tcMar>
              <w:top w:w="90" w:type="dxa"/>
              <w:start w:w="100" w:type="dxa"/>
              <w:bottom w:w="90" w:type="dxa"/>
              <w:end w:w="100" w:type="dxa"/>
            </w:tcMar>
            <w:vAlign w:val="center"/>
          </w:tcPr>
          <w:p>
            <w:pPr>
              <w:spacing w:after="0"/>
            </w:pPr>
            <w:r>
              <w:rPr>
                <w:rFonts w:ascii="Aptos" w:hAnsi="Aptos" w:eastAsia="Aptos"/>
                <w:sz w:val="15"/>
              </w:rPr>
              <w:t>Wall-crossing</w:t>
            </w:r>
          </w:p>
        </w:tc>
        <w:tc>
          <w:tcPr>
            <w:tcW w:type="dxa" w:w="3312"/>
            <w:tcMar>
              <w:top w:w="90" w:type="dxa"/>
              <w:start w:w="100" w:type="dxa"/>
              <w:bottom w:w="90" w:type="dxa"/>
              <w:end w:w="100" w:type="dxa"/>
            </w:tcMar>
            <w:vAlign w:val="center"/>
          </w:tcPr>
          <w:p>
            <w:pPr>
              <w:spacing w:after="0"/>
            </w:pPr>
            <w:r>
              <w:rPr>
                <w:rFonts w:ascii="Aptos" w:hAnsi="Aptos" w:eastAsia="Aptos"/>
                <w:sz w:val="15"/>
              </w:rPr>
              <w:t>branch/monodromy нестабилен</w:t>
            </w:r>
          </w:p>
        </w:tc>
        <w:tc>
          <w:tcPr>
            <w:tcW w:type="dxa" w:w="2160"/>
            <w:tcMar>
              <w:top w:w="90" w:type="dxa"/>
              <w:start w:w="100" w:type="dxa"/>
              <w:bottom w:w="90" w:type="dxa"/>
              <w:end w:w="100" w:type="dxa"/>
            </w:tcMar>
            <w:vAlign w:val="center"/>
          </w:tcPr>
          <w:p>
            <w:pPr>
              <w:spacing w:after="0"/>
            </w:pPr>
            <w:r>
              <w:rPr>
                <w:rFonts w:ascii="Aptos" w:hAnsi="Aptos" w:eastAsia="Aptos"/>
                <w:sz w:val="15"/>
              </w:rPr>
              <w:t>loop/chamber test</w:t>
            </w:r>
          </w:p>
        </w:tc>
        <w:tc>
          <w:tcPr>
            <w:tcW w:type="dxa" w:w="1728"/>
            <w:tcMar>
              <w:top w:w="90" w:type="dxa"/>
              <w:start w:w="100" w:type="dxa"/>
              <w:bottom w:w="90" w:type="dxa"/>
              <w:end w:w="100" w:type="dxa"/>
            </w:tcMar>
            <w:vAlign w:val="center"/>
          </w:tcPr>
          <w:p>
            <w:pPr>
              <w:spacing w:after="0"/>
            </w:pPr>
            <w:r>
              <w:rPr>
                <w:rFonts w:ascii="Aptos" w:hAnsi="Aptos" w:eastAsia="Aptos"/>
                <w:sz w:val="15"/>
              </w:rPr>
              <w:t>FAIL-WALL</w:t>
            </w:r>
          </w:p>
        </w:tc>
      </w:tr>
      <w:tr>
        <w:tc>
          <w:tcPr>
            <w:tcW w:type="dxa" w:w="576"/>
            <w:tcMar>
              <w:top w:w="90" w:type="dxa"/>
              <w:start w:w="100" w:type="dxa"/>
              <w:bottom w:w="90" w:type="dxa"/>
              <w:end w:w="100" w:type="dxa"/>
            </w:tcMar>
            <w:vAlign w:val="center"/>
            <w:shd w:fill="F5F7F9"/>
          </w:tcPr>
          <w:p>
            <w:pPr>
              <w:spacing w:after="0"/>
            </w:pPr>
            <w:r>
              <w:rPr>
                <w:rFonts w:ascii="Aptos" w:hAnsi="Aptos" w:eastAsia="Aptos"/>
                <w:sz w:val="15"/>
              </w:rPr>
              <w:t>18</w:t>
            </w:r>
          </w:p>
        </w:tc>
        <w:tc>
          <w:tcPr>
            <w:tcW w:type="dxa" w:w="2016"/>
            <w:tcMar>
              <w:top w:w="90" w:type="dxa"/>
              <w:start w:w="100" w:type="dxa"/>
              <w:bottom w:w="90" w:type="dxa"/>
              <w:end w:w="100" w:type="dxa"/>
            </w:tcMar>
            <w:vAlign w:val="center"/>
            <w:shd w:fill="F5F7F9"/>
          </w:tcPr>
          <w:p>
            <w:pPr>
              <w:spacing w:after="0"/>
            </w:pPr>
            <w:r>
              <w:rPr>
                <w:rFonts w:ascii="Aptos" w:hAnsi="Aptos" w:eastAsia="Aptos"/>
                <w:sz w:val="15"/>
              </w:rPr>
              <w:t>Global stacky moduli</w:t>
            </w:r>
          </w:p>
        </w:tc>
        <w:tc>
          <w:tcPr>
            <w:tcW w:type="dxa" w:w="3312"/>
            <w:tcMar>
              <w:top w:w="90" w:type="dxa"/>
              <w:start w:w="100" w:type="dxa"/>
              <w:bottom w:w="90" w:type="dxa"/>
              <w:end w:w="100" w:type="dxa"/>
            </w:tcMar>
            <w:vAlign w:val="center"/>
            <w:shd w:fill="F5F7F9"/>
          </w:tcPr>
          <w:p>
            <w:pPr>
              <w:spacing w:after="0"/>
            </w:pPr>
            <w:r>
              <w:rPr>
                <w:rFonts w:ascii="Aptos" w:hAnsi="Aptos" w:eastAsia="Aptos"/>
                <w:sz w:val="15"/>
              </w:rPr>
              <w:t>coherence/descent fails</w:t>
            </w:r>
          </w:p>
        </w:tc>
        <w:tc>
          <w:tcPr>
            <w:tcW w:type="dxa" w:w="2160"/>
            <w:tcMar>
              <w:top w:w="90" w:type="dxa"/>
              <w:start w:w="100" w:type="dxa"/>
              <w:bottom w:w="90" w:type="dxa"/>
              <w:end w:w="100" w:type="dxa"/>
            </w:tcMar>
            <w:vAlign w:val="center"/>
            <w:shd w:fill="F5F7F9"/>
          </w:tcPr>
          <w:p>
            <w:pPr>
              <w:spacing w:after="0"/>
            </w:pPr>
            <w:r>
              <w:rPr>
                <w:rFonts w:ascii="Aptos" w:hAnsi="Aptos" w:eastAsia="Aptos"/>
                <w:sz w:val="15"/>
              </w:rPr>
              <w:t>triple/quadruple overlap</w:t>
            </w:r>
          </w:p>
        </w:tc>
        <w:tc>
          <w:tcPr>
            <w:tcW w:type="dxa" w:w="1728"/>
            <w:tcMar>
              <w:top w:w="90" w:type="dxa"/>
              <w:start w:w="100" w:type="dxa"/>
              <w:bottom w:w="90" w:type="dxa"/>
              <w:end w:w="100" w:type="dxa"/>
            </w:tcMar>
            <w:vAlign w:val="center"/>
            <w:shd w:fill="F5F7F9"/>
          </w:tcPr>
          <w:p>
            <w:pPr>
              <w:spacing w:after="0"/>
            </w:pPr>
            <w:r>
              <w:rPr>
                <w:rFonts w:ascii="Aptos" w:hAnsi="Aptos" w:eastAsia="Aptos"/>
                <w:sz w:val="15"/>
              </w:rPr>
              <w:t>ABSTAIN</w:t>
            </w:r>
          </w:p>
        </w:tc>
      </w:tr>
      <w:tr>
        <w:tc>
          <w:tcPr>
            <w:tcW w:type="dxa" w:w="576"/>
            <w:tcMar>
              <w:top w:w="90" w:type="dxa"/>
              <w:start w:w="100" w:type="dxa"/>
              <w:bottom w:w="90" w:type="dxa"/>
              <w:end w:w="100" w:type="dxa"/>
            </w:tcMar>
            <w:vAlign w:val="center"/>
          </w:tcPr>
          <w:p>
            <w:pPr>
              <w:spacing w:after="0"/>
            </w:pPr>
            <w:r>
              <w:rPr>
                <w:rFonts w:ascii="Aptos" w:hAnsi="Aptos" w:eastAsia="Aptos"/>
                <w:sz w:val="15"/>
              </w:rPr>
              <w:t>19</w:t>
            </w:r>
          </w:p>
        </w:tc>
        <w:tc>
          <w:tcPr>
            <w:tcW w:type="dxa" w:w="2016"/>
            <w:tcMar>
              <w:top w:w="90" w:type="dxa"/>
              <w:start w:w="100" w:type="dxa"/>
              <w:bottom w:w="90" w:type="dxa"/>
              <w:end w:w="100" w:type="dxa"/>
            </w:tcMar>
            <w:vAlign w:val="center"/>
          </w:tcPr>
          <w:p>
            <w:pPr>
              <w:spacing w:after="0"/>
            </w:pPr>
            <w:r>
              <w:rPr>
                <w:rFonts w:ascii="Aptos" w:hAnsi="Aptos" w:eastAsia="Aptos"/>
                <w:sz w:val="15"/>
              </w:rPr>
              <w:t>Virtual cycles</w:t>
            </w:r>
          </w:p>
        </w:tc>
        <w:tc>
          <w:tcPr>
            <w:tcW w:type="dxa" w:w="3312"/>
            <w:tcMar>
              <w:top w:w="90" w:type="dxa"/>
              <w:start w:w="100" w:type="dxa"/>
              <w:bottom w:w="90" w:type="dxa"/>
              <w:end w:w="100" w:type="dxa"/>
            </w:tcMar>
            <w:vAlign w:val="center"/>
          </w:tcPr>
          <w:p>
            <w:pPr>
              <w:spacing w:after="0"/>
            </w:pPr>
            <w:r>
              <w:rPr>
                <w:rFonts w:ascii="Aptos" w:hAnsi="Aptos" w:eastAsia="Aptos"/>
                <w:sz w:val="15"/>
              </w:rPr>
              <w:t>orientation/properness fails</w:t>
            </w:r>
          </w:p>
        </w:tc>
        <w:tc>
          <w:tcPr>
            <w:tcW w:type="dxa" w:w="2160"/>
            <w:tcMar>
              <w:top w:w="90" w:type="dxa"/>
              <w:start w:w="100" w:type="dxa"/>
              <w:bottom w:w="90" w:type="dxa"/>
              <w:end w:w="100" w:type="dxa"/>
            </w:tcMar>
            <w:vAlign w:val="center"/>
          </w:tcPr>
          <w:p>
            <w:pPr>
              <w:spacing w:after="0"/>
            </w:pPr>
            <w:r>
              <w:rPr>
                <w:rFonts w:ascii="Aptos" w:hAnsi="Aptos" w:eastAsia="Aptos"/>
                <w:sz w:val="15"/>
              </w:rPr>
              <w:t>virtual package audit</w:t>
            </w:r>
          </w:p>
        </w:tc>
        <w:tc>
          <w:tcPr>
            <w:tcW w:type="dxa" w:w="1728"/>
            <w:tcMar>
              <w:top w:w="90" w:type="dxa"/>
              <w:start w:w="100" w:type="dxa"/>
              <w:bottom w:w="90" w:type="dxa"/>
              <w:end w:w="100" w:type="dxa"/>
            </w:tcMar>
            <w:vAlign w:val="center"/>
          </w:tcPr>
          <w:p>
            <w:pPr>
              <w:spacing w:after="0"/>
            </w:pPr>
            <w:r>
              <w:rPr>
                <w:rFonts w:ascii="Aptos" w:hAnsi="Aptos" w:eastAsia="Aptos"/>
                <w:sz w:val="15"/>
              </w:rPr>
              <w:t>ABSTAIN-VFC</w:t>
            </w:r>
          </w:p>
        </w:tc>
      </w:tr>
      <w:tr>
        <w:tc>
          <w:tcPr>
            <w:tcW w:type="dxa" w:w="576"/>
            <w:tcMar>
              <w:top w:w="90" w:type="dxa"/>
              <w:start w:w="100" w:type="dxa"/>
              <w:bottom w:w="90" w:type="dxa"/>
              <w:end w:w="100" w:type="dxa"/>
            </w:tcMar>
            <w:vAlign w:val="center"/>
            <w:shd w:fill="F5F7F9"/>
          </w:tcPr>
          <w:p>
            <w:pPr>
              <w:spacing w:after="0"/>
            </w:pPr>
            <w:r>
              <w:rPr>
                <w:rFonts w:ascii="Aptos" w:hAnsi="Aptos" w:eastAsia="Aptos"/>
                <w:sz w:val="15"/>
              </w:rPr>
              <w:t>20</w:t>
            </w:r>
          </w:p>
        </w:tc>
        <w:tc>
          <w:tcPr>
            <w:tcW w:type="dxa" w:w="2016"/>
            <w:tcMar>
              <w:top w:w="90" w:type="dxa"/>
              <w:start w:w="100" w:type="dxa"/>
              <w:bottom w:w="90" w:type="dxa"/>
              <w:end w:w="100" w:type="dxa"/>
            </w:tcMar>
            <w:vAlign w:val="center"/>
            <w:shd w:fill="F5F7F9"/>
          </w:tcPr>
          <w:p>
            <w:pPr>
              <w:spacing w:after="0"/>
            </w:pPr>
            <w:r>
              <w:rPr>
                <w:rFonts w:ascii="Aptos" w:hAnsi="Aptos" w:eastAsia="Aptos"/>
                <w:sz w:val="15"/>
              </w:rPr>
              <w:t>Motivic/refined</w:t>
            </w:r>
          </w:p>
        </w:tc>
        <w:tc>
          <w:tcPr>
            <w:tcW w:type="dxa" w:w="3312"/>
            <w:tcMar>
              <w:top w:w="90" w:type="dxa"/>
              <w:start w:w="100" w:type="dxa"/>
              <w:bottom w:w="90" w:type="dxa"/>
              <w:end w:w="100" w:type="dxa"/>
            </w:tcMar>
            <w:vAlign w:val="center"/>
            <w:shd w:fill="F5F7F9"/>
          </w:tcPr>
          <w:p>
            <w:pPr>
              <w:spacing w:after="0"/>
            </w:pPr>
            <w:r>
              <w:rPr>
                <w:rFonts w:ascii="Aptos" w:hAnsi="Aptos" w:eastAsia="Aptos"/>
                <w:sz w:val="15"/>
              </w:rPr>
              <w:t>realization loses required data</w:t>
            </w:r>
          </w:p>
        </w:tc>
        <w:tc>
          <w:tcPr>
            <w:tcW w:type="dxa" w:w="2160"/>
            <w:tcMar>
              <w:top w:w="90" w:type="dxa"/>
              <w:start w:w="100" w:type="dxa"/>
              <w:bottom w:w="90" w:type="dxa"/>
              <w:end w:w="100" w:type="dxa"/>
            </w:tcMar>
            <w:vAlign w:val="center"/>
            <w:shd w:fill="F5F7F9"/>
          </w:tcPr>
          <w:p>
            <w:pPr>
              <w:spacing w:after="0"/>
            </w:pPr>
            <w:r>
              <w:rPr>
                <w:rFonts w:ascii="Aptos" w:hAnsi="Aptos" w:eastAsia="Aptos"/>
                <w:sz w:val="15"/>
              </w:rPr>
              <w:t>two motives same realization</w:t>
            </w:r>
          </w:p>
        </w:tc>
        <w:tc>
          <w:tcPr>
            <w:tcW w:type="dxa" w:w="1728"/>
            <w:tcMar>
              <w:top w:w="90" w:type="dxa"/>
              <w:start w:w="100" w:type="dxa"/>
              <w:bottom w:w="90" w:type="dxa"/>
              <w:end w:w="100" w:type="dxa"/>
            </w:tcMar>
            <w:vAlign w:val="center"/>
            <w:shd w:fill="F5F7F9"/>
          </w:tcPr>
          <w:p>
            <w:pPr>
              <w:spacing w:after="0"/>
            </w:pPr>
            <w:r>
              <w:rPr>
                <w:rFonts w:ascii="Aptos" w:hAnsi="Aptos" w:eastAsia="Aptos"/>
                <w:sz w:val="15"/>
              </w:rPr>
              <w:t>FORMAL-ONLY</w:t>
            </w:r>
          </w:p>
        </w:tc>
      </w:tr>
      <w:tr>
        <w:tc>
          <w:tcPr>
            <w:tcW w:type="dxa" w:w="576"/>
            <w:tcMar>
              <w:top w:w="90" w:type="dxa"/>
              <w:start w:w="100" w:type="dxa"/>
              <w:bottom w:w="90" w:type="dxa"/>
              <w:end w:w="100" w:type="dxa"/>
            </w:tcMar>
            <w:vAlign w:val="center"/>
          </w:tcPr>
          <w:p>
            <w:pPr>
              <w:spacing w:after="0"/>
            </w:pPr>
            <w:r>
              <w:rPr>
                <w:rFonts w:ascii="Aptos" w:hAnsi="Aptos" w:eastAsia="Aptos"/>
                <w:sz w:val="15"/>
              </w:rPr>
              <w:t>21</w:t>
            </w:r>
          </w:p>
        </w:tc>
        <w:tc>
          <w:tcPr>
            <w:tcW w:type="dxa" w:w="2016"/>
            <w:tcMar>
              <w:top w:w="90" w:type="dxa"/>
              <w:start w:w="100" w:type="dxa"/>
              <w:bottom w:w="90" w:type="dxa"/>
              <w:end w:w="100" w:type="dxa"/>
            </w:tcMar>
            <w:vAlign w:val="center"/>
          </w:tcPr>
          <w:p>
            <w:pPr>
              <w:spacing w:after="0"/>
            </w:pPr>
            <w:r>
              <w:rPr>
                <w:rFonts w:ascii="Aptos" w:hAnsi="Aptos" w:eastAsia="Aptos"/>
                <w:sz w:val="15"/>
              </w:rPr>
              <w:t>Evolution/transfer</w:t>
            </w:r>
          </w:p>
        </w:tc>
        <w:tc>
          <w:tcPr>
            <w:tcW w:type="dxa" w:w="3312"/>
            <w:tcMar>
              <w:top w:w="90" w:type="dxa"/>
              <w:start w:w="100" w:type="dxa"/>
              <w:bottom w:w="90" w:type="dxa"/>
              <w:end w:w="100" w:type="dxa"/>
            </w:tcMar>
            <w:vAlign w:val="center"/>
          </w:tcPr>
          <w:p>
            <w:pPr>
              <w:spacing w:after="0"/>
            </w:pPr>
            <w:r>
              <w:rPr>
                <w:rFonts w:ascii="Aptos" w:hAnsi="Aptos" w:eastAsia="Aptos"/>
                <w:sz w:val="15"/>
              </w:rPr>
              <w:t>semigroup/path law fails</w:t>
            </w:r>
          </w:p>
        </w:tc>
        <w:tc>
          <w:tcPr>
            <w:tcW w:type="dxa" w:w="2160"/>
            <w:tcMar>
              <w:top w:w="90" w:type="dxa"/>
              <w:start w:w="100" w:type="dxa"/>
              <w:bottom w:w="90" w:type="dxa"/>
              <w:end w:w="100" w:type="dxa"/>
            </w:tcMar>
            <w:vAlign w:val="center"/>
          </w:tcPr>
          <w:p>
            <w:pPr>
              <w:spacing w:after="0"/>
            </w:pPr>
            <w:r>
              <w:rPr>
                <w:rFonts w:ascii="Aptos" w:hAnsi="Aptos" w:eastAsia="Aptos"/>
                <w:sz w:val="15"/>
              </w:rPr>
              <w:t>cocycle/nonanticipation test</w:t>
            </w:r>
          </w:p>
        </w:tc>
        <w:tc>
          <w:tcPr>
            <w:tcW w:type="dxa" w:w="1728"/>
            <w:tcMar>
              <w:top w:w="90" w:type="dxa"/>
              <w:start w:w="100" w:type="dxa"/>
              <w:bottom w:w="90" w:type="dxa"/>
              <w:end w:w="100" w:type="dxa"/>
            </w:tcMar>
            <w:vAlign w:val="center"/>
          </w:tcPr>
          <w:p>
            <w:pPr>
              <w:spacing w:after="0"/>
            </w:pPr>
            <w:r>
              <w:rPr>
                <w:rFonts w:ascii="Aptos" w:hAnsi="Aptos" w:eastAsia="Aptos"/>
                <w:sz w:val="15"/>
              </w:rPr>
              <w:t>FAIL-EVOL</w:t>
            </w:r>
          </w:p>
        </w:tc>
      </w:tr>
      <w:tr>
        <w:tc>
          <w:tcPr>
            <w:tcW w:type="dxa" w:w="576"/>
            <w:tcMar>
              <w:top w:w="90" w:type="dxa"/>
              <w:start w:w="100" w:type="dxa"/>
              <w:bottom w:w="90" w:type="dxa"/>
              <w:end w:w="100" w:type="dxa"/>
            </w:tcMar>
            <w:vAlign w:val="center"/>
            <w:shd w:fill="F5F7F9"/>
          </w:tcPr>
          <w:p>
            <w:pPr>
              <w:spacing w:after="0"/>
            </w:pPr>
            <w:r>
              <w:rPr>
                <w:rFonts w:ascii="Aptos" w:hAnsi="Aptos" w:eastAsia="Aptos"/>
                <w:sz w:val="15"/>
              </w:rPr>
              <w:t>22</w:t>
            </w:r>
          </w:p>
        </w:tc>
        <w:tc>
          <w:tcPr>
            <w:tcW w:type="dxa" w:w="2016"/>
            <w:tcMar>
              <w:top w:w="90" w:type="dxa"/>
              <w:start w:w="100" w:type="dxa"/>
              <w:bottom w:w="90" w:type="dxa"/>
              <w:end w:w="100" w:type="dxa"/>
            </w:tcMar>
            <w:vAlign w:val="center"/>
            <w:shd w:fill="F5F7F9"/>
          </w:tcPr>
          <w:p>
            <w:pPr>
              <w:spacing w:after="0"/>
            </w:pPr>
            <w:r>
              <w:rPr>
                <w:rFonts w:ascii="Aptos" w:hAnsi="Aptos" w:eastAsia="Aptos"/>
                <w:sz w:val="15"/>
              </w:rPr>
              <w:t>Stochastic/control/causal</w:t>
            </w:r>
          </w:p>
        </w:tc>
        <w:tc>
          <w:tcPr>
            <w:tcW w:type="dxa" w:w="3312"/>
            <w:tcMar>
              <w:top w:w="90" w:type="dxa"/>
              <w:start w:w="100" w:type="dxa"/>
              <w:bottom w:w="90" w:type="dxa"/>
              <w:end w:w="100" w:type="dxa"/>
            </w:tcMar>
            <w:vAlign w:val="center"/>
            <w:shd w:fill="F5F7F9"/>
          </w:tcPr>
          <w:p>
            <w:pPr>
              <w:spacing w:after="0"/>
            </w:pPr>
            <w:r>
              <w:rPr>
                <w:rFonts w:ascii="Aptos" w:hAnsi="Aptos" w:eastAsia="Aptos"/>
                <w:sz w:val="15"/>
              </w:rPr>
              <w:t>martingale/identification fails</w:t>
            </w:r>
          </w:p>
        </w:tc>
        <w:tc>
          <w:tcPr>
            <w:tcW w:type="dxa" w:w="2160"/>
            <w:tcMar>
              <w:top w:w="90" w:type="dxa"/>
              <w:start w:w="100" w:type="dxa"/>
              <w:bottom w:w="90" w:type="dxa"/>
              <w:end w:w="100" w:type="dxa"/>
            </w:tcMar>
            <w:vAlign w:val="center"/>
            <w:shd w:fill="F5F7F9"/>
          </w:tcPr>
          <w:p>
            <w:pPr>
              <w:spacing w:after="0"/>
            </w:pPr>
            <w:r>
              <w:rPr>
                <w:rFonts w:ascii="Aptos" w:hAnsi="Aptos" w:eastAsia="Aptos"/>
                <w:sz w:val="15"/>
              </w:rPr>
              <w:t>null model/SCM pair</w:t>
            </w:r>
          </w:p>
        </w:tc>
        <w:tc>
          <w:tcPr>
            <w:tcW w:type="dxa" w:w="1728"/>
            <w:tcMar>
              <w:top w:w="90" w:type="dxa"/>
              <w:start w:w="100" w:type="dxa"/>
              <w:bottom w:w="90" w:type="dxa"/>
              <w:end w:w="100" w:type="dxa"/>
            </w:tcMar>
            <w:vAlign w:val="center"/>
            <w:shd w:fill="F5F7F9"/>
          </w:tcPr>
          <w:p>
            <w:pPr>
              <w:spacing w:after="0"/>
            </w:pPr>
            <w:r>
              <w:rPr>
                <w:rFonts w:ascii="Aptos" w:hAnsi="Aptos" w:eastAsia="Aptos"/>
                <w:sz w:val="15"/>
              </w:rPr>
              <w:t>RISK/CAUSAL-UNAVAILABLE</w:t>
            </w:r>
          </w:p>
        </w:tc>
      </w:tr>
      <w:tr>
        <w:tc>
          <w:tcPr>
            <w:tcW w:type="dxa" w:w="576"/>
            <w:tcMar>
              <w:top w:w="90" w:type="dxa"/>
              <w:start w:w="100" w:type="dxa"/>
              <w:bottom w:w="90" w:type="dxa"/>
              <w:end w:w="100" w:type="dxa"/>
            </w:tcMar>
            <w:vAlign w:val="center"/>
          </w:tcPr>
          <w:p>
            <w:pPr>
              <w:spacing w:after="0"/>
            </w:pPr>
            <w:r>
              <w:rPr>
                <w:rFonts w:ascii="Aptos" w:hAnsi="Aptos" w:eastAsia="Aptos"/>
                <w:sz w:val="15"/>
              </w:rPr>
              <w:t>23</w:t>
            </w:r>
          </w:p>
        </w:tc>
        <w:tc>
          <w:tcPr>
            <w:tcW w:type="dxa" w:w="2016"/>
            <w:tcMar>
              <w:top w:w="90" w:type="dxa"/>
              <w:start w:w="100" w:type="dxa"/>
              <w:bottom w:w="90" w:type="dxa"/>
              <w:end w:w="100" w:type="dxa"/>
            </w:tcMar>
            <w:vAlign w:val="center"/>
          </w:tcPr>
          <w:p>
            <w:pPr>
              <w:spacing w:after="0"/>
            </w:pPr>
            <w:r>
              <w:rPr>
                <w:rFonts w:ascii="Aptos" w:hAnsi="Aptos" w:eastAsia="Aptos"/>
                <w:sz w:val="15"/>
              </w:rPr>
              <w:t>Rare/robust</w:t>
            </w:r>
          </w:p>
        </w:tc>
        <w:tc>
          <w:tcPr>
            <w:tcW w:type="dxa" w:w="3312"/>
            <w:tcMar>
              <w:top w:w="90" w:type="dxa"/>
              <w:start w:w="100" w:type="dxa"/>
              <w:bottom w:w="90" w:type="dxa"/>
              <w:end w:w="100" w:type="dxa"/>
            </w:tcMar>
            <w:vAlign w:val="center"/>
          </w:tcPr>
          <w:p>
            <w:pPr>
              <w:spacing w:after="0"/>
            </w:pPr>
            <w:r>
              <w:rPr>
                <w:rFonts w:ascii="Aptos" w:hAnsi="Aptos" w:eastAsia="Aptos"/>
                <w:sz w:val="15"/>
              </w:rPr>
              <w:t>coverage/remainder fails</w:t>
            </w:r>
          </w:p>
        </w:tc>
        <w:tc>
          <w:tcPr>
            <w:tcW w:type="dxa" w:w="2160"/>
            <w:tcMar>
              <w:top w:w="90" w:type="dxa"/>
              <w:start w:w="100" w:type="dxa"/>
              <w:bottom w:w="90" w:type="dxa"/>
              <w:end w:w="100" w:type="dxa"/>
            </w:tcMar>
            <w:vAlign w:val="center"/>
          </w:tcPr>
          <w:p>
            <w:pPr>
              <w:spacing w:after="0"/>
            </w:pPr>
            <w:r>
              <w:rPr>
                <w:rFonts w:ascii="Aptos" w:hAnsi="Aptos" w:eastAsia="Aptos"/>
                <w:sz w:val="15"/>
              </w:rPr>
              <w:t>external exceedance</w:t>
            </w:r>
          </w:p>
        </w:tc>
        <w:tc>
          <w:tcPr>
            <w:tcW w:type="dxa" w:w="1728"/>
            <w:tcMar>
              <w:top w:w="90" w:type="dxa"/>
              <w:start w:w="100" w:type="dxa"/>
              <w:bottom w:w="90" w:type="dxa"/>
              <w:end w:w="100" w:type="dxa"/>
            </w:tcMar>
            <w:vAlign w:val="center"/>
          </w:tcPr>
          <w:p>
            <w:pPr>
              <w:spacing w:after="0"/>
            </w:pPr>
            <w:r>
              <w:rPr>
                <w:rFonts w:ascii="Aptos" w:hAnsi="Aptos" w:eastAsia="Aptos"/>
                <w:sz w:val="15"/>
              </w:rPr>
              <w:t>BOUND-FAILED</w:t>
            </w:r>
          </w:p>
        </w:tc>
      </w:tr>
      <w:tr>
        <w:tc>
          <w:tcPr>
            <w:tcW w:type="dxa" w:w="576"/>
            <w:tcMar>
              <w:top w:w="90" w:type="dxa"/>
              <w:start w:w="100" w:type="dxa"/>
              <w:bottom w:w="90" w:type="dxa"/>
              <w:end w:w="100" w:type="dxa"/>
            </w:tcMar>
            <w:vAlign w:val="center"/>
            <w:shd w:fill="F5F7F9"/>
          </w:tcPr>
          <w:p>
            <w:pPr>
              <w:spacing w:after="0"/>
            </w:pPr>
            <w:r>
              <w:rPr>
                <w:rFonts w:ascii="Aptos" w:hAnsi="Aptos" w:eastAsia="Aptos"/>
                <w:sz w:val="15"/>
              </w:rPr>
              <w:t>24</w:t>
            </w:r>
          </w:p>
        </w:tc>
        <w:tc>
          <w:tcPr>
            <w:tcW w:type="dxa" w:w="2016"/>
            <w:tcMar>
              <w:top w:w="90" w:type="dxa"/>
              <w:start w:w="100" w:type="dxa"/>
              <w:bottom w:w="90" w:type="dxa"/>
              <w:end w:w="100" w:type="dxa"/>
            </w:tcMar>
            <w:vAlign w:val="center"/>
            <w:shd w:fill="F5F7F9"/>
          </w:tcPr>
          <w:p>
            <w:pPr>
              <w:spacing w:after="0"/>
            </w:pPr>
            <w:r>
              <w:rPr>
                <w:rFonts w:ascii="Aptos" w:hAnsi="Aptos" w:eastAsia="Aptos"/>
                <w:sz w:val="15"/>
              </w:rPr>
              <w:t>End-to-end synthesis</w:t>
            </w:r>
          </w:p>
        </w:tc>
        <w:tc>
          <w:tcPr>
            <w:tcW w:type="dxa" w:w="3312"/>
            <w:tcMar>
              <w:top w:w="90" w:type="dxa"/>
              <w:start w:w="100" w:type="dxa"/>
              <w:bottom w:w="90" w:type="dxa"/>
              <w:end w:w="100" w:type="dxa"/>
            </w:tcMar>
            <w:vAlign w:val="center"/>
            <w:shd w:fill="F5F7F9"/>
          </w:tcPr>
          <w:p>
            <w:pPr>
              <w:spacing w:after="0"/>
            </w:pPr>
            <w:r>
              <w:rPr>
                <w:rFonts w:ascii="Aptos" w:hAnsi="Aptos" w:eastAsia="Aptos"/>
                <w:sz w:val="15"/>
              </w:rPr>
              <w:t>OK при нарушенном contract</w:t>
            </w:r>
          </w:p>
        </w:tc>
        <w:tc>
          <w:tcPr>
            <w:tcW w:type="dxa" w:w="2160"/>
            <w:tcMar>
              <w:top w:w="90" w:type="dxa"/>
              <w:start w:w="100" w:type="dxa"/>
              <w:bottom w:w="90" w:type="dxa"/>
              <w:end w:w="100" w:type="dxa"/>
            </w:tcMar>
            <w:vAlign w:val="center"/>
            <w:shd w:fill="F5F7F9"/>
          </w:tcPr>
          <w:p>
            <w:pPr>
              <w:spacing w:after="0"/>
            </w:pPr>
            <w:r>
              <w:rPr>
                <w:rFonts w:ascii="Aptos" w:hAnsi="Aptos" w:eastAsia="Aptos"/>
                <w:sz w:val="15"/>
              </w:rPr>
              <w:t>integrated adversarial test</w:t>
            </w:r>
          </w:p>
        </w:tc>
        <w:tc>
          <w:tcPr>
            <w:tcW w:type="dxa" w:w="1728"/>
            <w:tcMar>
              <w:top w:w="90" w:type="dxa"/>
              <w:start w:w="100" w:type="dxa"/>
              <w:bottom w:w="90" w:type="dxa"/>
              <w:end w:w="100" w:type="dxa"/>
            </w:tcMar>
            <w:vAlign w:val="center"/>
            <w:shd w:fill="F5F7F9"/>
          </w:tcPr>
          <w:p>
            <w:pPr>
              <w:spacing w:after="0"/>
            </w:pPr>
            <w:r>
              <w:rPr>
                <w:rFonts w:ascii="Aptos" w:hAnsi="Aptos" w:eastAsia="Aptos"/>
                <w:sz w:val="15"/>
              </w:rPr>
              <w:t>FAIL-RELEASE</w:t>
            </w:r>
          </w:p>
        </w:tc>
      </w:tr>
    </w:tbl>
    <w:p>
      <w:pPr>
        <w:pStyle w:val="Heading1"/>
        <w:widowControl/>
      </w:pPr>
      <w:r>
        <w:t>414. Итоговая матрица статусов Тома II</w:t>
      </w:r>
    </w:p>
    <w:tbl>
      <w:tblPr>
        <w:tblStyle w:val="TableGrid"/>
        <w:tblW w:type="auto" w:w="0"/>
        <w:jc w:val="center"/>
        <w:tblLook w:firstColumn="1" w:firstRow="1" w:lastColumn="0" w:lastRow="0" w:noHBand="0" w:noVBand="1" w:val="04A0"/>
        <w:tblBorders>
          <w:top w:val="single" w:sz="6" w:color="B5C3D1"/>
          <w:left w:val="single" w:sz="6" w:color="B5C3D1"/>
          <w:bottom w:val="single" w:sz="6" w:color="B5C3D1"/>
          <w:right w:val="single" w:sz="6" w:color="B5C3D1"/>
          <w:insideH w:val="single" w:sz="6" w:color="B5C3D1"/>
          <w:insideV w:val="single" w:sz="6" w:color="B5C3D1"/>
        </w:tblBorders>
      </w:tblPr>
      <w:tblGrid>
        <w:gridCol w:w="3251"/>
        <w:gridCol w:w="3251"/>
        <w:gridCol w:w="3251"/>
      </w:tblGrid>
      <w:tr>
        <w:trPr>
          <w:tblHeader w:val="true"/>
        </w:trPr>
        <w:tc>
          <w:tcPr>
            <w:tcW w:type="dxa" w:w="2880"/>
            <w:shd w:fill="173B67"/>
            <w:tcMar>
              <w:top w:w="110" w:type="dxa"/>
              <w:start w:w="110" w:type="dxa"/>
              <w:bottom w:w="110" w:type="dxa"/>
              <w:end w:w="110" w:type="dxa"/>
            </w:tcMar>
            <w:vAlign w:val="center"/>
          </w:tcPr>
          <w:p>
            <w:pPr>
              <w:jc w:val="center"/>
            </w:pPr>
            <w:r>
              <w:rPr>
                <w:rFonts w:ascii="Aptos" w:hAnsi="Aptos" w:eastAsia="Aptos"/>
                <w:b/>
                <w:color w:val="FFFFFF"/>
                <w:sz w:val="16"/>
              </w:rPr>
              <w:t>Кластер</w:t>
            </w:r>
          </w:p>
        </w:tc>
        <w:tc>
          <w:tcPr>
            <w:tcW w:type="dxa" w:w="3456"/>
            <w:shd w:fill="173B67"/>
            <w:tcMar>
              <w:top w:w="110" w:type="dxa"/>
              <w:start w:w="110" w:type="dxa"/>
              <w:bottom w:w="110" w:type="dxa"/>
              <w:end w:w="110" w:type="dxa"/>
            </w:tcMar>
            <w:vAlign w:val="center"/>
          </w:tcPr>
          <w:p>
            <w:pPr>
              <w:jc w:val="center"/>
            </w:pPr>
            <w:r>
              <w:rPr>
                <w:rFonts w:ascii="Aptos" w:hAnsi="Aptos" w:eastAsia="Aptos"/>
                <w:b/>
                <w:color w:val="FFFFFF"/>
                <w:sz w:val="16"/>
              </w:rPr>
              <w:t>Наиболее сильный доступный статус</w:t>
            </w:r>
          </w:p>
        </w:tc>
        <w:tc>
          <w:tcPr>
            <w:tcW w:type="dxa" w:w="3168"/>
            <w:shd w:fill="173B67"/>
            <w:tcMar>
              <w:top w:w="110" w:type="dxa"/>
              <w:start w:w="110" w:type="dxa"/>
              <w:bottom w:w="110" w:type="dxa"/>
              <w:end w:w="110" w:type="dxa"/>
            </w:tcMar>
            <w:vAlign w:val="center"/>
          </w:tcPr>
          <w:p>
            <w:pPr>
              <w:jc w:val="center"/>
            </w:pPr>
            <w:r>
              <w:rPr>
                <w:rFonts w:ascii="Aptos" w:hAnsi="Aptos" w:eastAsia="Aptos"/>
                <w:b/>
                <w:color w:val="FFFFFF"/>
                <w:sz w:val="16"/>
              </w:rPr>
              <w:t>Незакрытая граница</w:t>
            </w:r>
          </w:p>
        </w:tc>
      </w:tr>
      <w:tr>
        <w:tc>
          <w:tcPr>
            <w:tcW w:type="dxa" w:w="2880"/>
            <w:tcMar>
              <w:top w:w="90" w:type="dxa"/>
              <w:start w:w="100" w:type="dxa"/>
              <w:bottom w:w="90" w:type="dxa"/>
              <w:end w:w="100" w:type="dxa"/>
            </w:tcMar>
            <w:vAlign w:val="center"/>
          </w:tcPr>
          <w:p>
            <w:pPr>
              <w:spacing w:after="0"/>
            </w:pPr>
            <w:r>
              <w:rPr>
                <w:rFonts w:ascii="Aptos" w:hAnsi="Aptos" w:eastAsia="Aptos"/>
                <w:sz w:val="16"/>
              </w:rPr>
              <w:t>Типы, категория, явные алгебраические леммы</w:t>
            </w:r>
          </w:p>
        </w:tc>
        <w:tc>
          <w:tcPr>
            <w:tcW w:type="dxa" w:w="3456"/>
            <w:tcMar>
              <w:top w:w="90" w:type="dxa"/>
              <w:start w:w="100" w:type="dxa"/>
              <w:bottom w:w="90" w:type="dxa"/>
              <w:end w:w="100" w:type="dxa"/>
            </w:tcMar>
            <w:vAlign w:val="center"/>
          </w:tcPr>
          <w:p>
            <w:pPr>
              <w:spacing w:after="0"/>
            </w:pPr>
            <w:r>
              <w:rPr>
                <w:rFonts w:ascii="Aptos" w:hAnsi="Aptos" w:eastAsia="Aptos"/>
                <w:sz w:val="16"/>
              </w:rPr>
              <w:t>THM в фиксированных носителях</w:t>
            </w:r>
          </w:p>
        </w:tc>
        <w:tc>
          <w:tcPr>
            <w:tcW w:type="dxa" w:w="3168"/>
            <w:tcMar>
              <w:top w:w="90" w:type="dxa"/>
              <w:start w:w="100" w:type="dxa"/>
              <w:bottom w:w="90" w:type="dxa"/>
              <w:end w:w="100" w:type="dxa"/>
            </w:tcMar>
            <w:vAlign w:val="center"/>
          </w:tcPr>
          <w:p>
            <w:pPr>
              <w:spacing w:after="0"/>
            </w:pPr>
            <w:r>
              <w:rPr>
                <w:rFonts w:ascii="Aptos" w:hAnsi="Aptos" w:eastAsia="Aptos"/>
                <w:sz w:val="16"/>
              </w:rPr>
              <w:t>обобщение на более широкие классы</w:t>
            </w:r>
          </w:p>
        </w:tc>
      </w:tr>
      <w:tr>
        <w:tc>
          <w:tcPr>
            <w:tcW w:type="dxa" w:w="2880"/>
            <w:tcMar>
              <w:top w:w="90" w:type="dxa"/>
              <w:start w:w="100" w:type="dxa"/>
              <w:bottom w:w="90" w:type="dxa"/>
              <w:end w:w="100" w:type="dxa"/>
            </w:tcMar>
            <w:vAlign w:val="center"/>
            <w:shd w:fill="F5F7F9"/>
          </w:tcPr>
          <w:p>
            <w:pPr>
              <w:spacing w:after="0"/>
            </w:pPr>
            <w:r>
              <w:rPr>
                <w:rFonts w:ascii="Aptos" w:hAnsi="Aptos" w:eastAsia="Aptos"/>
                <w:sz w:val="16"/>
              </w:rPr>
              <w:t>Алгебро-геометрическая двойственность</w:t>
            </w:r>
          </w:p>
        </w:tc>
        <w:tc>
          <w:tcPr>
            <w:tcW w:type="dxa" w:w="3456"/>
            <w:tcMar>
              <w:top w:w="90" w:type="dxa"/>
              <w:start w:w="100" w:type="dxa"/>
              <w:bottom w:w="90" w:type="dxa"/>
              <w:end w:w="100" w:type="dxa"/>
            </w:tcMar>
            <w:vAlign w:val="center"/>
            <w:shd w:fill="F5F7F9"/>
          </w:tcPr>
          <w:p>
            <w:pPr>
              <w:spacing w:after="0"/>
            </w:pPr>
            <w:r>
              <w:rPr>
                <w:rFonts w:ascii="Aptos" w:hAnsi="Aptos" w:eastAsia="Aptos"/>
                <w:sz w:val="16"/>
              </w:rPr>
              <w:t>COND/THM на essential image</w:t>
            </w:r>
          </w:p>
        </w:tc>
        <w:tc>
          <w:tcPr>
            <w:tcW w:type="dxa" w:w="3168"/>
            <w:tcMar>
              <w:top w:w="90" w:type="dxa"/>
              <w:start w:w="100" w:type="dxa"/>
              <w:bottom w:w="90" w:type="dxa"/>
              <w:end w:w="100" w:type="dxa"/>
            </w:tcMar>
            <w:vAlign w:val="center"/>
            <w:shd w:fill="F5F7F9"/>
          </w:tcPr>
          <w:p>
            <w:pPr>
              <w:spacing w:after="0"/>
            </w:pPr>
            <w:r>
              <w:rPr>
                <w:rFonts w:ascii="Aptos" w:hAnsi="Aptos" w:eastAsia="Aptos"/>
                <w:sz w:val="16"/>
              </w:rPr>
              <w:t>существенная сюръективность и каноничность</w:t>
            </w:r>
          </w:p>
        </w:tc>
      </w:tr>
      <w:tr>
        <w:tc>
          <w:tcPr>
            <w:tcW w:type="dxa" w:w="2880"/>
            <w:tcMar>
              <w:top w:w="90" w:type="dxa"/>
              <w:start w:w="100" w:type="dxa"/>
              <w:bottom w:w="90" w:type="dxa"/>
              <w:end w:w="100" w:type="dxa"/>
            </w:tcMar>
            <w:vAlign w:val="center"/>
          </w:tcPr>
          <w:p>
            <w:pPr>
              <w:spacing w:after="0"/>
            </w:pPr>
            <w:r>
              <w:rPr>
                <w:rFonts w:ascii="Aptos" w:hAnsi="Aptos" w:eastAsia="Aptos"/>
                <w:sz w:val="16"/>
              </w:rPr>
              <w:t>Атласы, descent, connections</w:t>
            </w:r>
          </w:p>
        </w:tc>
        <w:tc>
          <w:tcPr>
            <w:tcW w:type="dxa" w:w="3456"/>
            <w:tcMar>
              <w:top w:w="90" w:type="dxa"/>
              <w:start w:w="100" w:type="dxa"/>
              <w:bottom w:w="90" w:type="dxa"/>
              <w:end w:w="100" w:type="dxa"/>
            </w:tcMar>
            <w:vAlign w:val="center"/>
          </w:tcPr>
          <w:p>
            <w:pPr>
              <w:spacing w:after="0"/>
            </w:pPr>
            <w:r>
              <w:rPr>
                <w:rFonts w:ascii="Aptos" w:hAnsi="Aptos" w:eastAsia="Aptos"/>
                <w:sz w:val="16"/>
              </w:rPr>
              <w:t>THM/COND при стандартных гипотезах</w:t>
            </w:r>
          </w:p>
        </w:tc>
        <w:tc>
          <w:tcPr>
            <w:tcW w:type="dxa" w:w="3168"/>
            <w:tcMar>
              <w:top w:w="90" w:type="dxa"/>
              <w:start w:w="100" w:type="dxa"/>
              <w:bottom w:w="90" w:type="dxa"/>
              <w:end w:w="100" w:type="dxa"/>
            </w:tcMar>
            <w:vAlign w:val="center"/>
          </w:tcPr>
          <w:p>
            <w:pPr>
              <w:spacing w:after="0"/>
            </w:pPr>
            <w:r>
              <w:rPr>
                <w:rFonts w:ascii="Aptos" w:hAnsi="Aptos" w:eastAsia="Aptos"/>
                <w:sz w:val="16"/>
              </w:rPr>
              <w:t>неассоциативные higher coherences</w:t>
            </w:r>
          </w:p>
        </w:tc>
      </w:tr>
      <w:tr>
        <w:tc>
          <w:tcPr>
            <w:tcW w:type="dxa" w:w="2880"/>
            <w:tcMar>
              <w:top w:w="90" w:type="dxa"/>
              <w:start w:w="100" w:type="dxa"/>
              <w:bottom w:w="90" w:type="dxa"/>
              <w:end w:w="100" w:type="dxa"/>
            </w:tcMar>
            <w:vAlign w:val="center"/>
            <w:shd w:fill="F5F7F9"/>
          </w:tcPr>
          <w:p>
            <w:pPr>
              <w:spacing w:after="0"/>
            </w:pPr>
            <w:r>
              <w:rPr>
                <w:rFonts w:ascii="Aptos" w:hAnsi="Aptos" w:eastAsia="Aptos"/>
                <w:sz w:val="16"/>
              </w:rPr>
              <w:t>Внутренние complexes/obstructions</w:t>
            </w:r>
          </w:p>
        </w:tc>
        <w:tc>
          <w:tcPr>
            <w:tcW w:type="dxa" w:w="3456"/>
            <w:tcMar>
              <w:top w:w="90" w:type="dxa"/>
              <w:start w:w="100" w:type="dxa"/>
              <w:bottom w:w="90" w:type="dxa"/>
              <w:end w:w="100" w:type="dxa"/>
            </w:tcMar>
            <w:vAlign w:val="center"/>
            <w:shd w:fill="F5F7F9"/>
          </w:tcPr>
          <w:p>
            <w:pPr>
              <w:spacing w:after="0"/>
            </w:pPr>
            <w:r>
              <w:rPr>
                <w:rFonts w:ascii="Aptos" w:hAnsi="Aptos" w:eastAsia="Aptos"/>
                <w:sz w:val="16"/>
              </w:rPr>
              <w:t>THM/COMP для явных моделей</w:t>
            </w:r>
          </w:p>
        </w:tc>
        <w:tc>
          <w:tcPr>
            <w:tcW w:type="dxa" w:w="3168"/>
            <w:tcMar>
              <w:top w:w="90" w:type="dxa"/>
              <w:start w:w="100" w:type="dxa"/>
              <w:bottom w:w="90" w:type="dxa"/>
              <w:end w:w="100" w:type="dxa"/>
            </w:tcMar>
            <w:vAlign w:val="center"/>
            <w:shd w:fill="F5F7F9"/>
          </w:tcPr>
          <w:p>
            <w:pPr>
              <w:spacing w:after="0"/>
            </w:pPr>
            <w:r>
              <w:rPr>
                <w:rFonts w:ascii="Aptos" w:hAnsi="Aptos" w:eastAsia="Aptos"/>
                <w:sz w:val="16"/>
              </w:rPr>
              <w:t>универсальность комплекса</w:t>
            </w:r>
          </w:p>
        </w:tc>
      </w:tr>
      <w:tr>
        <w:tc>
          <w:tcPr>
            <w:tcW w:type="dxa" w:w="2880"/>
            <w:tcMar>
              <w:top w:w="90" w:type="dxa"/>
              <w:start w:w="100" w:type="dxa"/>
              <w:bottom w:w="90" w:type="dxa"/>
              <w:end w:w="100" w:type="dxa"/>
            </w:tcMar>
            <w:vAlign w:val="center"/>
          </w:tcPr>
          <w:p>
            <w:pPr>
              <w:spacing w:after="0"/>
            </w:pPr>
            <w:r>
              <w:rPr>
                <w:rFonts w:ascii="Aptos" w:hAnsi="Aptos" w:eastAsia="Aptos"/>
                <w:sz w:val="16"/>
              </w:rPr>
              <w:t>Внешний E-мост Π_E</w:t>
            </w:r>
          </w:p>
        </w:tc>
        <w:tc>
          <w:tcPr>
            <w:tcW w:type="dxa" w:w="3456"/>
            <w:tcMar>
              <w:top w:w="90" w:type="dxa"/>
              <w:start w:w="100" w:type="dxa"/>
              <w:bottom w:w="90" w:type="dxa"/>
              <w:end w:w="100" w:type="dxa"/>
            </w:tcMar>
            <w:vAlign w:val="center"/>
          </w:tcPr>
          <w:p>
            <w:pPr>
              <w:spacing w:after="0"/>
            </w:pPr>
            <w:r>
              <w:rPr>
                <w:rFonts w:ascii="Aptos" w:hAnsi="Aptos" w:eastAsia="Aptos"/>
                <w:sz w:val="16"/>
              </w:rPr>
              <w:t>COND</w:t>
            </w:r>
          </w:p>
        </w:tc>
        <w:tc>
          <w:tcPr>
            <w:tcW w:type="dxa" w:w="3168"/>
            <w:tcMar>
              <w:top w:w="90" w:type="dxa"/>
              <w:start w:w="100" w:type="dxa"/>
              <w:bottom w:w="90" w:type="dxa"/>
              <w:end w:w="100" w:type="dxa"/>
            </w:tcMar>
            <w:vAlign w:val="center"/>
          </w:tcPr>
          <w:p>
            <w:pPr>
              <w:spacing w:after="0"/>
            </w:pPr>
            <w:r>
              <w:rPr>
                <w:rFonts w:ascii="Aptos" w:hAnsi="Aptos" w:eastAsia="Aptos"/>
                <w:sz w:val="16"/>
              </w:rPr>
              <w:t>B1-B8, injectivity/completeness</w:t>
            </w:r>
          </w:p>
        </w:tc>
      </w:tr>
      <w:tr>
        <w:tc>
          <w:tcPr>
            <w:tcW w:type="dxa" w:w="2880"/>
            <w:tcMar>
              <w:top w:w="90" w:type="dxa"/>
              <w:start w:w="100" w:type="dxa"/>
              <w:bottom w:w="90" w:type="dxa"/>
              <w:end w:w="100" w:type="dxa"/>
            </w:tcMar>
            <w:vAlign w:val="center"/>
            <w:shd w:fill="F5F7F9"/>
          </w:tcPr>
          <w:p>
            <w:pPr>
              <w:spacing w:after="0"/>
            </w:pPr>
            <w:r>
              <w:rPr>
                <w:rFonts w:ascii="Aptos" w:hAnsi="Aptos" w:eastAsia="Aptos"/>
                <w:sz w:val="16"/>
              </w:rPr>
              <w:t>Kuranishi, wall, global derived</w:t>
            </w:r>
          </w:p>
        </w:tc>
        <w:tc>
          <w:tcPr>
            <w:tcW w:type="dxa" w:w="3456"/>
            <w:tcMar>
              <w:top w:w="90" w:type="dxa"/>
              <w:start w:w="100" w:type="dxa"/>
              <w:bottom w:w="90" w:type="dxa"/>
              <w:end w:w="100" w:type="dxa"/>
            </w:tcMar>
            <w:vAlign w:val="center"/>
            <w:shd w:fill="F5F7F9"/>
          </w:tcPr>
          <w:p>
            <w:pPr>
              <w:spacing w:after="0"/>
            </w:pPr>
            <w:r>
              <w:rPr>
                <w:rFonts w:ascii="Aptos" w:hAnsi="Aptos" w:eastAsia="Aptos"/>
                <w:sz w:val="16"/>
              </w:rPr>
              <w:t>COND/MODEL</w:t>
            </w:r>
          </w:p>
        </w:tc>
        <w:tc>
          <w:tcPr>
            <w:tcW w:type="dxa" w:w="3168"/>
            <w:tcMar>
              <w:top w:w="90" w:type="dxa"/>
              <w:start w:w="100" w:type="dxa"/>
              <w:bottom w:w="90" w:type="dxa"/>
              <w:end w:w="100" w:type="dxa"/>
            </w:tcMar>
            <w:vAlign w:val="center"/>
            <w:shd w:fill="F5F7F9"/>
          </w:tcPr>
          <w:p>
            <w:pPr>
              <w:spacing w:after="0"/>
            </w:pPr>
            <w:r>
              <w:rPr>
                <w:rFonts w:ascii="Aptos" w:hAnsi="Aptos" w:eastAsia="Aptos"/>
                <w:sz w:val="16"/>
              </w:rPr>
              <w:t>properness, coherence, orientation</w:t>
            </w:r>
          </w:p>
        </w:tc>
      </w:tr>
      <w:tr>
        <w:tc>
          <w:tcPr>
            <w:tcW w:type="dxa" w:w="2880"/>
            <w:tcMar>
              <w:top w:w="90" w:type="dxa"/>
              <w:start w:w="100" w:type="dxa"/>
              <w:bottom w:w="90" w:type="dxa"/>
              <w:end w:w="100" w:type="dxa"/>
            </w:tcMar>
            <w:vAlign w:val="center"/>
          </w:tcPr>
          <w:p>
            <w:pPr>
              <w:spacing w:after="0"/>
            </w:pPr>
            <w:r>
              <w:rPr>
                <w:rFonts w:ascii="Aptos" w:hAnsi="Aptos" w:eastAsia="Aptos"/>
                <w:sz w:val="16"/>
              </w:rPr>
              <w:t>Virtual/motivic/refined</w:t>
            </w:r>
          </w:p>
        </w:tc>
        <w:tc>
          <w:tcPr>
            <w:tcW w:type="dxa" w:w="3456"/>
            <w:tcMar>
              <w:top w:w="90" w:type="dxa"/>
              <w:start w:w="100" w:type="dxa"/>
              <w:bottom w:w="90" w:type="dxa"/>
              <w:end w:w="100" w:type="dxa"/>
            </w:tcMar>
            <w:vAlign w:val="center"/>
          </w:tcPr>
          <w:p>
            <w:pPr>
              <w:spacing w:after="0"/>
            </w:pPr>
            <w:r>
              <w:rPr>
                <w:rFonts w:ascii="Aptos" w:hAnsi="Aptos" w:eastAsia="Aptos"/>
                <w:sz w:val="16"/>
              </w:rPr>
              <w:t>THM prior art + MODEL bridge</w:t>
            </w:r>
          </w:p>
        </w:tc>
        <w:tc>
          <w:tcPr>
            <w:tcW w:type="dxa" w:w="3168"/>
            <w:tcMar>
              <w:top w:w="90" w:type="dxa"/>
              <w:start w:w="100" w:type="dxa"/>
              <w:bottom w:w="90" w:type="dxa"/>
              <w:end w:w="100" w:type="dxa"/>
            </w:tcMar>
            <w:vAlign w:val="center"/>
          </w:tcPr>
          <w:p>
            <w:pPr>
              <w:spacing w:after="0"/>
            </w:pPr>
            <w:r>
              <w:rPr>
                <w:rFonts w:ascii="Aptos" w:hAnsi="Aptos" w:eastAsia="Aptos"/>
                <w:sz w:val="16"/>
              </w:rPr>
              <w:t>probability/dynamics firewall</w:t>
            </w:r>
          </w:p>
        </w:tc>
      </w:tr>
      <w:tr>
        <w:tc>
          <w:tcPr>
            <w:tcW w:type="dxa" w:w="2880"/>
            <w:tcMar>
              <w:top w:w="90" w:type="dxa"/>
              <w:start w:w="100" w:type="dxa"/>
              <w:bottom w:w="90" w:type="dxa"/>
              <w:end w:w="100" w:type="dxa"/>
            </w:tcMar>
            <w:vAlign w:val="center"/>
            <w:shd w:fill="F5F7F9"/>
          </w:tcPr>
          <w:p>
            <w:pPr>
              <w:spacing w:after="0"/>
            </w:pPr>
            <w:r>
              <w:rPr>
                <w:rFonts w:ascii="Aptos" w:hAnsi="Aptos" w:eastAsia="Aptos"/>
                <w:sz w:val="16"/>
              </w:rPr>
              <w:t>Evolution/stochastic</w:t>
            </w:r>
          </w:p>
        </w:tc>
        <w:tc>
          <w:tcPr>
            <w:tcW w:type="dxa" w:w="3456"/>
            <w:tcMar>
              <w:top w:w="90" w:type="dxa"/>
              <w:start w:w="100" w:type="dxa"/>
              <w:bottom w:w="90" w:type="dxa"/>
              <w:end w:w="100" w:type="dxa"/>
            </w:tcMar>
            <w:vAlign w:val="center"/>
            <w:shd w:fill="F5F7F9"/>
          </w:tcPr>
          <w:p>
            <w:pPr>
              <w:spacing w:after="0"/>
            </w:pPr>
            <w:r>
              <w:rPr>
                <w:rFonts w:ascii="Aptos" w:hAnsi="Aptos" w:eastAsia="Aptos"/>
                <w:sz w:val="16"/>
              </w:rPr>
              <w:t>THM prior art + COND application</w:t>
            </w:r>
          </w:p>
        </w:tc>
        <w:tc>
          <w:tcPr>
            <w:tcW w:type="dxa" w:w="3168"/>
            <w:tcMar>
              <w:top w:w="90" w:type="dxa"/>
              <w:start w:w="100" w:type="dxa"/>
              <w:bottom w:w="90" w:type="dxa"/>
              <w:end w:w="100" w:type="dxa"/>
            </w:tcMar>
            <w:vAlign w:val="center"/>
            <w:shd w:fill="F5F7F9"/>
          </w:tcPr>
          <w:p>
            <w:pPr>
              <w:spacing w:after="0"/>
            </w:pPr>
            <w:r>
              <w:rPr>
                <w:rFonts w:ascii="Aptos" w:hAnsi="Aptos" w:eastAsia="Aptos"/>
                <w:sz w:val="16"/>
              </w:rPr>
              <w:t>existence, calibration, shift</w:t>
            </w:r>
          </w:p>
        </w:tc>
      </w:tr>
      <w:tr>
        <w:tc>
          <w:tcPr>
            <w:tcW w:type="dxa" w:w="2880"/>
            <w:tcMar>
              <w:top w:w="90" w:type="dxa"/>
              <w:start w:w="100" w:type="dxa"/>
              <w:bottom w:w="90" w:type="dxa"/>
              <w:end w:w="100" w:type="dxa"/>
            </w:tcMar>
            <w:vAlign w:val="center"/>
          </w:tcPr>
          <w:p>
            <w:pPr>
              <w:spacing w:after="0"/>
            </w:pPr>
            <w:r>
              <w:rPr>
                <w:rFonts w:ascii="Aptos" w:hAnsi="Aptos" w:eastAsia="Aptos"/>
                <w:sz w:val="16"/>
              </w:rPr>
              <w:t>Causal interface</w:t>
            </w:r>
          </w:p>
        </w:tc>
        <w:tc>
          <w:tcPr>
            <w:tcW w:type="dxa" w:w="3456"/>
            <w:tcMar>
              <w:top w:w="90" w:type="dxa"/>
              <w:start w:w="100" w:type="dxa"/>
              <w:bottom w:w="90" w:type="dxa"/>
              <w:end w:w="100" w:type="dxa"/>
            </w:tcMar>
            <w:vAlign w:val="center"/>
          </w:tcPr>
          <w:p>
            <w:pPr>
              <w:spacing w:after="0"/>
            </w:pPr>
            <w:r>
              <w:rPr>
                <w:rFonts w:ascii="Aptos" w:hAnsi="Aptos" w:eastAsia="Aptos"/>
                <w:sz w:val="16"/>
              </w:rPr>
              <w:t>COND/UNAVAILABLE</w:t>
            </w:r>
          </w:p>
        </w:tc>
        <w:tc>
          <w:tcPr>
            <w:tcW w:type="dxa" w:w="3168"/>
            <w:tcMar>
              <w:top w:w="90" w:type="dxa"/>
              <w:start w:w="100" w:type="dxa"/>
              <w:bottom w:w="90" w:type="dxa"/>
              <w:end w:w="100" w:type="dxa"/>
            </w:tcMar>
            <w:vAlign w:val="center"/>
          </w:tcPr>
          <w:p>
            <w:pPr>
              <w:spacing w:after="0"/>
            </w:pPr>
            <w:r>
              <w:rPr>
                <w:rFonts w:ascii="Aptos" w:hAnsi="Aptos" w:eastAsia="Aptos"/>
                <w:sz w:val="16"/>
              </w:rPr>
              <w:t>identification и transportability</w:t>
            </w:r>
          </w:p>
        </w:tc>
      </w:tr>
      <w:tr>
        <w:tc>
          <w:tcPr>
            <w:tcW w:type="dxa" w:w="2880"/>
            <w:tcMar>
              <w:top w:w="90" w:type="dxa"/>
              <w:start w:w="100" w:type="dxa"/>
              <w:bottom w:w="90" w:type="dxa"/>
              <w:end w:w="100" w:type="dxa"/>
            </w:tcMar>
            <w:vAlign w:val="center"/>
            <w:shd w:fill="F5F7F9"/>
          </w:tcPr>
          <w:p>
            <w:pPr>
              <w:spacing w:after="0"/>
            </w:pPr>
            <w:r>
              <w:rPr>
                <w:rFonts w:ascii="Aptos" w:hAnsi="Aptos" w:eastAsia="Aptos"/>
                <w:sz w:val="16"/>
              </w:rPr>
              <w:t>Rare-event/robust</w:t>
            </w:r>
          </w:p>
        </w:tc>
        <w:tc>
          <w:tcPr>
            <w:tcW w:type="dxa" w:w="3456"/>
            <w:tcMar>
              <w:top w:w="90" w:type="dxa"/>
              <w:start w:w="100" w:type="dxa"/>
              <w:bottom w:w="90" w:type="dxa"/>
              <w:end w:w="100" w:type="dxa"/>
            </w:tcMar>
            <w:vAlign w:val="center"/>
            <w:shd w:fill="F5F7F9"/>
          </w:tcPr>
          <w:p>
            <w:pPr>
              <w:spacing w:after="0"/>
            </w:pPr>
            <w:r>
              <w:rPr>
                <w:rFonts w:ascii="Aptos" w:hAnsi="Aptos" w:eastAsia="Aptos"/>
                <w:sz w:val="16"/>
              </w:rPr>
              <w:t>THM prior art + COND finite-n</w:t>
            </w:r>
          </w:p>
        </w:tc>
        <w:tc>
          <w:tcPr>
            <w:tcW w:type="dxa" w:w="3168"/>
            <w:tcMar>
              <w:top w:w="90" w:type="dxa"/>
              <w:start w:w="100" w:type="dxa"/>
              <w:bottom w:w="90" w:type="dxa"/>
              <w:end w:w="100" w:type="dxa"/>
            </w:tcMar>
            <w:vAlign w:val="center"/>
            <w:shd w:fill="F5F7F9"/>
          </w:tcPr>
          <w:p>
            <w:pPr>
              <w:spacing w:after="0"/>
            </w:pPr>
            <w:r>
              <w:rPr>
                <w:rFonts w:ascii="Aptos" w:hAnsi="Aptos" w:eastAsia="Aptos"/>
                <w:sz w:val="16"/>
              </w:rPr>
              <w:t>remainder/coverage/external validation</w:t>
            </w:r>
          </w:p>
        </w:tc>
      </w:tr>
      <w:tr>
        <w:tc>
          <w:tcPr>
            <w:tcW w:type="dxa" w:w="2880"/>
            <w:tcMar>
              <w:top w:w="90" w:type="dxa"/>
              <w:start w:w="100" w:type="dxa"/>
              <w:bottom w:w="90" w:type="dxa"/>
              <w:end w:w="100" w:type="dxa"/>
            </w:tcMar>
            <w:vAlign w:val="center"/>
          </w:tcPr>
          <w:p>
            <w:pPr>
              <w:spacing w:after="0"/>
            </w:pPr>
            <w:r>
              <w:rPr>
                <w:rFonts w:ascii="Aptos" w:hAnsi="Aptos" w:eastAsia="Aptos"/>
                <w:sz w:val="16"/>
              </w:rPr>
              <w:t>End-to-end operator</w:t>
            </w:r>
          </w:p>
        </w:tc>
        <w:tc>
          <w:tcPr>
            <w:tcW w:type="dxa" w:w="3456"/>
            <w:tcMar>
              <w:top w:w="90" w:type="dxa"/>
              <w:start w:w="100" w:type="dxa"/>
              <w:bottom w:w="90" w:type="dxa"/>
              <w:end w:w="100" w:type="dxa"/>
            </w:tcMar>
            <w:vAlign w:val="center"/>
          </w:tcPr>
          <w:p>
            <w:pPr>
              <w:spacing w:after="0"/>
            </w:pPr>
            <w:r>
              <w:rPr>
                <w:rFonts w:ascii="Aptos" w:hAnsi="Aptos" w:eastAsia="Aptos"/>
                <w:sz w:val="16"/>
              </w:rPr>
              <w:t>COND theorem schema + COMP contract</w:t>
            </w:r>
          </w:p>
        </w:tc>
        <w:tc>
          <w:tcPr>
            <w:tcW w:type="dxa" w:w="3168"/>
            <w:tcMar>
              <w:top w:w="90" w:type="dxa"/>
              <w:start w:w="100" w:type="dxa"/>
              <w:bottom w:w="90" w:type="dxa"/>
              <w:end w:w="100" w:type="dxa"/>
            </w:tcMar>
            <w:vAlign w:val="center"/>
          </w:tcPr>
          <w:p>
            <w:pPr>
              <w:spacing w:after="0"/>
            </w:pPr>
            <w:r>
              <w:rPr>
                <w:rFonts w:ascii="Aptos" w:hAnsi="Aptos" w:eastAsia="Aptos"/>
                <w:sz w:val="16"/>
              </w:rPr>
              <w:t>интегральная реализация и independent run</w:t>
            </w:r>
          </w:p>
        </w:tc>
      </w:tr>
      <w:tr>
        <w:tc>
          <w:tcPr>
            <w:tcW w:type="dxa" w:w="2880"/>
            <w:tcMar>
              <w:top w:w="90" w:type="dxa"/>
              <w:start w:w="100" w:type="dxa"/>
              <w:bottom w:w="90" w:type="dxa"/>
              <w:end w:w="100" w:type="dxa"/>
            </w:tcMar>
            <w:vAlign w:val="center"/>
            <w:shd w:fill="F5F7F9"/>
          </w:tcPr>
          <w:p>
            <w:pPr>
              <w:spacing w:after="0"/>
            </w:pPr>
            <w:r>
              <w:rPr>
                <w:rFonts w:ascii="Aptos" w:hAnsi="Aptos" w:eastAsia="Aptos"/>
                <w:sz w:val="16"/>
              </w:rPr>
              <w:t>F-1-F-14 и физические мосты</w:t>
            </w:r>
          </w:p>
        </w:tc>
        <w:tc>
          <w:tcPr>
            <w:tcW w:type="dxa" w:w="3456"/>
            <w:tcMar>
              <w:top w:w="90" w:type="dxa"/>
              <w:start w:w="100" w:type="dxa"/>
              <w:bottom w:w="90" w:type="dxa"/>
              <w:end w:w="100" w:type="dxa"/>
            </w:tcMar>
            <w:vAlign w:val="center"/>
            <w:shd w:fill="F5F7F9"/>
          </w:tcPr>
          <w:p>
            <w:pPr>
              <w:spacing w:after="0"/>
            </w:pPr>
            <w:r>
              <w:rPr>
                <w:rFonts w:ascii="Aptos" w:hAnsi="Aptos" w:eastAsia="Aptos"/>
                <w:sz w:val="16"/>
              </w:rPr>
              <w:t>PHY-HYP</w:t>
            </w:r>
          </w:p>
        </w:tc>
        <w:tc>
          <w:tcPr>
            <w:tcW w:type="dxa" w:w="3168"/>
            <w:tcMar>
              <w:top w:w="90" w:type="dxa"/>
              <w:start w:w="100" w:type="dxa"/>
              <w:bottom w:w="90" w:type="dxa"/>
              <w:end w:w="100" w:type="dxa"/>
            </w:tcMar>
            <w:vAlign w:val="center"/>
            <w:shd w:fill="F5F7F9"/>
          </w:tcPr>
          <w:p>
            <w:pPr>
              <w:spacing w:after="0"/>
            </w:pPr>
            <w:r>
              <w:rPr>
                <w:rFonts w:ascii="Aptos" w:hAnsi="Aptos" w:eastAsia="Aptos"/>
                <w:sz w:val="16"/>
              </w:rPr>
              <w:t>EXT-RUN не исполнен</w:t>
            </w:r>
          </w:p>
        </w:tc>
      </w:tr>
    </w:tbl>
    <w:p>
      <w:pPr>
        <w:pStyle w:val="Heading1"/>
        <w:widowControl/>
      </w:pPr>
      <w:r>
        <w:t>415. Вычислительный сертификат E2E-KLT v0.21</w:t>
      </w:r>
    </w:p>
    <w:p>
      <w:pPr>
        <w:widowControl/>
      </w:pPr>
      <w:r>
        <w:rPr>
          <w:i w:val="0"/>
        </w:rPr>
        <w:t>Сертификат состоит из 60 проверок, объединённых в десять групп.</w:t>
      </w:r>
    </w:p>
    <w:tbl>
      <w:tblPr>
        <w:tblStyle w:val="TableGrid"/>
        <w:tblW w:type="auto" w:w="0"/>
        <w:jc w:val="center"/>
        <w:tblLook w:firstColumn="1" w:firstRow="1" w:lastColumn="0" w:lastRow="0" w:noHBand="0" w:noVBand="1" w:val="04A0"/>
        <w:tblBorders>
          <w:top w:val="single" w:sz="6" w:color="B5C3D1"/>
          <w:left w:val="single" w:sz="6" w:color="B5C3D1"/>
          <w:bottom w:val="single" w:sz="6" w:color="B5C3D1"/>
          <w:right w:val="single" w:sz="6" w:color="B5C3D1"/>
          <w:insideH w:val="single" w:sz="6" w:color="B5C3D1"/>
          <w:insideV w:val="single" w:sz="6" w:color="B5C3D1"/>
        </w:tblBorders>
      </w:tblPr>
      <w:tblGrid>
        <w:gridCol w:w="4876"/>
        <w:gridCol w:w="4876"/>
      </w:tblGrid>
      <w:tr>
        <w:trPr>
          <w:tblHeader w:val="true"/>
        </w:trPr>
        <w:tc>
          <w:tcPr>
            <w:tcW w:type="dxa" w:w="1872"/>
            <w:shd w:fill="173B67"/>
            <w:tcMar>
              <w:top w:w="110" w:type="dxa"/>
              <w:start w:w="110" w:type="dxa"/>
              <w:bottom w:w="110" w:type="dxa"/>
              <w:end w:w="110" w:type="dxa"/>
            </w:tcMar>
            <w:vAlign w:val="center"/>
          </w:tcPr>
          <w:p>
            <w:pPr>
              <w:jc w:val="center"/>
            </w:pPr>
            <w:r>
              <w:rPr>
                <w:rFonts w:ascii="Aptos" w:hAnsi="Aptos" w:eastAsia="Aptos"/>
                <w:b/>
                <w:color w:val="FFFFFF"/>
                <w:sz w:val="17"/>
              </w:rPr>
              <w:t>Диапазон</w:t>
            </w:r>
          </w:p>
        </w:tc>
        <w:tc>
          <w:tcPr>
            <w:tcW w:type="dxa" w:w="7488"/>
            <w:shd w:fill="173B67"/>
            <w:tcMar>
              <w:top w:w="110" w:type="dxa"/>
              <w:start w:w="110" w:type="dxa"/>
              <w:bottom w:w="110" w:type="dxa"/>
              <w:end w:w="110" w:type="dxa"/>
            </w:tcMar>
            <w:vAlign w:val="center"/>
          </w:tcPr>
          <w:p>
            <w:pPr>
              <w:jc w:val="center"/>
            </w:pPr>
            <w:r>
              <w:rPr>
                <w:rFonts w:ascii="Aptos" w:hAnsi="Aptos" w:eastAsia="Aptos"/>
                <w:b/>
                <w:color w:val="FFFFFF"/>
                <w:sz w:val="17"/>
              </w:rPr>
              <w:t>Проверки</w:t>
            </w:r>
          </w:p>
        </w:tc>
      </w:tr>
      <w:tr>
        <w:tc>
          <w:tcPr>
            <w:tcW w:type="dxa" w:w="1872"/>
            <w:tcMar>
              <w:top w:w="90" w:type="dxa"/>
              <w:start w:w="100" w:type="dxa"/>
              <w:bottom w:w="90" w:type="dxa"/>
              <w:end w:w="100" w:type="dxa"/>
            </w:tcMar>
            <w:vAlign w:val="center"/>
          </w:tcPr>
          <w:p>
            <w:pPr>
              <w:spacing w:after="0"/>
            </w:pPr>
            <w:r>
              <w:rPr>
                <w:rFonts w:ascii="Aptos" w:hAnsi="Aptos" w:eastAsia="Aptos"/>
                <w:sz w:val="17"/>
              </w:rPr>
              <w:t>E2E-01-06</w:t>
            </w:r>
          </w:p>
        </w:tc>
        <w:tc>
          <w:tcPr>
            <w:tcW w:type="dxa" w:w="7488"/>
            <w:tcMar>
              <w:top w:w="90" w:type="dxa"/>
              <w:start w:w="100" w:type="dxa"/>
              <w:bottom w:w="90" w:type="dxa"/>
              <w:end w:w="100" w:type="dxa"/>
            </w:tcMar>
            <w:vAlign w:val="center"/>
          </w:tcPr>
          <w:p>
            <w:pPr>
              <w:spacing w:after="0"/>
            </w:pPr>
            <w:r>
              <w:rPr>
                <w:rFonts w:ascii="Aptos" w:hAnsi="Aptos" w:eastAsia="Aptos"/>
                <w:sz w:val="17"/>
              </w:rPr>
              <w:t>source/schema/hash/license/identity/version</w:t>
            </w:r>
          </w:p>
        </w:tc>
      </w:tr>
      <w:tr>
        <w:tc>
          <w:tcPr>
            <w:tcW w:type="dxa" w:w="1872"/>
            <w:tcMar>
              <w:top w:w="90" w:type="dxa"/>
              <w:start w:w="100" w:type="dxa"/>
              <w:bottom w:w="90" w:type="dxa"/>
              <w:end w:w="100" w:type="dxa"/>
            </w:tcMar>
            <w:vAlign w:val="center"/>
            <w:shd w:fill="F5F7F9"/>
          </w:tcPr>
          <w:p>
            <w:pPr>
              <w:spacing w:after="0"/>
            </w:pPr>
            <w:r>
              <w:rPr>
                <w:rFonts w:ascii="Aptos" w:hAnsi="Aptos" w:eastAsia="Aptos"/>
                <w:sz w:val="17"/>
              </w:rPr>
              <w:t>E2E-07-12</w:t>
            </w:r>
          </w:p>
        </w:tc>
        <w:tc>
          <w:tcPr>
            <w:tcW w:type="dxa" w:w="7488"/>
            <w:tcMar>
              <w:top w:w="90" w:type="dxa"/>
              <w:start w:w="100" w:type="dxa"/>
              <w:bottom w:w="90" w:type="dxa"/>
              <w:end w:w="100" w:type="dxa"/>
            </w:tcMar>
            <w:vAlign w:val="center"/>
            <w:shd w:fill="F5F7F9"/>
          </w:tcPr>
          <w:p>
            <w:pPr>
              <w:spacing w:after="0"/>
            </w:pPr>
            <w:r>
              <w:rPr>
                <w:rFonts w:ascii="Aptos" w:hAnsi="Aptos" w:eastAsia="Aptos"/>
                <w:sz w:val="17"/>
              </w:rPr>
              <w:t>C@C, Reper, D/Dom, homogeneous Λ, pole/degeneracy</w:t>
            </w:r>
          </w:p>
        </w:tc>
      </w:tr>
      <w:tr>
        <w:tc>
          <w:tcPr>
            <w:tcW w:type="dxa" w:w="1872"/>
            <w:tcMar>
              <w:top w:w="90" w:type="dxa"/>
              <w:start w:w="100" w:type="dxa"/>
              <w:bottom w:w="90" w:type="dxa"/>
              <w:end w:w="100" w:type="dxa"/>
            </w:tcMar>
            <w:vAlign w:val="center"/>
          </w:tcPr>
          <w:p>
            <w:pPr>
              <w:spacing w:after="0"/>
            </w:pPr>
            <w:r>
              <w:rPr>
                <w:rFonts w:ascii="Aptos" w:hAnsi="Aptos" w:eastAsia="Aptos"/>
                <w:sz w:val="17"/>
              </w:rPr>
              <w:t>E2E-13-18</w:t>
            </w:r>
          </w:p>
        </w:tc>
        <w:tc>
          <w:tcPr>
            <w:tcW w:type="dxa" w:w="7488"/>
            <w:tcMar>
              <w:top w:w="90" w:type="dxa"/>
              <w:start w:w="100" w:type="dxa"/>
              <w:bottom w:w="90" w:type="dxa"/>
              <w:end w:w="100" w:type="dxa"/>
            </w:tcMar>
            <w:vAlign w:val="center"/>
          </w:tcPr>
          <w:p>
            <w:pPr>
              <w:spacing w:after="0"/>
            </w:pPr>
            <w:r>
              <w:rPr>
                <w:rFonts w:ascii="Aptos" w:hAnsi="Aptos" w:eastAsia="Aptos"/>
                <w:sz w:val="17"/>
              </w:rPr>
              <w:t>algebra closure, bilinearity, associator, invariants, exact arithmetic</w:t>
            </w:r>
          </w:p>
        </w:tc>
      </w:tr>
      <w:tr>
        <w:tc>
          <w:tcPr>
            <w:tcW w:type="dxa" w:w="1872"/>
            <w:tcMar>
              <w:top w:w="90" w:type="dxa"/>
              <w:start w:w="100" w:type="dxa"/>
              <w:bottom w:w="90" w:type="dxa"/>
              <w:end w:w="100" w:type="dxa"/>
            </w:tcMar>
            <w:vAlign w:val="center"/>
            <w:shd w:fill="F5F7F9"/>
          </w:tcPr>
          <w:p>
            <w:pPr>
              <w:spacing w:after="0"/>
            </w:pPr>
            <w:r>
              <w:rPr>
                <w:rFonts w:ascii="Aptos" w:hAnsi="Aptos" w:eastAsia="Aptos"/>
                <w:sz w:val="17"/>
              </w:rPr>
              <w:t>E2E-19-24</w:t>
            </w:r>
          </w:p>
        </w:tc>
        <w:tc>
          <w:tcPr>
            <w:tcW w:type="dxa" w:w="7488"/>
            <w:tcMar>
              <w:top w:w="90" w:type="dxa"/>
              <w:start w:w="100" w:type="dxa"/>
              <w:bottom w:w="90" w:type="dxa"/>
              <w:end w:w="100" w:type="dxa"/>
            </w:tcMar>
            <w:vAlign w:val="center"/>
            <w:shd w:fill="F5F7F9"/>
          </w:tcPr>
          <w:p>
            <w:pPr>
              <w:spacing w:after="0"/>
            </w:pPr>
            <w:r>
              <w:rPr>
                <w:rFonts w:ascii="Aptos" w:hAnsi="Aptos" w:eastAsia="Aptos"/>
                <w:sz w:val="17"/>
              </w:rPr>
              <w:t>atlas, cocycle, connection, curvature, holonomy, descent</w:t>
            </w:r>
          </w:p>
        </w:tc>
      </w:tr>
      <w:tr>
        <w:tc>
          <w:tcPr>
            <w:tcW w:type="dxa" w:w="1872"/>
            <w:tcMar>
              <w:top w:w="90" w:type="dxa"/>
              <w:start w:w="100" w:type="dxa"/>
              <w:bottom w:w="90" w:type="dxa"/>
              <w:end w:w="100" w:type="dxa"/>
            </w:tcMar>
            <w:vAlign w:val="center"/>
          </w:tcPr>
          <w:p>
            <w:pPr>
              <w:spacing w:after="0"/>
            </w:pPr>
            <w:r>
              <w:rPr>
                <w:rFonts w:ascii="Aptos" w:hAnsi="Aptos" w:eastAsia="Aptos"/>
                <w:sz w:val="17"/>
              </w:rPr>
              <w:t>E2E-25-30</w:t>
            </w:r>
          </w:p>
        </w:tc>
        <w:tc>
          <w:tcPr>
            <w:tcW w:type="dxa" w:w="7488"/>
            <w:tcMar>
              <w:top w:w="90" w:type="dxa"/>
              <w:start w:w="100" w:type="dxa"/>
              <w:bottom w:w="90" w:type="dxa"/>
              <w:end w:w="100" w:type="dxa"/>
            </w:tcMar>
            <w:vAlign w:val="center"/>
          </w:tcPr>
          <w:p>
            <w:pPr>
              <w:spacing w:after="0"/>
            </w:pPr>
            <w:r>
              <w:rPr>
                <w:rFonts w:ascii="Aptos" w:hAnsi="Aptos" w:eastAsia="Aptos"/>
                <w:sz w:val="17"/>
              </w:rPr>
              <w:t>complexes, δ², quotients, obstruction, Π_E assumptions, representative independence</w:t>
            </w:r>
          </w:p>
        </w:tc>
      </w:tr>
      <w:tr>
        <w:tc>
          <w:tcPr>
            <w:tcW w:type="dxa" w:w="1872"/>
            <w:tcMar>
              <w:top w:w="90" w:type="dxa"/>
              <w:start w:w="100" w:type="dxa"/>
              <w:bottom w:w="90" w:type="dxa"/>
              <w:end w:w="100" w:type="dxa"/>
            </w:tcMar>
            <w:vAlign w:val="center"/>
            <w:shd w:fill="F5F7F9"/>
          </w:tcPr>
          <w:p>
            <w:pPr>
              <w:spacing w:after="0"/>
            </w:pPr>
            <w:r>
              <w:rPr>
                <w:rFonts w:ascii="Aptos" w:hAnsi="Aptos" w:eastAsia="Aptos"/>
                <w:sz w:val="17"/>
              </w:rPr>
              <w:t>E2E-31-36</w:t>
            </w:r>
          </w:p>
        </w:tc>
        <w:tc>
          <w:tcPr>
            <w:tcW w:type="dxa" w:w="7488"/>
            <w:tcMar>
              <w:top w:w="90" w:type="dxa"/>
              <w:start w:w="100" w:type="dxa"/>
              <w:bottom w:w="90" w:type="dxa"/>
              <w:end w:w="100" w:type="dxa"/>
            </w:tcMar>
            <w:vAlign w:val="center"/>
            <w:shd w:fill="F5F7F9"/>
          </w:tcPr>
          <w:p>
            <w:pPr>
              <w:spacing w:after="0"/>
            </w:pPr>
            <w:r>
              <w:rPr>
                <w:rFonts w:ascii="Aptos" w:hAnsi="Aptos" w:eastAsia="Aptos"/>
                <w:sz w:val="17"/>
              </w:rPr>
              <w:t>Kuranishi/global coherence, walls, monodromy, virtual/refined firewalls</w:t>
            </w:r>
          </w:p>
        </w:tc>
      </w:tr>
      <w:tr>
        <w:tc>
          <w:tcPr>
            <w:tcW w:type="dxa" w:w="1872"/>
            <w:tcMar>
              <w:top w:w="90" w:type="dxa"/>
              <w:start w:w="100" w:type="dxa"/>
              <w:bottom w:w="90" w:type="dxa"/>
              <w:end w:w="100" w:type="dxa"/>
            </w:tcMar>
            <w:vAlign w:val="center"/>
          </w:tcPr>
          <w:p>
            <w:pPr>
              <w:spacing w:after="0"/>
            </w:pPr>
            <w:r>
              <w:rPr>
                <w:rFonts w:ascii="Aptos" w:hAnsi="Aptos" w:eastAsia="Aptos"/>
                <w:sz w:val="17"/>
              </w:rPr>
              <w:t>E2E-37-42</w:t>
            </w:r>
          </w:p>
        </w:tc>
        <w:tc>
          <w:tcPr>
            <w:tcW w:type="dxa" w:w="7488"/>
            <w:tcMar>
              <w:top w:w="90" w:type="dxa"/>
              <w:start w:w="100" w:type="dxa"/>
              <w:bottom w:w="90" w:type="dxa"/>
              <w:end w:w="100" w:type="dxa"/>
            </w:tcMar>
            <w:vAlign w:val="center"/>
          </w:tcPr>
          <w:p>
            <w:pPr>
              <w:spacing w:after="0"/>
            </w:pPr>
            <w:r>
              <w:rPr>
                <w:rFonts w:ascii="Aptos" w:hAnsi="Aptos" w:eastAsia="Aptos"/>
                <w:sz w:val="17"/>
              </w:rPr>
              <w:t>evolution, generator, path consistency, nonanticipation, stochastic law, stopping</w:t>
            </w:r>
          </w:p>
        </w:tc>
      </w:tr>
      <w:tr>
        <w:tc>
          <w:tcPr>
            <w:tcW w:type="dxa" w:w="1872"/>
            <w:tcMar>
              <w:top w:w="90" w:type="dxa"/>
              <w:start w:w="100" w:type="dxa"/>
              <w:bottom w:w="90" w:type="dxa"/>
              <w:end w:w="100" w:type="dxa"/>
            </w:tcMar>
            <w:vAlign w:val="center"/>
            <w:shd w:fill="F5F7F9"/>
          </w:tcPr>
          <w:p>
            <w:pPr>
              <w:spacing w:after="0"/>
            </w:pPr>
            <w:r>
              <w:rPr>
                <w:rFonts w:ascii="Aptos" w:hAnsi="Aptos" w:eastAsia="Aptos"/>
                <w:sz w:val="17"/>
              </w:rPr>
              <w:t>E2E-43-48</w:t>
            </w:r>
          </w:p>
        </w:tc>
        <w:tc>
          <w:tcPr>
            <w:tcW w:type="dxa" w:w="7488"/>
            <w:tcMar>
              <w:top w:w="90" w:type="dxa"/>
              <w:start w:w="100" w:type="dxa"/>
              <w:bottom w:w="90" w:type="dxa"/>
              <w:end w:w="100" w:type="dxa"/>
            </w:tcMar>
            <w:vAlign w:val="center"/>
            <w:shd w:fill="F5F7F9"/>
          </w:tcPr>
          <w:p>
            <w:pPr>
              <w:spacing w:after="0"/>
            </w:pPr>
            <w:r>
              <w:rPr>
                <w:rFonts w:ascii="Aptos" w:hAnsi="Aptos" w:eastAsia="Aptos"/>
                <w:sz w:val="17"/>
              </w:rPr>
              <w:t>causal identification, LDP/remainder, ambiguity coverage, robust risk, tail assumptions</w:t>
            </w:r>
          </w:p>
        </w:tc>
      </w:tr>
      <w:tr>
        <w:tc>
          <w:tcPr>
            <w:tcW w:type="dxa" w:w="1872"/>
            <w:tcMar>
              <w:top w:w="90" w:type="dxa"/>
              <w:start w:w="100" w:type="dxa"/>
              <w:bottom w:w="90" w:type="dxa"/>
              <w:end w:w="100" w:type="dxa"/>
            </w:tcMar>
            <w:vAlign w:val="center"/>
          </w:tcPr>
          <w:p>
            <w:pPr>
              <w:spacing w:after="0"/>
            </w:pPr>
            <w:r>
              <w:rPr>
                <w:rFonts w:ascii="Aptos" w:hAnsi="Aptos" w:eastAsia="Aptos"/>
                <w:sz w:val="17"/>
              </w:rPr>
              <w:t>E2E-49-54</w:t>
            </w:r>
          </w:p>
        </w:tc>
        <w:tc>
          <w:tcPr>
            <w:tcW w:type="dxa" w:w="7488"/>
            <w:tcMar>
              <w:top w:w="90" w:type="dxa"/>
              <w:start w:w="100" w:type="dxa"/>
              <w:bottom w:w="90" w:type="dxa"/>
              <w:end w:w="100" w:type="dxa"/>
            </w:tcMar>
            <w:vAlign w:val="center"/>
          </w:tcPr>
          <w:p>
            <w:pPr>
              <w:spacing w:after="0"/>
            </w:pPr>
            <w:r>
              <w:rPr>
                <w:rFonts w:ascii="Aptos" w:hAnsi="Aptos" w:eastAsia="Aptos"/>
                <w:sz w:val="17"/>
              </w:rPr>
              <w:t>budget transport, α-spending, numerical residual, scalarization policy, status meet</w:t>
            </w:r>
          </w:p>
        </w:tc>
      </w:tr>
      <w:tr>
        <w:tc>
          <w:tcPr>
            <w:tcW w:type="dxa" w:w="1872"/>
            <w:tcMar>
              <w:top w:w="90" w:type="dxa"/>
              <w:start w:w="100" w:type="dxa"/>
              <w:bottom w:w="90" w:type="dxa"/>
              <w:end w:w="100" w:type="dxa"/>
            </w:tcMar>
            <w:vAlign w:val="center"/>
            <w:shd w:fill="F5F7F9"/>
          </w:tcPr>
          <w:p>
            <w:pPr>
              <w:spacing w:after="0"/>
            </w:pPr>
            <w:r>
              <w:rPr>
                <w:rFonts w:ascii="Aptos" w:hAnsi="Aptos" w:eastAsia="Aptos"/>
                <w:sz w:val="17"/>
              </w:rPr>
              <w:t>E2E-55-60</w:t>
            </w:r>
          </w:p>
        </w:tc>
        <w:tc>
          <w:tcPr>
            <w:tcW w:type="dxa" w:w="7488"/>
            <w:tcMar>
              <w:top w:w="90" w:type="dxa"/>
              <w:start w:w="100" w:type="dxa"/>
              <w:bottom w:w="90" w:type="dxa"/>
              <w:end w:w="100" w:type="dxa"/>
            </w:tcMar>
            <w:vAlign w:val="center"/>
            <w:shd w:fill="F5F7F9"/>
          </w:tcPr>
          <w:p>
            <w:pPr>
              <w:spacing w:after="0"/>
            </w:pPr>
            <w:r>
              <w:rPr>
                <w:rFonts w:ascii="Aptos" w:hAnsi="Aptos" w:eastAsia="Aptos"/>
                <w:sz w:val="17"/>
              </w:rPr>
              <w:t>external split, leakage, release policy, manifest, hash root, reproducibility</w:t>
            </w:r>
          </w:p>
        </w:tc>
      </w:tr>
    </w:tbl>
    <w:p>
      <w:pPr>
        <w:widowControl/>
      </w:pPr>
      <w:r>
        <w:rPr>
          <w:i w:val="0"/>
        </w:rPr>
        <w:t>PASS всех проверок не повышает физический статус. Он удостоверяет лишь соответствие реализации контракту v0.21.</w:t>
      </w:r>
    </w:p>
    <w:p>
      <w:pPr>
        <w:pStyle w:val="Heading1"/>
        <w:widowControl/>
      </w:pPr>
      <w:r>
        <w:t>416. Канонический псевдокод</w:t>
      </w:r>
    </w:p>
    <w:p>
      <w:pPr>
        <w:pStyle w:val="Quote"/>
        <w:widowControl/>
        <w:jc w:val="center"/>
      </w:pPr>
      <w:r>
        <w:t>INPUT Q, release_manifest M</w:t>
        <w:br/>
        <w:t>VERIFY source identities, schemas, notation and immutable hashes</w:t>
        <w:br/>
        <w:t>Z ← INGEST(Q)</w:t>
        <w:br/>
        <w:t>FOR F in [REPER,NAPG,GEOMETRY,OBSTRUCTION,GLOBAL,EVOLUTION,STOCHASTIC,CAUSAL,RARE,VALIDATE]:</w:t>
        <w:br/>
        <w:t xml:space="preserve">    IF F is required by Q.Mode or M.policy:</w:t>
        <w:br/>
        <w:t xml:space="preserve">        r ← F(Z)</w:t>
        <w:br/>
        <w:t xml:space="preserve">        IF r = FAIL(w): RETURN FAIL(w, audit_chain)</w:t>
        <w:br/>
        <w:t xml:space="preserve">        IF r = ABSTAIN(b): RETURN ABSTAIN(b, audit_chain)</w:t>
        <w:br/>
        <w:t xml:space="preserve">        Z ← OK_payload(r); TRANSPORT budgets and proof chain</w:t>
        <w:br/>
        <w:t>COMPUTE verdict vector V and Pred(Q)</w:t>
        <w:br/>
        <w:t>CHECK total budgets, blockers, status meet, external split and release policy</w:t>
        <w:br/>
        <w:t>IF any required condition fails: RETURN ABSTAIN</w:t>
        <w:br/>
        <w:t>RETURN OK(V, Pred(Q), Cert, HashRoot); truth_layer_promotion=0.  (24.32)</w:t>
      </w:r>
    </w:p>
    <w:p>
      <w:pPr>
        <w:widowControl/>
      </w:pPr>
      <w:r>
        <w:rPr>
          <w:i w:val="0"/>
        </w:rPr>
        <w:t>Порядок модулей является частью manifest. Оптимизатор может переупорядочивать только доказанно коммутирующие независимые модули и обязан сохранить эквивалентность бюджета и proof chain.</w:t>
      </w:r>
    </w:p>
    <w:p>
      <w:pPr>
        <w:pStyle w:val="Heading1"/>
        <w:widowControl/>
      </w:pPr>
      <w:r>
        <w:t>417. Воспроизводимость и корневой хеш</w:t>
      </w:r>
    </w:p>
    <w:p>
      <w:pPr>
        <w:widowControl/>
      </w:pPr>
      <w:r>
        <w:rPr>
          <w:i w:val="0"/>
        </w:rPr>
        <w:t>Для каждого шага вычисляется запись</w:t>
      </w:r>
    </w:p>
    <w:p>
      <w:pPr>
        <w:pStyle w:val="Quote"/>
        <w:widowControl/>
        <w:jc w:val="center"/>
      </w:pPr>
      <w:r>
        <w:t>h_j = H(h_{j-1} || module_id || input_hash || output_hash || cert_hash || budget_hash).  (24.33)</w:t>
      </w:r>
    </w:p>
    <w:p>
      <w:pPr>
        <w:widowControl/>
      </w:pPr>
      <w:r>
        <w:rPr>
          <w:i w:val="0"/>
        </w:rPr>
        <w:t>Корень h_m связывает последовательность вычислений, но не доказывает математическую корректность содержимого. Хеш удостоверяет неизменность байтов относительно выбранной функции H; proof object удостоверяет утверждение. Эти роли нельзя менять местами.</w:t>
      </w:r>
    </w:p>
    <w:p>
      <w:pPr>
        <w:pStyle w:val="ListBullet"/>
        <w:widowControl/>
      </w:pPr>
      <w:r>
        <w:t>фиксируются версии ОС, интерпретатора, библиотек и solver;</w:t>
      </w:r>
    </w:p>
    <w:p>
      <w:pPr>
        <w:pStyle w:val="ListBullet"/>
        <w:widowControl/>
      </w:pPr>
      <w:r>
        <w:t>рандомизированные процедуры сохраняют seed и генератор;</w:t>
      </w:r>
    </w:p>
    <w:p>
      <w:pPr>
        <w:pStyle w:val="ListBullet"/>
        <w:widowControl/>
      </w:pPr>
      <w:r>
        <w:t>неопределённый parallel reduction либо запрещается, либо получает tolerance certificate;</w:t>
      </w:r>
    </w:p>
    <w:p>
      <w:pPr>
        <w:pStyle w:val="ListBullet"/>
        <w:widowControl/>
      </w:pPr>
      <w:r>
        <w:t>внешние API-ответы кэшируются с датой и хешем;</w:t>
      </w:r>
    </w:p>
    <w:p>
      <w:pPr>
        <w:pStyle w:val="ListBullet"/>
        <w:widowControl/>
      </w:pPr>
      <w:r>
        <w:t>секретные данные допускают commitment/secure audit, но отсутствие доступа отражается в reproducibility status.</w:t>
      </w:r>
    </w:p>
    <w:p>
      <w:pPr>
        <w:pStyle w:val="Heading1"/>
        <w:widowControl/>
      </w:pPr>
      <w:r>
        <w:t>418. Доказательные обязательства T2-PO-427-T2-PO-480</w:t>
      </w:r>
    </w:p>
    <w:tbl>
      <w:tblPr>
        <w:tblStyle w:val="TableGrid"/>
        <w:tblW w:type="auto" w:w="0"/>
        <w:jc w:val="center"/>
        <w:tblLook w:firstColumn="1" w:firstRow="1" w:lastColumn="0" w:lastRow="0" w:noHBand="0" w:noVBand="1" w:val="04A0"/>
        <w:tblBorders>
          <w:top w:val="single" w:sz="6" w:color="B5C3D1"/>
          <w:left w:val="single" w:sz="6" w:color="B5C3D1"/>
          <w:bottom w:val="single" w:sz="6" w:color="B5C3D1"/>
          <w:right w:val="single" w:sz="6" w:color="B5C3D1"/>
          <w:insideH w:val="single" w:sz="6" w:color="B5C3D1"/>
          <w:insideV w:val="single" w:sz="6" w:color="B5C3D1"/>
        </w:tblBorders>
      </w:tblPr>
      <w:tblGrid>
        <w:gridCol w:w="2438"/>
        <w:gridCol w:w="2438"/>
        <w:gridCol w:w="2438"/>
        <w:gridCol w:w="2438"/>
      </w:tblGrid>
      <w:tr>
        <w:trPr>
          <w:tblHeader w:val="true"/>
        </w:trPr>
        <w:tc>
          <w:tcPr>
            <w:tcW w:type="dxa" w:w="1440"/>
            <w:shd w:fill="173B67"/>
            <w:tcMar>
              <w:top w:w="110" w:type="dxa"/>
              <w:start w:w="110" w:type="dxa"/>
              <w:bottom w:w="110" w:type="dxa"/>
              <w:end w:w="110" w:type="dxa"/>
            </w:tcMar>
            <w:vAlign w:val="center"/>
          </w:tcPr>
          <w:p>
            <w:pPr>
              <w:jc w:val="center"/>
            </w:pPr>
            <w:r>
              <w:rPr>
                <w:rFonts w:ascii="Aptos" w:hAnsi="Aptos" w:eastAsia="Aptos"/>
                <w:b/>
                <w:color w:val="FFFFFF"/>
                <w:sz w:val="14"/>
              </w:rPr>
              <w:t>ID</w:t>
            </w:r>
          </w:p>
        </w:tc>
        <w:tc>
          <w:tcPr>
            <w:tcW w:type="dxa" w:w="5040"/>
            <w:shd w:fill="173B67"/>
            <w:tcMar>
              <w:top w:w="110" w:type="dxa"/>
              <w:start w:w="110" w:type="dxa"/>
              <w:bottom w:w="110" w:type="dxa"/>
              <w:end w:w="110" w:type="dxa"/>
            </w:tcMar>
            <w:vAlign w:val="center"/>
          </w:tcPr>
          <w:p>
            <w:pPr>
              <w:jc w:val="center"/>
            </w:pPr>
            <w:r>
              <w:rPr>
                <w:rFonts w:ascii="Aptos" w:hAnsi="Aptos" w:eastAsia="Aptos"/>
                <w:b/>
                <w:color w:val="FFFFFF"/>
                <w:sz w:val="14"/>
              </w:rPr>
              <w:t>Утверждение</w:t>
            </w:r>
          </w:p>
        </w:tc>
        <w:tc>
          <w:tcPr>
            <w:tcW w:type="dxa" w:w="1440"/>
            <w:shd w:fill="173B67"/>
            <w:tcMar>
              <w:top w:w="110" w:type="dxa"/>
              <w:start w:w="110" w:type="dxa"/>
              <w:bottom w:w="110" w:type="dxa"/>
              <w:end w:w="110" w:type="dxa"/>
            </w:tcMar>
            <w:vAlign w:val="center"/>
          </w:tcPr>
          <w:p>
            <w:pPr>
              <w:jc w:val="center"/>
            </w:pPr>
            <w:r>
              <w:rPr>
                <w:rFonts w:ascii="Aptos" w:hAnsi="Aptos" w:eastAsia="Aptos"/>
                <w:b/>
                <w:color w:val="FFFFFF"/>
                <w:sz w:val="14"/>
              </w:rPr>
              <w:t>Статус</w:t>
            </w:r>
          </w:p>
        </w:tc>
        <w:tc>
          <w:tcPr>
            <w:tcW w:type="dxa" w:w="2016"/>
            <w:shd w:fill="173B67"/>
            <w:tcMar>
              <w:top w:w="110" w:type="dxa"/>
              <w:start w:w="110" w:type="dxa"/>
              <w:bottom w:w="110" w:type="dxa"/>
              <w:end w:w="110" w:type="dxa"/>
            </w:tcMar>
            <w:vAlign w:val="center"/>
          </w:tcPr>
          <w:p>
            <w:pPr>
              <w:jc w:val="center"/>
            </w:pPr>
            <w:r>
              <w:rPr>
                <w:rFonts w:ascii="Aptos" w:hAnsi="Aptos" w:eastAsia="Aptos"/>
                <w:b/>
                <w:color w:val="FFFFFF"/>
                <w:sz w:val="14"/>
              </w:rPr>
              <w:t>Следующий шаг</w:t>
            </w:r>
          </w:p>
        </w:tc>
      </w:tr>
      <w:tr>
        <w:tc>
          <w:tcPr>
            <w:tcW w:type="dxa" w:w="1440"/>
            <w:tcMar>
              <w:top w:w="90" w:type="dxa"/>
              <w:start w:w="100" w:type="dxa"/>
              <w:bottom w:w="90" w:type="dxa"/>
              <w:end w:w="100" w:type="dxa"/>
            </w:tcMar>
            <w:vAlign w:val="center"/>
          </w:tcPr>
          <w:p>
            <w:pPr>
              <w:spacing w:after="0"/>
            </w:pPr>
            <w:r>
              <w:rPr>
                <w:rFonts w:ascii="Aptos" w:hAnsi="Aptos" w:eastAsia="Aptos"/>
                <w:sz w:val="14"/>
              </w:rPr>
              <w:t>T2-PO-427</w:t>
            </w:r>
          </w:p>
        </w:tc>
        <w:tc>
          <w:tcPr>
            <w:tcW w:type="dxa" w:w="5040"/>
            <w:tcMar>
              <w:top w:w="90" w:type="dxa"/>
              <w:start w:w="100" w:type="dxa"/>
              <w:bottom w:w="90" w:type="dxa"/>
              <w:end w:w="100" w:type="dxa"/>
            </w:tcMar>
            <w:vAlign w:val="center"/>
          </w:tcPr>
          <w:p>
            <w:pPr>
              <w:spacing w:after="0"/>
            </w:pPr>
            <w:r>
              <w:rPr>
                <w:rFonts w:ascii="Aptos" w:hAnsi="Aptos" w:eastAsia="Aptos"/>
                <w:sz w:val="14"/>
              </w:rPr>
              <w:t>Категория CertKLT формализована в выбранной foundational system</w:t>
            </w:r>
          </w:p>
        </w:tc>
        <w:tc>
          <w:tcPr>
            <w:tcW w:type="dxa" w:w="1440"/>
            <w:tcMar>
              <w:top w:w="90" w:type="dxa"/>
              <w:start w:w="100" w:type="dxa"/>
              <w:bottom w:w="90" w:type="dxa"/>
              <w:end w:w="100" w:type="dxa"/>
            </w:tcMar>
            <w:vAlign w:val="center"/>
          </w:tcPr>
          <w:p>
            <w:pPr>
              <w:spacing w:after="0"/>
            </w:pPr>
            <w:r>
              <w:rPr>
                <w:rFonts w:ascii="Aptos" w:hAnsi="Aptos" w:eastAsia="Aptos"/>
                <w:sz w:val="14"/>
              </w:rPr>
              <w:t>COND</w:t>
            </w:r>
          </w:p>
        </w:tc>
        <w:tc>
          <w:tcPr>
            <w:tcW w:type="dxa" w:w="2016"/>
            <w:tcMar>
              <w:top w:w="90" w:type="dxa"/>
              <w:start w:w="100" w:type="dxa"/>
              <w:bottom w:w="90" w:type="dxa"/>
              <w:end w:w="100" w:type="dxa"/>
            </w:tcMar>
            <w:vAlign w:val="center"/>
          </w:tcPr>
          <w:p>
            <w:pPr>
              <w:spacing w:after="0"/>
            </w:pPr>
            <w:r>
              <w:rPr>
                <w:rFonts w:ascii="Aptos" w:hAnsi="Aptos" w:eastAsia="Aptos"/>
                <w:sz w:val="14"/>
              </w:rPr>
              <w:t>дать машинно-проверяемое определение</w:t>
            </w:r>
          </w:p>
        </w:tc>
      </w:tr>
      <w:tr>
        <w:tc>
          <w:tcPr>
            <w:tcW w:type="dxa" w:w="1440"/>
            <w:tcMar>
              <w:top w:w="90" w:type="dxa"/>
              <w:start w:w="100" w:type="dxa"/>
              <w:bottom w:w="90" w:type="dxa"/>
              <w:end w:w="100" w:type="dxa"/>
            </w:tcMar>
            <w:vAlign w:val="center"/>
            <w:shd w:fill="F5F7F9"/>
          </w:tcPr>
          <w:p>
            <w:pPr>
              <w:spacing w:after="0"/>
            </w:pPr>
            <w:r>
              <w:rPr>
                <w:rFonts w:ascii="Aptos" w:hAnsi="Aptos" w:eastAsia="Aptos"/>
                <w:sz w:val="14"/>
              </w:rPr>
              <w:t>T2-PO-428</w:t>
            </w:r>
          </w:p>
        </w:tc>
        <w:tc>
          <w:tcPr>
            <w:tcW w:type="dxa" w:w="5040"/>
            <w:tcMar>
              <w:top w:w="90" w:type="dxa"/>
              <w:start w:w="100" w:type="dxa"/>
              <w:bottom w:w="90" w:type="dxa"/>
              <w:end w:w="100" w:type="dxa"/>
            </w:tcMar>
            <w:vAlign w:val="center"/>
            <w:shd w:fill="F5F7F9"/>
          </w:tcPr>
          <w:p>
            <w:pPr>
              <w:spacing w:after="0"/>
            </w:pPr>
            <w:r>
              <w:rPr>
                <w:rFonts w:ascii="Aptos" w:hAnsi="Aptos" w:eastAsia="Aptos"/>
                <w:sz w:val="14"/>
              </w:rPr>
              <w:t>Result semantics согласована с частичными картами</w:t>
            </w:r>
          </w:p>
        </w:tc>
        <w:tc>
          <w:tcPr>
            <w:tcW w:type="dxa" w:w="1440"/>
            <w:tcMar>
              <w:top w:w="90" w:type="dxa"/>
              <w:start w:w="100" w:type="dxa"/>
              <w:bottom w:w="90" w:type="dxa"/>
              <w:end w:w="100" w:type="dxa"/>
            </w:tcMar>
            <w:vAlign w:val="center"/>
            <w:shd w:fill="F5F7F9"/>
          </w:tcPr>
          <w:p>
            <w:pPr>
              <w:spacing w:after="0"/>
            </w:pPr>
            <w:r>
              <w:rPr>
                <w:rFonts w:ascii="Aptos" w:hAnsi="Aptos" w:eastAsia="Aptos"/>
                <w:sz w:val="14"/>
              </w:rPr>
              <w:t>THM-text</w:t>
            </w:r>
          </w:p>
        </w:tc>
        <w:tc>
          <w:tcPr>
            <w:tcW w:type="dxa" w:w="2016"/>
            <w:tcMar>
              <w:top w:w="90" w:type="dxa"/>
              <w:start w:w="100" w:type="dxa"/>
              <w:bottom w:w="90" w:type="dxa"/>
              <w:end w:w="100" w:type="dxa"/>
            </w:tcMar>
            <w:vAlign w:val="center"/>
            <w:shd w:fill="F5F7F9"/>
          </w:tcPr>
          <w:p>
            <w:pPr>
              <w:spacing w:after="0"/>
            </w:pPr>
            <w:r>
              <w:rPr>
                <w:rFonts w:ascii="Aptos" w:hAnsi="Aptos" w:eastAsia="Aptos"/>
                <w:sz w:val="14"/>
              </w:rPr>
              <w:t>formalize cases</w:t>
            </w:r>
          </w:p>
        </w:tc>
      </w:tr>
      <w:tr>
        <w:tc>
          <w:tcPr>
            <w:tcW w:type="dxa" w:w="1440"/>
            <w:tcMar>
              <w:top w:w="90" w:type="dxa"/>
              <w:start w:w="100" w:type="dxa"/>
              <w:bottom w:w="90" w:type="dxa"/>
              <w:end w:w="100" w:type="dxa"/>
            </w:tcMar>
            <w:vAlign w:val="center"/>
          </w:tcPr>
          <w:p>
            <w:pPr>
              <w:spacing w:after="0"/>
            </w:pPr>
            <w:r>
              <w:rPr>
                <w:rFonts w:ascii="Aptos" w:hAnsi="Aptos" w:eastAsia="Aptos"/>
                <w:sz w:val="14"/>
              </w:rPr>
              <w:t>T2-PO-429</w:t>
            </w:r>
          </w:p>
        </w:tc>
        <w:tc>
          <w:tcPr>
            <w:tcW w:type="dxa" w:w="5040"/>
            <w:tcMar>
              <w:top w:w="90" w:type="dxa"/>
              <w:start w:w="100" w:type="dxa"/>
              <w:bottom w:w="90" w:type="dxa"/>
              <w:end w:w="100" w:type="dxa"/>
            </w:tcMar>
            <w:vAlign w:val="center"/>
          </w:tcPr>
          <w:p>
            <w:pPr>
              <w:spacing w:after="0"/>
            </w:pPr>
            <w:r>
              <w:rPr>
                <w:rFonts w:ascii="Aptos" w:hAnsi="Aptos" w:eastAsia="Aptos"/>
                <w:sz w:val="14"/>
              </w:rPr>
              <w:t>Budget transformers образуют ассоциативную систему</w:t>
            </w:r>
          </w:p>
        </w:tc>
        <w:tc>
          <w:tcPr>
            <w:tcW w:type="dxa" w:w="1440"/>
            <w:tcMar>
              <w:top w:w="90" w:type="dxa"/>
              <w:start w:w="100" w:type="dxa"/>
              <w:bottom w:w="90" w:type="dxa"/>
              <w:end w:w="100" w:type="dxa"/>
            </w:tcMar>
            <w:vAlign w:val="center"/>
          </w:tcPr>
          <w:p>
            <w:pPr>
              <w:spacing w:after="0"/>
            </w:pPr>
            <w:r>
              <w:rPr>
                <w:rFonts w:ascii="Aptos" w:hAnsi="Aptos" w:eastAsia="Aptos"/>
                <w:sz w:val="14"/>
              </w:rPr>
              <w:t>COND</w:t>
            </w:r>
          </w:p>
        </w:tc>
        <w:tc>
          <w:tcPr>
            <w:tcW w:type="dxa" w:w="2016"/>
            <w:tcMar>
              <w:top w:w="90" w:type="dxa"/>
              <w:start w:w="100" w:type="dxa"/>
              <w:bottom w:w="90" w:type="dxa"/>
              <w:end w:w="100" w:type="dxa"/>
            </w:tcMar>
            <w:vAlign w:val="center"/>
          </w:tcPr>
          <w:p>
            <w:pPr>
              <w:spacing w:after="0"/>
            </w:pPr>
            <w:r>
              <w:rPr>
                <w:rFonts w:ascii="Aptos" w:hAnsi="Aptos" w:eastAsia="Aptos"/>
                <w:sz w:val="14"/>
              </w:rPr>
              <w:t>проверить каждый тип бюджета</w:t>
            </w:r>
          </w:p>
        </w:tc>
      </w:tr>
      <w:tr>
        <w:tc>
          <w:tcPr>
            <w:tcW w:type="dxa" w:w="1440"/>
            <w:tcMar>
              <w:top w:w="90" w:type="dxa"/>
              <w:start w:w="100" w:type="dxa"/>
              <w:bottom w:w="90" w:type="dxa"/>
              <w:end w:w="100" w:type="dxa"/>
            </w:tcMar>
            <w:vAlign w:val="center"/>
            <w:shd w:fill="F5F7F9"/>
          </w:tcPr>
          <w:p>
            <w:pPr>
              <w:spacing w:after="0"/>
            </w:pPr>
            <w:r>
              <w:rPr>
                <w:rFonts w:ascii="Aptos" w:hAnsi="Aptos" w:eastAsia="Aptos"/>
                <w:sz w:val="14"/>
              </w:rPr>
              <w:t>T2-PO-430</w:t>
            </w:r>
          </w:p>
        </w:tc>
        <w:tc>
          <w:tcPr>
            <w:tcW w:type="dxa" w:w="5040"/>
            <w:tcMar>
              <w:top w:w="90" w:type="dxa"/>
              <w:start w:w="100" w:type="dxa"/>
              <w:bottom w:w="90" w:type="dxa"/>
              <w:end w:w="100" w:type="dxa"/>
            </w:tcMar>
            <w:vAlign w:val="center"/>
            <w:shd w:fill="F5F7F9"/>
          </w:tcPr>
          <w:p>
            <w:pPr>
              <w:spacing w:after="0"/>
            </w:pPr>
            <w:r>
              <w:rPr>
                <w:rFonts w:ascii="Aptos" w:hAnsi="Aptos" w:eastAsia="Aptos"/>
                <w:sz w:val="14"/>
              </w:rPr>
              <w:t>Однородная Λ совместима со всеми Reper-морфизмами</w:t>
            </w:r>
          </w:p>
        </w:tc>
        <w:tc>
          <w:tcPr>
            <w:tcW w:type="dxa" w:w="1440"/>
            <w:tcMar>
              <w:top w:w="90" w:type="dxa"/>
              <w:start w:w="100" w:type="dxa"/>
              <w:bottom w:w="90" w:type="dxa"/>
              <w:end w:w="100" w:type="dxa"/>
            </w:tcMar>
            <w:vAlign w:val="center"/>
            <w:shd w:fill="F5F7F9"/>
          </w:tcPr>
          <w:p>
            <w:pPr>
              <w:spacing w:after="0"/>
            </w:pPr>
            <w:r>
              <w:rPr>
                <w:rFonts w:ascii="Aptos" w:hAnsi="Aptos" w:eastAsia="Aptos"/>
                <w:sz w:val="14"/>
              </w:rPr>
              <w:t>COND</w:t>
            </w:r>
          </w:p>
        </w:tc>
        <w:tc>
          <w:tcPr>
            <w:tcW w:type="dxa" w:w="2016"/>
            <w:tcMar>
              <w:top w:w="90" w:type="dxa"/>
              <w:start w:w="100" w:type="dxa"/>
              <w:bottom w:w="90" w:type="dxa"/>
              <w:end w:w="100" w:type="dxa"/>
            </w:tcMar>
            <w:vAlign w:val="center"/>
            <w:shd w:fill="F5F7F9"/>
          </w:tcPr>
          <w:p>
            <w:pPr>
              <w:spacing w:after="0"/>
            </w:pPr>
            <w:r>
              <w:rPr>
                <w:rFonts w:ascii="Aptos" w:hAnsi="Aptos" w:eastAsia="Aptos"/>
                <w:sz w:val="14"/>
              </w:rPr>
              <w:t>naturality proof</w:t>
            </w:r>
          </w:p>
        </w:tc>
      </w:tr>
      <w:tr>
        <w:tc>
          <w:tcPr>
            <w:tcW w:type="dxa" w:w="1440"/>
            <w:tcMar>
              <w:top w:w="90" w:type="dxa"/>
              <w:start w:w="100" w:type="dxa"/>
              <w:bottom w:w="90" w:type="dxa"/>
              <w:end w:w="100" w:type="dxa"/>
            </w:tcMar>
            <w:vAlign w:val="center"/>
          </w:tcPr>
          <w:p>
            <w:pPr>
              <w:spacing w:after="0"/>
            </w:pPr>
            <w:r>
              <w:rPr>
                <w:rFonts w:ascii="Aptos" w:hAnsi="Aptos" w:eastAsia="Aptos"/>
                <w:sz w:val="14"/>
              </w:rPr>
              <w:t>T2-PO-431</w:t>
            </w:r>
          </w:p>
        </w:tc>
        <w:tc>
          <w:tcPr>
            <w:tcW w:type="dxa" w:w="5040"/>
            <w:tcMar>
              <w:top w:w="90" w:type="dxa"/>
              <w:start w:w="100" w:type="dxa"/>
              <w:bottom w:w="90" w:type="dxa"/>
              <w:end w:w="100" w:type="dxa"/>
            </w:tcMar>
            <w:vAlign w:val="center"/>
          </w:tcPr>
          <w:p>
            <w:pPr>
              <w:spacing w:after="0"/>
            </w:pPr>
            <w:r>
              <w:rPr>
                <w:rFonts w:ascii="Aptos" w:hAnsi="Aptos" w:eastAsia="Aptos"/>
                <w:sz w:val="14"/>
              </w:rPr>
              <w:t>Harmonic locus N+Q=0 инвариантен</w:t>
            </w:r>
          </w:p>
        </w:tc>
        <w:tc>
          <w:tcPr>
            <w:tcW w:type="dxa" w:w="1440"/>
            <w:tcMar>
              <w:top w:w="90" w:type="dxa"/>
              <w:start w:w="100" w:type="dxa"/>
              <w:bottom w:w="90" w:type="dxa"/>
              <w:end w:w="100" w:type="dxa"/>
            </w:tcMar>
            <w:vAlign w:val="center"/>
          </w:tcPr>
          <w:p>
            <w:pPr>
              <w:spacing w:after="0"/>
            </w:pPr>
            <w:r>
              <w:rPr>
                <w:rFonts w:ascii="Aptos" w:hAnsi="Aptos" w:eastAsia="Aptos"/>
                <w:sz w:val="14"/>
              </w:rPr>
              <w:t>THM-local</w:t>
            </w:r>
          </w:p>
        </w:tc>
        <w:tc>
          <w:tcPr>
            <w:tcW w:type="dxa" w:w="2016"/>
            <w:tcMar>
              <w:top w:w="90" w:type="dxa"/>
              <w:start w:w="100" w:type="dxa"/>
              <w:bottom w:w="90" w:type="dxa"/>
              <w:end w:w="100" w:type="dxa"/>
            </w:tcMar>
            <w:vAlign w:val="center"/>
          </w:tcPr>
          <w:p>
            <w:pPr>
              <w:spacing w:after="0"/>
            </w:pPr>
            <w:r>
              <w:rPr>
                <w:rFonts w:ascii="Aptos" w:hAnsi="Aptos" w:eastAsia="Aptos"/>
                <w:sz w:val="14"/>
              </w:rPr>
              <w:t>global carrier proof</w:t>
            </w:r>
          </w:p>
        </w:tc>
      </w:tr>
      <w:tr>
        <w:tc>
          <w:tcPr>
            <w:tcW w:type="dxa" w:w="1440"/>
            <w:tcMar>
              <w:top w:w="90" w:type="dxa"/>
              <w:start w:w="100" w:type="dxa"/>
              <w:bottom w:w="90" w:type="dxa"/>
              <w:end w:w="100" w:type="dxa"/>
            </w:tcMar>
            <w:vAlign w:val="center"/>
            <w:shd w:fill="F5F7F9"/>
          </w:tcPr>
          <w:p>
            <w:pPr>
              <w:spacing w:after="0"/>
            </w:pPr>
            <w:r>
              <w:rPr>
                <w:rFonts w:ascii="Aptos" w:hAnsi="Aptos" w:eastAsia="Aptos"/>
                <w:sz w:val="14"/>
              </w:rPr>
              <w:t>T2-PO-432</w:t>
            </w:r>
          </w:p>
        </w:tc>
        <w:tc>
          <w:tcPr>
            <w:tcW w:type="dxa" w:w="5040"/>
            <w:tcMar>
              <w:top w:w="90" w:type="dxa"/>
              <w:start w:w="100" w:type="dxa"/>
              <w:bottom w:w="90" w:type="dxa"/>
              <w:end w:w="100" w:type="dxa"/>
            </w:tcMar>
            <w:vAlign w:val="center"/>
            <w:shd w:fill="F5F7F9"/>
          </w:tcPr>
          <w:p>
            <w:pPr>
              <w:spacing w:after="0"/>
            </w:pPr>
            <w:r>
              <w:rPr>
                <w:rFonts w:ascii="Aptos" w:hAnsi="Aptos" w:eastAsia="Aptos"/>
                <w:sz w:val="14"/>
              </w:rPr>
              <w:t>Degenerate locus [0:0] корректно блокируется</w:t>
            </w:r>
          </w:p>
        </w:tc>
        <w:tc>
          <w:tcPr>
            <w:tcW w:type="dxa" w:w="1440"/>
            <w:tcMar>
              <w:top w:w="90" w:type="dxa"/>
              <w:start w:w="100" w:type="dxa"/>
              <w:bottom w:w="90" w:type="dxa"/>
              <w:end w:w="100" w:type="dxa"/>
            </w:tcMar>
            <w:vAlign w:val="center"/>
            <w:shd w:fill="F5F7F9"/>
          </w:tcPr>
          <w:p>
            <w:pPr>
              <w:spacing w:after="0"/>
            </w:pPr>
            <w:r>
              <w:rPr>
                <w:rFonts w:ascii="Aptos" w:hAnsi="Aptos" w:eastAsia="Aptos"/>
                <w:sz w:val="14"/>
              </w:rPr>
              <w:t>COMP</w:t>
            </w:r>
          </w:p>
        </w:tc>
        <w:tc>
          <w:tcPr>
            <w:tcW w:type="dxa" w:w="2016"/>
            <w:tcMar>
              <w:top w:w="90" w:type="dxa"/>
              <w:start w:w="100" w:type="dxa"/>
              <w:bottom w:w="90" w:type="dxa"/>
              <w:end w:w="100" w:type="dxa"/>
            </w:tcMar>
            <w:vAlign w:val="center"/>
            <w:shd w:fill="F5F7F9"/>
          </w:tcPr>
          <w:p>
            <w:pPr>
              <w:spacing w:after="0"/>
            </w:pPr>
            <w:r>
              <w:rPr>
                <w:rFonts w:ascii="Aptos" w:hAnsi="Aptos" w:eastAsia="Aptos"/>
                <w:sz w:val="14"/>
              </w:rPr>
              <w:t>property-based tests</w:t>
            </w:r>
          </w:p>
        </w:tc>
      </w:tr>
      <w:tr>
        <w:tc>
          <w:tcPr>
            <w:tcW w:type="dxa" w:w="1440"/>
            <w:tcMar>
              <w:top w:w="90" w:type="dxa"/>
              <w:start w:w="100" w:type="dxa"/>
              <w:bottom w:w="90" w:type="dxa"/>
              <w:end w:w="100" w:type="dxa"/>
            </w:tcMar>
            <w:vAlign w:val="center"/>
          </w:tcPr>
          <w:p>
            <w:pPr>
              <w:spacing w:after="0"/>
            </w:pPr>
            <w:r>
              <w:rPr>
                <w:rFonts w:ascii="Aptos" w:hAnsi="Aptos" w:eastAsia="Aptos"/>
                <w:sz w:val="14"/>
              </w:rPr>
              <w:t>T2-PO-433</w:t>
            </w:r>
          </w:p>
        </w:tc>
        <w:tc>
          <w:tcPr>
            <w:tcW w:type="dxa" w:w="5040"/>
            <w:tcMar>
              <w:top w:w="90" w:type="dxa"/>
              <w:start w:w="100" w:type="dxa"/>
              <w:bottom w:w="90" w:type="dxa"/>
              <w:end w:w="100" w:type="dxa"/>
            </w:tcMar>
            <w:vAlign w:val="center"/>
          </w:tcPr>
          <w:p>
            <w:pPr>
              <w:spacing w:after="0"/>
            </w:pPr>
            <w:r>
              <w:rPr>
                <w:rFonts w:ascii="Aptos" w:hAnsi="Aptos" w:eastAsia="Aptos"/>
                <w:sz w:val="14"/>
              </w:rPr>
              <w:t>Unit/type adapters сертифицированы</w:t>
            </w:r>
          </w:p>
        </w:tc>
        <w:tc>
          <w:tcPr>
            <w:tcW w:type="dxa" w:w="1440"/>
            <w:tcMar>
              <w:top w:w="90" w:type="dxa"/>
              <w:start w:w="100" w:type="dxa"/>
              <w:bottom w:w="90" w:type="dxa"/>
              <w:end w:w="100" w:type="dxa"/>
            </w:tcMar>
            <w:vAlign w:val="center"/>
          </w:tcPr>
          <w:p>
            <w:pPr>
              <w:spacing w:after="0"/>
            </w:pPr>
            <w:r>
              <w:rPr>
                <w:rFonts w:ascii="Aptos" w:hAnsi="Aptos" w:eastAsia="Aptos"/>
                <w:sz w:val="14"/>
              </w:rPr>
              <w:t>OPEN</w:t>
            </w:r>
          </w:p>
        </w:tc>
        <w:tc>
          <w:tcPr>
            <w:tcW w:type="dxa" w:w="2016"/>
            <w:tcMar>
              <w:top w:w="90" w:type="dxa"/>
              <w:start w:w="100" w:type="dxa"/>
              <w:bottom w:w="90" w:type="dxa"/>
              <w:end w:w="100" w:type="dxa"/>
            </w:tcMar>
            <w:vAlign w:val="center"/>
          </w:tcPr>
          <w:p>
            <w:pPr>
              <w:spacing w:after="0"/>
            </w:pPr>
            <w:r>
              <w:rPr>
                <w:rFonts w:ascii="Aptos" w:hAnsi="Aptos" w:eastAsia="Aptos"/>
                <w:sz w:val="14"/>
              </w:rPr>
              <w:t>adapter library</w:t>
            </w:r>
          </w:p>
        </w:tc>
      </w:tr>
      <w:tr>
        <w:tc>
          <w:tcPr>
            <w:tcW w:type="dxa" w:w="1440"/>
            <w:tcMar>
              <w:top w:w="90" w:type="dxa"/>
              <w:start w:w="100" w:type="dxa"/>
              <w:bottom w:w="90" w:type="dxa"/>
              <w:end w:w="100" w:type="dxa"/>
            </w:tcMar>
            <w:vAlign w:val="center"/>
            <w:shd w:fill="F5F7F9"/>
          </w:tcPr>
          <w:p>
            <w:pPr>
              <w:spacing w:after="0"/>
            </w:pPr>
            <w:r>
              <w:rPr>
                <w:rFonts w:ascii="Aptos" w:hAnsi="Aptos" w:eastAsia="Aptos"/>
                <w:sz w:val="14"/>
              </w:rPr>
              <w:t>T2-PO-434</w:t>
            </w:r>
          </w:p>
        </w:tc>
        <w:tc>
          <w:tcPr>
            <w:tcW w:type="dxa" w:w="5040"/>
            <w:tcMar>
              <w:top w:w="90" w:type="dxa"/>
              <w:start w:w="100" w:type="dxa"/>
              <w:bottom w:w="90" w:type="dxa"/>
              <w:end w:w="100" w:type="dxa"/>
            </w:tcMar>
            <w:vAlign w:val="center"/>
            <w:shd w:fill="F5F7F9"/>
          </w:tcPr>
          <w:p>
            <w:pPr>
              <w:spacing w:after="0"/>
            </w:pPr>
            <w:r>
              <w:rPr>
                <w:rFonts w:ascii="Aptos" w:hAnsi="Aptos" w:eastAsia="Aptos"/>
                <w:sz w:val="14"/>
              </w:rPr>
              <w:t>Affine deterministic bound реализован interval arithmetic</w:t>
            </w:r>
          </w:p>
        </w:tc>
        <w:tc>
          <w:tcPr>
            <w:tcW w:type="dxa" w:w="1440"/>
            <w:tcMar>
              <w:top w:w="90" w:type="dxa"/>
              <w:start w:w="100" w:type="dxa"/>
              <w:bottom w:w="90" w:type="dxa"/>
              <w:end w:w="100" w:type="dxa"/>
            </w:tcMar>
            <w:vAlign w:val="center"/>
            <w:shd w:fill="F5F7F9"/>
          </w:tcPr>
          <w:p>
            <w:pPr>
              <w:spacing w:after="0"/>
            </w:pPr>
            <w:r>
              <w:rPr>
                <w:rFonts w:ascii="Aptos" w:hAnsi="Aptos" w:eastAsia="Aptos"/>
                <w:sz w:val="14"/>
              </w:rPr>
              <w:t>COMP</w:t>
            </w:r>
          </w:p>
        </w:tc>
        <w:tc>
          <w:tcPr>
            <w:tcW w:type="dxa" w:w="2016"/>
            <w:tcMar>
              <w:top w:w="90" w:type="dxa"/>
              <w:start w:w="100" w:type="dxa"/>
              <w:bottom w:w="90" w:type="dxa"/>
              <w:end w:w="100" w:type="dxa"/>
            </w:tcMar>
            <w:vAlign w:val="center"/>
            <w:shd w:fill="F5F7F9"/>
          </w:tcPr>
          <w:p>
            <w:pPr>
              <w:spacing w:after="0"/>
            </w:pPr>
            <w:r>
              <w:rPr>
                <w:rFonts w:ascii="Aptos" w:hAnsi="Aptos" w:eastAsia="Aptos"/>
                <w:sz w:val="14"/>
              </w:rPr>
              <w:t>exact test suite</w:t>
            </w:r>
          </w:p>
        </w:tc>
      </w:tr>
      <w:tr>
        <w:tc>
          <w:tcPr>
            <w:tcW w:type="dxa" w:w="1440"/>
            <w:tcMar>
              <w:top w:w="90" w:type="dxa"/>
              <w:start w:w="100" w:type="dxa"/>
              <w:bottom w:w="90" w:type="dxa"/>
              <w:end w:w="100" w:type="dxa"/>
            </w:tcMar>
            <w:vAlign w:val="center"/>
          </w:tcPr>
          <w:p>
            <w:pPr>
              <w:spacing w:after="0"/>
            </w:pPr>
            <w:r>
              <w:rPr>
                <w:rFonts w:ascii="Aptos" w:hAnsi="Aptos" w:eastAsia="Aptos"/>
                <w:sz w:val="14"/>
              </w:rPr>
              <w:t>T2-PO-435</w:t>
            </w:r>
          </w:p>
        </w:tc>
        <w:tc>
          <w:tcPr>
            <w:tcW w:type="dxa" w:w="5040"/>
            <w:tcMar>
              <w:top w:w="90" w:type="dxa"/>
              <w:start w:w="100" w:type="dxa"/>
              <w:bottom w:w="90" w:type="dxa"/>
              <w:end w:w="100" w:type="dxa"/>
            </w:tcMar>
            <w:vAlign w:val="center"/>
          </w:tcPr>
          <w:p>
            <w:pPr>
              <w:spacing w:after="0"/>
            </w:pPr>
            <w:r>
              <w:rPr>
                <w:rFonts w:ascii="Aptos" w:hAnsi="Aptos" w:eastAsia="Aptos"/>
                <w:sz w:val="14"/>
              </w:rPr>
              <w:t>Condition numbers вычисляются/ограничиваются</w:t>
            </w:r>
          </w:p>
        </w:tc>
        <w:tc>
          <w:tcPr>
            <w:tcW w:type="dxa" w:w="1440"/>
            <w:tcMar>
              <w:top w:w="90" w:type="dxa"/>
              <w:start w:w="100" w:type="dxa"/>
              <w:bottom w:w="90" w:type="dxa"/>
              <w:end w:w="100" w:type="dxa"/>
            </w:tcMar>
            <w:vAlign w:val="center"/>
          </w:tcPr>
          <w:p>
            <w:pPr>
              <w:spacing w:after="0"/>
            </w:pPr>
            <w:r>
              <w:rPr>
                <w:rFonts w:ascii="Aptos" w:hAnsi="Aptos" w:eastAsia="Aptos"/>
                <w:sz w:val="14"/>
              </w:rPr>
              <w:t>OPEN</w:t>
            </w:r>
          </w:p>
        </w:tc>
        <w:tc>
          <w:tcPr>
            <w:tcW w:type="dxa" w:w="2016"/>
            <w:tcMar>
              <w:top w:w="90" w:type="dxa"/>
              <w:start w:w="100" w:type="dxa"/>
              <w:bottom w:w="90" w:type="dxa"/>
              <w:end w:w="100" w:type="dxa"/>
            </w:tcMar>
            <w:vAlign w:val="center"/>
          </w:tcPr>
          <w:p>
            <w:pPr>
              <w:spacing w:after="0"/>
            </w:pPr>
            <w:r>
              <w:rPr>
                <w:rFonts w:ascii="Aptos" w:hAnsi="Aptos" w:eastAsia="Aptos"/>
                <w:sz w:val="14"/>
              </w:rPr>
              <w:t>domain-specific bounds</w:t>
            </w:r>
          </w:p>
        </w:tc>
      </w:tr>
      <w:tr>
        <w:tc>
          <w:tcPr>
            <w:tcW w:type="dxa" w:w="1440"/>
            <w:tcMar>
              <w:top w:w="90" w:type="dxa"/>
              <w:start w:w="100" w:type="dxa"/>
              <w:bottom w:w="90" w:type="dxa"/>
              <w:end w:w="100" w:type="dxa"/>
            </w:tcMar>
            <w:vAlign w:val="center"/>
            <w:shd w:fill="F5F7F9"/>
          </w:tcPr>
          <w:p>
            <w:pPr>
              <w:spacing w:after="0"/>
            </w:pPr>
            <w:r>
              <w:rPr>
                <w:rFonts w:ascii="Aptos" w:hAnsi="Aptos" w:eastAsia="Aptos"/>
                <w:sz w:val="14"/>
              </w:rPr>
              <w:t>T2-PO-436</w:t>
            </w:r>
          </w:p>
        </w:tc>
        <w:tc>
          <w:tcPr>
            <w:tcW w:type="dxa" w:w="5040"/>
            <w:tcMar>
              <w:top w:w="90" w:type="dxa"/>
              <w:start w:w="100" w:type="dxa"/>
              <w:bottom w:w="90" w:type="dxa"/>
              <w:end w:w="100" w:type="dxa"/>
            </w:tcMar>
            <w:vAlign w:val="center"/>
            <w:shd w:fill="F5F7F9"/>
          </w:tcPr>
          <w:p>
            <w:pPr>
              <w:spacing w:after="0"/>
            </w:pPr>
            <w:r>
              <w:rPr>
                <w:rFonts w:ascii="Aptos" w:hAnsi="Aptos" w:eastAsia="Aptos"/>
                <w:sz w:val="14"/>
              </w:rPr>
              <w:t>α-ledger защищён от постселекции</w:t>
            </w:r>
          </w:p>
        </w:tc>
        <w:tc>
          <w:tcPr>
            <w:tcW w:type="dxa" w:w="1440"/>
            <w:tcMar>
              <w:top w:w="90" w:type="dxa"/>
              <w:start w:w="100" w:type="dxa"/>
              <w:bottom w:w="90" w:type="dxa"/>
              <w:end w:w="100" w:type="dxa"/>
            </w:tcMar>
            <w:vAlign w:val="center"/>
            <w:shd w:fill="F5F7F9"/>
          </w:tcPr>
          <w:p>
            <w:pPr>
              <w:spacing w:after="0"/>
            </w:pPr>
            <w:r>
              <w:rPr>
                <w:rFonts w:ascii="Aptos" w:hAnsi="Aptos" w:eastAsia="Aptos"/>
                <w:sz w:val="14"/>
              </w:rPr>
              <w:t>COND</w:t>
            </w:r>
          </w:p>
        </w:tc>
        <w:tc>
          <w:tcPr>
            <w:tcW w:type="dxa" w:w="2016"/>
            <w:tcMar>
              <w:top w:w="90" w:type="dxa"/>
              <w:start w:w="100" w:type="dxa"/>
              <w:bottom w:w="90" w:type="dxa"/>
              <w:end w:w="100" w:type="dxa"/>
            </w:tcMar>
            <w:vAlign w:val="center"/>
            <w:shd w:fill="F5F7F9"/>
          </w:tcPr>
          <w:p>
            <w:pPr>
              <w:spacing w:after="0"/>
            </w:pPr>
            <w:r>
              <w:rPr>
                <w:rFonts w:ascii="Aptos" w:hAnsi="Aptos" w:eastAsia="Aptos"/>
                <w:sz w:val="14"/>
              </w:rPr>
              <w:t>pre-registration mechanism</w:t>
            </w:r>
          </w:p>
        </w:tc>
      </w:tr>
      <w:tr>
        <w:tc>
          <w:tcPr>
            <w:tcW w:type="dxa" w:w="1440"/>
            <w:tcMar>
              <w:top w:w="90" w:type="dxa"/>
              <w:start w:w="100" w:type="dxa"/>
              <w:bottom w:w="90" w:type="dxa"/>
              <w:end w:w="100" w:type="dxa"/>
            </w:tcMar>
            <w:vAlign w:val="center"/>
          </w:tcPr>
          <w:p>
            <w:pPr>
              <w:spacing w:after="0"/>
            </w:pPr>
            <w:r>
              <w:rPr>
                <w:rFonts w:ascii="Aptos" w:hAnsi="Aptos" w:eastAsia="Aptos"/>
                <w:sz w:val="14"/>
              </w:rPr>
              <w:t>T2-PO-437</w:t>
            </w:r>
          </w:p>
        </w:tc>
        <w:tc>
          <w:tcPr>
            <w:tcW w:type="dxa" w:w="5040"/>
            <w:tcMar>
              <w:top w:w="90" w:type="dxa"/>
              <w:start w:w="100" w:type="dxa"/>
              <w:bottom w:w="90" w:type="dxa"/>
              <w:end w:w="100" w:type="dxa"/>
            </w:tcMar>
            <w:vAlign w:val="center"/>
          </w:tcPr>
          <w:p>
            <w:pPr>
              <w:spacing w:after="0"/>
            </w:pPr>
            <w:r>
              <w:rPr>
                <w:rFonts w:ascii="Aptos" w:hAnsi="Aptos" w:eastAsia="Aptos"/>
                <w:sz w:val="14"/>
              </w:rPr>
              <w:t>e-process merge использует общую нулевую модель</w:t>
            </w:r>
          </w:p>
        </w:tc>
        <w:tc>
          <w:tcPr>
            <w:tcW w:type="dxa" w:w="1440"/>
            <w:tcMar>
              <w:top w:w="90" w:type="dxa"/>
              <w:start w:w="100" w:type="dxa"/>
              <w:bottom w:w="90" w:type="dxa"/>
              <w:end w:w="100" w:type="dxa"/>
            </w:tcMar>
            <w:vAlign w:val="center"/>
          </w:tcPr>
          <w:p>
            <w:pPr>
              <w:spacing w:after="0"/>
            </w:pPr>
            <w:r>
              <w:rPr>
                <w:rFonts w:ascii="Aptos" w:hAnsi="Aptos" w:eastAsia="Aptos"/>
                <w:sz w:val="14"/>
              </w:rPr>
              <w:t>COND</w:t>
            </w:r>
          </w:p>
        </w:tc>
        <w:tc>
          <w:tcPr>
            <w:tcW w:type="dxa" w:w="2016"/>
            <w:tcMar>
              <w:top w:w="90" w:type="dxa"/>
              <w:start w:w="100" w:type="dxa"/>
              <w:bottom w:w="90" w:type="dxa"/>
              <w:end w:w="100" w:type="dxa"/>
            </w:tcMar>
            <w:vAlign w:val="center"/>
          </w:tcPr>
          <w:p>
            <w:pPr>
              <w:spacing w:after="0"/>
            </w:pPr>
            <w:r>
              <w:rPr>
                <w:rFonts w:ascii="Aptos" w:hAnsi="Aptos" w:eastAsia="Aptos"/>
                <w:sz w:val="14"/>
              </w:rPr>
              <w:t>filtration audit</w:t>
            </w:r>
          </w:p>
        </w:tc>
      </w:tr>
      <w:tr>
        <w:tc>
          <w:tcPr>
            <w:tcW w:type="dxa" w:w="1440"/>
            <w:tcMar>
              <w:top w:w="90" w:type="dxa"/>
              <w:start w:w="100" w:type="dxa"/>
              <w:bottom w:w="90" w:type="dxa"/>
              <w:end w:w="100" w:type="dxa"/>
            </w:tcMar>
            <w:vAlign w:val="center"/>
            <w:shd w:fill="F5F7F9"/>
          </w:tcPr>
          <w:p>
            <w:pPr>
              <w:spacing w:after="0"/>
            </w:pPr>
            <w:r>
              <w:rPr>
                <w:rFonts w:ascii="Aptos" w:hAnsi="Aptos" w:eastAsia="Aptos"/>
                <w:sz w:val="14"/>
              </w:rPr>
              <w:t>T2-PO-438</w:t>
            </w:r>
          </w:p>
        </w:tc>
        <w:tc>
          <w:tcPr>
            <w:tcW w:type="dxa" w:w="5040"/>
            <w:tcMar>
              <w:top w:w="90" w:type="dxa"/>
              <w:start w:w="100" w:type="dxa"/>
              <w:bottom w:w="90" w:type="dxa"/>
              <w:end w:w="100" w:type="dxa"/>
            </w:tcMar>
            <w:vAlign w:val="center"/>
            <w:shd w:fill="F5F7F9"/>
          </w:tcPr>
          <w:p>
            <w:pPr>
              <w:spacing w:after="0"/>
            </w:pPr>
            <w:r>
              <w:rPr>
                <w:rFonts w:ascii="Aptos" w:hAnsi="Aptos" w:eastAsia="Aptos"/>
                <w:sz w:val="14"/>
              </w:rPr>
              <w:t>Robust set pushforward корректен</w:t>
            </w:r>
          </w:p>
        </w:tc>
        <w:tc>
          <w:tcPr>
            <w:tcW w:type="dxa" w:w="1440"/>
            <w:tcMar>
              <w:top w:w="90" w:type="dxa"/>
              <w:start w:w="100" w:type="dxa"/>
              <w:bottom w:w="90" w:type="dxa"/>
              <w:end w:w="100" w:type="dxa"/>
            </w:tcMar>
            <w:vAlign w:val="center"/>
            <w:shd w:fill="F5F7F9"/>
          </w:tcPr>
          <w:p>
            <w:pPr>
              <w:spacing w:after="0"/>
            </w:pPr>
            <w:r>
              <w:rPr>
                <w:rFonts w:ascii="Aptos" w:hAnsi="Aptos" w:eastAsia="Aptos"/>
                <w:sz w:val="14"/>
              </w:rPr>
              <w:t>COND</w:t>
            </w:r>
          </w:p>
        </w:tc>
        <w:tc>
          <w:tcPr>
            <w:tcW w:type="dxa" w:w="2016"/>
            <w:tcMar>
              <w:top w:w="90" w:type="dxa"/>
              <w:start w:w="100" w:type="dxa"/>
              <w:bottom w:w="90" w:type="dxa"/>
              <w:end w:w="100" w:type="dxa"/>
            </w:tcMar>
            <w:vAlign w:val="center"/>
            <w:shd w:fill="F5F7F9"/>
          </w:tcPr>
          <w:p>
            <w:pPr>
              <w:spacing w:after="0"/>
            </w:pPr>
            <w:r>
              <w:rPr>
                <w:rFonts w:ascii="Aptos" w:hAnsi="Aptos" w:eastAsia="Aptos"/>
                <w:sz w:val="14"/>
              </w:rPr>
              <w:t>metric-specific proof</w:t>
            </w:r>
          </w:p>
        </w:tc>
      </w:tr>
      <w:tr>
        <w:tc>
          <w:tcPr>
            <w:tcW w:type="dxa" w:w="1440"/>
            <w:tcMar>
              <w:top w:w="90" w:type="dxa"/>
              <w:start w:w="100" w:type="dxa"/>
              <w:bottom w:w="90" w:type="dxa"/>
              <w:end w:w="100" w:type="dxa"/>
            </w:tcMar>
            <w:vAlign w:val="center"/>
          </w:tcPr>
          <w:p>
            <w:pPr>
              <w:spacing w:after="0"/>
            </w:pPr>
            <w:r>
              <w:rPr>
                <w:rFonts w:ascii="Aptos" w:hAnsi="Aptos" w:eastAsia="Aptos"/>
                <w:sz w:val="14"/>
              </w:rPr>
              <w:t>T2-PO-439</w:t>
            </w:r>
          </w:p>
        </w:tc>
        <w:tc>
          <w:tcPr>
            <w:tcW w:type="dxa" w:w="5040"/>
            <w:tcMar>
              <w:top w:w="90" w:type="dxa"/>
              <w:start w:w="100" w:type="dxa"/>
              <w:bottom w:w="90" w:type="dxa"/>
              <w:end w:w="100" w:type="dxa"/>
            </w:tcMar>
            <w:vAlign w:val="center"/>
          </w:tcPr>
          <w:p>
            <w:pPr>
              <w:spacing w:after="0"/>
            </w:pPr>
            <w:r>
              <w:rPr>
                <w:rFonts w:ascii="Aptos" w:hAnsi="Aptos" w:eastAsia="Aptos"/>
                <w:sz w:val="14"/>
              </w:rPr>
              <w:t>Shift radius имеет coverage status</w:t>
            </w:r>
          </w:p>
        </w:tc>
        <w:tc>
          <w:tcPr>
            <w:tcW w:type="dxa" w:w="1440"/>
            <w:tcMar>
              <w:top w:w="90" w:type="dxa"/>
              <w:start w:w="100" w:type="dxa"/>
              <w:bottom w:w="90" w:type="dxa"/>
              <w:end w:w="100" w:type="dxa"/>
            </w:tcMar>
            <w:vAlign w:val="center"/>
          </w:tcPr>
          <w:p>
            <w:pPr>
              <w:spacing w:after="0"/>
            </w:pPr>
            <w:r>
              <w:rPr>
                <w:rFonts w:ascii="Aptos" w:hAnsi="Aptos" w:eastAsia="Aptos"/>
                <w:sz w:val="14"/>
              </w:rPr>
              <w:t>OPEN</w:t>
            </w:r>
          </w:p>
        </w:tc>
        <w:tc>
          <w:tcPr>
            <w:tcW w:type="dxa" w:w="2016"/>
            <w:tcMar>
              <w:top w:w="90" w:type="dxa"/>
              <w:start w:w="100" w:type="dxa"/>
              <w:bottom w:w="90" w:type="dxa"/>
              <w:end w:w="100" w:type="dxa"/>
            </w:tcMar>
            <w:vAlign w:val="center"/>
          </w:tcPr>
          <w:p>
            <w:pPr>
              <w:spacing w:after="0"/>
            </w:pPr>
            <w:r>
              <w:rPr>
                <w:rFonts w:ascii="Aptos" w:hAnsi="Aptos" w:eastAsia="Aptos"/>
                <w:sz w:val="14"/>
              </w:rPr>
              <w:t>external calibration</w:t>
            </w:r>
          </w:p>
        </w:tc>
      </w:tr>
      <w:tr>
        <w:tc>
          <w:tcPr>
            <w:tcW w:type="dxa" w:w="1440"/>
            <w:tcMar>
              <w:top w:w="90" w:type="dxa"/>
              <w:start w:w="100" w:type="dxa"/>
              <w:bottom w:w="90" w:type="dxa"/>
              <w:end w:w="100" w:type="dxa"/>
            </w:tcMar>
            <w:vAlign w:val="center"/>
            <w:shd w:fill="F5F7F9"/>
          </w:tcPr>
          <w:p>
            <w:pPr>
              <w:spacing w:after="0"/>
            </w:pPr>
            <w:r>
              <w:rPr>
                <w:rFonts w:ascii="Aptos" w:hAnsi="Aptos" w:eastAsia="Aptos"/>
                <w:sz w:val="14"/>
              </w:rPr>
              <w:t>T2-PO-440</w:t>
            </w:r>
          </w:p>
        </w:tc>
        <w:tc>
          <w:tcPr>
            <w:tcW w:type="dxa" w:w="5040"/>
            <w:tcMar>
              <w:top w:w="90" w:type="dxa"/>
              <w:start w:w="100" w:type="dxa"/>
              <w:bottom w:w="90" w:type="dxa"/>
              <w:end w:w="100" w:type="dxa"/>
            </w:tcMar>
            <w:vAlign w:val="center"/>
            <w:shd w:fill="F5F7F9"/>
          </w:tcPr>
          <w:p>
            <w:pPr>
              <w:spacing w:after="0"/>
            </w:pPr>
            <w:r>
              <w:rPr>
                <w:rFonts w:ascii="Aptos" w:hAnsi="Aptos" w:eastAsia="Aptos"/>
                <w:sz w:val="14"/>
              </w:rPr>
              <w:t>Status lattice и meet machine-readable</w:t>
            </w:r>
          </w:p>
        </w:tc>
        <w:tc>
          <w:tcPr>
            <w:tcW w:type="dxa" w:w="1440"/>
            <w:tcMar>
              <w:top w:w="90" w:type="dxa"/>
              <w:start w:w="100" w:type="dxa"/>
              <w:bottom w:w="90" w:type="dxa"/>
              <w:end w:w="100" w:type="dxa"/>
            </w:tcMar>
            <w:vAlign w:val="center"/>
            <w:shd w:fill="F5F7F9"/>
          </w:tcPr>
          <w:p>
            <w:pPr>
              <w:spacing w:after="0"/>
            </w:pPr>
            <w:r>
              <w:rPr>
                <w:rFonts w:ascii="Aptos" w:hAnsi="Aptos" w:eastAsia="Aptos"/>
                <w:sz w:val="14"/>
              </w:rPr>
              <w:t>COMP</w:t>
            </w:r>
          </w:p>
        </w:tc>
        <w:tc>
          <w:tcPr>
            <w:tcW w:type="dxa" w:w="2016"/>
            <w:tcMar>
              <w:top w:w="90" w:type="dxa"/>
              <w:start w:w="100" w:type="dxa"/>
              <w:bottom w:w="90" w:type="dxa"/>
              <w:end w:w="100" w:type="dxa"/>
            </w:tcMar>
            <w:vAlign w:val="center"/>
            <w:shd w:fill="F5F7F9"/>
          </w:tcPr>
          <w:p>
            <w:pPr>
              <w:spacing w:after="0"/>
            </w:pPr>
            <w:r>
              <w:rPr>
                <w:rFonts w:ascii="Aptos" w:hAnsi="Aptos" w:eastAsia="Aptos"/>
                <w:sz w:val="14"/>
              </w:rPr>
              <w:t>schema + tests</w:t>
            </w:r>
          </w:p>
        </w:tc>
      </w:tr>
      <w:tr>
        <w:tc>
          <w:tcPr>
            <w:tcW w:type="dxa" w:w="1440"/>
            <w:tcMar>
              <w:top w:w="90" w:type="dxa"/>
              <w:start w:w="100" w:type="dxa"/>
              <w:bottom w:w="90" w:type="dxa"/>
              <w:end w:w="100" w:type="dxa"/>
            </w:tcMar>
            <w:vAlign w:val="center"/>
          </w:tcPr>
          <w:p>
            <w:pPr>
              <w:spacing w:after="0"/>
            </w:pPr>
            <w:r>
              <w:rPr>
                <w:rFonts w:ascii="Aptos" w:hAnsi="Aptos" w:eastAsia="Aptos"/>
                <w:sz w:val="14"/>
              </w:rPr>
              <w:t>T2-PO-441</w:t>
            </w:r>
          </w:p>
        </w:tc>
        <w:tc>
          <w:tcPr>
            <w:tcW w:type="dxa" w:w="5040"/>
            <w:tcMar>
              <w:top w:w="90" w:type="dxa"/>
              <w:start w:w="100" w:type="dxa"/>
              <w:bottom w:w="90" w:type="dxa"/>
              <w:end w:w="100" w:type="dxa"/>
            </w:tcMar>
            <w:vAlign w:val="center"/>
          </w:tcPr>
          <w:p>
            <w:pPr>
              <w:spacing w:after="0"/>
            </w:pPr>
            <w:r>
              <w:rPr>
                <w:rFonts w:ascii="Aptos" w:hAnsi="Aptos" w:eastAsia="Aptos"/>
                <w:sz w:val="14"/>
              </w:rPr>
              <w:t>PHY-HYP отделён от mathematical status</w:t>
            </w:r>
          </w:p>
        </w:tc>
        <w:tc>
          <w:tcPr>
            <w:tcW w:type="dxa" w:w="1440"/>
            <w:tcMar>
              <w:top w:w="90" w:type="dxa"/>
              <w:start w:w="100" w:type="dxa"/>
              <w:bottom w:w="90" w:type="dxa"/>
              <w:end w:w="100" w:type="dxa"/>
            </w:tcMar>
            <w:vAlign w:val="center"/>
          </w:tcPr>
          <w:p>
            <w:pPr>
              <w:spacing w:after="0"/>
            </w:pPr>
            <w:r>
              <w:rPr>
                <w:rFonts w:ascii="Aptos" w:hAnsi="Aptos" w:eastAsia="Aptos"/>
                <w:sz w:val="14"/>
              </w:rPr>
              <w:t>COMP</w:t>
            </w:r>
          </w:p>
        </w:tc>
        <w:tc>
          <w:tcPr>
            <w:tcW w:type="dxa" w:w="2016"/>
            <w:tcMar>
              <w:top w:w="90" w:type="dxa"/>
              <w:start w:w="100" w:type="dxa"/>
              <w:bottom w:w="90" w:type="dxa"/>
              <w:end w:w="100" w:type="dxa"/>
            </w:tcMar>
            <w:vAlign w:val="center"/>
          </w:tcPr>
          <w:p>
            <w:pPr>
              <w:spacing w:after="0"/>
            </w:pPr>
            <w:r>
              <w:rPr>
                <w:rFonts w:ascii="Aptos" w:hAnsi="Aptos" w:eastAsia="Aptos"/>
                <w:sz w:val="14"/>
              </w:rPr>
              <w:t>release policy tests</w:t>
            </w:r>
          </w:p>
        </w:tc>
      </w:tr>
      <w:tr>
        <w:tc>
          <w:tcPr>
            <w:tcW w:type="dxa" w:w="1440"/>
            <w:tcMar>
              <w:top w:w="90" w:type="dxa"/>
              <w:start w:w="100" w:type="dxa"/>
              <w:bottom w:w="90" w:type="dxa"/>
              <w:end w:w="100" w:type="dxa"/>
            </w:tcMar>
            <w:vAlign w:val="center"/>
            <w:shd w:fill="F5F7F9"/>
          </w:tcPr>
          <w:p>
            <w:pPr>
              <w:spacing w:after="0"/>
            </w:pPr>
            <w:r>
              <w:rPr>
                <w:rFonts w:ascii="Aptos" w:hAnsi="Aptos" w:eastAsia="Aptos"/>
                <w:sz w:val="14"/>
              </w:rPr>
              <w:t>T2-PO-442</w:t>
            </w:r>
          </w:p>
        </w:tc>
        <w:tc>
          <w:tcPr>
            <w:tcW w:type="dxa" w:w="5040"/>
            <w:tcMar>
              <w:top w:w="90" w:type="dxa"/>
              <w:start w:w="100" w:type="dxa"/>
              <w:bottom w:w="90" w:type="dxa"/>
              <w:end w:w="100" w:type="dxa"/>
            </w:tcMar>
            <w:vAlign w:val="center"/>
            <w:shd w:fill="F5F7F9"/>
          </w:tcPr>
          <w:p>
            <w:pPr>
              <w:spacing w:after="0"/>
            </w:pPr>
            <w:r>
              <w:rPr>
                <w:rFonts w:ascii="Aptos" w:hAnsi="Aptos" w:eastAsia="Aptos"/>
                <w:sz w:val="14"/>
              </w:rPr>
              <w:t>Ingest различает копии и версии</w:t>
            </w:r>
          </w:p>
        </w:tc>
        <w:tc>
          <w:tcPr>
            <w:tcW w:type="dxa" w:w="1440"/>
            <w:tcMar>
              <w:top w:w="90" w:type="dxa"/>
              <w:start w:w="100" w:type="dxa"/>
              <w:bottom w:w="90" w:type="dxa"/>
              <w:end w:w="100" w:type="dxa"/>
            </w:tcMar>
            <w:vAlign w:val="center"/>
            <w:shd w:fill="F5F7F9"/>
          </w:tcPr>
          <w:p>
            <w:pPr>
              <w:spacing w:after="0"/>
            </w:pPr>
            <w:r>
              <w:rPr>
                <w:rFonts w:ascii="Aptos" w:hAnsi="Aptos" w:eastAsia="Aptos"/>
                <w:sz w:val="14"/>
              </w:rPr>
              <w:t>COMP</w:t>
            </w:r>
          </w:p>
        </w:tc>
        <w:tc>
          <w:tcPr>
            <w:tcW w:type="dxa" w:w="2016"/>
            <w:tcMar>
              <w:top w:w="90" w:type="dxa"/>
              <w:start w:w="100" w:type="dxa"/>
              <w:bottom w:w="90" w:type="dxa"/>
              <w:end w:w="100" w:type="dxa"/>
            </w:tcMar>
            <w:vAlign w:val="center"/>
            <w:shd w:fill="F5F7F9"/>
          </w:tcPr>
          <w:p>
            <w:pPr>
              <w:spacing w:after="0"/>
            </w:pPr>
            <w:r>
              <w:rPr>
                <w:rFonts w:ascii="Aptos" w:hAnsi="Aptos" w:eastAsia="Aptos"/>
                <w:sz w:val="14"/>
              </w:rPr>
              <w:t>hash/content tests</w:t>
            </w:r>
          </w:p>
        </w:tc>
      </w:tr>
      <w:tr>
        <w:tc>
          <w:tcPr>
            <w:tcW w:type="dxa" w:w="1440"/>
            <w:tcMar>
              <w:top w:w="90" w:type="dxa"/>
              <w:start w:w="100" w:type="dxa"/>
              <w:bottom w:w="90" w:type="dxa"/>
              <w:end w:w="100" w:type="dxa"/>
            </w:tcMar>
            <w:vAlign w:val="center"/>
          </w:tcPr>
          <w:p>
            <w:pPr>
              <w:spacing w:after="0"/>
            </w:pPr>
            <w:r>
              <w:rPr>
                <w:rFonts w:ascii="Aptos" w:hAnsi="Aptos" w:eastAsia="Aptos"/>
                <w:sz w:val="14"/>
              </w:rPr>
              <w:t>T2-PO-443</w:t>
            </w:r>
          </w:p>
        </w:tc>
        <w:tc>
          <w:tcPr>
            <w:tcW w:type="dxa" w:w="5040"/>
            <w:tcMar>
              <w:top w:w="90" w:type="dxa"/>
              <w:start w:w="100" w:type="dxa"/>
              <w:bottom w:w="90" w:type="dxa"/>
              <w:end w:w="100" w:type="dxa"/>
            </w:tcMar>
            <w:vAlign w:val="center"/>
          </w:tcPr>
          <w:p>
            <w:pPr>
              <w:spacing w:after="0"/>
            </w:pPr>
            <w:r>
              <w:rPr>
                <w:rFonts w:ascii="Aptos" w:hAnsi="Aptos" w:eastAsia="Aptos"/>
                <w:sz w:val="14"/>
              </w:rPr>
              <w:t>D/Dom blockers не скаляризуются</w:t>
            </w:r>
          </w:p>
        </w:tc>
        <w:tc>
          <w:tcPr>
            <w:tcW w:type="dxa" w:w="1440"/>
            <w:tcMar>
              <w:top w:w="90" w:type="dxa"/>
              <w:start w:w="100" w:type="dxa"/>
              <w:bottom w:w="90" w:type="dxa"/>
              <w:end w:w="100" w:type="dxa"/>
            </w:tcMar>
            <w:vAlign w:val="center"/>
          </w:tcPr>
          <w:p>
            <w:pPr>
              <w:spacing w:after="0"/>
            </w:pPr>
            <w:r>
              <w:rPr>
                <w:rFonts w:ascii="Aptos" w:hAnsi="Aptos" w:eastAsia="Aptos"/>
                <w:sz w:val="14"/>
              </w:rPr>
              <w:t>COMP</w:t>
            </w:r>
          </w:p>
        </w:tc>
        <w:tc>
          <w:tcPr>
            <w:tcW w:type="dxa" w:w="2016"/>
            <w:tcMar>
              <w:top w:w="90" w:type="dxa"/>
              <w:start w:w="100" w:type="dxa"/>
              <w:bottom w:w="90" w:type="dxa"/>
              <w:end w:w="100" w:type="dxa"/>
            </w:tcMar>
            <w:vAlign w:val="center"/>
          </w:tcPr>
          <w:p>
            <w:pPr>
              <w:spacing w:after="0"/>
            </w:pPr>
            <w:r>
              <w:rPr>
                <w:rFonts w:ascii="Aptos" w:hAnsi="Aptos" w:eastAsia="Aptos"/>
                <w:sz w:val="14"/>
              </w:rPr>
              <w:t>negative tests</w:t>
            </w:r>
          </w:p>
        </w:tc>
      </w:tr>
      <w:tr>
        <w:tc>
          <w:tcPr>
            <w:tcW w:type="dxa" w:w="1440"/>
            <w:tcMar>
              <w:top w:w="90" w:type="dxa"/>
              <w:start w:w="100" w:type="dxa"/>
              <w:bottom w:w="90" w:type="dxa"/>
              <w:end w:w="100" w:type="dxa"/>
            </w:tcMar>
            <w:vAlign w:val="center"/>
            <w:shd w:fill="F5F7F9"/>
          </w:tcPr>
          <w:p>
            <w:pPr>
              <w:spacing w:after="0"/>
            </w:pPr>
            <w:r>
              <w:rPr>
                <w:rFonts w:ascii="Aptos" w:hAnsi="Aptos" w:eastAsia="Aptos"/>
                <w:sz w:val="14"/>
              </w:rPr>
              <w:t>T2-PO-444</w:t>
            </w:r>
          </w:p>
        </w:tc>
        <w:tc>
          <w:tcPr>
            <w:tcW w:type="dxa" w:w="5040"/>
            <w:tcMar>
              <w:top w:w="90" w:type="dxa"/>
              <w:start w:w="100" w:type="dxa"/>
              <w:bottom w:w="90" w:type="dxa"/>
              <w:end w:w="100" w:type="dxa"/>
            </w:tcMar>
            <w:vAlign w:val="center"/>
            <w:shd w:fill="F5F7F9"/>
          </w:tcPr>
          <w:p>
            <w:pPr>
              <w:spacing w:after="0"/>
            </w:pPr>
            <w:r>
              <w:rPr>
                <w:rFonts w:ascii="Aptos" w:hAnsi="Aptos" w:eastAsia="Aptos"/>
                <w:sz w:val="14"/>
              </w:rPr>
              <w:t>NAPG module exports complete invariants</w:t>
            </w:r>
          </w:p>
        </w:tc>
        <w:tc>
          <w:tcPr>
            <w:tcW w:type="dxa" w:w="1440"/>
            <w:tcMar>
              <w:top w:w="90" w:type="dxa"/>
              <w:start w:w="100" w:type="dxa"/>
              <w:bottom w:w="90" w:type="dxa"/>
              <w:end w:w="100" w:type="dxa"/>
            </w:tcMar>
            <w:vAlign w:val="center"/>
            <w:shd w:fill="F5F7F9"/>
          </w:tcPr>
          <w:p>
            <w:pPr>
              <w:spacing w:after="0"/>
            </w:pPr>
            <w:r>
              <w:rPr>
                <w:rFonts w:ascii="Aptos" w:hAnsi="Aptos" w:eastAsia="Aptos"/>
                <w:sz w:val="14"/>
              </w:rPr>
              <w:t>OPEN</w:t>
            </w:r>
          </w:p>
        </w:tc>
        <w:tc>
          <w:tcPr>
            <w:tcW w:type="dxa" w:w="2016"/>
            <w:tcMar>
              <w:top w:w="90" w:type="dxa"/>
              <w:start w:w="100" w:type="dxa"/>
              <w:bottom w:w="90" w:type="dxa"/>
              <w:end w:w="100" w:type="dxa"/>
            </w:tcMar>
            <w:vAlign w:val="center"/>
            <w:shd w:fill="F5F7F9"/>
          </w:tcPr>
          <w:p>
            <w:pPr>
              <w:spacing w:after="0"/>
            </w:pPr>
            <w:r>
              <w:rPr>
                <w:rFonts w:ascii="Aptos" w:hAnsi="Aptos" w:eastAsia="Aptos"/>
                <w:sz w:val="14"/>
              </w:rPr>
              <w:t>canonical invariant set</w:t>
            </w:r>
          </w:p>
        </w:tc>
      </w:tr>
      <w:tr>
        <w:tc>
          <w:tcPr>
            <w:tcW w:type="dxa" w:w="1440"/>
            <w:tcMar>
              <w:top w:w="90" w:type="dxa"/>
              <w:start w:w="100" w:type="dxa"/>
              <w:bottom w:w="90" w:type="dxa"/>
              <w:end w:w="100" w:type="dxa"/>
            </w:tcMar>
            <w:vAlign w:val="center"/>
          </w:tcPr>
          <w:p>
            <w:pPr>
              <w:spacing w:after="0"/>
            </w:pPr>
            <w:r>
              <w:rPr>
                <w:rFonts w:ascii="Aptos" w:hAnsi="Aptos" w:eastAsia="Aptos"/>
                <w:sz w:val="14"/>
              </w:rPr>
              <w:t>T2-PO-445</w:t>
            </w:r>
          </w:p>
        </w:tc>
        <w:tc>
          <w:tcPr>
            <w:tcW w:type="dxa" w:w="5040"/>
            <w:tcMar>
              <w:top w:w="90" w:type="dxa"/>
              <w:start w:w="100" w:type="dxa"/>
              <w:bottom w:w="90" w:type="dxa"/>
              <w:end w:w="100" w:type="dxa"/>
            </w:tcMar>
            <w:vAlign w:val="center"/>
          </w:tcPr>
          <w:p>
            <w:pPr>
              <w:spacing w:after="0"/>
            </w:pPr>
            <w:r>
              <w:rPr>
                <w:rFonts w:ascii="Aptos" w:hAnsi="Aptos" w:eastAsia="Aptos"/>
                <w:sz w:val="14"/>
              </w:rPr>
              <w:t>Geometry module handles higher coherence</w:t>
            </w:r>
          </w:p>
        </w:tc>
        <w:tc>
          <w:tcPr>
            <w:tcW w:type="dxa" w:w="1440"/>
            <w:tcMar>
              <w:top w:w="90" w:type="dxa"/>
              <w:start w:w="100" w:type="dxa"/>
              <w:bottom w:w="90" w:type="dxa"/>
              <w:end w:w="100" w:type="dxa"/>
            </w:tcMar>
            <w:vAlign w:val="center"/>
          </w:tcPr>
          <w:p>
            <w:pPr>
              <w:spacing w:after="0"/>
            </w:pPr>
            <w:r>
              <w:rPr>
                <w:rFonts w:ascii="Aptos" w:hAnsi="Aptos" w:eastAsia="Aptos"/>
                <w:sz w:val="14"/>
              </w:rPr>
              <w:t>OPEN</w:t>
            </w:r>
          </w:p>
        </w:tc>
        <w:tc>
          <w:tcPr>
            <w:tcW w:type="dxa" w:w="2016"/>
            <w:tcMar>
              <w:top w:w="90" w:type="dxa"/>
              <w:start w:w="100" w:type="dxa"/>
              <w:bottom w:w="90" w:type="dxa"/>
              <w:end w:w="100" w:type="dxa"/>
            </w:tcMar>
            <w:vAlign w:val="center"/>
          </w:tcPr>
          <w:p>
            <w:pPr>
              <w:spacing w:after="0"/>
            </w:pPr>
            <w:r>
              <w:rPr>
                <w:rFonts w:ascii="Aptos" w:hAnsi="Aptos" w:eastAsia="Aptos"/>
                <w:sz w:val="14"/>
              </w:rPr>
              <w:t>2-categorical implementation</w:t>
            </w:r>
          </w:p>
        </w:tc>
      </w:tr>
      <w:tr>
        <w:tc>
          <w:tcPr>
            <w:tcW w:type="dxa" w:w="1440"/>
            <w:tcMar>
              <w:top w:w="90" w:type="dxa"/>
              <w:start w:w="100" w:type="dxa"/>
              <w:bottom w:w="90" w:type="dxa"/>
              <w:end w:w="100" w:type="dxa"/>
            </w:tcMar>
            <w:vAlign w:val="center"/>
            <w:shd w:fill="F5F7F9"/>
          </w:tcPr>
          <w:p>
            <w:pPr>
              <w:spacing w:after="0"/>
            </w:pPr>
            <w:r>
              <w:rPr>
                <w:rFonts w:ascii="Aptos" w:hAnsi="Aptos" w:eastAsia="Aptos"/>
                <w:sz w:val="14"/>
              </w:rPr>
              <w:t>T2-PO-446</w:t>
            </w:r>
          </w:p>
        </w:tc>
        <w:tc>
          <w:tcPr>
            <w:tcW w:type="dxa" w:w="5040"/>
            <w:tcMar>
              <w:top w:w="90" w:type="dxa"/>
              <w:start w:w="100" w:type="dxa"/>
              <w:bottom w:w="90" w:type="dxa"/>
              <w:end w:w="100" w:type="dxa"/>
            </w:tcMar>
            <w:vAlign w:val="center"/>
            <w:shd w:fill="F5F7F9"/>
          </w:tcPr>
          <w:p>
            <w:pPr>
              <w:spacing w:after="0"/>
            </w:pPr>
            <w:r>
              <w:rPr>
                <w:rFonts w:ascii="Aptos" w:hAnsi="Aptos" w:eastAsia="Aptos"/>
                <w:sz w:val="14"/>
              </w:rPr>
              <w:t>Obstruction quotient independent of representative</w:t>
            </w:r>
          </w:p>
        </w:tc>
        <w:tc>
          <w:tcPr>
            <w:tcW w:type="dxa" w:w="1440"/>
            <w:tcMar>
              <w:top w:w="90" w:type="dxa"/>
              <w:start w:w="100" w:type="dxa"/>
              <w:bottom w:w="90" w:type="dxa"/>
              <w:end w:w="100" w:type="dxa"/>
            </w:tcMar>
            <w:vAlign w:val="center"/>
            <w:shd w:fill="F5F7F9"/>
          </w:tcPr>
          <w:p>
            <w:pPr>
              <w:spacing w:after="0"/>
            </w:pPr>
            <w:r>
              <w:rPr>
                <w:rFonts w:ascii="Aptos" w:hAnsi="Aptos" w:eastAsia="Aptos"/>
                <w:sz w:val="14"/>
              </w:rPr>
              <w:t>COND</w:t>
            </w:r>
          </w:p>
        </w:tc>
        <w:tc>
          <w:tcPr>
            <w:tcW w:type="dxa" w:w="2016"/>
            <w:tcMar>
              <w:top w:w="90" w:type="dxa"/>
              <w:start w:w="100" w:type="dxa"/>
              <w:bottom w:w="90" w:type="dxa"/>
              <w:end w:w="100" w:type="dxa"/>
            </w:tcMar>
            <w:vAlign w:val="center"/>
            <w:shd w:fill="F5F7F9"/>
          </w:tcPr>
          <w:p>
            <w:pPr>
              <w:spacing w:after="0"/>
            </w:pPr>
            <w:r>
              <w:rPr>
                <w:rFonts w:ascii="Aptos" w:hAnsi="Aptos" w:eastAsia="Aptos"/>
                <w:sz w:val="14"/>
              </w:rPr>
              <w:t>general proof/finite tests</w:t>
            </w:r>
          </w:p>
        </w:tc>
      </w:tr>
      <w:tr>
        <w:tc>
          <w:tcPr>
            <w:tcW w:type="dxa" w:w="1440"/>
            <w:tcMar>
              <w:top w:w="90" w:type="dxa"/>
              <w:start w:w="100" w:type="dxa"/>
              <w:bottom w:w="90" w:type="dxa"/>
              <w:end w:w="100" w:type="dxa"/>
            </w:tcMar>
            <w:vAlign w:val="center"/>
          </w:tcPr>
          <w:p>
            <w:pPr>
              <w:spacing w:after="0"/>
            </w:pPr>
            <w:r>
              <w:rPr>
                <w:rFonts w:ascii="Aptos" w:hAnsi="Aptos" w:eastAsia="Aptos"/>
                <w:sz w:val="14"/>
              </w:rPr>
              <w:t>T2-PO-447</w:t>
            </w:r>
          </w:p>
        </w:tc>
        <w:tc>
          <w:tcPr>
            <w:tcW w:type="dxa" w:w="5040"/>
            <w:tcMar>
              <w:top w:w="90" w:type="dxa"/>
              <w:start w:w="100" w:type="dxa"/>
              <w:bottom w:w="90" w:type="dxa"/>
              <w:end w:w="100" w:type="dxa"/>
            </w:tcMar>
            <w:vAlign w:val="center"/>
          </w:tcPr>
          <w:p>
            <w:pPr>
              <w:spacing w:after="0"/>
            </w:pPr>
            <w:r>
              <w:rPr>
                <w:rFonts w:ascii="Aptos" w:hAnsi="Aptos" w:eastAsia="Aptos"/>
                <w:sz w:val="14"/>
              </w:rPr>
              <w:t>Π_E ledger enforces B1-B8</w:t>
            </w:r>
          </w:p>
        </w:tc>
        <w:tc>
          <w:tcPr>
            <w:tcW w:type="dxa" w:w="1440"/>
            <w:tcMar>
              <w:top w:w="90" w:type="dxa"/>
              <w:start w:w="100" w:type="dxa"/>
              <w:bottom w:w="90" w:type="dxa"/>
              <w:end w:w="100" w:type="dxa"/>
            </w:tcMar>
            <w:vAlign w:val="center"/>
          </w:tcPr>
          <w:p>
            <w:pPr>
              <w:spacing w:after="0"/>
            </w:pPr>
            <w:r>
              <w:rPr>
                <w:rFonts w:ascii="Aptos" w:hAnsi="Aptos" w:eastAsia="Aptos"/>
                <w:sz w:val="14"/>
              </w:rPr>
              <w:t>COMP</w:t>
            </w:r>
          </w:p>
        </w:tc>
        <w:tc>
          <w:tcPr>
            <w:tcW w:type="dxa" w:w="2016"/>
            <w:tcMar>
              <w:top w:w="90" w:type="dxa"/>
              <w:start w:w="100" w:type="dxa"/>
              <w:bottom w:w="90" w:type="dxa"/>
              <w:end w:w="100" w:type="dxa"/>
            </w:tcMar>
            <w:vAlign w:val="center"/>
          </w:tcPr>
          <w:p>
            <w:pPr>
              <w:spacing w:after="0"/>
            </w:pPr>
            <w:r>
              <w:rPr>
                <w:rFonts w:ascii="Aptos" w:hAnsi="Aptos" w:eastAsia="Aptos"/>
                <w:sz w:val="14"/>
              </w:rPr>
              <w:t>gate tests</w:t>
            </w:r>
          </w:p>
        </w:tc>
      </w:tr>
      <w:tr>
        <w:tc>
          <w:tcPr>
            <w:tcW w:type="dxa" w:w="1440"/>
            <w:tcMar>
              <w:top w:w="90" w:type="dxa"/>
              <w:start w:w="100" w:type="dxa"/>
              <w:bottom w:w="90" w:type="dxa"/>
              <w:end w:w="100" w:type="dxa"/>
            </w:tcMar>
            <w:vAlign w:val="center"/>
            <w:shd w:fill="F5F7F9"/>
          </w:tcPr>
          <w:p>
            <w:pPr>
              <w:spacing w:after="0"/>
            </w:pPr>
            <w:r>
              <w:rPr>
                <w:rFonts w:ascii="Aptos" w:hAnsi="Aptos" w:eastAsia="Aptos"/>
                <w:sz w:val="14"/>
              </w:rPr>
              <w:t>T2-PO-448</w:t>
            </w:r>
          </w:p>
        </w:tc>
        <w:tc>
          <w:tcPr>
            <w:tcW w:type="dxa" w:w="5040"/>
            <w:tcMar>
              <w:top w:w="90" w:type="dxa"/>
              <w:start w:w="100" w:type="dxa"/>
              <w:bottom w:w="90" w:type="dxa"/>
              <w:end w:w="100" w:type="dxa"/>
            </w:tcMar>
            <w:vAlign w:val="center"/>
            <w:shd w:fill="F5F7F9"/>
          </w:tcPr>
          <w:p>
            <w:pPr>
              <w:spacing w:after="0"/>
            </w:pPr>
            <w:r>
              <w:rPr>
                <w:rFonts w:ascii="Aptos" w:hAnsi="Aptos" w:eastAsia="Aptos"/>
                <w:sz w:val="14"/>
              </w:rPr>
              <w:t>Global descent certificate compositional</w:t>
            </w:r>
          </w:p>
        </w:tc>
        <w:tc>
          <w:tcPr>
            <w:tcW w:type="dxa" w:w="1440"/>
            <w:tcMar>
              <w:top w:w="90" w:type="dxa"/>
              <w:start w:w="100" w:type="dxa"/>
              <w:bottom w:w="90" w:type="dxa"/>
              <w:end w:w="100" w:type="dxa"/>
            </w:tcMar>
            <w:vAlign w:val="center"/>
            <w:shd w:fill="F5F7F9"/>
          </w:tcPr>
          <w:p>
            <w:pPr>
              <w:spacing w:after="0"/>
            </w:pPr>
            <w:r>
              <w:rPr>
                <w:rFonts w:ascii="Aptos" w:hAnsi="Aptos" w:eastAsia="Aptos"/>
                <w:sz w:val="14"/>
              </w:rPr>
              <w:t>COND</w:t>
            </w:r>
          </w:p>
        </w:tc>
        <w:tc>
          <w:tcPr>
            <w:tcW w:type="dxa" w:w="2016"/>
            <w:tcMar>
              <w:top w:w="90" w:type="dxa"/>
              <w:start w:w="100" w:type="dxa"/>
              <w:bottom w:w="90" w:type="dxa"/>
              <w:end w:w="100" w:type="dxa"/>
            </w:tcMar>
            <w:vAlign w:val="center"/>
            <w:shd w:fill="F5F7F9"/>
          </w:tcPr>
          <w:p>
            <w:pPr>
              <w:spacing w:after="0"/>
            </w:pPr>
            <w:r>
              <w:rPr>
                <w:rFonts w:ascii="Aptos" w:hAnsi="Aptos" w:eastAsia="Aptos"/>
                <w:sz w:val="14"/>
              </w:rPr>
              <w:t>Čech/stack proof</w:t>
            </w:r>
          </w:p>
        </w:tc>
      </w:tr>
      <w:tr>
        <w:tc>
          <w:tcPr>
            <w:tcW w:type="dxa" w:w="1440"/>
            <w:tcMar>
              <w:top w:w="90" w:type="dxa"/>
              <w:start w:w="100" w:type="dxa"/>
              <w:bottom w:w="90" w:type="dxa"/>
              <w:end w:w="100" w:type="dxa"/>
            </w:tcMar>
            <w:vAlign w:val="center"/>
          </w:tcPr>
          <w:p>
            <w:pPr>
              <w:spacing w:after="0"/>
            </w:pPr>
            <w:r>
              <w:rPr>
                <w:rFonts w:ascii="Aptos" w:hAnsi="Aptos" w:eastAsia="Aptos"/>
                <w:sz w:val="14"/>
              </w:rPr>
              <w:t>T2-PO-449</w:t>
            </w:r>
          </w:p>
        </w:tc>
        <w:tc>
          <w:tcPr>
            <w:tcW w:type="dxa" w:w="5040"/>
            <w:tcMar>
              <w:top w:w="90" w:type="dxa"/>
              <w:start w:w="100" w:type="dxa"/>
              <w:bottom w:w="90" w:type="dxa"/>
              <w:end w:w="100" w:type="dxa"/>
            </w:tcMar>
            <w:vAlign w:val="center"/>
          </w:tcPr>
          <w:p>
            <w:pPr>
              <w:spacing w:after="0"/>
            </w:pPr>
            <w:r>
              <w:rPr>
                <w:rFonts w:ascii="Aptos" w:hAnsi="Aptos" w:eastAsia="Aptos"/>
                <w:sz w:val="14"/>
              </w:rPr>
              <w:t>Kuranishi charts version-compatible</w:t>
            </w:r>
          </w:p>
        </w:tc>
        <w:tc>
          <w:tcPr>
            <w:tcW w:type="dxa" w:w="1440"/>
            <w:tcMar>
              <w:top w:w="90" w:type="dxa"/>
              <w:start w:w="100" w:type="dxa"/>
              <w:bottom w:w="90" w:type="dxa"/>
              <w:end w:w="100" w:type="dxa"/>
            </w:tcMar>
            <w:vAlign w:val="center"/>
          </w:tcPr>
          <w:p>
            <w:pPr>
              <w:spacing w:after="0"/>
            </w:pPr>
            <w:r>
              <w:rPr>
                <w:rFonts w:ascii="Aptos" w:hAnsi="Aptos" w:eastAsia="Aptos"/>
                <w:sz w:val="14"/>
              </w:rPr>
              <w:t>OPEN</w:t>
            </w:r>
          </w:p>
        </w:tc>
        <w:tc>
          <w:tcPr>
            <w:tcW w:type="dxa" w:w="2016"/>
            <w:tcMar>
              <w:top w:w="90" w:type="dxa"/>
              <w:start w:w="100" w:type="dxa"/>
              <w:bottom w:w="90" w:type="dxa"/>
              <w:end w:w="100" w:type="dxa"/>
            </w:tcMar>
            <w:vAlign w:val="center"/>
          </w:tcPr>
          <w:p>
            <w:pPr>
              <w:spacing w:after="0"/>
            </w:pPr>
            <w:r>
              <w:rPr>
                <w:rFonts w:ascii="Aptos" w:hAnsi="Aptos" w:eastAsia="Aptos"/>
                <w:sz w:val="14"/>
              </w:rPr>
              <w:t>coordinate-change validator</w:t>
            </w:r>
          </w:p>
        </w:tc>
      </w:tr>
      <w:tr>
        <w:tc>
          <w:tcPr>
            <w:tcW w:type="dxa" w:w="1440"/>
            <w:tcMar>
              <w:top w:w="90" w:type="dxa"/>
              <w:start w:w="100" w:type="dxa"/>
              <w:bottom w:w="90" w:type="dxa"/>
              <w:end w:w="100" w:type="dxa"/>
            </w:tcMar>
            <w:vAlign w:val="center"/>
            <w:shd w:fill="F5F7F9"/>
          </w:tcPr>
          <w:p>
            <w:pPr>
              <w:spacing w:after="0"/>
            </w:pPr>
            <w:r>
              <w:rPr>
                <w:rFonts w:ascii="Aptos" w:hAnsi="Aptos" w:eastAsia="Aptos"/>
                <w:sz w:val="14"/>
              </w:rPr>
              <w:t>T2-PO-450</w:t>
            </w:r>
          </w:p>
        </w:tc>
        <w:tc>
          <w:tcPr>
            <w:tcW w:type="dxa" w:w="5040"/>
            <w:tcMar>
              <w:top w:w="90" w:type="dxa"/>
              <w:start w:w="100" w:type="dxa"/>
              <w:bottom w:w="90" w:type="dxa"/>
              <w:end w:w="100" w:type="dxa"/>
            </w:tcMar>
            <w:vAlign w:val="center"/>
            <w:shd w:fill="F5F7F9"/>
          </w:tcPr>
          <w:p>
            <w:pPr>
              <w:spacing w:after="0"/>
            </w:pPr>
            <w:r>
              <w:rPr>
                <w:rFonts w:ascii="Aptos" w:hAnsi="Aptos" w:eastAsia="Aptos"/>
                <w:sz w:val="14"/>
              </w:rPr>
              <w:t>Virtual orientation data audited</w:t>
            </w:r>
          </w:p>
        </w:tc>
        <w:tc>
          <w:tcPr>
            <w:tcW w:type="dxa" w:w="1440"/>
            <w:tcMar>
              <w:top w:w="90" w:type="dxa"/>
              <w:start w:w="100" w:type="dxa"/>
              <w:bottom w:w="90" w:type="dxa"/>
              <w:end w:w="100" w:type="dxa"/>
            </w:tcMar>
            <w:vAlign w:val="center"/>
            <w:shd w:fill="F5F7F9"/>
          </w:tcPr>
          <w:p>
            <w:pPr>
              <w:spacing w:after="0"/>
            </w:pPr>
            <w:r>
              <w:rPr>
                <w:rFonts w:ascii="Aptos" w:hAnsi="Aptos" w:eastAsia="Aptos"/>
                <w:sz w:val="14"/>
              </w:rPr>
              <w:t>OPEN</w:t>
            </w:r>
          </w:p>
        </w:tc>
        <w:tc>
          <w:tcPr>
            <w:tcW w:type="dxa" w:w="2016"/>
            <w:tcMar>
              <w:top w:w="90" w:type="dxa"/>
              <w:start w:w="100" w:type="dxa"/>
              <w:bottom w:w="90" w:type="dxa"/>
              <w:end w:w="100" w:type="dxa"/>
            </w:tcMar>
            <w:vAlign w:val="center"/>
            <w:shd w:fill="F5F7F9"/>
          </w:tcPr>
          <w:p>
            <w:pPr>
              <w:spacing w:after="0"/>
            </w:pPr>
            <w:r>
              <w:rPr>
                <w:rFonts w:ascii="Aptos" w:hAnsi="Aptos" w:eastAsia="Aptos"/>
                <w:sz w:val="14"/>
              </w:rPr>
              <w:t>orientation package</w:t>
            </w:r>
          </w:p>
        </w:tc>
      </w:tr>
      <w:tr>
        <w:tc>
          <w:tcPr>
            <w:tcW w:type="dxa" w:w="1440"/>
            <w:tcMar>
              <w:top w:w="90" w:type="dxa"/>
              <w:start w:w="100" w:type="dxa"/>
              <w:bottom w:w="90" w:type="dxa"/>
              <w:end w:w="100" w:type="dxa"/>
            </w:tcMar>
            <w:vAlign w:val="center"/>
          </w:tcPr>
          <w:p>
            <w:pPr>
              <w:spacing w:after="0"/>
            </w:pPr>
            <w:r>
              <w:rPr>
                <w:rFonts w:ascii="Aptos" w:hAnsi="Aptos" w:eastAsia="Aptos"/>
                <w:sz w:val="14"/>
              </w:rPr>
              <w:t>T2-PO-451</w:t>
            </w:r>
          </w:p>
        </w:tc>
        <w:tc>
          <w:tcPr>
            <w:tcW w:type="dxa" w:w="5040"/>
            <w:tcMar>
              <w:top w:w="90" w:type="dxa"/>
              <w:start w:w="100" w:type="dxa"/>
              <w:bottom w:w="90" w:type="dxa"/>
              <w:end w:w="100" w:type="dxa"/>
            </w:tcMar>
            <w:vAlign w:val="center"/>
          </w:tcPr>
          <w:p>
            <w:pPr>
              <w:spacing w:after="0"/>
            </w:pPr>
            <w:r>
              <w:rPr>
                <w:rFonts w:ascii="Aptos" w:hAnsi="Aptos" w:eastAsia="Aptos"/>
                <w:sz w:val="14"/>
              </w:rPr>
              <w:t>Refined invariant never auto-cast to probability</w:t>
            </w:r>
          </w:p>
        </w:tc>
        <w:tc>
          <w:tcPr>
            <w:tcW w:type="dxa" w:w="1440"/>
            <w:tcMar>
              <w:top w:w="90" w:type="dxa"/>
              <w:start w:w="100" w:type="dxa"/>
              <w:bottom w:w="90" w:type="dxa"/>
              <w:end w:w="100" w:type="dxa"/>
            </w:tcMar>
            <w:vAlign w:val="center"/>
          </w:tcPr>
          <w:p>
            <w:pPr>
              <w:spacing w:after="0"/>
            </w:pPr>
            <w:r>
              <w:rPr>
                <w:rFonts w:ascii="Aptos" w:hAnsi="Aptos" w:eastAsia="Aptos"/>
                <w:sz w:val="14"/>
              </w:rPr>
              <w:t>COMP</w:t>
            </w:r>
          </w:p>
        </w:tc>
        <w:tc>
          <w:tcPr>
            <w:tcW w:type="dxa" w:w="2016"/>
            <w:tcMar>
              <w:top w:w="90" w:type="dxa"/>
              <w:start w:w="100" w:type="dxa"/>
              <w:bottom w:w="90" w:type="dxa"/>
              <w:end w:w="100" w:type="dxa"/>
            </w:tcMar>
            <w:vAlign w:val="center"/>
          </w:tcPr>
          <w:p>
            <w:pPr>
              <w:spacing w:after="0"/>
            </w:pPr>
            <w:r>
              <w:rPr>
                <w:rFonts w:ascii="Aptos" w:hAnsi="Aptos" w:eastAsia="Aptos"/>
                <w:sz w:val="14"/>
              </w:rPr>
              <w:t>type firewall</w:t>
            </w:r>
          </w:p>
        </w:tc>
      </w:tr>
      <w:tr>
        <w:tc>
          <w:tcPr>
            <w:tcW w:type="dxa" w:w="1440"/>
            <w:tcMar>
              <w:top w:w="90" w:type="dxa"/>
              <w:start w:w="100" w:type="dxa"/>
              <w:bottom w:w="90" w:type="dxa"/>
              <w:end w:w="100" w:type="dxa"/>
            </w:tcMar>
            <w:vAlign w:val="center"/>
            <w:shd w:fill="F5F7F9"/>
          </w:tcPr>
          <w:p>
            <w:pPr>
              <w:spacing w:after="0"/>
            </w:pPr>
            <w:r>
              <w:rPr>
                <w:rFonts w:ascii="Aptos" w:hAnsi="Aptos" w:eastAsia="Aptos"/>
                <w:sz w:val="14"/>
              </w:rPr>
              <w:t>T2-PO-452</w:t>
            </w:r>
          </w:p>
        </w:tc>
        <w:tc>
          <w:tcPr>
            <w:tcW w:type="dxa" w:w="5040"/>
            <w:tcMar>
              <w:top w:w="90" w:type="dxa"/>
              <w:start w:w="100" w:type="dxa"/>
              <w:bottom w:w="90" w:type="dxa"/>
              <w:end w:w="100" w:type="dxa"/>
            </w:tcMar>
            <w:vAlign w:val="center"/>
            <w:shd w:fill="F5F7F9"/>
          </w:tcPr>
          <w:p>
            <w:pPr>
              <w:spacing w:after="0"/>
            </w:pPr>
            <w:r>
              <w:rPr>
                <w:rFonts w:ascii="Aptos" w:hAnsi="Aptos" w:eastAsia="Aptos"/>
                <w:sz w:val="14"/>
              </w:rPr>
              <w:t>Evolution module proves existence domain</w:t>
            </w:r>
          </w:p>
        </w:tc>
        <w:tc>
          <w:tcPr>
            <w:tcW w:type="dxa" w:w="1440"/>
            <w:tcMar>
              <w:top w:w="90" w:type="dxa"/>
              <w:start w:w="100" w:type="dxa"/>
              <w:bottom w:w="90" w:type="dxa"/>
              <w:end w:w="100" w:type="dxa"/>
            </w:tcMar>
            <w:vAlign w:val="center"/>
            <w:shd w:fill="F5F7F9"/>
          </w:tcPr>
          <w:p>
            <w:pPr>
              <w:spacing w:after="0"/>
            </w:pPr>
            <w:r>
              <w:rPr>
                <w:rFonts w:ascii="Aptos" w:hAnsi="Aptos" w:eastAsia="Aptos"/>
                <w:sz w:val="14"/>
              </w:rPr>
              <w:t>COND</w:t>
            </w:r>
          </w:p>
        </w:tc>
        <w:tc>
          <w:tcPr>
            <w:tcW w:type="dxa" w:w="2016"/>
            <w:tcMar>
              <w:top w:w="90" w:type="dxa"/>
              <w:start w:w="100" w:type="dxa"/>
              <w:bottom w:w="90" w:type="dxa"/>
              <w:end w:w="100" w:type="dxa"/>
            </w:tcMar>
            <w:vAlign w:val="center"/>
            <w:shd w:fill="F5F7F9"/>
          </w:tcPr>
          <w:p>
            <w:pPr>
              <w:spacing w:after="0"/>
            </w:pPr>
            <w:r>
              <w:rPr>
                <w:rFonts w:ascii="Aptos" w:hAnsi="Aptos" w:eastAsia="Aptos"/>
                <w:sz w:val="14"/>
              </w:rPr>
              <w:t>generator-specific proof</w:t>
            </w:r>
          </w:p>
        </w:tc>
      </w:tr>
      <w:tr>
        <w:tc>
          <w:tcPr>
            <w:tcW w:type="dxa" w:w="1440"/>
            <w:tcMar>
              <w:top w:w="90" w:type="dxa"/>
              <w:start w:w="100" w:type="dxa"/>
              <w:bottom w:w="90" w:type="dxa"/>
              <w:end w:w="100" w:type="dxa"/>
            </w:tcMar>
            <w:vAlign w:val="center"/>
          </w:tcPr>
          <w:p>
            <w:pPr>
              <w:spacing w:after="0"/>
            </w:pPr>
            <w:r>
              <w:rPr>
                <w:rFonts w:ascii="Aptos" w:hAnsi="Aptos" w:eastAsia="Aptos"/>
                <w:sz w:val="14"/>
              </w:rPr>
              <w:t>T2-PO-453</w:t>
            </w:r>
          </w:p>
        </w:tc>
        <w:tc>
          <w:tcPr>
            <w:tcW w:type="dxa" w:w="5040"/>
            <w:tcMar>
              <w:top w:w="90" w:type="dxa"/>
              <w:start w:w="100" w:type="dxa"/>
              <w:bottom w:w="90" w:type="dxa"/>
              <w:end w:w="100" w:type="dxa"/>
            </w:tcMar>
            <w:vAlign w:val="center"/>
          </w:tcPr>
          <w:p>
            <w:pPr>
              <w:spacing w:after="0"/>
            </w:pPr>
            <w:r>
              <w:rPr>
                <w:rFonts w:ascii="Aptos" w:hAnsi="Aptos" w:eastAsia="Aptos"/>
                <w:sz w:val="14"/>
              </w:rPr>
              <w:t>Path laws preserve nonanticipation</w:t>
            </w:r>
          </w:p>
        </w:tc>
        <w:tc>
          <w:tcPr>
            <w:tcW w:type="dxa" w:w="1440"/>
            <w:tcMar>
              <w:top w:w="90" w:type="dxa"/>
              <w:start w:w="100" w:type="dxa"/>
              <w:bottom w:w="90" w:type="dxa"/>
              <w:end w:w="100" w:type="dxa"/>
            </w:tcMar>
            <w:vAlign w:val="center"/>
          </w:tcPr>
          <w:p>
            <w:pPr>
              <w:spacing w:after="0"/>
            </w:pPr>
            <w:r>
              <w:rPr>
                <w:rFonts w:ascii="Aptos" w:hAnsi="Aptos" w:eastAsia="Aptos"/>
                <w:sz w:val="14"/>
              </w:rPr>
              <w:t>COND</w:t>
            </w:r>
          </w:p>
        </w:tc>
        <w:tc>
          <w:tcPr>
            <w:tcW w:type="dxa" w:w="2016"/>
            <w:tcMar>
              <w:top w:w="90" w:type="dxa"/>
              <w:start w:w="100" w:type="dxa"/>
              <w:bottom w:w="90" w:type="dxa"/>
              <w:end w:w="100" w:type="dxa"/>
            </w:tcMar>
            <w:vAlign w:val="center"/>
          </w:tcPr>
          <w:p>
            <w:pPr>
              <w:spacing w:after="0"/>
            </w:pPr>
            <w:r>
              <w:rPr>
                <w:rFonts w:ascii="Aptos" w:hAnsi="Aptos" w:eastAsia="Aptos"/>
                <w:sz w:val="14"/>
              </w:rPr>
              <w:t>filtration tests</w:t>
            </w:r>
          </w:p>
        </w:tc>
      </w:tr>
      <w:tr>
        <w:tc>
          <w:tcPr>
            <w:tcW w:type="dxa" w:w="1440"/>
            <w:tcMar>
              <w:top w:w="90" w:type="dxa"/>
              <w:start w:w="100" w:type="dxa"/>
              <w:bottom w:w="90" w:type="dxa"/>
              <w:end w:w="100" w:type="dxa"/>
            </w:tcMar>
            <w:vAlign w:val="center"/>
            <w:shd w:fill="F5F7F9"/>
          </w:tcPr>
          <w:p>
            <w:pPr>
              <w:spacing w:after="0"/>
            </w:pPr>
            <w:r>
              <w:rPr>
                <w:rFonts w:ascii="Aptos" w:hAnsi="Aptos" w:eastAsia="Aptos"/>
                <w:sz w:val="14"/>
              </w:rPr>
              <w:t>T2-PO-454</w:t>
            </w:r>
          </w:p>
        </w:tc>
        <w:tc>
          <w:tcPr>
            <w:tcW w:type="dxa" w:w="5040"/>
            <w:tcMar>
              <w:top w:w="90" w:type="dxa"/>
              <w:start w:w="100" w:type="dxa"/>
              <w:bottom w:w="90" w:type="dxa"/>
              <w:end w:w="100" w:type="dxa"/>
            </w:tcMar>
            <w:vAlign w:val="center"/>
            <w:shd w:fill="F5F7F9"/>
          </w:tcPr>
          <w:p>
            <w:pPr>
              <w:spacing w:after="0"/>
            </w:pPr>
            <w:r>
              <w:rPr>
                <w:rFonts w:ascii="Aptos" w:hAnsi="Aptos" w:eastAsia="Aptos"/>
                <w:sz w:val="14"/>
              </w:rPr>
              <w:t>Martingale core/uniqueness status exported</w:t>
            </w:r>
          </w:p>
        </w:tc>
        <w:tc>
          <w:tcPr>
            <w:tcW w:type="dxa" w:w="1440"/>
            <w:tcMar>
              <w:top w:w="90" w:type="dxa"/>
              <w:start w:w="100" w:type="dxa"/>
              <w:bottom w:w="90" w:type="dxa"/>
              <w:end w:w="100" w:type="dxa"/>
            </w:tcMar>
            <w:vAlign w:val="center"/>
            <w:shd w:fill="F5F7F9"/>
          </w:tcPr>
          <w:p>
            <w:pPr>
              <w:spacing w:after="0"/>
            </w:pPr>
            <w:r>
              <w:rPr>
                <w:rFonts w:ascii="Aptos" w:hAnsi="Aptos" w:eastAsia="Aptos"/>
                <w:sz w:val="14"/>
              </w:rPr>
              <w:t>OPEN</w:t>
            </w:r>
          </w:p>
        </w:tc>
        <w:tc>
          <w:tcPr>
            <w:tcW w:type="dxa" w:w="2016"/>
            <w:tcMar>
              <w:top w:w="90" w:type="dxa"/>
              <w:start w:w="100" w:type="dxa"/>
              <w:bottom w:w="90" w:type="dxa"/>
              <w:end w:w="100" w:type="dxa"/>
            </w:tcMar>
            <w:vAlign w:val="center"/>
            <w:shd w:fill="F5F7F9"/>
          </w:tcPr>
          <w:p>
            <w:pPr>
              <w:spacing w:after="0"/>
            </w:pPr>
            <w:r>
              <w:rPr>
                <w:rFonts w:ascii="Aptos" w:hAnsi="Aptos" w:eastAsia="Aptos"/>
                <w:sz w:val="14"/>
              </w:rPr>
              <w:t>solver/theorem integration</w:t>
            </w:r>
          </w:p>
        </w:tc>
      </w:tr>
      <w:tr>
        <w:tc>
          <w:tcPr>
            <w:tcW w:type="dxa" w:w="1440"/>
            <w:tcMar>
              <w:top w:w="90" w:type="dxa"/>
              <w:start w:w="100" w:type="dxa"/>
              <w:bottom w:w="90" w:type="dxa"/>
              <w:end w:w="100" w:type="dxa"/>
            </w:tcMar>
            <w:vAlign w:val="center"/>
          </w:tcPr>
          <w:p>
            <w:pPr>
              <w:spacing w:after="0"/>
            </w:pPr>
            <w:r>
              <w:rPr>
                <w:rFonts w:ascii="Aptos" w:hAnsi="Aptos" w:eastAsia="Aptos"/>
                <w:sz w:val="14"/>
              </w:rPr>
              <w:t>T2-PO-455</w:t>
            </w:r>
          </w:p>
        </w:tc>
        <w:tc>
          <w:tcPr>
            <w:tcW w:type="dxa" w:w="5040"/>
            <w:tcMar>
              <w:top w:w="90" w:type="dxa"/>
              <w:start w:w="100" w:type="dxa"/>
              <w:bottom w:w="90" w:type="dxa"/>
              <w:end w:w="100" w:type="dxa"/>
            </w:tcMar>
            <w:vAlign w:val="center"/>
          </w:tcPr>
          <w:p>
            <w:pPr>
              <w:spacing w:after="0"/>
            </w:pPr>
            <w:r>
              <w:rPr>
                <w:rFonts w:ascii="Aptos" w:hAnsi="Aptos" w:eastAsia="Aptos"/>
                <w:sz w:val="14"/>
              </w:rPr>
              <w:t>Optional stopping assumptions explicit</w:t>
            </w:r>
          </w:p>
        </w:tc>
        <w:tc>
          <w:tcPr>
            <w:tcW w:type="dxa" w:w="1440"/>
            <w:tcMar>
              <w:top w:w="90" w:type="dxa"/>
              <w:start w:w="100" w:type="dxa"/>
              <w:bottom w:w="90" w:type="dxa"/>
              <w:end w:w="100" w:type="dxa"/>
            </w:tcMar>
            <w:vAlign w:val="center"/>
          </w:tcPr>
          <w:p>
            <w:pPr>
              <w:spacing w:after="0"/>
            </w:pPr>
            <w:r>
              <w:rPr>
                <w:rFonts w:ascii="Aptos" w:hAnsi="Aptos" w:eastAsia="Aptos"/>
                <w:sz w:val="14"/>
              </w:rPr>
              <w:t>COMP</w:t>
            </w:r>
          </w:p>
        </w:tc>
        <w:tc>
          <w:tcPr>
            <w:tcW w:type="dxa" w:w="2016"/>
            <w:tcMar>
              <w:top w:w="90" w:type="dxa"/>
              <w:start w:w="100" w:type="dxa"/>
              <w:bottom w:w="90" w:type="dxa"/>
              <w:end w:w="100" w:type="dxa"/>
            </w:tcMar>
            <w:vAlign w:val="center"/>
          </w:tcPr>
          <w:p>
            <w:pPr>
              <w:spacing w:after="0"/>
            </w:pPr>
            <w:r>
              <w:rPr>
                <w:rFonts w:ascii="Aptos" w:hAnsi="Aptos" w:eastAsia="Aptos"/>
                <w:sz w:val="14"/>
              </w:rPr>
              <w:t>ledger tests</w:t>
            </w:r>
          </w:p>
        </w:tc>
      </w:tr>
      <w:tr>
        <w:tc>
          <w:tcPr>
            <w:tcW w:type="dxa" w:w="1440"/>
            <w:tcMar>
              <w:top w:w="90" w:type="dxa"/>
              <w:start w:w="100" w:type="dxa"/>
              <w:bottom w:w="90" w:type="dxa"/>
              <w:end w:w="100" w:type="dxa"/>
            </w:tcMar>
            <w:vAlign w:val="center"/>
            <w:shd w:fill="F5F7F9"/>
          </w:tcPr>
          <w:p>
            <w:pPr>
              <w:spacing w:after="0"/>
            </w:pPr>
            <w:r>
              <w:rPr>
                <w:rFonts w:ascii="Aptos" w:hAnsi="Aptos" w:eastAsia="Aptos"/>
                <w:sz w:val="14"/>
              </w:rPr>
              <w:t>T2-PO-456</w:t>
            </w:r>
          </w:p>
        </w:tc>
        <w:tc>
          <w:tcPr>
            <w:tcW w:type="dxa" w:w="5040"/>
            <w:tcMar>
              <w:top w:w="90" w:type="dxa"/>
              <w:start w:w="100" w:type="dxa"/>
              <w:bottom w:w="90" w:type="dxa"/>
              <w:end w:w="100" w:type="dxa"/>
            </w:tcMar>
            <w:vAlign w:val="center"/>
            <w:shd w:fill="F5F7F9"/>
          </w:tcPr>
          <w:p>
            <w:pPr>
              <w:spacing w:after="0"/>
            </w:pPr>
            <w:r>
              <w:rPr>
                <w:rFonts w:ascii="Aptos" w:hAnsi="Aptos" w:eastAsia="Aptos"/>
                <w:sz w:val="14"/>
              </w:rPr>
              <w:t>Causal module stores SCM equivalence class</w:t>
            </w:r>
          </w:p>
        </w:tc>
        <w:tc>
          <w:tcPr>
            <w:tcW w:type="dxa" w:w="1440"/>
            <w:tcMar>
              <w:top w:w="90" w:type="dxa"/>
              <w:start w:w="100" w:type="dxa"/>
              <w:bottom w:w="90" w:type="dxa"/>
              <w:end w:w="100" w:type="dxa"/>
            </w:tcMar>
            <w:vAlign w:val="center"/>
            <w:shd w:fill="F5F7F9"/>
          </w:tcPr>
          <w:p>
            <w:pPr>
              <w:spacing w:after="0"/>
            </w:pPr>
            <w:r>
              <w:rPr>
                <w:rFonts w:ascii="Aptos" w:hAnsi="Aptos" w:eastAsia="Aptos"/>
                <w:sz w:val="14"/>
              </w:rPr>
              <w:t>OPEN</w:t>
            </w:r>
          </w:p>
        </w:tc>
        <w:tc>
          <w:tcPr>
            <w:tcW w:type="dxa" w:w="2016"/>
            <w:tcMar>
              <w:top w:w="90" w:type="dxa"/>
              <w:start w:w="100" w:type="dxa"/>
              <w:bottom w:w="90" w:type="dxa"/>
              <w:end w:w="100" w:type="dxa"/>
            </w:tcMar>
            <w:vAlign w:val="center"/>
            <w:shd w:fill="F5F7F9"/>
          </w:tcPr>
          <w:p>
            <w:pPr>
              <w:spacing w:after="0"/>
            </w:pPr>
            <w:r>
              <w:rPr>
                <w:rFonts w:ascii="Aptos" w:hAnsi="Aptos" w:eastAsia="Aptos"/>
                <w:sz w:val="14"/>
              </w:rPr>
              <w:t>schema + identification engine</w:t>
            </w:r>
          </w:p>
        </w:tc>
      </w:tr>
      <w:tr>
        <w:tc>
          <w:tcPr>
            <w:tcW w:type="dxa" w:w="1440"/>
            <w:tcMar>
              <w:top w:w="90" w:type="dxa"/>
              <w:start w:w="100" w:type="dxa"/>
              <w:bottom w:w="90" w:type="dxa"/>
              <w:end w:w="100" w:type="dxa"/>
            </w:tcMar>
            <w:vAlign w:val="center"/>
          </w:tcPr>
          <w:p>
            <w:pPr>
              <w:spacing w:after="0"/>
            </w:pPr>
            <w:r>
              <w:rPr>
                <w:rFonts w:ascii="Aptos" w:hAnsi="Aptos" w:eastAsia="Aptos"/>
                <w:sz w:val="14"/>
              </w:rPr>
              <w:t>T2-PO-457</w:t>
            </w:r>
          </w:p>
        </w:tc>
        <w:tc>
          <w:tcPr>
            <w:tcW w:type="dxa" w:w="5040"/>
            <w:tcMar>
              <w:top w:w="90" w:type="dxa"/>
              <w:start w:w="100" w:type="dxa"/>
              <w:bottom w:w="90" w:type="dxa"/>
              <w:end w:w="100" w:type="dxa"/>
            </w:tcMar>
            <w:vAlign w:val="center"/>
          </w:tcPr>
          <w:p>
            <w:pPr>
              <w:spacing w:after="0"/>
            </w:pPr>
            <w:r>
              <w:rPr>
                <w:rFonts w:ascii="Aptos" w:hAnsi="Aptos" w:eastAsia="Aptos"/>
                <w:sz w:val="14"/>
              </w:rPr>
              <w:t>Observational and interventional laws separated</w:t>
            </w:r>
          </w:p>
        </w:tc>
        <w:tc>
          <w:tcPr>
            <w:tcW w:type="dxa" w:w="1440"/>
            <w:tcMar>
              <w:top w:w="90" w:type="dxa"/>
              <w:start w:w="100" w:type="dxa"/>
              <w:bottom w:w="90" w:type="dxa"/>
              <w:end w:w="100" w:type="dxa"/>
            </w:tcMar>
            <w:vAlign w:val="center"/>
          </w:tcPr>
          <w:p>
            <w:pPr>
              <w:spacing w:after="0"/>
            </w:pPr>
            <w:r>
              <w:rPr>
                <w:rFonts w:ascii="Aptos" w:hAnsi="Aptos" w:eastAsia="Aptos"/>
                <w:sz w:val="14"/>
              </w:rPr>
              <w:t>COMP</w:t>
            </w:r>
          </w:p>
        </w:tc>
        <w:tc>
          <w:tcPr>
            <w:tcW w:type="dxa" w:w="2016"/>
            <w:tcMar>
              <w:top w:w="90" w:type="dxa"/>
              <w:start w:w="100" w:type="dxa"/>
              <w:bottom w:w="90" w:type="dxa"/>
              <w:end w:w="100" w:type="dxa"/>
            </w:tcMar>
            <w:vAlign w:val="center"/>
          </w:tcPr>
          <w:p>
            <w:pPr>
              <w:spacing w:after="0"/>
            </w:pPr>
            <w:r>
              <w:rPr>
                <w:rFonts w:ascii="Aptos" w:hAnsi="Aptos" w:eastAsia="Aptos"/>
                <w:sz w:val="14"/>
              </w:rPr>
              <w:t>type tests</w:t>
            </w:r>
          </w:p>
        </w:tc>
      </w:tr>
      <w:tr>
        <w:tc>
          <w:tcPr>
            <w:tcW w:type="dxa" w:w="1440"/>
            <w:tcMar>
              <w:top w:w="90" w:type="dxa"/>
              <w:start w:w="100" w:type="dxa"/>
              <w:bottom w:w="90" w:type="dxa"/>
              <w:end w:w="100" w:type="dxa"/>
            </w:tcMar>
            <w:vAlign w:val="center"/>
            <w:shd w:fill="F5F7F9"/>
          </w:tcPr>
          <w:p>
            <w:pPr>
              <w:spacing w:after="0"/>
            </w:pPr>
            <w:r>
              <w:rPr>
                <w:rFonts w:ascii="Aptos" w:hAnsi="Aptos" w:eastAsia="Aptos"/>
                <w:sz w:val="14"/>
              </w:rPr>
              <w:t>T2-PO-458</w:t>
            </w:r>
          </w:p>
        </w:tc>
        <w:tc>
          <w:tcPr>
            <w:tcW w:type="dxa" w:w="5040"/>
            <w:tcMar>
              <w:top w:w="90" w:type="dxa"/>
              <w:start w:w="100" w:type="dxa"/>
              <w:bottom w:w="90" w:type="dxa"/>
              <w:end w:w="100" w:type="dxa"/>
            </w:tcMar>
            <w:vAlign w:val="center"/>
            <w:shd w:fill="F5F7F9"/>
          </w:tcPr>
          <w:p>
            <w:pPr>
              <w:spacing w:after="0"/>
            </w:pPr>
            <w:r>
              <w:rPr>
                <w:rFonts w:ascii="Aptos" w:hAnsi="Aptos" w:eastAsia="Aptos"/>
                <w:sz w:val="14"/>
              </w:rPr>
              <w:t>LDP result stores topology/speed/rate</w:t>
            </w:r>
          </w:p>
        </w:tc>
        <w:tc>
          <w:tcPr>
            <w:tcW w:type="dxa" w:w="1440"/>
            <w:tcMar>
              <w:top w:w="90" w:type="dxa"/>
              <w:start w:w="100" w:type="dxa"/>
              <w:bottom w:w="90" w:type="dxa"/>
              <w:end w:w="100" w:type="dxa"/>
            </w:tcMar>
            <w:vAlign w:val="center"/>
            <w:shd w:fill="F5F7F9"/>
          </w:tcPr>
          <w:p>
            <w:pPr>
              <w:spacing w:after="0"/>
            </w:pPr>
            <w:r>
              <w:rPr>
                <w:rFonts w:ascii="Aptos" w:hAnsi="Aptos" w:eastAsia="Aptos"/>
                <w:sz w:val="14"/>
              </w:rPr>
              <w:t>COMP</w:t>
            </w:r>
          </w:p>
        </w:tc>
        <w:tc>
          <w:tcPr>
            <w:tcW w:type="dxa" w:w="2016"/>
            <w:tcMar>
              <w:top w:w="90" w:type="dxa"/>
              <w:start w:w="100" w:type="dxa"/>
              <w:bottom w:w="90" w:type="dxa"/>
              <w:end w:w="100" w:type="dxa"/>
            </w:tcMar>
            <w:vAlign w:val="center"/>
            <w:shd w:fill="F5F7F9"/>
          </w:tcPr>
          <w:p>
            <w:pPr>
              <w:spacing w:after="0"/>
            </w:pPr>
            <w:r>
              <w:rPr>
                <w:rFonts w:ascii="Aptos" w:hAnsi="Aptos" w:eastAsia="Aptos"/>
                <w:sz w:val="14"/>
              </w:rPr>
              <w:t>certificate schema</w:t>
            </w:r>
          </w:p>
        </w:tc>
      </w:tr>
      <w:tr>
        <w:tc>
          <w:tcPr>
            <w:tcW w:type="dxa" w:w="1440"/>
            <w:tcMar>
              <w:top w:w="90" w:type="dxa"/>
              <w:start w:w="100" w:type="dxa"/>
              <w:bottom w:w="90" w:type="dxa"/>
              <w:end w:w="100" w:type="dxa"/>
            </w:tcMar>
            <w:vAlign w:val="center"/>
          </w:tcPr>
          <w:p>
            <w:pPr>
              <w:spacing w:after="0"/>
            </w:pPr>
            <w:r>
              <w:rPr>
                <w:rFonts w:ascii="Aptos" w:hAnsi="Aptos" w:eastAsia="Aptos"/>
                <w:sz w:val="14"/>
              </w:rPr>
              <w:t>T2-PO-459</w:t>
            </w:r>
          </w:p>
        </w:tc>
        <w:tc>
          <w:tcPr>
            <w:tcW w:type="dxa" w:w="5040"/>
            <w:tcMar>
              <w:top w:w="90" w:type="dxa"/>
              <w:start w:w="100" w:type="dxa"/>
              <w:bottom w:w="90" w:type="dxa"/>
              <w:end w:w="100" w:type="dxa"/>
            </w:tcMar>
            <w:vAlign w:val="center"/>
          </w:tcPr>
          <w:p>
            <w:pPr>
              <w:spacing w:after="0"/>
            </w:pPr>
            <w:r>
              <w:rPr>
                <w:rFonts w:ascii="Aptos" w:hAnsi="Aptos" w:eastAsia="Aptos"/>
                <w:sz w:val="14"/>
              </w:rPr>
              <w:t>Finite-n remainder required for finite-n claim</w:t>
            </w:r>
          </w:p>
        </w:tc>
        <w:tc>
          <w:tcPr>
            <w:tcW w:type="dxa" w:w="1440"/>
            <w:tcMar>
              <w:top w:w="90" w:type="dxa"/>
              <w:start w:w="100" w:type="dxa"/>
              <w:bottom w:w="90" w:type="dxa"/>
              <w:end w:w="100" w:type="dxa"/>
            </w:tcMar>
            <w:vAlign w:val="center"/>
          </w:tcPr>
          <w:p>
            <w:pPr>
              <w:spacing w:after="0"/>
            </w:pPr>
            <w:r>
              <w:rPr>
                <w:rFonts w:ascii="Aptos" w:hAnsi="Aptos" w:eastAsia="Aptos"/>
                <w:sz w:val="14"/>
              </w:rPr>
              <w:t>COMP</w:t>
            </w:r>
          </w:p>
        </w:tc>
        <w:tc>
          <w:tcPr>
            <w:tcW w:type="dxa" w:w="2016"/>
            <w:tcMar>
              <w:top w:w="90" w:type="dxa"/>
              <w:start w:w="100" w:type="dxa"/>
              <w:bottom w:w="90" w:type="dxa"/>
              <w:end w:w="100" w:type="dxa"/>
            </w:tcMar>
            <w:vAlign w:val="center"/>
          </w:tcPr>
          <w:p>
            <w:pPr>
              <w:spacing w:after="0"/>
            </w:pPr>
            <w:r>
              <w:rPr>
                <w:rFonts w:ascii="Aptos" w:hAnsi="Aptos" w:eastAsia="Aptos"/>
                <w:sz w:val="14"/>
              </w:rPr>
              <w:t>release tests</w:t>
            </w:r>
          </w:p>
        </w:tc>
      </w:tr>
      <w:tr>
        <w:tc>
          <w:tcPr>
            <w:tcW w:type="dxa" w:w="1440"/>
            <w:tcMar>
              <w:top w:w="90" w:type="dxa"/>
              <w:start w:w="100" w:type="dxa"/>
              <w:bottom w:w="90" w:type="dxa"/>
              <w:end w:w="100" w:type="dxa"/>
            </w:tcMar>
            <w:vAlign w:val="center"/>
            <w:shd w:fill="F5F7F9"/>
          </w:tcPr>
          <w:p>
            <w:pPr>
              <w:spacing w:after="0"/>
            </w:pPr>
            <w:r>
              <w:rPr>
                <w:rFonts w:ascii="Aptos" w:hAnsi="Aptos" w:eastAsia="Aptos"/>
                <w:sz w:val="14"/>
              </w:rPr>
              <w:t>T2-PO-460</w:t>
            </w:r>
          </w:p>
        </w:tc>
        <w:tc>
          <w:tcPr>
            <w:tcW w:type="dxa" w:w="5040"/>
            <w:tcMar>
              <w:top w:w="90" w:type="dxa"/>
              <w:start w:w="100" w:type="dxa"/>
              <w:bottom w:w="90" w:type="dxa"/>
              <w:end w:w="100" w:type="dxa"/>
            </w:tcMar>
            <w:vAlign w:val="center"/>
            <w:shd w:fill="F5F7F9"/>
          </w:tcPr>
          <w:p>
            <w:pPr>
              <w:spacing w:after="0"/>
            </w:pPr>
            <w:r>
              <w:rPr>
                <w:rFonts w:ascii="Aptos" w:hAnsi="Aptos" w:eastAsia="Aptos"/>
                <w:sz w:val="14"/>
              </w:rPr>
              <w:t>Ambiguity coverage externally validated</w:t>
            </w:r>
          </w:p>
        </w:tc>
        <w:tc>
          <w:tcPr>
            <w:tcW w:type="dxa" w:w="1440"/>
            <w:tcMar>
              <w:top w:w="90" w:type="dxa"/>
              <w:start w:w="100" w:type="dxa"/>
              <w:bottom w:w="90" w:type="dxa"/>
              <w:end w:w="100" w:type="dxa"/>
            </w:tcMar>
            <w:vAlign w:val="center"/>
            <w:shd w:fill="F5F7F9"/>
          </w:tcPr>
          <w:p>
            <w:pPr>
              <w:spacing w:after="0"/>
            </w:pPr>
            <w:r>
              <w:rPr>
                <w:rFonts w:ascii="Aptos" w:hAnsi="Aptos" w:eastAsia="Aptos"/>
                <w:sz w:val="14"/>
              </w:rPr>
              <w:t>OPEN</w:t>
            </w:r>
          </w:p>
        </w:tc>
        <w:tc>
          <w:tcPr>
            <w:tcW w:type="dxa" w:w="2016"/>
            <w:tcMar>
              <w:top w:w="90" w:type="dxa"/>
              <w:start w:w="100" w:type="dxa"/>
              <w:bottom w:w="90" w:type="dxa"/>
              <w:end w:w="100" w:type="dxa"/>
            </w:tcMar>
            <w:vAlign w:val="center"/>
            <w:shd w:fill="F5F7F9"/>
          </w:tcPr>
          <w:p>
            <w:pPr>
              <w:spacing w:after="0"/>
            </w:pPr>
            <w:r>
              <w:rPr>
                <w:rFonts w:ascii="Aptos" w:hAnsi="Aptos" w:eastAsia="Aptos"/>
                <w:sz w:val="14"/>
              </w:rPr>
              <w:t>calibration run</w:t>
            </w:r>
          </w:p>
        </w:tc>
      </w:tr>
      <w:tr>
        <w:tc>
          <w:tcPr>
            <w:tcW w:type="dxa" w:w="1440"/>
            <w:tcMar>
              <w:top w:w="90" w:type="dxa"/>
              <w:start w:w="100" w:type="dxa"/>
              <w:bottom w:w="90" w:type="dxa"/>
              <w:end w:w="100" w:type="dxa"/>
            </w:tcMar>
            <w:vAlign w:val="center"/>
          </w:tcPr>
          <w:p>
            <w:pPr>
              <w:spacing w:after="0"/>
            </w:pPr>
            <w:r>
              <w:rPr>
                <w:rFonts w:ascii="Aptos" w:hAnsi="Aptos" w:eastAsia="Aptos"/>
                <w:sz w:val="14"/>
              </w:rPr>
              <w:t>T2-PO-461</w:t>
            </w:r>
          </w:p>
        </w:tc>
        <w:tc>
          <w:tcPr>
            <w:tcW w:type="dxa" w:w="5040"/>
            <w:tcMar>
              <w:top w:w="90" w:type="dxa"/>
              <w:start w:w="100" w:type="dxa"/>
              <w:bottom w:w="90" w:type="dxa"/>
              <w:end w:w="100" w:type="dxa"/>
            </w:tcMar>
            <w:vAlign w:val="center"/>
          </w:tcPr>
          <w:p>
            <w:pPr>
              <w:spacing w:after="0"/>
            </w:pPr>
            <w:r>
              <w:rPr>
                <w:rFonts w:ascii="Aptos" w:hAnsi="Aptos" w:eastAsia="Aptos"/>
                <w:sz w:val="14"/>
              </w:rPr>
              <w:t>Importance weights audited</w:t>
            </w:r>
          </w:p>
        </w:tc>
        <w:tc>
          <w:tcPr>
            <w:tcW w:type="dxa" w:w="1440"/>
            <w:tcMar>
              <w:top w:w="90" w:type="dxa"/>
              <w:start w:w="100" w:type="dxa"/>
              <w:bottom w:w="90" w:type="dxa"/>
              <w:end w:w="100" w:type="dxa"/>
            </w:tcMar>
            <w:vAlign w:val="center"/>
          </w:tcPr>
          <w:p>
            <w:pPr>
              <w:spacing w:after="0"/>
            </w:pPr>
            <w:r>
              <w:rPr>
                <w:rFonts w:ascii="Aptos" w:hAnsi="Aptos" w:eastAsia="Aptos"/>
                <w:sz w:val="14"/>
              </w:rPr>
              <w:t>COND</w:t>
            </w:r>
          </w:p>
        </w:tc>
        <w:tc>
          <w:tcPr>
            <w:tcW w:type="dxa" w:w="2016"/>
            <w:tcMar>
              <w:top w:w="90" w:type="dxa"/>
              <w:start w:w="100" w:type="dxa"/>
              <w:bottom w:w="90" w:type="dxa"/>
              <w:end w:w="100" w:type="dxa"/>
            </w:tcMar>
            <w:vAlign w:val="center"/>
          </w:tcPr>
          <w:p>
            <w:pPr>
              <w:spacing w:after="0"/>
            </w:pPr>
            <w:r>
              <w:rPr>
                <w:rFonts w:ascii="Aptos" w:hAnsi="Aptos" w:eastAsia="Aptos"/>
                <w:sz w:val="14"/>
              </w:rPr>
              <w:t>absolute-continuity tests</w:t>
            </w:r>
          </w:p>
        </w:tc>
      </w:tr>
      <w:tr>
        <w:tc>
          <w:tcPr>
            <w:tcW w:type="dxa" w:w="1440"/>
            <w:tcMar>
              <w:top w:w="90" w:type="dxa"/>
              <w:start w:w="100" w:type="dxa"/>
              <w:bottom w:w="90" w:type="dxa"/>
              <w:end w:w="100" w:type="dxa"/>
            </w:tcMar>
            <w:vAlign w:val="center"/>
            <w:shd w:fill="F5F7F9"/>
          </w:tcPr>
          <w:p>
            <w:pPr>
              <w:spacing w:after="0"/>
            </w:pPr>
            <w:r>
              <w:rPr>
                <w:rFonts w:ascii="Aptos" w:hAnsi="Aptos" w:eastAsia="Aptos"/>
                <w:sz w:val="14"/>
              </w:rPr>
              <w:t>T2-PO-462</w:t>
            </w:r>
          </w:p>
        </w:tc>
        <w:tc>
          <w:tcPr>
            <w:tcW w:type="dxa" w:w="5040"/>
            <w:tcMar>
              <w:top w:w="90" w:type="dxa"/>
              <w:start w:w="100" w:type="dxa"/>
              <w:bottom w:w="90" w:type="dxa"/>
              <w:end w:w="100" w:type="dxa"/>
            </w:tcMar>
            <w:vAlign w:val="center"/>
            <w:shd w:fill="F5F7F9"/>
          </w:tcPr>
          <w:p>
            <w:pPr>
              <w:spacing w:after="0"/>
            </w:pPr>
            <w:r>
              <w:rPr>
                <w:rFonts w:ascii="Aptos" w:hAnsi="Aptos" w:eastAsia="Aptos"/>
                <w:sz w:val="14"/>
              </w:rPr>
              <w:t>Tail assumptions machine-readable</w:t>
            </w:r>
          </w:p>
        </w:tc>
        <w:tc>
          <w:tcPr>
            <w:tcW w:type="dxa" w:w="1440"/>
            <w:tcMar>
              <w:top w:w="90" w:type="dxa"/>
              <w:start w:w="100" w:type="dxa"/>
              <w:bottom w:w="90" w:type="dxa"/>
              <w:end w:w="100" w:type="dxa"/>
            </w:tcMar>
            <w:vAlign w:val="center"/>
            <w:shd w:fill="F5F7F9"/>
          </w:tcPr>
          <w:p>
            <w:pPr>
              <w:spacing w:after="0"/>
            </w:pPr>
            <w:r>
              <w:rPr>
                <w:rFonts w:ascii="Aptos" w:hAnsi="Aptos" w:eastAsia="Aptos"/>
                <w:sz w:val="14"/>
              </w:rPr>
              <w:t>OPEN</w:t>
            </w:r>
          </w:p>
        </w:tc>
        <w:tc>
          <w:tcPr>
            <w:tcW w:type="dxa" w:w="2016"/>
            <w:tcMar>
              <w:top w:w="90" w:type="dxa"/>
              <w:start w:w="100" w:type="dxa"/>
              <w:bottom w:w="90" w:type="dxa"/>
              <w:end w:w="100" w:type="dxa"/>
            </w:tcMar>
            <w:vAlign w:val="center"/>
            <w:shd w:fill="F5F7F9"/>
          </w:tcPr>
          <w:p>
            <w:pPr>
              <w:spacing w:after="0"/>
            </w:pPr>
            <w:r>
              <w:rPr>
                <w:rFonts w:ascii="Aptos" w:hAnsi="Aptos" w:eastAsia="Aptos"/>
                <w:sz w:val="14"/>
              </w:rPr>
              <w:t>domain ontology</w:t>
            </w:r>
          </w:p>
        </w:tc>
      </w:tr>
      <w:tr>
        <w:tc>
          <w:tcPr>
            <w:tcW w:type="dxa" w:w="1440"/>
            <w:tcMar>
              <w:top w:w="90" w:type="dxa"/>
              <w:start w:w="100" w:type="dxa"/>
              <w:bottom w:w="90" w:type="dxa"/>
              <w:end w:w="100" w:type="dxa"/>
            </w:tcMar>
            <w:vAlign w:val="center"/>
          </w:tcPr>
          <w:p>
            <w:pPr>
              <w:spacing w:after="0"/>
            </w:pPr>
            <w:r>
              <w:rPr>
                <w:rFonts w:ascii="Aptos" w:hAnsi="Aptos" w:eastAsia="Aptos"/>
                <w:sz w:val="14"/>
              </w:rPr>
              <w:t>T2-PO-463</w:t>
            </w:r>
          </w:p>
        </w:tc>
        <w:tc>
          <w:tcPr>
            <w:tcW w:type="dxa" w:w="5040"/>
            <w:tcMar>
              <w:top w:w="90" w:type="dxa"/>
              <w:start w:w="100" w:type="dxa"/>
              <w:bottom w:w="90" w:type="dxa"/>
              <w:end w:w="100" w:type="dxa"/>
            </w:tcMar>
            <w:vAlign w:val="center"/>
          </w:tcPr>
          <w:p>
            <w:pPr>
              <w:spacing w:after="0"/>
            </w:pPr>
            <w:r>
              <w:rPr>
                <w:rFonts w:ascii="Aptos" w:hAnsi="Aptos" w:eastAsia="Aptos"/>
                <w:sz w:val="14"/>
              </w:rPr>
              <w:t>External split immutable before tuning</w:t>
            </w:r>
          </w:p>
        </w:tc>
        <w:tc>
          <w:tcPr>
            <w:tcW w:type="dxa" w:w="1440"/>
            <w:tcMar>
              <w:top w:w="90" w:type="dxa"/>
              <w:start w:w="100" w:type="dxa"/>
              <w:bottom w:w="90" w:type="dxa"/>
              <w:end w:w="100" w:type="dxa"/>
            </w:tcMar>
            <w:vAlign w:val="center"/>
          </w:tcPr>
          <w:p>
            <w:pPr>
              <w:spacing w:after="0"/>
            </w:pPr>
            <w:r>
              <w:rPr>
                <w:rFonts w:ascii="Aptos" w:hAnsi="Aptos" w:eastAsia="Aptos"/>
                <w:sz w:val="14"/>
              </w:rPr>
              <w:t>OPEN</w:t>
            </w:r>
          </w:p>
        </w:tc>
        <w:tc>
          <w:tcPr>
            <w:tcW w:type="dxa" w:w="2016"/>
            <w:tcMar>
              <w:top w:w="90" w:type="dxa"/>
              <w:start w:w="100" w:type="dxa"/>
              <w:bottom w:w="90" w:type="dxa"/>
              <w:end w:w="100" w:type="dxa"/>
            </w:tcMar>
            <w:vAlign w:val="center"/>
          </w:tcPr>
          <w:p>
            <w:pPr>
              <w:spacing w:after="0"/>
            </w:pPr>
            <w:r>
              <w:rPr>
                <w:rFonts w:ascii="Aptos" w:hAnsi="Aptos" w:eastAsia="Aptos"/>
                <w:sz w:val="14"/>
              </w:rPr>
              <w:t>sealed split protocol</w:t>
            </w:r>
          </w:p>
        </w:tc>
      </w:tr>
      <w:tr>
        <w:tc>
          <w:tcPr>
            <w:tcW w:type="dxa" w:w="1440"/>
            <w:tcMar>
              <w:top w:w="90" w:type="dxa"/>
              <w:start w:w="100" w:type="dxa"/>
              <w:bottom w:w="90" w:type="dxa"/>
              <w:end w:w="100" w:type="dxa"/>
            </w:tcMar>
            <w:vAlign w:val="center"/>
            <w:shd w:fill="F5F7F9"/>
          </w:tcPr>
          <w:p>
            <w:pPr>
              <w:spacing w:after="0"/>
            </w:pPr>
            <w:r>
              <w:rPr>
                <w:rFonts w:ascii="Aptos" w:hAnsi="Aptos" w:eastAsia="Aptos"/>
                <w:sz w:val="14"/>
              </w:rPr>
              <w:t>T2-PO-464</w:t>
            </w:r>
          </w:p>
        </w:tc>
        <w:tc>
          <w:tcPr>
            <w:tcW w:type="dxa" w:w="5040"/>
            <w:tcMar>
              <w:top w:w="90" w:type="dxa"/>
              <w:start w:w="100" w:type="dxa"/>
              <w:bottom w:w="90" w:type="dxa"/>
              <w:end w:w="100" w:type="dxa"/>
            </w:tcMar>
            <w:vAlign w:val="center"/>
            <w:shd w:fill="F5F7F9"/>
          </w:tcPr>
          <w:p>
            <w:pPr>
              <w:spacing w:after="0"/>
            </w:pPr>
            <w:r>
              <w:rPr>
                <w:rFonts w:ascii="Aptos" w:hAnsi="Aptos" w:eastAsia="Aptos"/>
                <w:sz w:val="14"/>
              </w:rPr>
              <w:t>Leakage detector has known sensitivity</w:t>
            </w:r>
          </w:p>
        </w:tc>
        <w:tc>
          <w:tcPr>
            <w:tcW w:type="dxa" w:w="1440"/>
            <w:tcMar>
              <w:top w:w="90" w:type="dxa"/>
              <w:start w:w="100" w:type="dxa"/>
              <w:bottom w:w="90" w:type="dxa"/>
              <w:end w:w="100" w:type="dxa"/>
            </w:tcMar>
            <w:vAlign w:val="center"/>
            <w:shd w:fill="F5F7F9"/>
          </w:tcPr>
          <w:p>
            <w:pPr>
              <w:spacing w:after="0"/>
            </w:pPr>
            <w:r>
              <w:rPr>
                <w:rFonts w:ascii="Aptos" w:hAnsi="Aptos" w:eastAsia="Aptos"/>
                <w:sz w:val="14"/>
              </w:rPr>
              <w:t>OPEN</w:t>
            </w:r>
          </w:p>
        </w:tc>
        <w:tc>
          <w:tcPr>
            <w:tcW w:type="dxa" w:w="2016"/>
            <w:tcMar>
              <w:top w:w="90" w:type="dxa"/>
              <w:start w:w="100" w:type="dxa"/>
              <w:bottom w:w="90" w:type="dxa"/>
              <w:end w:w="100" w:type="dxa"/>
            </w:tcMar>
            <w:vAlign w:val="center"/>
            <w:shd w:fill="F5F7F9"/>
          </w:tcPr>
          <w:p>
            <w:pPr>
              <w:spacing w:after="0"/>
            </w:pPr>
            <w:r>
              <w:rPr>
                <w:rFonts w:ascii="Aptos" w:hAnsi="Aptos" w:eastAsia="Aptos"/>
                <w:sz w:val="14"/>
              </w:rPr>
              <w:t>benchmark</w:t>
            </w:r>
          </w:p>
        </w:tc>
      </w:tr>
      <w:tr>
        <w:tc>
          <w:tcPr>
            <w:tcW w:type="dxa" w:w="1440"/>
            <w:tcMar>
              <w:top w:w="90" w:type="dxa"/>
              <w:start w:w="100" w:type="dxa"/>
              <w:bottom w:w="90" w:type="dxa"/>
              <w:end w:w="100" w:type="dxa"/>
            </w:tcMar>
            <w:vAlign w:val="center"/>
          </w:tcPr>
          <w:p>
            <w:pPr>
              <w:spacing w:after="0"/>
            </w:pPr>
            <w:r>
              <w:rPr>
                <w:rFonts w:ascii="Aptos" w:hAnsi="Aptos" w:eastAsia="Aptos"/>
                <w:sz w:val="14"/>
              </w:rPr>
              <w:t>T2-PO-465</w:t>
            </w:r>
          </w:p>
        </w:tc>
        <w:tc>
          <w:tcPr>
            <w:tcW w:type="dxa" w:w="5040"/>
            <w:tcMar>
              <w:top w:w="90" w:type="dxa"/>
              <w:start w:w="100" w:type="dxa"/>
              <w:bottom w:w="90" w:type="dxa"/>
              <w:end w:w="100" w:type="dxa"/>
            </w:tcMar>
            <w:vAlign w:val="center"/>
          </w:tcPr>
          <w:p>
            <w:pPr>
              <w:spacing w:after="0"/>
            </w:pPr>
            <w:r>
              <w:rPr>
                <w:rFonts w:ascii="Aptos" w:hAnsi="Aptos" w:eastAsia="Aptos"/>
                <w:sz w:val="14"/>
              </w:rPr>
              <w:t>Release policy matches requested Mode</w:t>
            </w:r>
          </w:p>
        </w:tc>
        <w:tc>
          <w:tcPr>
            <w:tcW w:type="dxa" w:w="1440"/>
            <w:tcMar>
              <w:top w:w="90" w:type="dxa"/>
              <w:start w:w="100" w:type="dxa"/>
              <w:bottom w:w="90" w:type="dxa"/>
              <w:end w:w="100" w:type="dxa"/>
            </w:tcMar>
            <w:vAlign w:val="center"/>
          </w:tcPr>
          <w:p>
            <w:pPr>
              <w:spacing w:after="0"/>
            </w:pPr>
            <w:r>
              <w:rPr>
                <w:rFonts w:ascii="Aptos" w:hAnsi="Aptos" w:eastAsia="Aptos"/>
                <w:sz w:val="14"/>
              </w:rPr>
              <w:t>COMP</w:t>
            </w:r>
          </w:p>
        </w:tc>
        <w:tc>
          <w:tcPr>
            <w:tcW w:type="dxa" w:w="2016"/>
            <w:tcMar>
              <w:top w:w="90" w:type="dxa"/>
              <w:start w:w="100" w:type="dxa"/>
              <w:bottom w:w="90" w:type="dxa"/>
              <w:end w:w="100" w:type="dxa"/>
            </w:tcMar>
            <w:vAlign w:val="center"/>
          </w:tcPr>
          <w:p>
            <w:pPr>
              <w:spacing w:after="0"/>
            </w:pPr>
            <w:r>
              <w:rPr>
                <w:rFonts w:ascii="Aptos" w:hAnsi="Aptos" w:eastAsia="Aptos"/>
                <w:sz w:val="14"/>
              </w:rPr>
              <w:t>cross-mode tests</w:t>
            </w:r>
          </w:p>
        </w:tc>
      </w:tr>
      <w:tr>
        <w:tc>
          <w:tcPr>
            <w:tcW w:type="dxa" w:w="1440"/>
            <w:tcMar>
              <w:top w:w="90" w:type="dxa"/>
              <w:start w:w="100" w:type="dxa"/>
              <w:bottom w:w="90" w:type="dxa"/>
              <w:end w:w="100" w:type="dxa"/>
            </w:tcMar>
            <w:vAlign w:val="center"/>
            <w:shd w:fill="F5F7F9"/>
          </w:tcPr>
          <w:p>
            <w:pPr>
              <w:spacing w:after="0"/>
            </w:pPr>
            <w:r>
              <w:rPr>
                <w:rFonts w:ascii="Aptos" w:hAnsi="Aptos" w:eastAsia="Aptos"/>
                <w:sz w:val="14"/>
              </w:rPr>
              <w:t>T2-PO-466</w:t>
            </w:r>
          </w:p>
        </w:tc>
        <w:tc>
          <w:tcPr>
            <w:tcW w:type="dxa" w:w="5040"/>
            <w:tcMar>
              <w:top w:w="90" w:type="dxa"/>
              <w:start w:w="100" w:type="dxa"/>
              <w:bottom w:w="90" w:type="dxa"/>
              <w:end w:w="100" w:type="dxa"/>
            </w:tcMar>
            <w:vAlign w:val="center"/>
            <w:shd w:fill="F5F7F9"/>
          </w:tcPr>
          <w:p>
            <w:pPr>
              <w:spacing w:after="0"/>
            </w:pPr>
            <w:r>
              <w:rPr>
                <w:rFonts w:ascii="Aptos" w:hAnsi="Aptos" w:eastAsia="Aptos"/>
                <w:sz w:val="14"/>
              </w:rPr>
              <w:t>Verdict vector schema stable</w:t>
            </w:r>
          </w:p>
        </w:tc>
        <w:tc>
          <w:tcPr>
            <w:tcW w:type="dxa" w:w="1440"/>
            <w:tcMar>
              <w:top w:w="90" w:type="dxa"/>
              <w:start w:w="100" w:type="dxa"/>
              <w:bottom w:w="90" w:type="dxa"/>
              <w:end w:w="100" w:type="dxa"/>
            </w:tcMar>
            <w:vAlign w:val="center"/>
            <w:shd w:fill="F5F7F9"/>
          </w:tcPr>
          <w:p>
            <w:pPr>
              <w:spacing w:after="0"/>
            </w:pPr>
            <w:r>
              <w:rPr>
                <w:rFonts w:ascii="Aptos" w:hAnsi="Aptos" w:eastAsia="Aptos"/>
                <w:sz w:val="14"/>
              </w:rPr>
              <w:t>COMP</w:t>
            </w:r>
          </w:p>
        </w:tc>
        <w:tc>
          <w:tcPr>
            <w:tcW w:type="dxa" w:w="2016"/>
            <w:tcMar>
              <w:top w:w="90" w:type="dxa"/>
              <w:start w:w="100" w:type="dxa"/>
              <w:bottom w:w="90" w:type="dxa"/>
              <w:end w:w="100" w:type="dxa"/>
            </w:tcMar>
            <w:vAlign w:val="center"/>
            <w:shd w:fill="F5F7F9"/>
          </w:tcPr>
          <w:p>
            <w:pPr>
              <w:spacing w:after="0"/>
            </w:pPr>
            <w:r>
              <w:rPr>
                <w:rFonts w:ascii="Aptos" w:hAnsi="Aptos" w:eastAsia="Aptos"/>
                <w:sz w:val="14"/>
              </w:rPr>
              <w:t>serialization tests</w:t>
            </w:r>
          </w:p>
        </w:tc>
      </w:tr>
      <w:tr>
        <w:tc>
          <w:tcPr>
            <w:tcW w:type="dxa" w:w="1440"/>
            <w:tcMar>
              <w:top w:w="90" w:type="dxa"/>
              <w:start w:w="100" w:type="dxa"/>
              <w:bottom w:w="90" w:type="dxa"/>
              <w:end w:w="100" w:type="dxa"/>
            </w:tcMar>
            <w:vAlign w:val="center"/>
          </w:tcPr>
          <w:p>
            <w:pPr>
              <w:spacing w:after="0"/>
            </w:pPr>
            <w:r>
              <w:rPr>
                <w:rFonts w:ascii="Aptos" w:hAnsi="Aptos" w:eastAsia="Aptos"/>
                <w:sz w:val="14"/>
              </w:rPr>
              <w:t>T2-PO-467</w:t>
            </w:r>
          </w:p>
        </w:tc>
        <w:tc>
          <w:tcPr>
            <w:tcW w:type="dxa" w:w="5040"/>
            <w:tcMar>
              <w:top w:w="90" w:type="dxa"/>
              <w:start w:w="100" w:type="dxa"/>
              <w:bottom w:w="90" w:type="dxa"/>
              <w:end w:w="100" w:type="dxa"/>
            </w:tcMar>
            <w:vAlign w:val="center"/>
          </w:tcPr>
          <w:p>
            <w:pPr>
              <w:spacing w:after="0"/>
            </w:pPr>
            <w:r>
              <w:rPr>
                <w:rFonts w:ascii="Aptos" w:hAnsi="Aptos" w:eastAsia="Aptos"/>
                <w:sz w:val="14"/>
              </w:rPr>
              <w:t>Set-valued forecast supports Pareto output</w:t>
            </w:r>
          </w:p>
        </w:tc>
        <w:tc>
          <w:tcPr>
            <w:tcW w:type="dxa" w:w="1440"/>
            <w:tcMar>
              <w:top w:w="90" w:type="dxa"/>
              <w:start w:w="100" w:type="dxa"/>
              <w:bottom w:w="90" w:type="dxa"/>
              <w:end w:w="100" w:type="dxa"/>
            </w:tcMar>
            <w:vAlign w:val="center"/>
          </w:tcPr>
          <w:p>
            <w:pPr>
              <w:spacing w:after="0"/>
            </w:pPr>
            <w:r>
              <w:rPr>
                <w:rFonts w:ascii="Aptos" w:hAnsi="Aptos" w:eastAsia="Aptos"/>
                <w:sz w:val="14"/>
              </w:rPr>
              <w:t>COMP</w:t>
            </w:r>
          </w:p>
        </w:tc>
        <w:tc>
          <w:tcPr>
            <w:tcW w:type="dxa" w:w="2016"/>
            <w:tcMar>
              <w:top w:w="90" w:type="dxa"/>
              <w:start w:w="100" w:type="dxa"/>
              <w:bottom w:w="90" w:type="dxa"/>
              <w:end w:w="100" w:type="dxa"/>
            </w:tcMar>
            <w:vAlign w:val="center"/>
          </w:tcPr>
          <w:p>
            <w:pPr>
              <w:spacing w:after="0"/>
            </w:pPr>
            <w:r>
              <w:rPr>
                <w:rFonts w:ascii="Aptos" w:hAnsi="Aptos" w:eastAsia="Aptos"/>
                <w:sz w:val="14"/>
              </w:rPr>
              <w:t>algorithm + tests</w:t>
            </w:r>
          </w:p>
        </w:tc>
      </w:tr>
      <w:tr>
        <w:tc>
          <w:tcPr>
            <w:tcW w:type="dxa" w:w="1440"/>
            <w:tcMar>
              <w:top w:w="90" w:type="dxa"/>
              <w:start w:w="100" w:type="dxa"/>
              <w:bottom w:w="90" w:type="dxa"/>
              <w:end w:w="100" w:type="dxa"/>
            </w:tcMar>
            <w:vAlign w:val="center"/>
            <w:shd w:fill="F5F7F9"/>
          </w:tcPr>
          <w:p>
            <w:pPr>
              <w:spacing w:after="0"/>
            </w:pPr>
            <w:r>
              <w:rPr>
                <w:rFonts w:ascii="Aptos" w:hAnsi="Aptos" w:eastAsia="Aptos"/>
                <w:sz w:val="14"/>
              </w:rPr>
              <w:t>T2-PO-468</w:t>
            </w:r>
          </w:p>
        </w:tc>
        <w:tc>
          <w:tcPr>
            <w:tcW w:type="dxa" w:w="5040"/>
            <w:tcMar>
              <w:top w:w="90" w:type="dxa"/>
              <w:start w:w="100" w:type="dxa"/>
              <w:bottom w:w="90" w:type="dxa"/>
              <w:end w:w="100" w:type="dxa"/>
            </w:tcMar>
            <w:vAlign w:val="center"/>
            <w:shd w:fill="F5F7F9"/>
          </w:tcPr>
          <w:p>
            <w:pPr>
              <w:spacing w:after="0"/>
            </w:pPr>
            <w:r>
              <w:rPr>
                <w:rFonts w:ascii="Aptos" w:hAnsi="Aptos" w:eastAsia="Aptos"/>
                <w:sz w:val="14"/>
              </w:rPr>
              <w:t>No canonical scalarization enforced</w:t>
            </w:r>
          </w:p>
        </w:tc>
        <w:tc>
          <w:tcPr>
            <w:tcW w:type="dxa" w:w="1440"/>
            <w:tcMar>
              <w:top w:w="90" w:type="dxa"/>
              <w:start w:w="100" w:type="dxa"/>
              <w:bottom w:w="90" w:type="dxa"/>
              <w:end w:w="100" w:type="dxa"/>
            </w:tcMar>
            <w:vAlign w:val="center"/>
            <w:shd w:fill="F5F7F9"/>
          </w:tcPr>
          <w:p>
            <w:pPr>
              <w:spacing w:after="0"/>
            </w:pPr>
            <w:r>
              <w:rPr>
                <w:rFonts w:ascii="Aptos" w:hAnsi="Aptos" w:eastAsia="Aptos"/>
                <w:sz w:val="14"/>
              </w:rPr>
              <w:t>COMP</w:t>
            </w:r>
          </w:p>
        </w:tc>
        <w:tc>
          <w:tcPr>
            <w:tcW w:type="dxa" w:w="2016"/>
            <w:tcMar>
              <w:top w:w="90" w:type="dxa"/>
              <w:start w:w="100" w:type="dxa"/>
              <w:bottom w:w="90" w:type="dxa"/>
              <w:end w:w="100" w:type="dxa"/>
            </w:tcMar>
            <w:vAlign w:val="center"/>
            <w:shd w:fill="F5F7F9"/>
          </w:tcPr>
          <w:p>
            <w:pPr>
              <w:spacing w:after="0"/>
            </w:pPr>
            <w:r>
              <w:rPr>
                <w:rFonts w:ascii="Aptos" w:hAnsi="Aptos" w:eastAsia="Aptos"/>
                <w:sz w:val="14"/>
              </w:rPr>
              <w:t>forbidden-field audit</w:t>
            </w:r>
          </w:p>
        </w:tc>
      </w:tr>
      <w:tr>
        <w:tc>
          <w:tcPr>
            <w:tcW w:type="dxa" w:w="1440"/>
            <w:tcMar>
              <w:top w:w="90" w:type="dxa"/>
              <w:start w:w="100" w:type="dxa"/>
              <w:bottom w:w="90" w:type="dxa"/>
              <w:end w:w="100" w:type="dxa"/>
            </w:tcMar>
            <w:vAlign w:val="center"/>
          </w:tcPr>
          <w:p>
            <w:pPr>
              <w:spacing w:after="0"/>
            </w:pPr>
            <w:r>
              <w:rPr>
                <w:rFonts w:ascii="Aptos" w:hAnsi="Aptos" w:eastAsia="Aptos"/>
                <w:sz w:val="14"/>
              </w:rPr>
              <w:t>T2-PO-469</w:t>
            </w:r>
          </w:p>
        </w:tc>
        <w:tc>
          <w:tcPr>
            <w:tcW w:type="dxa" w:w="5040"/>
            <w:tcMar>
              <w:top w:w="90" w:type="dxa"/>
              <w:start w:w="100" w:type="dxa"/>
              <w:bottom w:w="90" w:type="dxa"/>
              <w:end w:w="100" w:type="dxa"/>
            </w:tcMar>
            <w:vAlign w:val="center"/>
          </w:tcPr>
          <w:p>
            <w:pPr>
              <w:spacing w:after="0"/>
            </w:pPr>
            <w:r>
              <w:rPr>
                <w:rFonts w:ascii="Aptos" w:hAnsi="Aptos" w:eastAsia="Aptos"/>
                <w:sz w:val="14"/>
              </w:rPr>
              <w:t>ABSTAIN monotonicity implementation verified</w:t>
            </w:r>
          </w:p>
        </w:tc>
        <w:tc>
          <w:tcPr>
            <w:tcW w:type="dxa" w:w="1440"/>
            <w:tcMar>
              <w:top w:w="90" w:type="dxa"/>
              <w:start w:w="100" w:type="dxa"/>
              <w:bottom w:w="90" w:type="dxa"/>
              <w:end w:w="100" w:type="dxa"/>
            </w:tcMar>
            <w:vAlign w:val="center"/>
          </w:tcPr>
          <w:p>
            <w:pPr>
              <w:spacing w:after="0"/>
            </w:pPr>
            <w:r>
              <w:rPr>
                <w:rFonts w:ascii="Aptos" w:hAnsi="Aptos" w:eastAsia="Aptos"/>
                <w:sz w:val="14"/>
              </w:rPr>
              <w:t>COMP</w:t>
            </w:r>
          </w:p>
        </w:tc>
        <w:tc>
          <w:tcPr>
            <w:tcW w:type="dxa" w:w="2016"/>
            <w:tcMar>
              <w:top w:w="90" w:type="dxa"/>
              <w:start w:w="100" w:type="dxa"/>
              <w:bottom w:w="90" w:type="dxa"/>
              <w:end w:w="100" w:type="dxa"/>
            </w:tcMar>
            <w:vAlign w:val="center"/>
          </w:tcPr>
          <w:p>
            <w:pPr>
              <w:spacing w:after="0"/>
            </w:pPr>
            <w:r>
              <w:rPr>
                <w:rFonts w:ascii="Aptos" w:hAnsi="Aptos" w:eastAsia="Aptos"/>
                <w:sz w:val="14"/>
              </w:rPr>
              <w:t>metamorphic tests</w:t>
            </w:r>
          </w:p>
        </w:tc>
      </w:tr>
      <w:tr>
        <w:tc>
          <w:tcPr>
            <w:tcW w:type="dxa" w:w="1440"/>
            <w:tcMar>
              <w:top w:w="90" w:type="dxa"/>
              <w:start w:w="100" w:type="dxa"/>
              <w:bottom w:w="90" w:type="dxa"/>
              <w:end w:w="100" w:type="dxa"/>
            </w:tcMar>
            <w:vAlign w:val="center"/>
            <w:shd w:fill="F5F7F9"/>
          </w:tcPr>
          <w:p>
            <w:pPr>
              <w:spacing w:after="0"/>
            </w:pPr>
            <w:r>
              <w:rPr>
                <w:rFonts w:ascii="Aptos" w:hAnsi="Aptos" w:eastAsia="Aptos"/>
                <w:sz w:val="14"/>
              </w:rPr>
              <w:t>T2-PO-470</w:t>
            </w:r>
          </w:p>
        </w:tc>
        <w:tc>
          <w:tcPr>
            <w:tcW w:type="dxa" w:w="5040"/>
            <w:tcMar>
              <w:top w:w="90" w:type="dxa"/>
              <w:start w:w="100" w:type="dxa"/>
              <w:bottom w:w="90" w:type="dxa"/>
              <w:end w:w="100" w:type="dxa"/>
            </w:tcMar>
            <w:vAlign w:val="center"/>
            <w:shd w:fill="F5F7F9"/>
          </w:tcPr>
          <w:p>
            <w:pPr>
              <w:spacing w:after="0"/>
            </w:pPr>
            <w:r>
              <w:rPr>
                <w:rFonts w:ascii="Aptos" w:hAnsi="Aptos" w:eastAsia="Aptos"/>
                <w:sz w:val="14"/>
              </w:rPr>
              <w:t>FAIL witness preserved to final report</w:t>
            </w:r>
          </w:p>
        </w:tc>
        <w:tc>
          <w:tcPr>
            <w:tcW w:type="dxa" w:w="1440"/>
            <w:tcMar>
              <w:top w:w="90" w:type="dxa"/>
              <w:start w:w="100" w:type="dxa"/>
              <w:bottom w:w="90" w:type="dxa"/>
              <w:end w:w="100" w:type="dxa"/>
            </w:tcMar>
            <w:vAlign w:val="center"/>
            <w:shd w:fill="F5F7F9"/>
          </w:tcPr>
          <w:p>
            <w:pPr>
              <w:spacing w:after="0"/>
            </w:pPr>
            <w:r>
              <w:rPr>
                <w:rFonts w:ascii="Aptos" w:hAnsi="Aptos" w:eastAsia="Aptos"/>
                <w:sz w:val="14"/>
              </w:rPr>
              <w:t>COMP</w:t>
            </w:r>
          </w:p>
        </w:tc>
        <w:tc>
          <w:tcPr>
            <w:tcW w:type="dxa" w:w="2016"/>
            <w:tcMar>
              <w:top w:w="90" w:type="dxa"/>
              <w:start w:w="100" w:type="dxa"/>
              <w:bottom w:w="90" w:type="dxa"/>
              <w:end w:w="100" w:type="dxa"/>
            </w:tcMar>
            <w:vAlign w:val="center"/>
            <w:shd w:fill="F5F7F9"/>
          </w:tcPr>
          <w:p>
            <w:pPr>
              <w:spacing w:after="0"/>
            </w:pPr>
            <w:r>
              <w:rPr>
                <w:rFonts w:ascii="Aptos" w:hAnsi="Aptos" w:eastAsia="Aptos"/>
                <w:sz w:val="14"/>
              </w:rPr>
              <w:t>trace tests</w:t>
            </w:r>
          </w:p>
        </w:tc>
      </w:tr>
      <w:tr>
        <w:tc>
          <w:tcPr>
            <w:tcW w:type="dxa" w:w="1440"/>
            <w:tcMar>
              <w:top w:w="90" w:type="dxa"/>
              <w:start w:w="100" w:type="dxa"/>
              <w:bottom w:w="90" w:type="dxa"/>
              <w:end w:w="100" w:type="dxa"/>
            </w:tcMar>
            <w:vAlign w:val="center"/>
          </w:tcPr>
          <w:p>
            <w:pPr>
              <w:spacing w:after="0"/>
            </w:pPr>
            <w:r>
              <w:rPr>
                <w:rFonts w:ascii="Aptos" w:hAnsi="Aptos" w:eastAsia="Aptos"/>
                <w:sz w:val="14"/>
              </w:rPr>
              <w:t>T2-PO-471</w:t>
            </w:r>
          </w:p>
        </w:tc>
        <w:tc>
          <w:tcPr>
            <w:tcW w:type="dxa" w:w="5040"/>
            <w:tcMar>
              <w:top w:w="90" w:type="dxa"/>
              <w:start w:w="100" w:type="dxa"/>
              <w:bottom w:w="90" w:type="dxa"/>
              <w:end w:w="100" w:type="dxa"/>
            </w:tcMar>
            <w:vAlign w:val="center"/>
          </w:tcPr>
          <w:p>
            <w:pPr>
              <w:spacing w:after="0"/>
            </w:pPr>
            <w:r>
              <w:rPr>
                <w:rFonts w:ascii="Aptos" w:hAnsi="Aptos" w:eastAsia="Aptos"/>
                <w:sz w:val="14"/>
              </w:rPr>
              <w:t>Proof chain links stable IDs</w:t>
            </w:r>
          </w:p>
        </w:tc>
        <w:tc>
          <w:tcPr>
            <w:tcW w:type="dxa" w:w="1440"/>
            <w:tcMar>
              <w:top w:w="90" w:type="dxa"/>
              <w:start w:w="100" w:type="dxa"/>
              <w:bottom w:w="90" w:type="dxa"/>
              <w:end w:w="100" w:type="dxa"/>
            </w:tcMar>
            <w:vAlign w:val="center"/>
          </w:tcPr>
          <w:p>
            <w:pPr>
              <w:spacing w:after="0"/>
            </w:pPr>
            <w:r>
              <w:rPr>
                <w:rFonts w:ascii="Aptos" w:hAnsi="Aptos" w:eastAsia="Aptos"/>
                <w:sz w:val="14"/>
              </w:rPr>
              <w:t>COMP</w:t>
            </w:r>
          </w:p>
        </w:tc>
        <w:tc>
          <w:tcPr>
            <w:tcW w:type="dxa" w:w="2016"/>
            <w:tcMar>
              <w:top w:w="90" w:type="dxa"/>
              <w:start w:w="100" w:type="dxa"/>
              <w:bottom w:w="90" w:type="dxa"/>
              <w:end w:w="100" w:type="dxa"/>
            </w:tcMar>
            <w:vAlign w:val="center"/>
          </w:tcPr>
          <w:p>
            <w:pPr>
              <w:spacing w:after="0"/>
            </w:pPr>
            <w:r>
              <w:rPr>
                <w:rFonts w:ascii="Aptos" w:hAnsi="Aptos" w:eastAsia="Aptos"/>
                <w:sz w:val="14"/>
              </w:rPr>
              <w:t>reference integrity</w:t>
            </w:r>
          </w:p>
        </w:tc>
      </w:tr>
      <w:tr>
        <w:tc>
          <w:tcPr>
            <w:tcW w:type="dxa" w:w="1440"/>
            <w:tcMar>
              <w:top w:w="90" w:type="dxa"/>
              <w:start w:w="100" w:type="dxa"/>
              <w:bottom w:w="90" w:type="dxa"/>
              <w:end w:w="100" w:type="dxa"/>
            </w:tcMar>
            <w:vAlign w:val="center"/>
            <w:shd w:fill="F5F7F9"/>
          </w:tcPr>
          <w:p>
            <w:pPr>
              <w:spacing w:after="0"/>
            </w:pPr>
            <w:r>
              <w:rPr>
                <w:rFonts w:ascii="Aptos" w:hAnsi="Aptos" w:eastAsia="Aptos"/>
                <w:sz w:val="14"/>
              </w:rPr>
              <w:t>T2-PO-472</w:t>
            </w:r>
          </w:p>
        </w:tc>
        <w:tc>
          <w:tcPr>
            <w:tcW w:type="dxa" w:w="5040"/>
            <w:tcMar>
              <w:top w:w="90" w:type="dxa"/>
              <w:start w:w="100" w:type="dxa"/>
              <w:bottom w:w="90" w:type="dxa"/>
              <w:end w:w="100" w:type="dxa"/>
            </w:tcMar>
            <w:vAlign w:val="center"/>
            <w:shd w:fill="F5F7F9"/>
          </w:tcPr>
          <w:p>
            <w:pPr>
              <w:spacing w:after="0"/>
            </w:pPr>
            <w:r>
              <w:rPr>
                <w:rFonts w:ascii="Aptos" w:hAnsi="Aptos" w:eastAsia="Aptos"/>
                <w:sz w:val="14"/>
              </w:rPr>
              <w:t>Hash chain canonical serialization fixed</w:t>
            </w:r>
          </w:p>
        </w:tc>
        <w:tc>
          <w:tcPr>
            <w:tcW w:type="dxa" w:w="1440"/>
            <w:tcMar>
              <w:top w:w="90" w:type="dxa"/>
              <w:start w:w="100" w:type="dxa"/>
              <w:bottom w:w="90" w:type="dxa"/>
              <w:end w:w="100" w:type="dxa"/>
            </w:tcMar>
            <w:vAlign w:val="center"/>
            <w:shd w:fill="F5F7F9"/>
          </w:tcPr>
          <w:p>
            <w:pPr>
              <w:spacing w:after="0"/>
            </w:pPr>
            <w:r>
              <w:rPr>
                <w:rFonts w:ascii="Aptos" w:hAnsi="Aptos" w:eastAsia="Aptos"/>
                <w:sz w:val="14"/>
              </w:rPr>
              <w:t>OPEN</w:t>
            </w:r>
          </w:p>
        </w:tc>
        <w:tc>
          <w:tcPr>
            <w:tcW w:type="dxa" w:w="2016"/>
            <w:tcMar>
              <w:top w:w="90" w:type="dxa"/>
              <w:start w:w="100" w:type="dxa"/>
              <w:bottom w:w="90" w:type="dxa"/>
              <w:end w:w="100" w:type="dxa"/>
            </w:tcMar>
            <w:vAlign w:val="center"/>
            <w:shd w:fill="F5F7F9"/>
          </w:tcPr>
          <w:p>
            <w:pPr>
              <w:spacing w:after="0"/>
            </w:pPr>
            <w:r>
              <w:rPr>
                <w:rFonts w:ascii="Aptos" w:hAnsi="Aptos" w:eastAsia="Aptos"/>
                <w:sz w:val="14"/>
              </w:rPr>
              <w:t>canonical encoding</w:t>
            </w:r>
          </w:p>
        </w:tc>
      </w:tr>
      <w:tr>
        <w:tc>
          <w:tcPr>
            <w:tcW w:type="dxa" w:w="1440"/>
            <w:tcMar>
              <w:top w:w="90" w:type="dxa"/>
              <w:start w:w="100" w:type="dxa"/>
              <w:bottom w:w="90" w:type="dxa"/>
              <w:end w:w="100" w:type="dxa"/>
            </w:tcMar>
            <w:vAlign w:val="center"/>
          </w:tcPr>
          <w:p>
            <w:pPr>
              <w:spacing w:after="0"/>
            </w:pPr>
            <w:r>
              <w:rPr>
                <w:rFonts w:ascii="Aptos" w:hAnsi="Aptos" w:eastAsia="Aptos"/>
                <w:sz w:val="14"/>
              </w:rPr>
              <w:t>T2-PO-473</w:t>
            </w:r>
          </w:p>
        </w:tc>
        <w:tc>
          <w:tcPr>
            <w:tcW w:type="dxa" w:w="5040"/>
            <w:tcMar>
              <w:top w:w="90" w:type="dxa"/>
              <w:start w:w="100" w:type="dxa"/>
              <w:bottom w:w="90" w:type="dxa"/>
              <w:end w:w="100" w:type="dxa"/>
            </w:tcMar>
            <w:vAlign w:val="center"/>
          </w:tcPr>
          <w:p>
            <w:pPr>
              <w:spacing w:after="0"/>
            </w:pPr>
            <w:r>
              <w:rPr>
                <w:rFonts w:ascii="Aptos" w:hAnsi="Aptos" w:eastAsia="Aptos"/>
                <w:sz w:val="14"/>
              </w:rPr>
              <w:t>Nondeterministic parallel runs reproducible</w:t>
            </w:r>
          </w:p>
        </w:tc>
        <w:tc>
          <w:tcPr>
            <w:tcW w:type="dxa" w:w="1440"/>
            <w:tcMar>
              <w:top w:w="90" w:type="dxa"/>
              <w:start w:w="100" w:type="dxa"/>
              <w:bottom w:w="90" w:type="dxa"/>
              <w:end w:w="100" w:type="dxa"/>
            </w:tcMar>
            <w:vAlign w:val="center"/>
          </w:tcPr>
          <w:p>
            <w:pPr>
              <w:spacing w:after="0"/>
            </w:pPr>
            <w:r>
              <w:rPr>
                <w:rFonts w:ascii="Aptos" w:hAnsi="Aptos" w:eastAsia="Aptos"/>
                <w:sz w:val="14"/>
              </w:rPr>
              <w:t>OPEN</w:t>
            </w:r>
          </w:p>
        </w:tc>
        <w:tc>
          <w:tcPr>
            <w:tcW w:type="dxa" w:w="2016"/>
            <w:tcMar>
              <w:top w:w="90" w:type="dxa"/>
              <w:start w:w="100" w:type="dxa"/>
              <w:bottom w:w="90" w:type="dxa"/>
              <w:end w:w="100" w:type="dxa"/>
            </w:tcMar>
            <w:vAlign w:val="center"/>
          </w:tcPr>
          <w:p>
            <w:pPr>
              <w:spacing w:after="0"/>
            </w:pPr>
            <w:r>
              <w:rPr>
                <w:rFonts w:ascii="Aptos" w:hAnsi="Aptos" w:eastAsia="Aptos"/>
                <w:sz w:val="14"/>
              </w:rPr>
              <w:t>deterministic reduction or interval</w:t>
            </w:r>
          </w:p>
        </w:tc>
      </w:tr>
      <w:tr>
        <w:tc>
          <w:tcPr>
            <w:tcW w:type="dxa" w:w="1440"/>
            <w:tcMar>
              <w:top w:w="90" w:type="dxa"/>
              <w:start w:w="100" w:type="dxa"/>
              <w:bottom w:w="90" w:type="dxa"/>
              <w:end w:w="100" w:type="dxa"/>
            </w:tcMar>
            <w:vAlign w:val="center"/>
            <w:shd w:fill="F5F7F9"/>
          </w:tcPr>
          <w:p>
            <w:pPr>
              <w:spacing w:after="0"/>
            </w:pPr>
            <w:r>
              <w:rPr>
                <w:rFonts w:ascii="Aptos" w:hAnsi="Aptos" w:eastAsia="Aptos"/>
                <w:sz w:val="14"/>
              </w:rPr>
              <w:t>T2-PO-474</w:t>
            </w:r>
          </w:p>
        </w:tc>
        <w:tc>
          <w:tcPr>
            <w:tcW w:type="dxa" w:w="5040"/>
            <w:tcMar>
              <w:top w:w="90" w:type="dxa"/>
              <w:start w:w="100" w:type="dxa"/>
              <w:bottom w:w="90" w:type="dxa"/>
              <w:end w:w="100" w:type="dxa"/>
            </w:tcMar>
            <w:vAlign w:val="center"/>
            <w:shd w:fill="F5F7F9"/>
          </w:tcPr>
          <w:p>
            <w:pPr>
              <w:spacing w:after="0"/>
            </w:pPr>
            <w:r>
              <w:rPr>
                <w:rFonts w:ascii="Aptos" w:hAnsi="Aptos" w:eastAsia="Aptos"/>
                <w:sz w:val="14"/>
              </w:rPr>
              <w:t>Environment capture sufficient</w:t>
            </w:r>
          </w:p>
        </w:tc>
        <w:tc>
          <w:tcPr>
            <w:tcW w:type="dxa" w:w="1440"/>
            <w:tcMar>
              <w:top w:w="90" w:type="dxa"/>
              <w:start w:w="100" w:type="dxa"/>
              <w:bottom w:w="90" w:type="dxa"/>
              <w:end w:w="100" w:type="dxa"/>
            </w:tcMar>
            <w:vAlign w:val="center"/>
            <w:shd w:fill="F5F7F9"/>
          </w:tcPr>
          <w:p>
            <w:pPr>
              <w:spacing w:after="0"/>
            </w:pPr>
            <w:r>
              <w:rPr>
                <w:rFonts w:ascii="Aptos" w:hAnsi="Aptos" w:eastAsia="Aptos"/>
                <w:sz w:val="14"/>
              </w:rPr>
              <w:t>OPEN</w:t>
            </w:r>
          </w:p>
        </w:tc>
        <w:tc>
          <w:tcPr>
            <w:tcW w:type="dxa" w:w="2016"/>
            <w:tcMar>
              <w:top w:w="90" w:type="dxa"/>
              <w:start w:w="100" w:type="dxa"/>
              <w:bottom w:w="90" w:type="dxa"/>
              <w:end w:w="100" w:type="dxa"/>
            </w:tcMar>
            <w:vAlign w:val="center"/>
            <w:shd w:fill="F5F7F9"/>
          </w:tcPr>
          <w:p>
            <w:pPr>
              <w:spacing w:after="0"/>
            </w:pPr>
            <w:r>
              <w:rPr>
                <w:rFonts w:ascii="Aptos" w:hAnsi="Aptos" w:eastAsia="Aptos"/>
                <w:sz w:val="14"/>
              </w:rPr>
              <w:t>container lockfile</w:t>
            </w:r>
          </w:p>
        </w:tc>
      </w:tr>
      <w:tr>
        <w:tc>
          <w:tcPr>
            <w:tcW w:type="dxa" w:w="1440"/>
            <w:tcMar>
              <w:top w:w="90" w:type="dxa"/>
              <w:start w:w="100" w:type="dxa"/>
              <w:bottom w:w="90" w:type="dxa"/>
              <w:end w:w="100" w:type="dxa"/>
            </w:tcMar>
            <w:vAlign w:val="center"/>
          </w:tcPr>
          <w:p>
            <w:pPr>
              <w:spacing w:after="0"/>
            </w:pPr>
            <w:r>
              <w:rPr>
                <w:rFonts w:ascii="Aptos" w:hAnsi="Aptos" w:eastAsia="Aptos"/>
                <w:sz w:val="14"/>
              </w:rPr>
              <w:t>T2-PO-475</w:t>
            </w:r>
          </w:p>
        </w:tc>
        <w:tc>
          <w:tcPr>
            <w:tcW w:type="dxa" w:w="5040"/>
            <w:tcMar>
              <w:top w:w="90" w:type="dxa"/>
              <w:start w:w="100" w:type="dxa"/>
              <w:bottom w:w="90" w:type="dxa"/>
              <w:end w:w="100" w:type="dxa"/>
            </w:tcMar>
            <w:vAlign w:val="center"/>
          </w:tcPr>
          <w:p>
            <w:pPr>
              <w:spacing w:after="0"/>
            </w:pPr>
            <w:r>
              <w:rPr>
                <w:rFonts w:ascii="Aptos" w:hAnsi="Aptos" w:eastAsia="Aptos"/>
                <w:sz w:val="14"/>
              </w:rPr>
              <w:t>Independent verifier implemented</w:t>
            </w:r>
          </w:p>
        </w:tc>
        <w:tc>
          <w:tcPr>
            <w:tcW w:type="dxa" w:w="1440"/>
            <w:tcMar>
              <w:top w:w="90" w:type="dxa"/>
              <w:start w:w="100" w:type="dxa"/>
              <w:bottom w:w="90" w:type="dxa"/>
              <w:end w:w="100" w:type="dxa"/>
            </w:tcMar>
            <w:vAlign w:val="center"/>
          </w:tcPr>
          <w:p>
            <w:pPr>
              <w:spacing w:after="0"/>
            </w:pPr>
            <w:r>
              <w:rPr>
                <w:rFonts w:ascii="Aptos" w:hAnsi="Aptos" w:eastAsia="Aptos"/>
                <w:sz w:val="14"/>
              </w:rPr>
              <w:t>OPEN</w:t>
            </w:r>
          </w:p>
        </w:tc>
        <w:tc>
          <w:tcPr>
            <w:tcW w:type="dxa" w:w="2016"/>
            <w:tcMar>
              <w:top w:w="90" w:type="dxa"/>
              <w:start w:w="100" w:type="dxa"/>
              <w:bottom w:w="90" w:type="dxa"/>
              <w:end w:w="100" w:type="dxa"/>
            </w:tcMar>
            <w:vAlign w:val="center"/>
          </w:tcPr>
          <w:p>
            <w:pPr>
              <w:spacing w:after="0"/>
            </w:pPr>
            <w:r>
              <w:rPr>
                <w:rFonts w:ascii="Aptos" w:hAnsi="Aptos" w:eastAsia="Aptos"/>
                <w:sz w:val="14"/>
              </w:rPr>
              <w:t>separate codebase</w:t>
            </w:r>
          </w:p>
        </w:tc>
      </w:tr>
      <w:tr>
        <w:tc>
          <w:tcPr>
            <w:tcW w:type="dxa" w:w="1440"/>
            <w:tcMar>
              <w:top w:w="90" w:type="dxa"/>
              <w:start w:w="100" w:type="dxa"/>
              <w:bottom w:w="90" w:type="dxa"/>
              <w:end w:w="100" w:type="dxa"/>
            </w:tcMar>
            <w:vAlign w:val="center"/>
            <w:shd w:fill="F5F7F9"/>
          </w:tcPr>
          <w:p>
            <w:pPr>
              <w:spacing w:after="0"/>
            </w:pPr>
            <w:r>
              <w:rPr>
                <w:rFonts w:ascii="Aptos" w:hAnsi="Aptos" w:eastAsia="Aptos"/>
                <w:sz w:val="14"/>
              </w:rPr>
              <w:t>T2-PO-476</w:t>
            </w:r>
          </w:p>
        </w:tc>
        <w:tc>
          <w:tcPr>
            <w:tcW w:type="dxa" w:w="5040"/>
            <w:tcMar>
              <w:top w:w="90" w:type="dxa"/>
              <w:start w:w="100" w:type="dxa"/>
              <w:bottom w:w="90" w:type="dxa"/>
              <w:end w:w="100" w:type="dxa"/>
            </w:tcMar>
            <w:vAlign w:val="center"/>
            <w:shd w:fill="F5F7F9"/>
          </w:tcPr>
          <w:p>
            <w:pPr>
              <w:spacing w:after="0"/>
            </w:pPr>
            <w:r>
              <w:rPr>
                <w:rFonts w:ascii="Aptos" w:hAnsi="Aptos" w:eastAsia="Aptos"/>
                <w:sz w:val="14"/>
              </w:rPr>
              <w:t>Adversarial integrated test suite complete</w:t>
            </w:r>
          </w:p>
        </w:tc>
        <w:tc>
          <w:tcPr>
            <w:tcW w:type="dxa" w:w="1440"/>
            <w:tcMar>
              <w:top w:w="90" w:type="dxa"/>
              <w:start w:w="100" w:type="dxa"/>
              <w:bottom w:w="90" w:type="dxa"/>
              <w:end w:w="100" w:type="dxa"/>
            </w:tcMar>
            <w:vAlign w:val="center"/>
            <w:shd w:fill="F5F7F9"/>
          </w:tcPr>
          <w:p>
            <w:pPr>
              <w:spacing w:after="0"/>
            </w:pPr>
            <w:r>
              <w:rPr>
                <w:rFonts w:ascii="Aptos" w:hAnsi="Aptos" w:eastAsia="Aptos"/>
                <w:sz w:val="14"/>
              </w:rPr>
              <w:t>OPEN</w:t>
            </w:r>
          </w:p>
        </w:tc>
        <w:tc>
          <w:tcPr>
            <w:tcW w:type="dxa" w:w="2016"/>
            <w:tcMar>
              <w:top w:w="90" w:type="dxa"/>
              <w:start w:w="100" w:type="dxa"/>
              <w:bottom w:w="90" w:type="dxa"/>
              <w:end w:w="100" w:type="dxa"/>
            </w:tcMar>
            <w:vAlign w:val="center"/>
            <w:shd w:fill="F5F7F9"/>
          </w:tcPr>
          <w:p>
            <w:pPr>
              <w:spacing w:after="0"/>
            </w:pPr>
            <w:r>
              <w:rPr>
                <w:rFonts w:ascii="Aptos" w:hAnsi="Aptos" w:eastAsia="Aptos"/>
                <w:sz w:val="14"/>
              </w:rPr>
              <w:t>red-team corpus</w:t>
            </w:r>
          </w:p>
        </w:tc>
      </w:tr>
      <w:tr>
        <w:tc>
          <w:tcPr>
            <w:tcW w:type="dxa" w:w="1440"/>
            <w:tcMar>
              <w:top w:w="90" w:type="dxa"/>
              <w:start w:w="100" w:type="dxa"/>
              <w:bottom w:w="90" w:type="dxa"/>
              <w:end w:w="100" w:type="dxa"/>
            </w:tcMar>
            <w:vAlign w:val="center"/>
          </w:tcPr>
          <w:p>
            <w:pPr>
              <w:spacing w:after="0"/>
            </w:pPr>
            <w:r>
              <w:rPr>
                <w:rFonts w:ascii="Aptos" w:hAnsi="Aptos" w:eastAsia="Aptos"/>
                <w:sz w:val="14"/>
              </w:rPr>
              <w:t>T2-PO-477</w:t>
            </w:r>
          </w:p>
        </w:tc>
        <w:tc>
          <w:tcPr>
            <w:tcW w:type="dxa" w:w="5040"/>
            <w:tcMar>
              <w:top w:w="90" w:type="dxa"/>
              <w:start w:w="100" w:type="dxa"/>
              <w:bottom w:w="90" w:type="dxa"/>
              <w:end w:w="100" w:type="dxa"/>
            </w:tcMar>
            <w:vAlign w:val="center"/>
          </w:tcPr>
          <w:p>
            <w:pPr>
              <w:spacing w:after="0"/>
            </w:pPr>
            <w:r>
              <w:rPr>
                <w:rFonts w:ascii="Aptos" w:hAnsi="Aptos" w:eastAsia="Aptos"/>
                <w:sz w:val="14"/>
              </w:rPr>
              <w:t>Theorem 24.4 formally proved</w:t>
            </w:r>
          </w:p>
        </w:tc>
        <w:tc>
          <w:tcPr>
            <w:tcW w:type="dxa" w:w="1440"/>
            <w:tcMar>
              <w:top w:w="90" w:type="dxa"/>
              <w:start w:w="100" w:type="dxa"/>
              <w:bottom w:w="90" w:type="dxa"/>
              <w:end w:w="100" w:type="dxa"/>
            </w:tcMar>
            <w:vAlign w:val="center"/>
          </w:tcPr>
          <w:p>
            <w:pPr>
              <w:spacing w:after="0"/>
            </w:pPr>
            <w:r>
              <w:rPr>
                <w:rFonts w:ascii="Aptos" w:hAnsi="Aptos" w:eastAsia="Aptos"/>
                <w:sz w:val="14"/>
              </w:rPr>
              <w:t>COND</w:t>
            </w:r>
          </w:p>
        </w:tc>
        <w:tc>
          <w:tcPr>
            <w:tcW w:type="dxa" w:w="2016"/>
            <w:tcMar>
              <w:top w:w="90" w:type="dxa"/>
              <w:start w:w="100" w:type="dxa"/>
              <w:bottom w:w="90" w:type="dxa"/>
              <w:end w:w="100" w:type="dxa"/>
            </w:tcMar>
            <w:vAlign w:val="center"/>
          </w:tcPr>
          <w:p>
            <w:pPr>
              <w:spacing w:after="0"/>
            </w:pPr>
            <w:r>
              <w:rPr>
                <w:rFonts w:ascii="Aptos" w:hAnsi="Aptos" w:eastAsia="Aptos"/>
                <w:sz w:val="14"/>
              </w:rPr>
              <w:t>Lean/Coq/Isabelle target</w:t>
            </w:r>
          </w:p>
        </w:tc>
      </w:tr>
      <w:tr>
        <w:tc>
          <w:tcPr>
            <w:tcW w:type="dxa" w:w="1440"/>
            <w:tcMar>
              <w:top w:w="90" w:type="dxa"/>
              <w:start w:w="100" w:type="dxa"/>
              <w:bottom w:w="90" w:type="dxa"/>
              <w:end w:w="100" w:type="dxa"/>
            </w:tcMar>
            <w:vAlign w:val="center"/>
            <w:shd w:fill="F5F7F9"/>
          </w:tcPr>
          <w:p>
            <w:pPr>
              <w:spacing w:after="0"/>
            </w:pPr>
            <w:r>
              <w:rPr>
                <w:rFonts w:ascii="Aptos" w:hAnsi="Aptos" w:eastAsia="Aptos"/>
                <w:sz w:val="14"/>
              </w:rPr>
              <w:t>T2-PO-478</w:t>
            </w:r>
          </w:p>
        </w:tc>
        <w:tc>
          <w:tcPr>
            <w:tcW w:type="dxa" w:w="5040"/>
            <w:tcMar>
              <w:top w:w="90" w:type="dxa"/>
              <w:start w:w="100" w:type="dxa"/>
              <w:bottom w:w="90" w:type="dxa"/>
              <w:end w:w="100" w:type="dxa"/>
            </w:tcMar>
            <w:vAlign w:val="center"/>
            <w:shd w:fill="F5F7F9"/>
          </w:tcPr>
          <w:p>
            <w:pPr>
              <w:spacing w:after="0"/>
            </w:pPr>
            <w:r>
              <w:rPr>
                <w:rFonts w:ascii="Aptos" w:hAnsi="Aptos" w:eastAsia="Aptos"/>
                <w:sz w:val="14"/>
              </w:rPr>
              <w:t>Completeness limits documented per domain</w:t>
            </w:r>
          </w:p>
        </w:tc>
        <w:tc>
          <w:tcPr>
            <w:tcW w:type="dxa" w:w="1440"/>
            <w:tcMar>
              <w:top w:w="90" w:type="dxa"/>
              <w:start w:w="100" w:type="dxa"/>
              <w:bottom w:w="90" w:type="dxa"/>
              <w:end w:w="100" w:type="dxa"/>
            </w:tcMar>
            <w:vAlign w:val="center"/>
            <w:shd w:fill="F5F7F9"/>
          </w:tcPr>
          <w:p>
            <w:pPr>
              <w:spacing w:after="0"/>
            </w:pPr>
            <w:r>
              <w:rPr>
                <w:rFonts w:ascii="Aptos" w:hAnsi="Aptos" w:eastAsia="Aptos"/>
                <w:sz w:val="14"/>
              </w:rPr>
              <w:t>OPEN</w:t>
            </w:r>
          </w:p>
        </w:tc>
        <w:tc>
          <w:tcPr>
            <w:tcW w:type="dxa" w:w="2016"/>
            <w:tcMar>
              <w:top w:w="90" w:type="dxa"/>
              <w:start w:w="100" w:type="dxa"/>
              <w:bottom w:w="90" w:type="dxa"/>
              <w:end w:w="100" w:type="dxa"/>
            </w:tcMar>
            <w:vAlign w:val="center"/>
            <w:shd w:fill="F5F7F9"/>
          </w:tcPr>
          <w:p>
            <w:pPr>
              <w:spacing w:after="0"/>
            </w:pPr>
            <w:r>
              <w:rPr>
                <w:rFonts w:ascii="Aptos" w:hAnsi="Aptos" w:eastAsia="Aptos"/>
                <w:sz w:val="14"/>
              </w:rPr>
              <w:t>domain dossiers</w:t>
            </w:r>
          </w:p>
        </w:tc>
      </w:tr>
      <w:tr>
        <w:tc>
          <w:tcPr>
            <w:tcW w:type="dxa" w:w="1440"/>
            <w:tcMar>
              <w:top w:w="90" w:type="dxa"/>
              <w:start w:w="100" w:type="dxa"/>
              <w:bottom w:w="90" w:type="dxa"/>
              <w:end w:w="100" w:type="dxa"/>
            </w:tcMar>
            <w:vAlign w:val="center"/>
          </w:tcPr>
          <w:p>
            <w:pPr>
              <w:spacing w:after="0"/>
            </w:pPr>
            <w:r>
              <w:rPr>
                <w:rFonts w:ascii="Aptos" w:hAnsi="Aptos" w:eastAsia="Aptos"/>
                <w:sz w:val="14"/>
              </w:rPr>
              <w:t>T2-PO-479</w:t>
            </w:r>
          </w:p>
        </w:tc>
        <w:tc>
          <w:tcPr>
            <w:tcW w:type="dxa" w:w="5040"/>
            <w:tcMar>
              <w:top w:w="90" w:type="dxa"/>
              <w:start w:w="100" w:type="dxa"/>
              <w:bottom w:w="90" w:type="dxa"/>
              <w:end w:w="100" w:type="dxa"/>
            </w:tcMar>
            <w:vAlign w:val="center"/>
          </w:tcPr>
          <w:p>
            <w:pPr>
              <w:spacing w:after="0"/>
            </w:pPr>
            <w:r>
              <w:rPr>
                <w:rFonts w:ascii="Aptos" w:hAnsi="Aptos" w:eastAsia="Aptos"/>
                <w:sz w:val="14"/>
              </w:rPr>
              <w:t>Falsifiability matrix linked to all theorem IDs</w:t>
            </w:r>
          </w:p>
        </w:tc>
        <w:tc>
          <w:tcPr>
            <w:tcW w:type="dxa" w:w="1440"/>
            <w:tcMar>
              <w:top w:w="90" w:type="dxa"/>
              <w:start w:w="100" w:type="dxa"/>
              <w:bottom w:w="90" w:type="dxa"/>
              <w:end w:w="100" w:type="dxa"/>
            </w:tcMar>
            <w:vAlign w:val="center"/>
          </w:tcPr>
          <w:p>
            <w:pPr>
              <w:spacing w:after="0"/>
            </w:pPr>
            <w:r>
              <w:rPr>
                <w:rFonts w:ascii="Aptos" w:hAnsi="Aptos" w:eastAsia="Aptos"/>
                <w:sz w:val="14"/>
              </w:rPr>
              <w:t>COMP</w:t>
            </w:r>
          </w:p>
        </w:tc>
        <w:tc>
          <w:tcPr>
            <w:tcW w:type="dxa" w:w="2016"/>
            <w:tcMar>
              <w:top w:w="90" w:type="dxa"/>
              <w:start w:w="100" w:type="dxa"/>
              <w:bottom w:w="90" w:type="dxa"/>
              <w:end w:w="100" w:type="dxa"/>
            </w:tcMar>
            <w:vAlign w:val="center"/>
          </w:tcPr>
          <w:p>
            <w:pPr>
              <w:spacing w:after="0"/>
            </w:pPr>
            <w:r>
              <w:rPr>
                <w:rFonts w:ascii="Aptos" w:hAnsi="Aptos" w:eastAsia="Aptos"/>
                <w:sz w:val="14"/>
              </w:rPr>
              <w:t>cross-reference audit</w:t>
            </w:r>
          </w:p>
        </w:tc>
      </w:tr>
      <w:tr>
        <w:tc>
          <w:tcPr>
            <w:tcW w:type="dxa" w:w="1440"/>
            <w:tcMar>
              <w:top w:w="90" w:type="dxa"/>
              <w:start w:w="100" w:type="dxa"/>
              <w:bottom w:w="90" w:type="dxa"/>
              <w:end w:w="100" w:type="dxa"/>
            </w:tcMar>
            <w:vAlign w:val="center"/>
            <w:shd w:fill="F5F7F9"/>
          </w:tcPr>
          <w:p>
            <w:pPr>
              <w:spacing w:after="0"/>
            </w:pPr>
            <w:r>
              <w:rPr>
                <w:rFonts w:ascii="Aptos" w:hAnsi="Aptos" w:eastAsia="Aptos"/>
                <w:sz w:val="14"/>
              </w:rPr>
              <w:t>T2-PO-480</w:t>
            </w:r>
          </w:p>
        </w:tc>
        <w:tc>
          <w:tcPr>
            <w:tcW w:type="dxa" w:w="5040"/>
            <w:tcMar>
              <w:top w:w="90" w:type="dxa"/>
              <w:start w:w="100" w:type="dxa"/>
              <w:bottom w:w="90" w:type="dxa"/>
              <w:end w:w="100" w:type="dxa"/>
            </w:tcMar>
            <w:vAlign w:val="center"/>
            <w:shd w:fill="F5F7F9"/>
          </w:tcPr>
          <w:p>
            <w:pPr>
              <w:spacing w:after="0"/>
            </w:pPr>
            <w:r>
              <w:rPr>
                <w:rFonts w:ascii="Aptos" w:hAnsi="Aptos" w:eastAsia="Aptos"/>
                <w:sz w:val="14"/>
              </w:rPr>
              <w:t>EXT-RUN for F-1-F-14 executed</w:t>
            </w:r>
          </w:p>
        </w:tc>
        <w:tc>
          <w:tcPr>
            <w:tcW w:type="dxa" w:w="1440"/>
            <w:tcMar>
              <w:top w:w="90" w:type="dxa"/>
              <w:start w:w="100" w:type="dxa"/>
              <w:bottom w:w="90" w:type="dxa"/>
              <w:end w:w="100" w:type="dxa"/>
            </w:tcMar>
            <w:vAlign w:val="center"/>
            <w:shd w:fill="F5F7F9"/>
          </w:tcPr>
          <w:p>
            <w:pPr>
              <w:spacing w:after="0"/>
            </w:pPr>
            <w:r>
              <w:rPr>
                <w:rFonts w:ascii="Aptos" w:hAnsi="Aptos" w:eastAsia="Aptos"/>
                <w:sz w:val="14"/>
              </w:rPr>
              <w:t>OPEN/PHY-HYP</w:t>
            </w:r>
          </w:p>
        </w:tc>
        <w:tc>
          <w:tcPr>
            <w:tcW w:type="dxa" w:w="2016"/>
            <w:tcMar>
              <w:top w:w="90" w:type="dxa"/>
              <w:start w:w="100" w:type="dxa"/>
              <w:bottom w:w="90" w:type="dxa"/>
              <w:end w:w="100" w:type="dxa"/>
            </w:tcMar>
            <w:vAlign w:val="center"/>
            <w:shd w:fill="F5F7F9"/>
          </w:tcPr>
          <w:p>
            <w:pPr>
              <w:spacing w:after="0"/>
            </w:pPr>
            <w:r>
              <w:rPr>
                <w:rFonts w:ascii="Aptos" w:hAnsi="Aptos" w:eastAsia="Aptos"/>
                <w:sz w:val="14"/>
              </w:rPr>
              <w:t>independent preregistered run</w:t>
            </w:r>
          </w:p>
        </w:tc>
      </w:tr>
    </w:tbl>
    <w:p>
      <w:pPr>
        <w:pStyle w:val="Heading1"/>
        <w:widowControl/>
      </w:pPr>
      <w:r>
        <w:t>419. Prior art и граница авторского синтеза</w:t>
      </w:r>
    </w:p>
    <w:p>
      <w:pPr>
        <w:widowControl/>
      </w:pPr>
      <w:r>
        <w:rPr>
          <w:i w:val="0"/>
        </w:rPr>
        <w:t>Классический prior art включает логику программ и контракты, формальную derivation, abstract interpretation, категории частичных отображений, proof-carrying code, неравенства объединения, martingale/e-process дисциплину, conformal prediction и distributionally robust optimization. Авторский вклад данной главы состоит не в присвоении этих теорий, а в их соединении с NAPG/Reper/D-Dom архитектурой, статусной решёткой, однородной Λ-координатой и многослойным falsifiability ledger проекта KLT-RBD.</w:t>
      </w:r>
    </w:p>
    <w:p>
      <w:pPr>
        <w:widowControl/>
      </w:pPr>
      <w:r>
        <w:rPr>
          <w:i w:val="0"/>
        </w:rPr>
        <w:t>[V0.21-1] Hoare, C. A. R. An Axiomatic Basis for Computer Programming. Communications of the ACM 12(10), 576-580 (1969). DOI 10.1145/363235.363259.</w:t>
      </w:r>
    </w:p>
    <w:p>
      <w:pPr>
        <w:widowControl/>
      </w:pPr>
      <w:r>
        <w:rPr>
          <w:i w:val="0"/>
        </w:rPr>
        <w:t>[V0.21-2] Dijkstra, E. W. Guarded Commands, Nondeterminacy and Formal Derivation of Programs. Communications of the ACM 18(8), 453-457 (1975). DOI 10.1145/360933.360975.</w:t>
      </w:r>
    </w:p>
    <w:p>
      <w:pPr>
        <w:widowControl/>
      </w:pPr>
      <w:r>
        <w:rPr>
          <w:i w:val="0"/>
        </w:rPr>
        <w:t>[V0.21-3] Cousot, P.; Cousot, R. Abstract Interpretation: A Unified Lattice Model for Static Analysis of Programs by Construction or Approximation of Fixpoints. POPL 1977, 238-252. DOI 10.1145/512950.512973.</w:t>
      </w:r>
    </w:p>
    <w:p>
      <w:pPr>
        <w:widowControl/>
      </w:pPr>
      <w:r>
        <w:rPr>
          <w:i w:val="0"/>
        </w:rPr>
        <w:t>[V0.21-4] Cockett, J. R. B.; Lack, S. Restriction Categories I: Categories of Partial Maps. Theoretical Computer Science 270, 223-259 (2002). DOI 10.1016/S0304-3975(00)00382-0.</w:t>
      </w:r>
    </w:p>
    <w:p>
      <w:pPr>
        <w:widowControl/>
      </w:pPr>
      <w:r>
        <w:rPr>
          <w:i w:val="0"/>
        </w:rPr>
        <w:t>[V0.21-5] Necula, G. C. Proof-Carrying Code. POPL 1997, 106-119. DOI 10.1145/263699.263712.</w:t>
      </w:r>
    </w:p>
    <w:p>
      <w:pPr>
        <w:widowControl/>
      </w:pPr>
      <w:r>
        <w:rPr>
          <w:i w:val="0"/>
        </w:rPr>
        <w:t>[V0.21-6] Bonferroni, C. E. Teoria statistica delle classi e calcolo delle probabilità. Firenze: Seeber, 1936.</w:t>
      </w:r>
    </w:p>
    <w:p>
      <w:pPr>
        <w:widowControl/>
      </w:pPr>
      <w:r>
        <w:rPr>
          <w:i w:val="0"/>
        </w:rPr>
        <w:t>[V0.21-7] Ville, J. Étude critique de la notion de collectif. Paris: Gauthier-Villars, 1939.</w:t>
      </w:r>
    </w:p>
    <w:p>
      <w:pPr>
        <w:widowControl/>
      </w:pPr>
      <w:r>
        <w:rPr>
          <w:i w:val="0"/>
        </w:rPr>
        <w:t>[V0.21-8] Howard, S. R.; Ramdas, A.; McAuliffe, J.; Sekhon, J. Time-uniform Chernoff bounds via nonnegative supermartingales. arXiv:1808.03204; Annals of Statistics publication line.</w:t>
      </w:r>
    </w:p>
    <w:p>
      <w:pPr>
        <w:widowControl/>
      </w:pPr>
      <w:r>
        <w:rPr>
          <w:i w:val="0"/>
        </w:rPr>
        <w:t>[V0.21-9] Vovk, V.; Gammerman, A.; Shafer, G. Algorithmic Learning in a Random World. Springer, 2005. DOI 10.1007/b106715.</w:t>
      </w:r>
    </w:p>
    <w:p>
      <w:pPr>
        <w:widowControl/>
      </w:pPr>
      <w:r>
        <w:rPr>
          <w:i w:val="0"/>
        </w:rPr>
        <w:t>[V0.21-10] Mohajerin Esfahani, P.; Kuhn, D. Data-driven distributionally robust optimization using the Wasserstein metric. Mathematical Programming 171, 115-166 (2018).</w:t>
      </w:r>
    </w:p>
    <w:p>
      <w:pPr>
        <w:widowControl/>
      </w:pPr>
      <w:r>
        <w:rPr>
          <w:i w:val="0"/>
        </w:rPr>
        <w:t>[V0.21-11] Kurpishev, I. B. Том I v197 RU; Том II T2-RP-v0.1-v0.20. Внутренний авторский корпус и proof ledgers.</w:t>
      </w:r>
    </w:p>
    <w:p>
      <w:pPr>
        <w:widowControl/>
      </w:pPr>
      <w:r>
        <w:rPr>
          <w:i w:val="0"/>
        </w:rPr>
        <w:t>Граница новизны: «сертифицированная частичная категория» в настоящем тексте является авторским прикладным синтезом над классическими идеями partial maps, contracts и proof-carrying computation; её нельзя представлять как замену соответствующих общих теорий без отдельной сравнительной статьи и формальной эквивалентности.</w:t>
      </w:r>
    </w:p>
    <w:p>
      <w:pPr>
        <w:pStyle w:val="Heading1"/>
        <w:widowControl/>
      </w:pPr>
      <w:r>
        <w:t>420. Контрольная точка, итог Тома II и граница вывода</w:t>
      </w:r>
    </w:p>
    <w:p>
      <w:pPr>
        <w:pStyle w:val="Quote"/>
        <w:widowControl/>
        <w:jc w:val="center"/>
      </w:pPr>
      <w:r>
        <w:t>truth_layer_promotion=0; checkpoint=T2-RP-v0.21; source=T2-RP-v0.20; next=T2-RP-v0.22.  (24.34)</w:t>
      </w:r>
    </w:p>
    <w:p>
      <w:pPr>
        <w:widowControl/>
      </w:pPr>
      <w:r>
        <w:rPr>
          <w:i w:val="0"/>
        </w:rPr>
        <w:t>Глава 24 завершила математическую линию двадцати четырёх глав: от типизированных NAPG-объектов и ассоциатора через атласы, связности, Hodge/Fredholm, препятствия, модули, wall-crossing, virtual/refined carriers и evolution laws к стохастическим, причинным и редкособытийным интерфейсам. Все слои соединены не обычной тотальной функцией, а категорией сертифицированных частичных операторов с правом отказа.</w:t>
      </w:r>
    </w:p>
    <w:p>
      <w:pPr>
        <w:pStyle w:val="Lead"/>
        <w:widowControl/>
      </w:pPr>
      <w:r>
        <w:rPr>
          <w:i w:val="0"/>
        </w:rPr>
        <w:t>Главный технический результат: end-to-end soundness decomposes into local soundness, interface compatibility, associative budget transport, weakest-link status and blocker-safe release. Главный философский результат: предсказание есть не устранение неопределённости, а дисциплинированное построение множества допустимых продолжений вместе с точным реестром того, почему некоторые продолжения разрешены, а другие не имеют права называться выводом.</w:t>
      </w:r>
    </w:p>
    <w:tbl>
      <w:tblPr>
        <w:tblStyle w:val="TableGrid"/>
        <w:tblW w:type="auto" w:w="0"/>
        <w:jc w:val="center"/>
        <w:tblLook w:firstColumn="1" w:firstRow="1" w:lastColumn="0" w:lastRow="0" w:noHBand="0" w:noVBand="1" w:val="04A0"/>
        <w:tblBorders>
          <w:top w:val="single" w:sz="10" w:color="B21F24"/>
          <w:left w:val="single" w:sz="10" w:color="B21F24"/>
          <w:bottom w:val="single" w:sz="10" w:color="B21F24"/>
          <w:right w:val="single" w:sz="10" w:color="B21F24"/>
          <w:insideH w:val="single" w:sz="10" w:color="B21F24"/>
          <w:insideV w:val="single" w:sz="10" w:color="B21F24"/>
        </w:tblBorders>
      </w:tblPr>
      <w:tblGrid>
        <w:gridCol w:w="9752"/>
      </w:tblGrid>
      <w:tr>
        <w:tc>
          <w:tcPr>
            <w:tcW w:type="dxa" w:w="9752"/>
            <w:shd w:fill="FBE8E4"/>
            <w:tcMar>
              <w:top w:w="150" w:type="dxa"/>
              <w:start w:w="180" w:type="dxa"/>
              <w:bottom w:w="150" w:type="dxa"/>
              <w:end w:w="180" w:type="dxa"/>
            </w:tcMar>
          </w:tcPr>
          <w:p>
            <w:r>
              <w:rPr>
                <w:rFonts w:ascii="Aptos" w:hAnsi="Aptos" w:eastAsia="Aptos"/>
                <w:b/>
                <w:color w:val="B21F24"/>
                <w:sz w:val="24"/>
              </w:rPr>
              <w:t>ИТОГОВЫЙ СТАТУС-ЗАМОК</w:t>
              <w:br/>
            </w:r>
            <w:r>
              <w:rPr>
                <w:rFonts w:ascii="Aptos" w:hAnsi="Aptos" w:eastAsia="Aptos"/>
                <w:sz w:val="21"/>
              </w:rPr>
              <w:t>ПН.2 сохраняется как математическая минимаксная теорема в своей модели. Теорема Дезарга-Курпишева применяется только при перечисленных проективных и полярных гипотезах. F-1-F-14 и физические мосты остаются PHY-HYP до независимой проверки. Регистрационные документы подтверждают регистрацию объектов, но не истинность математических или физических утверждений. truth_layer_promotion=0.</w:t>
            </w:r>
          </w:p>
        </w:tc>
      </w:tr>
    </w:tbl>
    <w:p>
      <w:pPr>
        <w:pStyle w:val="Small"/>
        <w:widowControl/>
      </w:pPr>
      <w:r>
        <w:rPr>
          <w:i w:val="0"/>
        </w:rPr>
        <w:t>Следующая сборка tom2_v0_22: интегральный proof audit всех глав, синхронизация theorem/PO index, формульный и предметный указатели, перекрёстные ссылки, приложения, accessibility и publication gate перед заморозкой.</w:t>
      </w:r>
    </w:p>
    <w:p>
      <w:pPr>
        <w:pStyle w:val="Small"/>
        <w:widowControl/>
      </w:pPr>
      <w:r>
        <w:rPr>
          <w:i w:val="0"/>
        </w:rPr>
        <w:t>checkpoint=T2-RP-v0.21; source=T2-RP-v0.20; truth_layer_promotion=0; next=T2-RP-v0.22.</w:t>
      </w:r>
    </w:p>
    <w:sectPr w:rsidR="00FC693F" w:rsidRPr="0006063C" w:rsidSect="00034616">
      <w:headerReference w:type="default" r:id="rId64"/>
      <w:pgSz w:w="11906" w:h="16838"/>
      <w:pgMar w:top="964" w:right="1020" w:bottom="935" w:left="113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Liberation Sans" w:hAnsi="Liberation Sans"/>
        <w:color w:val="5B6573"/>
        <w:sz w:val="16"/>
      </w:rPr>
      <w:t xml:space="preserve">Курпишев Иван Борисович · Калининград · 2026   |   </w:t>
    </w:r>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b w:val="0"/>
      </w:rPr>
      <w:t>БАЗОВЫЙ ПРОЕКТ KLT-RBD · ТОМ II · NAPG 3.0 · v0.21</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4.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b w:val="0"/>
      </w:rPr>
      <w:t>БАЗОВЫЙ ПРОЕКТ KLT-RBD · ТОМ II · NAPG 3.0 · v0.21</w:t>
    </w:r>
  </w:p>
</w:hdr>
</file>

<file path=word/header5.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b w:val="0"/>
      </w:rPr>
      <w:t>БАЗОВЫЙ ПРОЕКТ KLT-RBD · ТОМ II · NAPG 3.0 · v0.21</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90" w:line="259" w:lineRule="auto"/>
    </w:pPr>
    <w:rPr>
      <w:rFonts w:ascii="Liberation Serif" w:hAnsi="Liberation Serif" w:eastAsia="Liberation Serif"/>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pageBreakBefore/>
      <w:spacing w:before="0" w:after="160"/>
      <w:outlineLvl w:val="0"/>
    </w:pPr>
    <w:rPr>
      <w:rFonts w:asciiTheme="majorHAnsi" w:eastAsiaTheme="majorEastAsia" w:hAnsiTheme="majorHAnsi" w:cstheme="majorBidi" w:ascii="Liberation Sans" w:hAnsi="Liberation Sans" w:eastAsia="Liberation Sans"/>
      <w:b/>
      <w:bCs/>
      <w:color w:val="17365D"/>
      <w:sz w:val="36"/>
      <w:szCs w:val="28"/>
    </w:rPr>
  </w:style>
  <w:style w:type="paragraph" w:styleId="Heading2">
    <w:name w:val="heading 2"/>
    <w:basedOn w:val="Normal"/>
    <w:next w:val="Normal"/>
    <w:link w:val="Heading2Char"/>
    <w:uiPriority w:val="9"/>
    <w:unhideWhenUsed/>
    <w:qFormat/>
    <w:rsid w:val="00FC693F"/>
    <w:pPr>
      <w:keepNext/>
      <w:keepLines/>
      <w:spacing w:before="180" w:after="100"/>
      <w:outlineLvl w:val="1"/>
    </w:pPr>
    <w:rPr>
      <w:rFonts w:asciiTheme="majorHAnsi" w:eastAsiaTheme="majorEastAsia" w:hAnsiTheme="majorHAnsi" w:cstheme="majorBidi" w:ascii="Liberation Sans" w:hAnsi="Liberation Sans" w:eastAsia="Liberation Sans"/>
      <w:b/>
      <w:bCs/>
      <w:color w:val="2F5597"/>
      <w:sz w:val="26"/>
      <w:szCs w:val="26"/>
    </w:rPr>
  </w:style>
  <w:style w:type="paragraph" w:styleId="Heading3">
    <w:name w:val="heading 3"/>
    <w:basedOn w:val="Normal"/>
    <w:next w:val="Normal"/>
    <w:link w:val="Heading3Char"/>
    <w:uiPriority w:val="9"/>
    <w:unhideWhenUsed/>
    <w:qFormat/>
    <w:rsid w:val="00FC693F"/>
    <w:pPr>
      <w:keepNext/>
      <w:keepLines/>
      <w:spacing w:before="140" w:after="80"/>
      <w:outlineLvl w:val="2"/>
    </w:pPr>
    <w:rPr>
      <w:rFonts w:asciiTheme="majorHAnsi" w:eastAsiaTheme="majorEastAsia" w:hAnsiTheme="majorHAnsi" w:cstheme="majorBidi" w:ascii="Liberation Sans" w:hAnsi="Liberation Sans" w:eastAsia="Liberation Sans"/>
      <w:b/>
      <w:bCs/>
      <w:color w:val="9C6B18"/>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Liberation Sans" w:hAnsi="Liberation Sans" w:eastAsia="Liberation Sans"/>
      <w:b/>
      <w:color w:val="17365D"/>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Liberation Sans" w:hAnsi="Liberation Sans" w:eastAsia="Liberation Sans"/>
      <w:b/>
      <w:i/>
      <w:iCs/>
      <w:color w:val="9C6B18"/>
      <w:spacing w:val="15"/>
      <w:sz w:val="28"/>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rFonts w:ascii="Liberation Serif" w:hAnsi="Liberation Serif"/>
      <w:b/>
      <w:bCs/>
      <w:i/>
      <w:color w:val="5B6573"/>
      <w:sz w:val="17"/>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Lead">
    <w:name w:val="Lead"/>
    <w:basedOn w:val="Normal"/>
    <w:rPr>
      <w:rFonts w:ascii="Liberation Serif" w:hAnsi="Liberation Serif"/>
      <w:b w:val="0"/>
      <w:color w:val="1F2933"/>
      <w:sz w:val="22"/>
    </w:rPr>
  </w:style>
  <w:style w:type="paragraph" w:customStyle="1" w:styleId="Small">
    <w:name w:val="Small"/>
    <w:basedOn w:val="Normal"/>
    <w:rPr>
      <w:rFonts w:ascii="Liberation Serif" w:hAnsi="Liberation Serif"/>
      <w:b w:val="0"/>
      <w:color w:val="5B6573"/>
      <w:sz w:val="17"/>
    </w:rPr>
  </w:style>
  <w:style w:type="paragraph" w:customStyle="1" w:styleId="Status">
    <w:name w:val="Status"/>
    <w:basedOn w:val="Normal"/>
    <w:rPr>
      <w:rFonts w:ascii="Liberation Sans" w:hAnsi="Liberation Sans"/>
      <w:b/>
      <w:color w:val="17365D"/>
      <w:sz w:val="19"/>
    </w:rPr>
  </w:style>
  <w:style w:type="paragraph" w:customStyle="1" w:styleId="Formula">
    <w:name w:val="Formula"/>
    <w:basedOn w:val="Normal"/>
    <w:rPr>
      <w:rFonts w:ascii="Liberation Serif" w:hAnsi="Liberation Serif"/>
      <w:b w:val="0"/>
      <w:color w:val="1F2933"/>
      <w:sz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jpg"/><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header" Target="header1.xml"/><Relationship Id="rId16" Type="http://schemas.openxmlformats.org/officeDocument/2006/relationships/footer" Target="footer1.xml"/><Relationship Id="rId17" Type="http://schemas.openxmlformats.org/officeDocument/2006/relationships/header" Target="header2.xml"/><Relationship Id="rId18" Type="http://schemas.openxmlformats.org/officeDocument/2006/relationships/footer" Target="footer2.xml"/><Relationship Id="rId19" Type="http://schemas.openxmlformats.org/officeDocument/2006/relationships/image" Target="media/image7.png"/><Relationship Id="rId20" Type="http://schemas.openxmlformats.org/officeDocument/2006/relationships/image" Target="media/image8.png"/><Relationship Id="rId21" Type="http://schemas.openxmlformats.org/officeDocument/2006/relationships/image" Target="media/image9.png"/><Relationship Id="rId22" Type="http://schemas.openxmlformats.org/officeDocument/2006/relationships/image" Target="media/image10.png"/><Relationship Id="rId23" Type="http://schemas.openxmlformats.org/officeDocument/2006/relationships/image" Target="media/image11.png"/><Relationship Id="rId24" Type="http://schemas.openxmlformats.org/officeDocument/2006/relationships/image" Target="media/image12.png"/><Relationship Id="rId25" Type="http://schemas.openxmlformats.org/officeDocument/2006/relationships/image" Target="media/image13.png"/><Relationship Id="rId26" Type="http://schemas.openxmlformats.org/officeDocument/2006/relationships/image" Target="media/image14.png"/><Relationship Id="rId27" Type="http://schemas.openxmlformats.org/officeDocument/2006/relationships/image" Target="media/image15.png"/><Relationship Id="rId28" Type="http://schemas.openxmlformats.org/officeDocument/2006/relationships/image" Target="media/image16.png"/><Relationship Id="rId29" Type="http://schemas.openxmlformats.org/officeDocument/2006/relationships/image" Target="media/image17.png"/><Relationship Id="rId30" Type="http://schemas.openxmlformats.org/officeDocument/2006/relationships/hyperlink" Target="https://pi.math.cornell.edu/~hatcher/VBKT/VB.pdf" TargetMode="External"/><Relationship Id="rId31" Type="http://schemas.openxmlformats.org/officeDocument/2006/relationships/hyperlink" Target="https://math.uchicago.edu/~may/MISC/ChapterI.pdf" TargetMode="External"/><Relationship Id="rId32" Type="http://schemas.openxmlformats.org/officeDocument/2006/relationships/hyperlink" Target="https://stacks.math.columbia.edu/tag/02ZC" TargetMode="External"/><Relationship Id="rId33" Type="http://schemas.openxmlformats.org/officeDocument/2006/relationships/hyperlink" Target="https://stacks.math.columbia.edu/tag/0CJZ" TargetMode="External"/><Relationship Id="rId34" Type="http://schemas.openxmlformats.org/officeDocument/2006/relationships/hyperlink" Target="https://projecteuclid.org/euclid.ijm/1255455733" TargetMode="External"/><Relationship Id="rId35" Type="http://schemas.openxmlformats.org/officeDocument/2006/relationships/image" Target="media/image18.png"/><Relationship Id="rId36" Type="http://schemas.openxmlformats.org/officeDocument/2006/relationships/image" Target="media/image19.png"/><Relationship Id="rId37" Type="http://schemas.openxmlformats.org/officeDocument/2006/relationships/image" Target="media/image20.png"/><Relationship Id="rId38" Type="http://schemas.openxmlformats.org/officeDocument/2006/relationships/hyperlink" Target="https://stacks.math.columbia.edu/tag/0B28" TargetMode="External"/><Relationship Id="rId39" Type="http://schemas.openxmlformats.org/officeDocument/2006/relationships/hyperlink" Target="https://stacks.math.columbia.edu/tag/00RM" TargetMode="External"/><Relationship Id="rId40" Type="http://schemas.openxmlformats.org/officeDocument/2006/relationships/hyperlink" Target="https://stacks.math.columbia.edu/tag/08P5" TargetMode="External"/><Relationship Id="rId41" Type="http://schemas.openxmlformats.org/officeDocument/2006/relationships/hyperlink" Target="https://stacks.math.columbia.edu/tag/06I2" TargetMode="External"/><Relationship Id="rId42" Type="http://schemas.openxmlformats.org/officeDocument/2006/relationships/hyperlink" Target="https://stacks.math.columbia.edu/tag/02GZ" TargetMode="External"/><Relationship Id="rId43" Type="http://schemas.openxmlformats.org/officeDocument/2006/relationships/hyperlink" Target="https://www.ams.org/journals/tran/1968-130-02/S0002-9947-1968-0217093-3/" TargetMode="External"/><Relationship Id="rId44" Type="http://schemas.openxmlformats.org/officeDocument/2006/relationships/hyperlink" Target="https://projecteuclid.org/journals/bulletin-of-the-american-mathematical-society/volume-70/issue-3/Cohomology-and-deformations-of-algebraic-structures/bams/1183526023.full" TargetMode="External"/><Relationship Id="rId45" Type="http://schemas.openxmlformats.org/officeDocument/2006/relationships/hyperlink" Target="https://projecteuclid.org/journals/bulletin-of-the-american-mathematical-society/volume-72/issue-1.P1/Cohomology-and-deformations-in-graded-Lie-algebras/bams/1183527432.short" TargetMode="External"/><Relationship Id="rId46" Type="http://schemas.openxmlformats.org/officeDocument/2006/relationships/hyperlink" Target="https://annals.math.princeton.edu/1966/84-1/p01" TargetMode="External"/><Relationship Id="rId47" Type="http://schemas.openxmlformats.org/officeDocument/2006/relationships/image" Target="media/image21.png"/><Relationship Id="rId48" Type="http://schemas.openxmlformats.org/officeDocument/2006/relationships/image" Target="media/image22.png"/><Relationship Id="rId49" Type="http://schemas.openxmlformats.org/officeDocument/2006/relationships/image" Target="media/image23.png"/><Relationship Id="rId50" Type="http://schemas.openxmlformats.org/officeDocument/2006/relationships/image" Target="media/image24.png"/><Relationship Id="rId51" Type="http://schemas.openxmlformats.org/officeDocument/2006/relationships/image" Target="media/image25.png"/><Relationship Id="rId52" Type="http://schemas.openxmlformats.org/officeDocument/2006/relationships/image" Target="media/image26.png"/><Relationship Id="rId53" Type="http://schemas.openxmlformats.org/officeDocument/2006/relationships/header" Target="header3.xml"/><Relationship Id="rId54" Type="http://schemas.openxmlformats.org/officeDocument/2006/relationships/image" Target="media/image27.png"/><Relationship Id="rId55" Type="http://schemas.openxmlformats.org/officeDocument/2006/relationships/image" Target="media/image28.png"/><Relationship Id="rId56" Type="http://schemas.openxmlformats.org/officeDocument/2006/relationships/image" Target="media/image29.png"/><Relationship Id="rId57" Type="http://schemas.openxmlformats.org/officeDocument/2006/relationships/image" Target="media/image30.png"/><Relationship Id="rId58" Type="http://schemas.openxmlformats.org/officeDocument/2006/relationships/image" Target="media/image31.png"/><Relationship Id="rId59" Type="http://schemas.openxmlformats.org/officeDocument/2006/relationships/image" Target="media/image32.png"/><Relationship Id="rId60" Type="http://schemas.openxmlformats.org/officeDocument/2006/relationships/image" Target="media/image33.png"/><Relationship Id="rId61" Type="http://schemas.openxmlformats.org/officeDocument/2006/relationships/image" Target="media/image34.png"/><Relationship Id="rId62" Type="http://schemas.openxmlformats.org/officeDocument/2006/relationships/image" Target="media/image35.png"/><Relationship Id="rId63" Type="http://schemas.openxmlformats.org/officeDocument/2006/relationships/header" Target="header4.xml"/><Relationship Id="rId64" Type="http://schemas.openxmlformats.org/officeDocument/2006/relationships/header" Target="header5.xml"/><Relationship Id="rId65" Type="http://schemas.openxmlformats.org/officeDocument/2006/relationships/image" Target="media/image36.png"/><Relationship Id="rId66" Type="http://schemas.openxmlformats.org/officeDocument/2006/relationships/image" Target="media/image37.png"/><Relationship Id="rId67" Type="http://schemas.openxmlformats.org/officeDocument/2006/relationships/image" Target="media/image38.png"/><Relationship Id="rId68" Type="http://schemas.openxmlformats.org/officeDocument/2006/relationships/image" Target="media/image39.png"/><Relationship Id="rId69" Type="http://schemas.openxmlformats.org/officeDocument/2006/relationships/image" Target="media/image40.png"/><Relationship Id="rId70" Type="http://schemas.openxmlformats.org/officeDocument/2006/relationships/image" Target="media/image41.png"/><Relationship Id="rId71" Type="http://schemas.openxmlformats.org/officeDocument/2006/relationships/image" Target="media/image42.png"/><Relationship Id="rId72" Type="http://schemas.openxmlformats.org/officeDocument/2006/relationships/image" Target="media/image43.png"/><Relationship Id="rId73" Type="http://schemas.openxmlformats.org/officeDocument/2006/relationships/image" Target="media/image44.png"/><Relationship Id="rId74" Type="http://schemas.openxmlformats.org/officeDocument/2006/relationships/image" Target="media/image45.png"/><Relationship Id="rId75" Type="http://schemas.openxmlformats.org/officeDocument/2006/relationships/image" Target="media/image46.png"/><Relationship Id="rId76" Type="http://schemas.openxmlformats.org/officeDocument/2006/relationships/image" Target="media/image47.png"/><Relationship Id="rId77" Type="http://schemas.openxmlformats.org/officeDocument/2006/relationships/hyperlink" Target="https://arxiv.org/abs/alg-geom/9601010" TargetMode="External"/><Relationship Id="rId78" Type="http://schemas.openxmlformats.org/officeDocument/2006/relationships/hyperlink" Target="https://arxiv.org/abs/math/0404373" TargetMode="External"/><Relationship Id="rId79" Type="http://schemas.openxmlformats.org/officeDocument/2006/relationships/hyperlink" Target="https://arxiv.org/abs/0810.5174" TargetMode="External"/><Relationship Id="rId80" Type="http://schemas.openxmlformats.org/officeDocument/2006/relationships/hyperlink" Target="https://arxiv.org/abs/1409.6908" TargetMode="External"/><Relationship Id="rId81" Type="http://schemas.openxmlformats.org/officeDocument/2006/relationships/hyperlink" Target="https://arxiv.org/abs/1510.07444" TargetMode="External"/><Relationship Id="rId82" Type="http://schemas.openxmlformats.org/officeDocument/2006/relationships/hyperlink" Target="https://arxiv.org/abs/1508.01556" TargetMode="External"/><Relationship Id="rId83" Type="http://schemas.openxmlformats.org/officeDocument/2006/relationships/hyperlink" Target="https://link.springer.com/book/10.1007/BFb0059052" TargetMode="External"/><Relationship Id="rId84" Type="http://schemas.openxmlformats.org/officeDocument/2006/relationships/hyperlink" Target="https://stacks.math.columbia.edu/" TargetMode="External"/><Relationship Id="rId85" Type="http://schemas.openxmlformats.org/officeDocument/2006/relationships/hyperlink" Target="https://kurpishev.com/" TargetMode="External"/><Relationship Id="rId86" Type="http://schemas.openxmlformats.org/officeDocument/2006/relationships/image" Target="media/image48.png"/><Relationship Id="rId87" Type="http://schemas.openxmlformats.org/officeDocument/2006/relationships/image" Target="media/image49.png"/><Relationship Id="rId88" Type="http://schemas.openxmlformats.org/officeDocument/2006/relationships/image" Target="media/image50.png"/><Relationship Id="rId89" Type="http://schemas.openxmlformats.org/officeDocument/2006/relationships/image" Target="media/image51.png"/><Relationship Id="rId90" Type="http://schemas.openxmlformats.org/officeDocument/2006/relationships/image" Target="media/image52.png"/><Relationship Id="rId91" Type="http://schemas.openxmlformats.org/officeDocument/2006/relationships/image" Target="media/image53.png"/><Relationship Id="rId92" Type="http://schemas.openxmlformats.org/officeDocument/2006/relationships/image" Target="media/image54.png"/><Relationship Id="rId93" Type="http://schemas.openxmlformats.org/officeDocument/2006/relationships/image" Target="media/image55.png"/><Relationship Id="rId94" Type="http://schemas.openxmlformats.org/officeDocument/2006/relationships/image" Target="media/image56.png"/><Relationship Id="rId95" Type="http://schemas.openxmlformats.org/officeDocument/2006/relationships/image" Target="media/image57.png"/><Relationship Id="rId96" Type="http://schemas.openxmlformats.org/officeDocument/2006/relationships/image" Target="media/image58.png"/><Relationship Id="rId97" Type="http://schemas.openxmlformats.org/officeDocument/2006/relationships/image" Target="media/image59.png"/><Relationship Id="rId98" Type="http://schemas.openxmlformats.org/officeDocument/2006/relationships/image" Target="media/image60.png"/><Relationship Id="rId99" Type="http://schemas.openxmlformats.org/officeDocument/2006/relationships/image" Target="media/image61.png"/><Relationship Id="rId100" Type="http://schemas.openxmlformats.org/officeDocument/2006/relationships/image" Target="media/image62.png"/><Relationship Id="rId101" Type="http://schemas.openxmlformats.org/officeDocument/2006/relationships/image" Target="media/image63.png"/><Relationship Id="rId102" Type="http://schemas.openxmlformats.org/officeDocument/2006/relationships/image" Target="media/image64.png"/><Relationship Id="rId103" Type="http://schemas.openxmlformats.org/officeDocument/2006/relationships/image" Target="media/image65.png"/><Relationship Id="rId104" Type="http://schemas.openxmlformats.org/officeDocument/2006/relationships/image" Target="media/image66.png"/><Relationship Id="rId105" Type="http://schemas.openxmlformats.org/officeDocument/2006/relationships/image" Target="media/image6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Базовый проект KLT-RBD. Том II. NAPG 3.0. v0.21</dc:title>
  <dc:subject>End-to-end предсказательный оператор KLT-RBD, бюджеты ошибок, theorem schema и фальсифицируемость</dc:subject>
  <dc:creator>Курпишев Иван Борисович</dc:creator>
  <cp:keywords>KLT-RBD; NAPG 3.0; Reper; end-to-end operator; error budgets; falsifiability; Курпишев</cp:keywords>
  <dc:description>Контрольная точка T2-RP-v0.21; truth_layer_promotion=0</dc:description>
  <cp:lastModifiedBy>OpenAI editorial build for Иван Борисович Курпишев</cp:lastModifiedBy>
  <cp:revision>1</cp:revision>
  <dcterms:created xsi:type="dcterms:W3CDTF">2013-12-23T23:15:00Z</dcterms:created>
  <dcterms:modified xsi:type="dcterms:W3CDTF">2026-07-24T14:37:03Z</dcterms:modified>
  <cp:category/>
</cp:coreProperties>
</file>