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Утверждённая фотография автора Курпишева Ивана Борисовича" title="Фотография автора"/>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261872" cy="1261872"/>
                    </a:xfrm>
                    <a:prstGeom prst="rect"/>
                  </pic:spPr>
                </pic:pic>
              </a:graphicData>
            </a:graphic>
          </wp:inline>
        </w:drawing>
      </w:r>
    </w:p>
    <w:p>
      <w:pPr>
        <w:jc w:val="center"/>
        <w:widowControl/>
      </w:pPr>
      <w:r>
        <w:t>Контрольная точка T2-RP-v0.20 · выпуск tom2_v0_20</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t>Паспорт выпуска tom2_v0_20</w:t>
      </w:r>
    </w:p>
    <w:tbl>
      <w:tblPr>
        <w:tblStyle w:val="TableGrid"/>
        <w:tblW w:type="auto" w:w="0"/>
        <w:jc w:val="center"/>
        <w:tblLayout w:type="autofit"/>
        <w:tblLook w:firstColumn="1" w:firstRow="1" w:lastColumn="0" w:lastRow="0" w:noHBand="0" w:noVBand="1" w:val="04A0"/>
      </w:tblPr>
      <w:tblGrid>
        <w:gridCol w:w="4876"/>
        <w:gridCol w:w="4876"/>
      </w:tblGrid>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Контрольная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T2-RP-v0.20</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Статус</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Кумулятивная рабочая редакция: v0.1-v0.19 сохранены; глава 23 углублена до large-deviation, risk-sensitive, rare-event, ambiguity и finite-sample package v0.20.</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Каноническая нулевая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tom1_v197.docx + tom1_v197_ru.pdf; Том I не редактируется и не пересобирается.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Обязательный регламент</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tom2_chat_guide_v1.docx, SHA-256 98fab8ceafe9088a385e2cc807bbeda6563c669273f4bd0b64577fb19a2c32ea.</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Состав выпуска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слои v0.2-v0.19; LDP/Laplace principles, contraction и Gärtner-Ellis, Freidlin-Wentzell action/quasipotential, Donsker-Varadhan и Feynman-Kac, risk-sensitive semigroups, importance sampling, KL/Wasserstein ambiguity sets и конечновыборочные предсказательные границы.</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Форматы</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Нативно редактируемый DOCX и поисковый PDF. ZIP/CSV/JSON/HTML не формируются.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Статус-замок</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COND, MODEL, COMP, CONJ и PHY-HYP не повышаются без нового доказательства или независимого свидетельства.</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Следующая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tom2_v0_21: глава 24 - синтез предсказательного оператора, end-to-end theorem, алгоритмический контракт KLT-RBD и итоговая матрица фальсифицируемости Тома II.</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tom2_v0_20 является кумулятивным продолжением v0.19 и развивает главу 23 Тома II: large-deviation principles, Laplace/Varadhan и Gärtner-Ellis слои, Freidlin-Wentzell action geometry, Donsker-Varadhan и risk-sensitive semigroups, importance sampling, robust ambiguity sets и конечновыборочную сертификацию редких рисков. Асимптотический показатель не считается конечновыборочной вероятностью без отдельного остаточного или робастного сертификата.</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 216-237. Виртуальные циклы и probability firewall v0.16; 238-264. Категорифицированные motivic/refined invariants, generating series и dynamic firewall v0.17; 265-292. Нелинейные эволюции, transfer/path-space и temporal interface v0.18; 293-328. Stochastic semigroups, martingale problems, stopping/control/causal firewall v0.19; 329-370. Large deviations, risk-sensitive semigroups, rare-event geometry, robust ambiguity и finite-sample certification v0.20.</w:t>
      </w:r>
    </w:p>
    <w:p>
      <w:pPr>
        <w:pStyle w:val="Small"/>
        <w:widowControl/>
      </w:pPr>
      <w:r>
        <w:t>Примечание: выпуск v0.20 является кумулятивным. Материалы v0.1-v0.19 сохранены как точки отката. Новый строгий текст различает large-deviation exponent, finite-n probability bound, robust worst-case risk и exact impossibility. Редкое событие, малый риск, положительная action barrier и отсутствие наблюдённых попаданий не получают статуса невозможности без отдельного сертификата.</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keepNext/>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keepNext/>
      </w:pPr>
      <w:r>
        <w:t>117. Проективизация пространства препятствий</w:t>
      </w:r>
    </w:p>
    <w:p>
      <w:pPr>
        <w:pStyle w:val="Heading2"/>
        <w:keepNext/>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keepNext/>
      </w:pPr>
      <w:r>
        <w:t>118. Нормированные и ориентированные носители</w:t>
      </w:r>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keepNext/>
      </w:pPr>
      <w:r>
        <w:t>119. Стратификация obstruction carrier</w:t>
      </w:r>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keepNext/>
      </w:pPr>
      <w:r>
        <w:t>120. Проектированный обструкционный конус</w:t>
      </w:r>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keepNext/>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keepNext/>
      </w:pPr>
      <w:r>
        <w:t>122. Проективный переходный горизонт</w:t>
      </w:r>
    </w:p>
    <w:p>
      <w:pPr>
        <w:pStyle w:val="Heading2"/>
        <w:keepNext/>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keepNext/>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keepNext/>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keepNext/>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keepNext/>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keepNext/>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keepNext/>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keepNext/>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keepNext/>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keepNext/>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keepNext/>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keepNext/>
      </w:pPr>
      <w:r>
        <w:t>133. Hilbert-комплекс NAPG</w:t>
      </w:r>
    </w:p>
    <w:p>
      <w:pPr>
        <w:pStyle w:val="Heading2"/>
        <w:keepNext/>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keepNext/>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keepNext/>
      </w:pPr>
      <w:r>
        <w:t>135. Эллиптические комплексы и операторы лапласовского типа</w:t>
      </w:r>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keepNext/>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keepNext/>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keepNext/>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keepNext/>
      </w:pPr>
      <w:r>
        <w:t>139. Гармоническая аналитика препятствий</w:t>
      </w:r>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keepNext/>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keepNext/>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keepNext/>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keepNext/>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keepNext/>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keepNext/>
      </w:pPr>
      <w:r>
        <w:t>145. Вычислительный сертификат HOD-AN v0.12</w:t>
      </w:r>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keepNext/>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keepNext/>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keepNext/>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keepNext/>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keepNext/>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pPr>
        <w:pStyle w:val="Heading1"/>
        <w:keepNext/>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keepNext/>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keepNext/>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keepNext/>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keepNext/>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keepNext/>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keepNext/>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pPr>
        <w:pStyle w:val="Heading1"/>
        <w:keepNext/>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keepNext/>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keepNext/>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keepNext/>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keepNext/>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keepNext/>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keepNext/>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keepNext/>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keepNext/>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pPr>
        <w:pStyle w:val="Heading1"/>
        <w:keepNext/>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keepNext/>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keepNext/>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keepNext/>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keepNext/>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keepNext/>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keepNext/>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pPr>
        <w:pStyle w:val="Heading1"/>
        <w:keepNext/>
      </w:pPr>
      <w:r>
        <w:t>Глава 18. Глобальные derived/stacky-пространства модулей и предсказательный носитель</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pPr>
        <w:pStyle w:val="Heading1"/>
        <w:keepNext/>
      </w:pPr>
      <w:r>
        <w:t>194. Три уровня глобального пространства модулей</w:t>
      </w:r>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pPr>
        <w:pStyle w:val="Quote"/>
        <w:jc w:val="center"/>
      </w:pPr>
      <w:r>
        <w:rPr>
          <w:rFonts w:ascii="Cambria Math" w:hAnsi="Cambria Math"/>
          <w:sz w:val="21"/>
        </w:rPr>
        <w:t>|𝔐|  ←  𝔐  ←  𝔐ᵈᵉʳ.                                                     (18.1)</w:t>
      </w:r>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p>
    <w:p>
      <w:pPr>
        <w:pStyle w:val="Heading1"/>
        <w:keepNext/>
      </w:pPr>
      <w:r>
        <w:t>195. Локальные карты Кураниши и footprints</w:t>
      </w:r>
    </w:p>
    <w:p>
      <w:pPr/>
      <w:r>
        <w:t>Локальная карта задаётся пятёркой</w:t>
      </w:r>
    </w:p>
    <w:p>
      <w:pPr>
        <w:pStyle w:val="Quote"/>
        <w:jc w:val="center"/>
      </w:pPr>
      <w:r>
        <w:rPr>
          <w:rFonts w:ascii="Cambria Math" w:hAnsi="Cambria Math"/>
          <w:sz w:val="21"/>
        </w:rPr>
        <w:t>𝒦ᵢ=(Uᵢ,Eᵢ,sᵢ,Gᵢ,ψᵢ),                                              (18.2)</w:t>
      </w:r>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pPr>
        <w:pStyle w:val="Quote"/>
        <w:jc w:val="center"/>
      </w:pPr>
      <w:r>
        <w:rPr>
          <w:rFonts w:ascii="Cambria Math" w:hAnsi="Cambria Math"/>
          <w:sz w:val="21"/>
        </w:rPr>
        <w:t>vdim(𝒦ᵢ)=dim Uᵢ-rank Eᵢ-dim Gᵢ                           (18.3)</w:t>
      </w:r>
    </w:p>
    <w:p>
      <w:pPr/>
      <w:r>
        <w:t>в регулярном локальном секторе. Формула (18.3) является Euler characteristic виртуального tangent complex, но не утверждает гладкость нулевого локуса.</w:t>
      </w:r>
    </w:p>
    <w:p>
      <w:pPr>
        <w:pStyle w:val="Heading1"/>
        <w:keepNext/>
      </w:pPr>
      <w:r>
        <w:t>196. Coordinate changes и слабая 2-когерентность</w:t>
      </w:r>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pPr>
        <w:pStyle w:val="Quote"/>
        <w:jc w:val="center"/>
      </w:pPr>
      <w:r>
        <w:rPr>
          <w:rFonts w:ascii="Cambria Math" w:hAnsi="Cambria Math"/>
          <w:sz w:val="21"/>
        </w:rPr>
        <w:t>sⱼ∘φᵢⱼ = ĥφᵢⱼ∘sᵢ.                                             (18.4)</w:t>
      </w:r>
    </w:p>
    <w:p>
      <w:pPr/>
      <w:r>
        <w:t>На тройном overlap обычного равенства карт обычно слишком много. Требуется 2-изоморфизм</w:t>
      </w:r>
    </w:p>
    <w:p>
      <w:pPr>
        <w:pStyle w:val="Quote"/>
        <w:jc w:val="center"/>
      </w:pPr>
      <w:r>
        <w:rPr>
          <w:rFonts w:ascii="Cambria Math" w:hAnsi="Cambria Math"/>
          <w:sz w:val="21"/>
        </w:rPr>
        <w:t>αᵢⱼₖ: Φⱼₖ∘Φᵢⱼ ⇒ Φᵢₖ,                                           (18.5)</w:t>
      </w:r>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pPr>
        <w:pStyle w:val="Heading1"/>
        <w:keepNext/>
      </w:pPr>
      <w:r>
        <w:t>197. Čech nerve и effective descent</w:t>
      </w:r>
    </w:p>
    <w:p>
      <w:pPr/>
      <w:r>
        <w:t>Пусть U₀=⨿ᵢUᵢ, а U_• - Čech nerve атласа. Глобальность формулируется как эквивалентность объекта с totalization косимплициальной диаграммы:</w:t>
      </w:r>
    </w:p>
    <w:p>
      <w:pPr>
        <w:pStyle w:val="Quote"/>
        <w:jc w:val="center"/>
      </w:pPr>
      <w:r>
        <w:rPr>
          <w:rFonts w:ascii="Cambria Math" w:hAnsi="Cambria Math"/>
          <w:sz w:val="21"/>
        </w:rPr>
        <w:t>𝔐(U)  ≃  Tot(𝔐(U_•)).                                            (18.6)</w:t>
      </w:r>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p>
    <w:p>
      <w:pPr>
        <w:pStyle w:val="Heading1"/>
        <w:keepNext/>
      </w:pPr>
      <w:r>
        <w:t>198. Виртуальный касательный комплекс</w:t>
      </w:r>
    </w:p>
    <w:p>
      <w:pPr/>
      <w:r>
        <w:t>В точке x локальной quotient/Kuranishi-карты естественно возникает трёхчленный комплекс</w:t>
      </w:r>
    </w:p>
    <w:p>
      <w:pPr>
        <w:pStyle w:val="Quote"/>
        <w:jc w:val="center"/>
      </w:pPr>
      <w:r>
        <w:rPr>
          <w:rFonts w:ascii="Cambria Math" w:hAnsi="Cambria Math"/>
          <w:sz w:val="21"/>
        </w:rPr>
        <w:t>𝕋ₓᵛⁱʳ=[ 𝔤ₓ  →  TₓUᵢ  →  Eᵢ,ₓ ],                               (18.7)</w:t>
      </w:r>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pPr>
        <w:pStyle w:val="Quote"/>
        <w:jc w:val="center"/>
      </w:pPr>
      <w:r>
        <w:rPr>
          <w:rFonts w:ascii="Cambria Math" w:hAnsi="Cambria Math"/>
          <w:sz w:val="21"/>
        </w:rPr>
        <w:t>vdimₓ = -dim H⁻¹ + dim H⁰ - dim H¹.                         (18.8)</w:t>
      </w:r>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pPr>
        <w:pStyle w:val="Heading1"/>
        <w:keepNext/>
      </w:pPr>
      <w:r>
        <w:t>199. Perfect obstruction theory и intrinsic normal cone</w:t>
      </w:r>
    </w:p>
    <w:p>
      <w:pPr/>
      <w:r>
        <w:t>В Deligne-Mumford-подобном алгебро-геометрическом секторе perfect obstruction theory задаётся морфизмом</w:t>
      </w:r>
    </w:p>
    <w:p>
      <w:pPr>
        <w:pStyle w:val="Quote"/>
        <w:jc w:val="center"/>
      </w:pPr>
      <w:r>
        <w:rPr>
          <w:rFonts w:ascii="Cambria Math" w:hAnsi="Cambria Math"/>
          <w:sz w:val="21"/>
        </w:rPr>
        <w:t>φ:E•→L_𝔐,   E• perfect,   amp(E•)⊂[-1,0],                  (18.9)</w:t>
      </w:r>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pPr>
        <w:pStyle w:val="Quote"/>
        <w:jc w:val="center"/>
      </w:pPr>
      <w:r>
        <w:rPr>
          <w:rFonts w:ascii="Cambria Math" w:hAnsi="Cambria Math"/>
          <w:sz w:val="21"/>
        </w:rPr>
        <w:t>Ob_𝔐 = h¹((E•)∨),    𝔑_𝔐=h¹/h⁰(L_𝔐∨).                         (18.10)</w:t>
      </w:r>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pPr>
        <w:pStyle w:val="Heading1"/>
        <w:keepNext/>
      </w:pPr>
      <w:r>
        <w:t>200. Склейка локальных obstruction theories</w:t>
      </w:r>
    </w:p>
    <w:p>
      <w:pPr/>
      <w:r>
        <w:t>Пусть на Uᵢ заданы perfect complexes Eᵢ• и quasi-isomorphisms qᵢⱼ:Eᵢ•|Uᵢⱼ→Eⱼ•|Uᵢⱼ. На тройных overlap требуется гомотопия</w:t>
      </w:r>
    </w:p>
    <w:p>
      <w:pPr>
        <w:pStyle w:val="Quote"/>
        <w:jc w:val="center"/>
      </w:pPr>
      <w:r>
        <w:rPr>
          <w:rFonts w:ascii="Cambria Math" w:hAnsi="Cambria Math"/>
          <w:sz w:val="21"/>
        </w:rPr>
        <w:t>qⱼₖ∘qᵢⱼ  ≃  qᵢₖ,                                               (18.11)</w:t>
      </w:r>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pPr>
        <w:pStyle w:val="Quote"/>
        <w:jc w:val="center"/>
      </w:pPr>
      <w:r>
        <w:rPr>
          <w:rFonts w:ascii="Cambria Math" w:hAnsi="Cambria Math"/>
          <w:sz w:val="21"/>
        </w:rPr>
        <w:t>cᵢⱼₖ=qᵢₖ⁻¹ qⱼₖ qᵢⱼ ∈ Z,    [c]∈Čech H²(X,Z).                  (18.12)</w:t>
      </w:r>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pPr>
        <w:pStyle w:val="Heading1"/>
        <w:keepNext/>
      </w:pPr>
      <w:r>
        <w:t>201. Детерминант, ориентация и виртуальная размерность</w:t>
      </w:r>
    </w:p>
    <w:p>
      <w:pPr>
        <w:pStyle w:val="Quote"/>
        <w:jc w:val="center"/>
      </w:pPr>
      <w:r>
        <w:rPr>
          <w:rFonts w:ascii="Cambria Math" w:hAnsi="Cambria Math"/>
          <w:sz w:val="21"/>
        </w:rPr>
        <w:t>det(𝕋ᵛⁱʳ)=⊗ⱼ(det Hʲ(𝕋ᵛⁱʳ))^{(-1)ʲ}.                         (18.13)</w:t>
      </w:r>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p>
    <w:p>
      <w:pPr>
        <w:pStyle w:val="Heading1"/>
        <w:keepNext/>
      </w:pPr>
      <w:r>
        <w:t>202. Branch stack и монодромия</w:t>
      </w:r>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pPr>
        <w:pStyle w:val="Quote"/>
        <w:jc w:val="center"/>
      </w:pPr>
      <w:r>
        <w:rPr>
          <w:rFonts w:ascii="Cambria Math" w:hAnsi="Cambria Math"/>
          <w:sz w:val="21"/>
        </w:rPr>
        <w:t>Mon:π₁(P\Δ,p₀)→Perm(𝔅_{p₀}).                                 (18.14)</w:t>
      </w:r>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pPr>
        <w:pStyle w:val="Heading1"/>
        <w:keepNext/>
      </w:pPr>
      <w:r>
        <w:t>203. Глобальный предсказательный носитель KLT-RBD</w:t>
      </w:r>
    </w:p>
    <w:p>
      <w:pPr/>
      <w:r>
        <w:t>Определение 18.4. Глобальный предсказательный носитель задаётся кортежем</w:t>
      </w:r>
    </w:p>
    <w:p>
      <w:pPr>
        <w:pStyle w:val="Quote"/>
        <w:jc w:val="center"/>
      </w:pPr>
      <w:r>
        <w:rPr>
          <w:rFonts w:ascii="Cambria Math" w:hAnsi="Cambria Math"/>
          <w:sz w:val="21"/>
        </w:rPr>
        <w:t>PredCar_N=(𝔐_Nᵈᵉʳ→P, 𝕋ᵛⁱʳ, Ob_N, 𝔠_N, 𝔅_N, Rep_N, λ_N, D_N, Dom_N, E_N). (18.15)</w:t>
      </w:r>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pPr>
        <w:pStyle w:val="Heading1"/>
        <w:keepNext/>
      </w:pPr>
      <w:r>
        <w:t>204. Local-to-global no-go theorem</w:t>
      </w:r>
    </w:p>
    <w:p>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p>
    <w:p>
      <w:pPr>
        <w:pStyle w:val="Quote"/>
        <w:jc w:val="center"/>
      </w:pPr>
      <w:r>
        <w:rPr>
          <w:rFonts w:ascii="Cambria Math" w:hAnsi="Cambria Math"/>
          <w:sz w:val="21"/>
        </w:rPr>
        <w:t>cᵢⱼₖ=gₖᵢ gⱼₖ gᵢⱼ.                                              (18.16)</w:t>
      </w:r>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pPr>
        <w:pStyle w:val="Quote"/>
        <w:jc w:val="center"/>
      </w:pPr>
      <w:r>
        <w:rPr>
          <w:rFonts w:ascii="Cambria Math" w:hAnsi="Cambria Math"/>
          <w:sz w:val="21"/>
        </w:rPr>
        <w:t>local lift + local obstruction=0  ⇏  global lift.                    (18.17)</w:t>
      </w:r>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pPr>
        <w:pStyle w:val="Heading1"/>
        <w:keepNext/>
      </w:pPr>
      <w:r>
        <w:t>205. Coarse-moduli no-go theorem</w:t>
      </w:r>
    </w:p>
    <w:p>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p>
    <w:p>
      <w:pPr>
        <w:pStyle w:val="Quote"/>
        <w:jc w:val="center"/>
      </w:pPr>
      <w:r>
        <w:rPr>
          <w:rFonts w:ascii="Cambria Math" w:hAnsi="Cambria Math"/>
          <w:sz w:val="21"/>
        </w:rPr>
        <w:t>|𝔐₁|≅|𝔐₂|  ⇏  𝔐₁≃𝔐₂  и  ⇏  𝔐₁ᵈᵉʳ≃𝔐₂ᵈᵉʳ.                (18.18)</w:t>
      </w:r>
    </w:p>
    <w:p>
      <w:pPr>
        <w:pStyle w:val="Heading1"/>
        <w:keepNext/>
      </w:pPr>
      <w:r>
        <w:t>206. Глобальные невязки и условная численная реализация</w:t>
      </w:r>
    </w:p>
    <w:p>
      <w:pPr/>
      <w:r>
        <w:t>После выбора метрик, тривиализаций и uniform spectral gap вводятся три раздельные невязки:</w:t>
      </w:r>
    </w:p>
    <w:p>
      <w:pPr>
        <w:pStyle w:val="Quote"/>
        <w:jc w:val="center"/>
      </w:pPr>
      <w:r>
        <w:rPr>
          <w:rFonts w:ascii="Cambria Math" w:hAnsi="Cambria Math"/>
          <w:sz w:val="21"/>
        </w:rPr>
        <w:t>η_desc = ||defect of higher descent||,   η_ob = ||h(ob)||,   η_ext = ||Π_E(ob)||. (18.19)</w:t>
      </w:r>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pPr>
        <w:pStyle w:val="Heading1"/>
        <w:keepNext/>
      </w:pPr>
      <w:r>
        <w:t>207. Глобальный переходный горизонт</w:t>
      </w:r>
    </w:p>
    <w:p>
      <w:pPr>
        <w:pStyle w:val="Quote"/>
        <w:jc w:val="center"/>
      </w:pPr>
      <w:r>
        <w:rPr>
          <w:rFonts w:ascii="Cambria Math" w:hAnsi="Cambria Math"/>
          <w:sz w:val="21"/>
        </w:rPr>
        <w:t>Δ_stack = Δ_desc ∪ Δ_coh ∪ Δ_perf ∪ Δ_amp ∪ Δ_vrank ∪ Δ_orient ∪ Δ_branch ∪ Δ_mon ∪ Δ_Rep ∪ Δ_D ∪ Δ_Dom ∪ Δ_ext ∪ Δ_ind. (18.20)</w:t>
      </w:r>
    </w:p>
    <w:p>
      <w:pPr>
        <w:pStyle w:val="Quote"/>
        <w:jc w:val="center"/>
      </w:pPr>
      <w:r>
        <w:rPr>
          <w:rFonts w:ascii="Cambria Math" w:hAnsi="Cambria Math"/>
          <w:sz w:val="21"/>
        </w:rPr>
        <w:t>Δ_safe^{v0.15}=Δ_safe^{v0.14}∪Δ_stack.                              (18.21)</w:t>
      </w:r>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pPr>
        <w:pStyle w:val="Heading1"/>
        <w:keepNext/>
      </w:pPr>
      <w:r>
        <w:t>208. Глобальный структурный профиль</w:t>
      </w:r>
    </w:p>
    <w:p>
      <w:pPr>
        <w:pStyle w:val="Quote"/>
        <w:jc w:val="center"/>
      </w:pPr>
      <w:r>
        <w:rPr>
          <w:rFonts w:ascii="Cambria Math" w:hAnsi="Cambria Math"/>
          <w:sz w:val="21"/>
        </w:rPr>
        <w:t>P_stack(p)=([amp 𝕋ᵛⁱʳ], h⁻¹,h⁰,h¹, vdim, [det], [desc], MonOrb, η_ob, η_ext, λ, CGI). (18.22)</w:t>
      </w:r>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pPr>
        <w:pStyle w:val="Heading1"/>
        <w:keepNext/>
      </w:pPr>
      <w:r>
        <w:t>209. Главная условная теорема T2-RP-v0.15</w:t>
      </w:r>
    </w:p>
    <w:p>
      <w:pPr/>
      <w:r>
        <w:t>Теорема 18.7 (Global-stack-safe predictive theorem). [COND] Пусть над связной камерой U параметрического пространства выполнены условия:</w:t>
      </w:r>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pPr>
        <w:pStyle w:val="Quote"/>
        <w:jc w:val="center"/>
      </w:pPr>
      <w:r>
        <w:rPr>
          <w:rFonts w:ascii="Cambria Math" w:hAnsi="Cambria Math"/>
          <w:sz w:val="21"/>
        </w:rPr>
        <w:t>γ∩Δ_safe^{v0.15}=∅  ⇒  NO-GLOBAL-TRANSITION-IN-MODEL.             (18.23)</w:t>
      </w:r>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pPr>
        <w:pStyle w:val="Heading1"/>
        <w:keepNext/>
      </w:pPr>
      <w:r>
        <w:t>210. Blocker-safe вердикт</w:t>
      </w:r>
    </w:p>
    <w:p>
      <w:pPr>
        <w:pStyle w:val="Quote"/>
        <w:jc w:val="center"/>
      </w:pPr>
      <w:r>
        <w:rPr>
          <w:rFonts w:ascii="Cambria Math" w:hAnsi="Cambria Math"/>
          <w:sz w:val="21"/>
        </w:rPr>
        <w:t>Block_stack=B_atlas∪B_2coc∪B_eff∪B_perf∪B_amp∪B_vtan∪B_branch∪B_Rep∪B_D∪B_Dom∪B_E∪B_ind. (18.24)</w:t>
      </w:r>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pPr>
        <w:pStyle w:val="Heading1"/>
        <w:keepNext/>
      </w:pPr>
      <w:r>
        <w:t>211. Контрпримеры и разделяющие модели</w:t>
      </w:r>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pPr>
        <w:pStyle w:val="Heading1"/>
        <w:keepNext/>
      </w:pPr>
      <w:r>
        <w:t>212. Вычислительный сертификат STACK-GLOB v0.15</w:t>
      </w:r>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pPr>
        <w:pStyle w:val="Heading1"/>
        <w:keepNext/>
      </w:pPr>
      <w:r>
        <w:t>213. Доказательные обязательства T2-PO-223-T2-PO-252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pPr>
              <w:spacing w:after="0"/>
              <w:jc w:val="center"/>
            </w:pPr>
            <w:r/>
            <w:r>
              <w:t>T2-PO-223</w:t>
            </w:r>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pPr>
              <w:spacing w:after="0"/>
              <w:jc w:val="center"/>
            </w:pPr>
            <w:r/>
            <w:r>
              <w:t>T2-PO-224</w:t>
            </w:r>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pPr>
              <w:spacing w:after="0"/>
              <w:jc w:val="center"/>
            </w:pPr>
            <w:r/>
            <w:r>
              <w:t>T2-PO-225</w:t>
            </w:r>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pPr>
              <w:spacing w:after="0"/>
              <w:jc w:val="center"/>
            </w:pPr>
            <w:r/>
            <w:r>
              <w:t>T2-PO-226</w:t>
            </w:r>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pPr>
              <w:spacing w:after="0"/>
              <w:jc w:val="center"/>
            </w:pPr>
            <w:r/>
            <w:r>
              <w:t>T2-PO-227</w:t>
            </w:r>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pPr>
              <w:spacing w:after="0"/>
              <w:jc w:val="center"/>
            </w:pPr>
            <w:r/>
            <w:r>
              <w:t>T2-PO-228</w:t>
            </w:r>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pPr>
              <w:spacing w:after="0"/>
              <w:jc w:val="center"/>
            </w:pPr>
            <w:r/>
            <w:r>
              <w:t>T2-PO-229</w:t>
            </w:r>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pPr>
              <w:spacing w:after="0"/>
              <w:jc w:val="center"/>
            </w:pPr>
            <w:r/>
            <w:r>
              <w:t>T2-PO-230</w:t>
            </w:r>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pPr>
              <w:spacing w:after="0"/>
              <w:jc w:val="center"/>
            </w:pPr>
            <w:r/>
            <w:r>
              <w:t>T2-PO-231</w:t>
            </w:r>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pPr>
              <w:spacing w:after="0"/>
              <w:jc w:val="center"/>
            </w:pPr>
            <w:r/>
            <w:r>
              <w:t>T2-PO-232</w:t>
            </w:r>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pPr>
              <w:spacing w:after="0"/>
              <w:jc w:val="center"/>
            </w:pPr>
            <w:r/>
            <w:r>
              <w:t>T2-PO-233</w:t>
            </w:r>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pPr>
              <w:spacing w:after="0"/>
              <w:jc w:val="center"/>
            </w:pPr>
            <w:r/>
            <w:r>
              <w:t>T2-PO-234</w:t>
            </w:r>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pPr>
              <w:spacing w:after="0"/>
              <w:jc w:val="center"/>
            </w:pPr>
            <w:r/>
            <w:r>
              <w:t>T2-PO-235</w:t>
            </w:r>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pPr>
              <w:spacing w:after="0"/>
              <w:jc w:val="center"/>
            </w:pPr>
            <w:r/>
            <w:r>
              <w:t>T2-PO-236</w:t>
            </w:r>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pPr>
              <w:spacing w:after="0"/>
              <w:jc w:val="center"/>
            </w:pPr>
            <w:r/>
            <w:r>
              <w:t>T2-PO-237</w:t>
            </w:r>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pPr>
              <w:spacing w:after="0"/>
              <w:jc w:val="center"/>
            </w:pPr>
            <w:r/>
            <w:r>
              <w:t>T2-PO-238</w:t>
            </w:r>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pPr>
              <w:spacing w:after="0"/>
              <w:jc w:val="center"/>
            </w:pPr>
            <w:r/>
            <w:r>
              <w:t>T2-PO-239</w:t>
            </w:r>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pPr>
              <w:spacing w:after="0"/>
              <w:jc w:val="center"/>
            </w:pPr>
            <w:r/>
            <w:r>
              <w:t>T2-PO-240</w:t>
            </w:r>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pPr>
              <w:spacing w:after="0"/>
              <w:jc w:val="center"/>
            </w:pPr>
            <w:r/>
            <w:r>
              <w:t>T2-PO-241</w:t>
            </w:r>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pPr>
              <w:spacing w:after="0"/>
              <w:jc w:val="center"/>
            </w:pPr>
            <w:r/>
            <w:r>
              <w:t>T2-PO-242</w:t>
            </w:r>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pPr>
              <w:spacing w:after="0"/>
              <w:jc w:val="center"/>
            </w:pPr>
            <w:r/>
            <w:r>
              <w:t>T2-PO-243</w:t>
            </w:r>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pPr>
              <w:spacing w:after="0"/>
              <w:jc w:val="center"/>
            </w:pPr>
            <w:r/>
            <w:r>
              <w:t>T2-PO-244</w:t>
            </w:r>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pPr>
              <w:spacing w:after="0"/>
              <w:jc w:val="center"/>
            </w:pPr>
            <w:r/>
            <w:r>
              <w:t>T2-PO-245</w:t>
            </w:r>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pPr>
              <w:spacing w:after="0"/>
              <w:jc w:val="center"/>
            </w:pPr>
            <w:r/>
            <w:r>
              <w:t>T2-PO-246</w:t>
            </w:r>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pPr>
              <w:spacing w:after="0"/>
              <w:jc w:val="center"/>
            </w:pPr>
            <w:r/>
            <w:r>
              <w:t>T2-PO-247</w:t>
            </w:r>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pPr>
              <w:spacing w:after="0"/>
              <w:jc w:val="center"/>
            </w:pPr>
            <w:r/>
            <w:r>
              <w:t>T2-PO-248</w:t>
            </w:r>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pPr>
              <w:spacing w:after="0"/>
              <w:jc w:val="center"/>
            </w:pPr>
            <w:r/>
            <w:r>
              <w:t>T2-PO-249</w:t>
            </w:r>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pPr>
              <w:spacing w:after="0"/>
              <w:jc w:val="center"/>
            </w:pPr>
            <w:r/>
            <w:r>
              <w:t>T2-PO-250</w:t>
            </w:r>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pPr>
              <w:spacing w:after="0"/>
              <w:jc w:val="center"/>
            </w:pPr>
            <w:r/>
            <w:r>
              <w:t>T2-PO-251</w:t>
            </w:r>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pPr>
              <w:spacing w:after="0"/>
              <w:jc w:val="center"/>
            </w:pPr>
            <w:r/>
            <w:r>
              <w:t>T2-PO-252</w:t>
            </w:r>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pPr>
        <w:pStyle w:val="Heading1"/>
        <w:keepNext/>
      </w:pPr>
      <w:r>
        <w:t>214. Prior art и граница авторского вклада</w:t>
      </w:r>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pPr>
        <w:pStyle w:val="Heading1"/>
        <w:keepNext/>
      </w:pPr>
      <w:r>
        <w:t>215. Контрольная точка и граница вывода</w:t>
      </w:r>
    </w:p>
    <w:p>
      <w:pPr>
        <w:pStyle w:val="Quote"/>
        <w:jc w:val="center"/>
      </w:pPr>
      <w:r>
        <w:rPr>
          <w:rFonts w:ascii="Cambria Math" w:hAnsi="Cambria Math"/>
          <w:sz w:val="21"/>
        </w:rPr>
        <w:t>truth_layer_promotion=0; checkpoint=T2-RP-v0.15; next=T2-RP-v0.16.      (18.25)</w:t>
      </w:r>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p>
      <w:r>
        <w:br w:type="page"/>
      </w:r>
    </w:p>
    <w:p>
      <w:pPr>
        <w:pStyle w:val="Heading1"/>
        <w:keepNext/>
      </w:pPr>
      <w:r>
        <w:t>Глава 19. Виртуальные циклы, enumerative-инварианты и вероятностный firewall</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45F"/>
            <w:tcMar>
              <w:top w:w="120" w:type="dxa"/>
              <w:start w:w="120" w:type="dxa"/>
              <w:bottom w:w="120" w:type="dxa"/>
              <w:end w:w="120" w:type="dxa"/>
            </w:tcMar>
          </w:tcPr>
          <w:p>
            <w:pPr>
              <w:jc w:val="center"/>
            </w:pPr>
            <w:r/>
            <w:r>
              <w:rPr>
                <w:b/>
                <w:color w:val="FFFFFF"/>
                <w:sz w:val="19"/>
              </w:rPr>
              <w:t>ОНТОЛОГИЯ</w:t>
            </w:r>
          </w:p>
        </w:tc>
        <w:tc>
          <w:tcPr>
            <w:tcW w:type="dxa" w:w="4876"/>
            <w:vAlign w:val="center"/>
            <w:shd w:fill="E7EEF7"/>
            <w:tcMar>
              <w:top w:w="120" w:type="dxa"/>
              <w:start w:w="140" w:type="dxa"/>
              <w:bottom w:w="120" w:type="dxa"/>
              <w:end w:w="140" w:type="dxa"/>
            </w:tcMar>
          </w:tcPr>
          <w:p>
            <w:r/>
            <w:r>
              <w:rPr>
                <w:b w:val="0"/>
                <w:sz w:val="18"/>
              </w:rPr>
              <w:t>Виртуальный фундаментальный класс представляет геометрический объект пересечения, в котором фактическая размерность пространства решений заменяется ожидаемой размерностью tangent-obstruction theory. Он существует в цикловом, гомологическом или бордизмовом носителе, а не в пространстве вероятностных исходов.</w:t>
            </w:r>
          </w:p>
        </w:tc>
      </w:tr>
      <w:tr>
        <w:tc>
          <w:tcPr>
            <w:tcW w:type="dxa" w:w="4876"/>
            <w:vAlign w:val="center"/>
            <w:shd w:fill="17345F"/>
            <w:tcMar>
              <w:top w:w="120" w:type="dxa"/>
              <w:start w:w="120" w:type="dxa"/>
              <w:bottom w:w="120" w:type="dxa"/>
              <w:end w:w="120" w:type="dxa"/>
            </w:tcMar>
          </w:tcPr>
          <w:p>
            <w:pPr>
              <w:jc w:val="center"/>
            </w:pPr>
            <w:r/>
            <w:r>
              <w:rPr>
                <w:b/>
                <w:color w:val="FFFFFF"/>
                <w:sz w:val="19"/>
              </w:rPr>
              <w:t>ГНОСЕОЛОГИЯ</w:t>
            </w:r>
          </w:p>
        </w:tc>
        <w:tc>
          <w:tcPr>
            <w:tcW w:type="dxa" w:w="4876"/>
            <w:vAlign w:val="center"/>
            <w:shd w:fill="E7EEF7"/>
            <w:tcMar>
              <w:top w:w="120" w:type="dxa"/>
              <w:start w:w="140" w:type="dxa"/>
              <w:bottom w:w="120" w:type="dxa"/>
              <w:end w:w="140" w:type="dxa"/>
            </w:tcMar>
          </w:tcPr>
          <w:p>
            <w:r/>
            <w:r>
              <w:rPr>
                <w:b w:val="0"/>
                <w:sz w:val="18"/>
              </w:rPr>
              <w:t>Интеграл по виртуальному классу сообщает индексную, intersection-theoretic или enumerative информацию при заданных perfectness, properness, orientation и insertion-гипотезах. Это знание не содержит частотной или байесовской семантики, пока отдельно не заданы Ω, σ-алгебра, мера, link-модель и эмпирическая проверка.</w:t>
            </w:r>
          </w:p>
        </w:tc>
      </w:tr>
      <w:tr>
        <w:tc>
          <w:tcPr>
            <w:tcW w:type="dxa" w:w="4876"/>
            <w:vAlign w:val="center"/>
            <w:shd w:fill="17345F"/>
            <w:tcMar>
              <w:top w:w="120" w:type="dxa"/>
              <w:start w:w="120" w:type="dxa"/>
              <w:bottom w:w="120" w:type="dxa"/>
              <w:end w:w="120" w:type="dxa"/>
            </w:tcMar>
          </w:tcPr>
          <w:p>
            <w:pPr>
              <w:jc w:val="center"/>
            </w:pPr>
            <w:r/>
            <w:r>
              <w:rPr>
                <w:b/>
                <w:color w:val="FFFFFF"/>
                <w:sz w:val="19"/>
              </w:rPr>
              <w:t>ФЕНОМЕНОЛОГИЯ</w:t>
            </w:r>
          </w:p>
        </w:tc>
        <w:tc>
          <w:tcPr>
            <w:tcW w:type="dxa" w:w="4876"/>
            <w:vAlign w:val="center"/>
            <w:shd w:fill="E7EEF7"/>
            <w:tcMar>
              <w:top w:w="120" w:type="dxa"/>
              <w:start w:w="140" w:type="dxa"/>
              <w:bottom w:w="120" w:type="dxa"/>
              <w:end w:w="140" w:type="dxa"/>
            </w:tcMar>
          </w:tcPr>
          <w:p>
            <w:r/>
            <w:r>
              <w:rPr>
                <w:b w:val="0"/>
                <w:sz w:val="18"/>
              </w:rPr>
              <w:t>Наблюдателю виртуальное число может выглядеть как “счёт решений”, однако знак, кратность, рациональный stack-вес и компенсация ветвей показывают, что речь идёт о структурном следе модульной задачи, а не о доле будущих случаев.</w:t>
            </w:r>
          </w:p>
        </w:tc>
      </w:tr>
      <w:tr>
        <w:tc>
          <w:tcPr>
            <w:tcW w:type="dxa" w:w="4876"/>
            <w:vAlign w:val="center"/>
            <w:shd w:fill="A97816"/>
            <w:tcMar>
              <w:top w:w="120" w:type="dxa"/>
              <w:start w:w="120" w:type="dxa"/>
              <w:bottom w:w="120" w:type="dxa"/>
              <w:end w:w="120" w:type="dxa"/>
            </w:tcMar>
          </w:tcPr>
          <w:p>
            <w:pPr>
              <w:jc w:val="center"/>
            </w:pPr>
            <w:r/>
            <w:r>
              <w:rPr>
                <w:b/>
                <w:color w:val="FFFFFF"/>
                <w:sz w:val="19"/>
              </w:rPr>
              <w:t>ГРАНИЦА</w:t>
            </w:r>
          </w:p>
        </w:tc>
        <w:tc>
          <w:tcPr>
            <w:tcW w:type="dxa" w:w="4876"/>
            <w:vAlign w:val="center"/>
            <w:shd w:fill="F6EDD6"/>
            <w:tcMar>
              <w:top w:w="120" w:type="dxa"/>
              <w:start w:w="140" w:type="dxa"/>
              <w:bottom w:w="120" w:type="dxa"/>
              <w:end w:w="140" w:type="dxa"/>
            </w:tcMar>
          </w:tcPr>
          <w:p>
            <w:r/>
            <w:r>
              <w:rPr>
                <w:b w:val="0"/>
                <w:sz w:val="18"/>
              </w:rPr>
              <w:t>Глава не утверждает существование глобального virtual class для общей NAPG без perfect obstruction theory и ориентации. Никакой virtual count, Gromov-Witten-, Donaldson-Thomas- или локализационный инвариант не интерпретируется как вероятность физического, химического, экономического либо иного события без отдельного вероятностного и независимого эмпирического моста.</w:t>
            </w:r>
          </w:p>
        </w:tc>
      </w:tr>
    </w:tbl>
    <w:p>
      <w:pPr>
        <w:pStyle w:val="Heading1"/>
        <w:keepNext/>
      </w:pPr>
      <w:r>
        <w:t>216. Четыре несовпадающих слоя знания</w:t>
      </w:r>
    </w:p>
    <w:p>
      <w:r>
        <w:t>Глава 18 завершила глобализацию локальных карт Кураниши до stacky/derived moduli carrier. Следующий шаг состоит в том, чтобы получить из этого carrier числовые или когомологические инварианты. Здесь возникает особенно опасная подмена: число, полученное интегрированием по виртуальному классу, внешне напоминает вероятность. Строгая сборка разделяет четыре слоя.</w:t>
      </w:r>
    </w:p>
    <w:tbl>
      <w:tblPr>
        <w:tblStyle w:val="TableGrid"/>
        <w:tblW w:type="auto" w:w="0"/>
        <w:tblLayout w:type="autofit"/>
        <w:tblLook w:firstColumn="1" w:firstRow="1" w:lastColumn="0" w:lastRow="0" w:noHBand="0" w:noVBand="1" w:val="04A0"/>
      </w:tblPr>
      <w:tblGrid>
        <w:gridCol w:w="2438"/>
        <w:gridCol w:w="2438"/>
        <w:gridCol w:w="2438"/>
        <w:gridCol w:w="2438"/>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Слой</w:t>
            </w:r>
          </w:p>
        </w:tc>
        <w:tc>
          <w:tcPr>
            <w:tcW w:type="dxa" w:w="2448"/>
            <w:vAlign w:val="center"/>
            <w:shd w:fill="17345F"/>
            <w:tcMar>
              <w:top w:w="80" w:type="dxa"/>
              <w:start w:w="100" w:type="dxa"/>
              <w:bottom w:w="80" w:type="dxa"/>
              <w:end w:w="100" w:type="dxa"/>
            </w:tcMar>
          </w:tcPr>
          <w:p>
            <w:pPr>
              <w:jc w:val="center"/>
            </w:pPr>
            <w:r/>
            <w:r>
              <w:rPr>
                <w:b/>
                <w:color w:val="FFFFFF"/>
                <w:sz w:val="17"/>
              </w:rPr>
              <w:t>Основной объект</w:t>
            </w:r>
          </w:p>
        </w:tc>
        <w:tc>
          <w:tcPr>
            <w:tcW w:type="dxa" w:w="2736"/>
            <w:vAlign w:val="center"/>
            <w:shd w:fill="17345F"/>
            <w:tcMar>
              <w:top w:w="80" w:type="dxa"/>
              <w:start w:w="100" w:type="dxa"/>
              <w:bottom w:w="80" w:type="dxa"/>
              <w:end w:w="100" w:type="dxa"/>
            </w:tcMar>
          </w:tcPr>
          <w:p>
            <w:pPr>
              <w:jc w:val="center"/>
            </w:pPr>
            <w:r/>
            <w:r>
              <w:rPr>
                <w:b/>
                <w:color w:val="FFFFFF"/>
                <w:sz w:val="17"/>
              </w:rPr>
              <w:t>Допустимый вывод</w:t>
            </w:r>
          </w:p>
        </w:tc>
        <w:tc>
          <w:tcPr>
            <w:tcW w:type="dxa" w:w="2880"/>
            <w:vAlign w:val="center"/>
            <w:shd w:fill="17345F"/>
            <w:tcMar>
              <w:top w:w="80" w:type="dxa"/>
              <w:start w:w="100" w:type="dxa"/>
              <w:bottom w:w="80" w:type="dxa"/>
              <w:end w:w="100" w:type="dxa"/>
            </w:tcMar>
          </w:tcPr>
          <w:p>
            <w:pPr>
              <w:jc w:val="center"/>
            </w:pPr>
            <w:r/>
            <w:r>
              <w:rPr>
                <w:b/>
                <w:color w:val="FFFFFF"/>
                <w:sz w:val="17"/>
              </w:rPr>
              <w:t>Недопустимая подмена</w:t>
            </w:r>
          </w:p>
        </w:tc>
      </w:tr>
      <w:tr>
        <w:tc>
          <w:tcPr>
            <w:tcW w:type="dxa" w:w="1152"/>
            <w:vAlign w:val="center"/>
            <w:shd w:fill="FFFFFF"/>
            <w:tcMar>
              <w:top w:w="80" w:type="dxa"/>
              <w:start w:w="100" w:type="dxa"/>
              <w:bottom w:w="80" w:type="dxa"/>
              <w:end w:w="100" w:type="dxa"/>
            </w:tcMar>
          </w:tcPr>
          <w:p>
            <w:pPr>
              <w:jc w:val="center"/>
            </w:pPr>
            <w:r/>
            <w:r>
              <w:rPr>
                <w:b w:val="0"/>
                <w:sz w:val="17"/>
              </w:rPr>
              <w:t>V0: виртуальная геометрия</w:t>
            </w:r>
          </w:p>
        </w:tc>
        <w:tc>
          <w:tcPr>
            <w:tcW w:type="dxa" w:w="2448"/>
            <w:vAlign w:val="center"/>
            <w:shd w:fill="FFFFFF"/>
            <w:tcMar>
              <w:top w:w="80" w:type="dxa"/>
              <w:start w:w="100" w:type="dxa"/>
              <w:bottom w:w="80" w:type="dxa"/>
              <w:end w:w="100" w:type="dxa"/>
            </w:tcMar>
          </w:tcPr>
          <w:p>
            <w:pPr>
              <w:jc w:val="left"/>
            </w:pPr>
            <w:r/>
            <w:r>
              <w:rPr>
                <w:b w:val="0"/>
                <w:sz w:val="17"/>
              </w:rPr>
              <w:t>[𝔐]ᵛⁱʳ, POT, intrinsic cone</w:t>
            </w:r>
          </w:p>
        </w:tc>
        <w:tc>
          <w:tcPr>
            <w:tcW w:type="dxa" w:w="2736"/>
            <w:vAlign w:val="center"/>
            <w:shd w:fill="FFFFFF"/>
            <w:tcMar>
              <w:top w:w="80" w:type="dxa"/>
              <w:start w:w="100" w:type="dxa"/>
              <w:bottom w:w="80" w:type="dxa"/>
              <w:end w:w="100" w:type="dxa"/>
            </w:tcMar>
          </w:tcPr>
          <w:p>
            <w:pPr>
              <w:jc w:val="left"/>
            </w:pPr>
            <w:r/>
            <w:r>
              <w:rPr>
                <w:b w:val="0"/>
                <w:sz w:val="17"/>
              </w:rPr>
              <w:t>класс ожидаемой размерности</w:t>
            </w:r>
          </w:p>
        </w:tc>
        <w:tc>
          <w:tcPr>
            <w:tcW w:type="dxa" w:w="2880"/>
            <w:vAlign w:val="center"/>
            <w:shd w:fill="FFFFFF"/>
            <w:tcMar>
              <w:top w:w="80" w:type="dxa"/>
              <w:start w:w="100" w:type="dxa"/>
              <w:bottom w:w="80" w:type="dxa"/>
              <w:end w:w="100" w:type="dxa"/>
            </w:tcMar>
          </w:tcPr>
          <w:p>
            <w:pPr>
              <w:jc w:val="left"/>
            </w:pPr>
            <w:r/>
            <w:r>
              <w:rPr>
                <w:b w:val="0"/>
                <w:sz w:val="17"/>
              </w:rPr>
              <w:t>не вероятность</w:t>
            </w:r>
          </w:p>
        </w:tc>
      </w:tr>
      <w:tr>
        <w:tc>
          <w:tcPr>
            <w:tcW w:type="dxa" w:w="1152"/>
            <w:vAlign w:val="center"/>
            <w:shd w:fill="F2F4F7"/>
            <w:tcMar>
              <w:top w:w="80" w:type="dxa"/>
              <w:start w:w="100" w:type="dxa"/>
              <w:bottom w:w="80" w:type="dxa"/>
              <w:end w:w="100" w:type="dxa"/>
            </w:tcMar>
          </w:tcPr>
          <w:p>
            <w:pPr>
              <w:jc w:val="center"/>
            </w:pPr>
            <w:r/>
            <w:r>
              <w:rPr>
                <w:b w:val="0"/>
                <w:sz w:val="17"/>
              </w:rPr>
              <w:t>V1: intersection/enumerative</w:t>
            </w:r>
          </w:p>
        </w:tc>
        <w:tc>
          <w:tcPr>
            <w:tcW w:type="dxa" w:w="2448"/>
            <w:vAlign w:val="center"/>
            <w:shd w:fill="F2F4F7"/>
            <w:tcMar>
              <w:top w:w="80" w:type="dxa"/>
              <w:start w:w="100" w:type="dxa"/>
              <w:bottom w:w="80" w:type="dxa"/>
              <w:end w:w="100" w:type="dxa"/>
            </w:tcMar>
          </w:tcPr>
          <w:p>
            <w:pPr>
              <w:jc w:val="left"/>
            </w:pPr>
            <w:r/>
            <w:r>
              <w:rPr>
                <w:b w:val="0"/>
                <w:sz w:val="17"/>
              </w:rPr>
              <w:t>∫[𝔐]ᵛⁱʳ α</w:t>
            </w:r>
          </w:p>
        </w:tc>
        <w:tc>
          <w:tcPr>
            <w:tcW w:type="dxa" w:w="2736"/>
            <w:vAlign w:val="center"/>
            <w:shd w:fill="F2F4F7"/>
            <w:tcMar>
              <w:top w:w="80" w:type="dxa"/>
              <w:start w:w="100" w:type="dxa"/>
              <w:bottom w:w="80" w:type="dxa"/>
              <w:end w:w="100" w:type="dxa"/>
            </w:tcMar>
          </w:tcPr>
          <w:p>
            <w:pPr>
              <w:jc w:val="left"/>
            </w:pPr>
            <w:r/>
            <w:r>
              <w:rPr>
                <w:b w:val="0"/>
                <w:sz w:val="17"/>
              </w:rPr>
              <w:t>индекс, степень, signed/weighted count</w:t>
            </w:r>
          </w:p>
        </w:tc>
        <w:tc>
          <w:tcPr>
            <w:tcW w:type="dxa" w:w="2880"/>
            <w:vAlign w:val="center"/>
            <w:shd w:fill="F2F4F7"/>
            <w:tcMar>
              <w:top w:w="80" w:type="dxa"/>
              <w:start w:w="100" w:type="dxa"/>
              <w:bottom w:w="80" w:type="dxa"/>
              <w:end w:w="100" w:type="dxa"/>
            </w:tcMar>
          </w:tcPr>
          <w:p>
            <w:pPr>
              <w:jc w:val="left"/>
            </w:pPr>
            <w:r/>
            <w:r>
              <w:rPr>
                <w:b w:val="0"/>
                <w:sz w:val="17"/>
              </w:rPr>
              <w:t>не частота будущих случаев</w:t>
            </w:r>
          </w:p>
        </w:tc>
      </w:tr>
      <w:tr>
        <w:tc>
          <w:tcPr>
            <w:tcW w:type="dxa" w:w="1152"/>
            <w:vAlign w:val="center"/>
            <w:shd w:fill="FFFFFF"/>
            <w:tcMar>
              <w:top w:w="80" w:type="dxa"/>
              <w:start w:w="100" w:type="dxa"/>
              <w:bottom w:w="80" w:type="dxa"/>
              <w:end w:w="100" w:type="dxa"/>
            </w:tcMar>
          </w:tcPr>
          <w:p>
            <w:pPr>
              <w:jc w:val="center"/>
            </w:pPr>
            <w:r/>
            <w:r>
              <w:rPr>
                <w:b w:val="0"/>
                <w:sz w:val="17"/>
              </w:rPr>
              <w:t>P0: вероятностная модель</w:t>
            </w:r>
          </w:p>
        </w:tc>
        <w:tc>
          <w:tcPr>
            <w:tcW w:type="dxa" w:w="2448"/>
            <w:vAlign w:val="center"/>
            <w:shd w:fill="FFFFFF"/>
            <w:tcMar>
              <w:top w:w="80" w:type="dxa"/>
              <w:start w:w="100" w:type="dxa"/>
              <w:bottom w:w="80" w:type="dxa"/>
              <w:end w:w="100" w:type="dxa"/>
            </w:tcMar>
          </w:tcPr>
          <w:p>
            <w:pPr>
              <w:jc w:val="left"/>
            </w:pPr>
            <w:r/>
            <w:r>
              <w:rPr>
                <w:b w:val="0"/>
                <w:sz w:val="17"/>
              </w:rPr>
              <w:t>(Ω,ℱ,P), Y, pθ</w:t>
            </w:r>
          </w:p>
        </w:tc>
        <w:tc>
          <w:tcPr>
            <w:tcW w:type="dxa" w:w="2736"/>
            <w:vAlign w:val="center"/>
            <w:shd w:fill="FFFFFF"/>
            <w:tcMar>
              <w:top w:w="80" w:type="dxa"/>
              <w:start w:w="100" w:type="dxa"/>
              <w:bottom w:w="80" w:type="dxa"/>
              <w:end w:w="100" w:type="dxa"/>
            </w:tcMar>
          </w:tcPr>
          <w:p>
            <w:pPr>
              <w:jc w:val="left"/>
            </w:pPr>
            <w:r/>
            <w:r>
              <w:rPr>
                <w:b w:val="0"/>
                <w:sz w:val="17"/>
              </w:rPr>
              <w:t>вероятность при заданной мере</w:t>
            </w:r>
          </w:p>
        </w:tc>
        <w:tc>
          <w:tcPr>
            <w:tcW w:type="dxa" w:w="2880"/>
            <w:vAlign w:val="center"/>
            <w:shd w:fill="FFFFFF"/>
            <w:tcMar>
              <w:top w:w="80" w:type="dxa"/>
              <w:start w:w="100" w:type="dxa"/>
              <w:bottom w:w="80" w:type="dxa"/>
              <w:end w:w="100" w:type="dxa"/>
            </w:tcMar>
          </w:tcPr>
          <w:p>
            <w:pPr>
              <w:jc w:val="left"/>
            </w:pPr>
            <w:r/>
            <w:r>
              <w:rPr>
                <w:b w:val="0"/>
                <w:sz w:val="17"/>
              </w:rPr>
              <w:t>не следует из V0-V1</w:t>
            </w:r>
          </w:p>
        </w:tc>
      </w:tr>
      <w:tr>
        <w:tc>
          <w:tcPr>
            <w:tcW w:type="dxa" w:w="1152"/>
            <w:vAlign w:val="center"/>
            <w:shd w:fill="F2F4F7"/>
            <w:tcMar>
              <w:top w:w="80" w:type="dxa"/>
              <w:start w:w="100" w:type="dxa"/>
              <w:bottom w:w="80" w:type="dxa"/>
              <w:end w:w="100" w:type="dxa"/>
            </w:tcMar>
          </w:tcPr>
          <w:p>
            <w:pPr>
              <w:jc w:val="center"/>
            </w:pPr>
            <w:r/>
            <w:r>
              <w:rPr>
                <w:b w:val="0"/>
                <w:sz w:val="17"/>
              </w:rPr>
              <w:t>E0: эмпирическая проверка</w:t>
            </w:r>
          </w:p>
        </w:tc>
        <w:tc>
          <w:tcPr>
            <w:tcW w:type="dxa" w:w="2448"/>
            <w:vAlign w:val="center"/>
            <w:shd w:fill="F2F4F7"/>
            <w:tcMar>
              <w:top w:w="80" w:type="dxa"/>
              <w:start w:w="100" w:type="dxa"/>
              <w:bottom w:w="80" w:type="dxa"/>
              <w:end w:w="100" w:type="dxa"/>
            </w:tcMar>
          </w:tcPr>
          <w:p>
            <w:pPr>
              <w:jc w:val="left"/>
            </w:pPr>
            <w:r/>
            <w:r>
              <w:rPr>
                <w:b w:val="0"/>
                <w:sz w:val="17"/>
              </w:rPr>
              <w:t>данные, split, calibration, external run</w:t>
            </w:r>
          </w:p>
        </w:tc>
        <w:tc>
          <w:tcPr>
            <w:tcW w:type="dxa" w:w="2736"/>
            <w:vAlign w:val="center"/>
            <w:shd w:fill="F2F4F7"/>
            <w:tcMar>
              <w:top w:w="80" w:type="dxa"/>
              <w:start w:w="100" w:type="dxa"/>
              <w:bottom w:w="80" w:type="dxa"/>
              <w:end w:w="100" w:type="dxa"/>
            </w:tcMar>
          </w:tcPr>
          <w:p>
            <w:pPr>
              <w:jc w:val="left"/>
            </w:pPr>
            <w:r/>
            <w:r>
              <w:rPr>
                <w:b w:val="0"/>
                <w:sz w:val="17"/>
              </w:rPr>
              <w:t>оценка качества прогноза</w:t>
            </w:r>
          </w:p>
        </w:tc>
        <w:tc>
          <w:tcPr>
            <w:tcW w:type="dxa" w:w="2880"/>
            <w:vAlign w:val="center"/>
            <w:shd w:fill="F2F4F7"/>
            <w:tcMar>
              <w:top w:w="80" w:type="dxa"/>
              <w:start w:w="100" w:type="dxa"/>
              <w:bottom w:w="80" w:type="dxa"/>
              <w:end w:w="100" w:type="dxa"/>
            </w:tcMar>
          </w:tcPr>
          <w:p>
            <w:pPr>
              <w:jc w:val="left"/>
            </w:pPr>
            <w:r/>
            <w:r>
              <w:rPr>
                <w:b w:val="0"/>
                <w:sz w:val="17"/>
              </w:rPr>
              <w:t>не заменяется красивым инвариантом</w:t>
            </w:r>
          </w:p>
        </w:tc>
      </w:tr>
    </w:tbl>
    <w:p>
      <w:pPr>
        <w:pStyle w:val="Quote"/>
        <w:keepLines/>
      </w:pPr>
      <w:r>
        <w:t>V0 → V1  не влечёт  P0 → E0.                                      (19.1)</w:t>
      </w:r>
    </w:p>
    <w:p>
      <w:r>
        <w:t>Формула (19.1) является центральным доказательным замком главы. V0 и V1 могут быть полностью строгими математически, но вероятностный мост всё равно отсутствует. Это не недостаток virtual geometry, а корректное различие типов объектов.</w:t>
      </w:r>
    </w:p>
    <w:p>
      <w:pPr>
        <w:pStyle w:val="Heading1"/>
        <w:keepNext/>
      </w:pPr>
      <w:r>
        <w:t>217. Цикловый носитель и виртуальная размерность</w:t>
      </w:r>
    </w:p>
    <w:p>
      <w:r>
        <w:t>Пусть 𝔐 является proper Deligne-Mumford-подобным модульным объектом либо иным объектом, для которого определены Chow-группы или подходящая гомологическая теория. Пусть задана perfect obstruction theory</w:t>
      </w:r>
    </w:p>
    <w:p>
      <w:pPr>
        <w:pStyle w:val="Quote"/>
        <w:keepLines/>
      </w:pPr>
      <w:r>
        <w:t>φ:E•→L_𝔐,     amp(E•)⊂[-1,0].                                  (19.2)</w:t>
      </w:r>
    </w:p>
    <w:p>
      <w:r>
        <w:t>Виртуальная размерность определяется рангом perfect complex, а не фактической локальной размерностью грубого пространства:</w:t>
      </w:r>
    </w:p>
    <w:p>
      <w:pPr>
        <w:pStyle w:val="Quote"/>
        <w:keepLines/>
      </w:pPr>
      <w:r>
        <w:t>vdim(𝔐)=rk(E•)=rk(E⁰)-rk(E⁻¹).                               (19.3)</w:t>
      </w:r>
    </w:p>
    <w:p>
      <w:r>
        <w:t>Если в точке используется трёхчленный stacky tangent complex, вклад стабилизаторов уже входит в Euler characteristic. Поэтому vdim может быть нулевой при одновременно ненулевых пространствах автоморфизмов и препятствий. Нулевая виртуальная размерность не означает, что moduli object состоит из конечного множества гладких точек.</w:t>
      </w:r>
    </w:p>
    <w:p>
      <w:pPr>
        <w:pStyle w:val="Heading1"/>
        <w:keepNext/>
      </w:pPr>
      <w:r>
        <w:t>218. Конструкция виртуального фундаментального класса</w:t>
      </w:r>
    </w:p>
    <w:p>
      <w:r>
        <w:t>Intrinsic normal cone 𝔠_𝔐, построенный из локальных normal cones и склеенный в bundle stack 𝔈=h¹/h⁰((E•)∨), вкладывается в 𝔈. Виртуальный фундаментальный класс определяется refined Gysin pullback нулевой секции:</w:t>
      </w:r>
    </w:p>
    <w:p>
      <w:pPr>
        <w:pStyle w:val="Quote"/>
        <w:keepLines/>
      </w:pPr>
      <w:r>
        <w:t>[𝔐]ᵛⁱʳ = 0_𝔈^! [𝔠_𝔐] ∈ A_vdim(𝔐).                            (19.4)</w:t>
      </w:r>
    </w:p>
    <w:p>
      <w:r>
        <w:t>Формула (19.4) разрешена только при закрытом пакете: global obstruction theory, compatible cone, proper carrier, определённый Gysin-оператор и выбранная теория коэффициентов. Для derived smooth/analytic реализаций носитель может быть гомологическим или бордизмовым; равенство различных реализаций требует отдельной comparison theorem.</w:t>
      </w:r>
    </w:p>
    <w:p>
      <w:r>
        <w:t>Теорема 19.1 (Presentation independence, условная форма). [COND] Если две perfect obstruction theories связаны совместимым quasi-isomorphism и индуцируют одну и ту же embedding data intrinsic cone, то соответствующие virtual classes совпадают после канонической идентификации носителей. Произвольные неэквивалентные obstruction theories могут давать различные классы; поэтому “moduli space alone” в общем случае недостаточно.</w:t>
      </w:r>
    </w:p>
    <w:p>
      <w:pPr>
        <w:keepLines/>
        <w:jc w:val="center"/>
      </w:pPr>
      <w:r>
        <w:drawing>
          <wp:inline xmlns:a="http://schemas.openxmlformats.org/drawingml/2006/main" xmlns:pic="http://schemas.openxmlformats.org/drawingml/2006/picture">
            <wp:extent cx="5806440" cy="3320721"/>
            <wp:docPr id="49" name="Picture 49"/>
            <wp:cNvGraphicFramePr>
              <a:graphicFrameLocks noChangeAspect="1"/>
            </wp:cNvGraphicFramePr>
            <a:graphic>
              <a:graphicData uri="http://schemas.openxmlformats.org/drawingml/2006/picture">
                <pic:pic>
                  <pic:nvPicPr>
                    <pic:cNvPr id="0" name="fig19_1.png"/>
                    <pic:cNvPicPr/>
                  </pic:nvPicPr>
                  <pic:blipFill>
                    <a:blip r:embed="rId86"/>
                    <a:stretch>
                      <a:fillRect/>
                    </a:stretch>
                  </pic:blipFill>
                  <pic:spPr>
                    <a:xfrm>
                      <a:off x="0" y="0"/>
                      <a:ext cx="5806440" cy="3320721"/>
                    </a:xfrm>
                    <a:prstGeom prst="rect"/>
                  </pic:spPr>
                </pic:pic>
              </a:graphicData>
            </a:graphic>
          </wp:inline>
        </w:drawing>
      </w:r>
    </w:p>
    <w:p>
      <w:pPr>
        <w:pStyle w:val="Caption"/>
        <w:keepNext w:val="0"/>
        <w:keepLines/>
      </w:pPr>
      <w:r>
        <w:t>Рисунок 19.1. От derived/stacky moduli carrier к виртуальному инварианту и отдельному вероятностному мосту. Собственная схема Тома II.</w:t>
      </w:r>
    </w:p>
    <w:p>
      <w:pPr>
        <w:pStyle w:val="Heading1"/>
        <w:keepNext/>
      </w:pPr>
      <w:r>
        <w:t>219. Интегрирование по виртуальному классу</w:t>
      </w:r>
    </w:p>
    <w:p>
      <w:r>
        <w:t>Пусть α принадлежит операционному Chow-кольцу, когомологии или иной совместимой cohomology theory и имеет степень, дополняющую vdim до нуля. Виртуальный инвариант задаётся спариванием</w:t>
      </w:r>
    </w:p>
    <w:p>
      <w:pPr>
        <w:pStyle w:val="Quote"/>
        <w:keepLines/>
      </w:pPr>
      <w:r>
        <w:t>Iᵛⁱʳ(𝔐;α)=∫_[𝔐]ᵛⁱʳ α = deg(α∩[𝔐]ᵛⁱʳ).                      (19.5)</w:t>
      </w:r>
    </w:p>
    <w:p>
      <w:r>
        <w:t>При наличии evaluation maps evᵢ и insertions αᵢ используется формула</w:t>
      </w:r>
    </w:p>
    <w:p>
      <w:pPr>
        <w:pStyle w:val="Quote"/>
        <w:keepLines/>
      </w:pPr>
      <w:r>
        <w:t>⟨α₁,…,αₙ⟩ᵛⁱʳ = ∫_[𝔐]ᵛⁱʳ ∏ᵢ evᵢ*αᵢ.                         (19.6)</w:t>
      </w:r>
    </w:p>
    <w:p>
      <w:r>
        <w:t>Если суммарная степень insertions не согласована с vdim, числовой degree не определён либо автоматически равен нулю по размерностным причинам. Нулевой результат в таком случае может отражать grading, а не отсутствие геометрических объектов.</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584"/>
            <w:vAlign w:val="center"/>
            <w:shd w:fill="17345F"/>
            <w:tcMar>
              <w:top w:w="80" w:type="dxa"/>
              <w:start w:w="100" w:type="dxa"/>
              <w:bottom w:w="80" w:type="dxa"/>
              <w:end w:w="100" w:type="dxa"/>
            </w:tcMar>
          </w:tcPr>
          <w:p>
            <w:pPr>
              <w:jc w:val="center"/>
            </w:pPr>
            <w:r/>
            <w:r>
              <w:rPr>
                <w:b/>
                <w:color w:val="FFFFFF"/>
                <w:sz w:val="18"/>
              </w:rPr>
              <w:t>Проверка</w:t>
            </w:r>
          </w:p>
        </w:tc>
        <w:tc>
          <w:tcPr>
            <w:tcW w:type="dxa" w:w="3888"/>
            <w:vAlign w:val="center"/>
            <w:shd w:fill="17345F"/>
            <w:tcMar>
              <w:top w:w="80" w:type="dxa"/>
              <w:start w:w="100" w:type="dxa"/>
              <w:bottom w:w="80" w:type="dxa"/>
              <w:end w:w="100" w:type="dxa"/>
            </w:tcMar>
          </w:tcPr>
          <w:p>
            <w:pPr>
              <w:jc w:val="center"/>
            </w:pPr>
            <w:r/>
            <w:r>
              <w:rPr>
                <w:b/>
                <w:color w:val="FFFFFF"/>
                <w:sz w:val="18"/>
              </w:rPr>
              <w:t>Требование</w:t>
            </w:r>
          </w:p>
        </w:tc>
        <w:tc>
          <w:tcPr>
            <w:tcW w:type="dxa" w:w="3456"/>
            <w:vAlign w:val="center"/>
            <w:shd w:fill="17345F"/>
            <w:tcMar>
              <w:top w:w="80" w:type="dxa"/>
              <w:start w:w="100" w:type="dxa"/>
              <w:bottom w:w="80" w:type="dxa"/>
              <w:end w:w="100" w:type="dxa"/>
            </w:tcMar>
          </w:tcPr>
          <w:p>
            <w:pPr>
              <w:jc w:val="center"/>
            </w:pPr>
            <w:r/>
            <w:r>
              <w:rPr>
                <w:b/>
                <w:color w:val="FFFFFF"/>
                <w:sz w:val="18"/>
              </w:rPr>
              <w:t>При отказе</w:t>
            </w:r>
          </w:p>
        </w:tc>
      </w:tr>
      <w:tr>
        <w:tc>
          <w:tcPr>
            <w:tcW w:type="dxa" w:w="1584"/>
            <w:vAlign w:val="center"/>
            <w:shd w:fill="FFFFFF"/>
            <w:tcMar>
              <w:top w:w="80" w:type="dxa"/>
              <w:start w:w="100" w:type="dxa"/>
              <w:bottom w:w="80" w:type="dxa"/>
              <w:end w:w="100" w:type="dxa"/>
            </w:tcMar>
          </w:tcPr>
          <w:p>
            <w:pPr>
              <w:jc w:val="center"/>
            </w:pPr>
            <w:r/>
            <w:r>
              <w:rPr>
                <w:b w:val="0"/>
                <w:sz w:val="18"/>
              </w:rPr>
              <w:t>носитель</w:t>
            </w:r>
          </w:p>
        </w:tc>
        <w:tc>
          <w:tcPr>
            <w:tcW w:type="dxa" w:w="3888"/>
            <w:vAlign w:val="center"/>
            <w:shd w:fill="FFFFFF"/>
            <w:tcMar>
              <w:top w:w="80" w:type="dxa"/>
              <w:start w:w="100" w:type="dxa"/>
              <w:bottom w:w="80" w:type="dxa"/>
              <w:end w:w="100" w:type="dxa"/>
            </w:tcMar>
          </w:tcPr>
          <w:p>
            <w:pPr>
              <w:jc w:val="left"/>
            </w:pPr>
            <w:r/>
            <w:r>
              <w:rPr>
                <w:b w:val="0"/>
                <w:sz w:val="18"/>
              </w:rPr>
              <w:t>properness или compact support</w:t>
            </w:r>
          </w:p>
        </w:tc>
        <w:tc>
          <w:tcPr>
            <w:tcW w:type="dxa" w:w="3456"/>
            <w:vAlign w:val="center"/>
            <w:shd w:fill="FFFFFF"/>
            <w:tcMar>
              <w:top w:w="80" w:type="dxa"/>
              <w:start w:w="100" w:type="dxa"/>
              <w:bottom w:w="80" w:type="dxa"/>
              <w:end w:w="100" w:type="dxa"/>
            </w:tcMar>
          </w:tcPr>
          <w:p>
            <w:pPr>
              <w:jc w:val="left"/>
            </w:pPr>
            <w:r/>
            <w:r>
              <w:rPr>
                <w:b w:val="0"/>
                <w:sz w:val="18"/>
              </w:rPr>
              <w:t>degree не определён</w:t>
            </w:r>
          </w:p>
        </w:tc>
      </w:tr>
      <w:tr>
        <w:tc>
          <w:tcPr>
            <w:tcW w:type="dxa" w:w="1584"/>
            <w:vAlign w:val="center"/>
            <w:shd w:fill="F2F4F7"/>
            <w:tcMar>
              <w:top w:w="80" w:type="dxa"/>
              <w:start w:w="100" w:type="dxa"/>
              <w:bottom w:w="80" w:type="dxa"/>
              <w:end w:w="100" w:type="dxa"/>
            </w:tcMar>
          </w:tcPr>
          <w:p>
            <w:pPr>
              <w:jc w:val="center"/>
            </w:pPr>
            <w:r/>
            <w:r>
              <w:rPr>
                <w:b w:val="0"/>
                <w:sz w:val="18"/>
              </w:rPr>
              <w:t>размерность</w:t>
            </w:r>
          </w:p>
        </w:tc>
        <w:tc>
          <w:tcPr>
            <w:tcW w:type="dxa" w:w="3888"/>
            <w:vAlign w:val="center"/>
            <w:shd w:fill="F2F4F7"/>
            <w:tcMar>
              <w:top w:w="80" w:type="dxa"/>
              <w:start w:w="100" w:type="dxa"/>
              <w:bottom w:w="80" w:type="dxa"/>
              <w:end w:w="100" w:type="dxa"/>
            </w:tcMar>
          </w:tcPr>
          <w:p>
            <w:pPr>
              <w:jc w:val="left"/>
            </w:pPr>
            <w:r/>
            <w:r>
              <w:rPr>
                <w:b w:val="0"/>
                <w:sz w:val="18"/>
              </w:rPr>
              <w:t>deg α = vdim</w:t>
            </w:r>
          </w:p>
        </w:tc>
        <w:tc>
          <w:tcPr>
            <w:tcW w:type="dxa" w:w="3456"/>
            <w:vAlign w:val="center"/>
            <w:shd w:fill="F2F4F7"/>
            <w:tcMar>
              <w:top w:w="80" w:type="dxa"/>
              <w:start w:w="100" w:type="dxa"/>
              <w:bottom w:w="80" w:type="dxa"/>
              <w:end w:w="100" w:type="dxa"/>
            </w:tcMar>
          </w:tcPr>
          <w:p>
            <w:pPr>
              <w:jc w:val="left"/>
            </w:pPr>
            <w:r/>
            <w:r>
              <w:rPr>
                <w:b w:val="0"/>
                <w:sz w:val="18"/>
              </w:rPr>
              <w:t>число не получается</w:t>
            </w:r>
          </w:p>
        </w:tc>
      </w:tr>
      <w:tr>
        <w:tc>
          <w:tcPr>
            <w:tcW w:type="dxa" w:w="1584"/>
            <w:vAlign w:val="center"/>
            <w:shd w:fill="FFFFFF"/>
            <w:tcMar>
              <w:top w:w="80" w:type="dxa"/>
              <w:start w:w="100" w:type="dxa"/>
              <w:bottom w:w="80" w:type="dxa"/>
              <w:end w:w="100" w:type="dxa"/>
            </w:tcMar>
          </w:tcPr>
          <w:p>
            <w:pPr>
              <w:jc w:val="center"/>
            </w:pPr>
            <w:r/>
            <w:r>
              <w:rPr>
                <w:b w:val="0"/>
                <w:sz w:val="18"/>
              </w:rPr>
              <w:t>ориентация</w:t>
            </w:r>
          </w:p>
        </w:tc>
        <w:tc>
          <w:tcPr>
            <w:tcW w:type="dxa" w:w="3888"/>
            <w:vAlign w:val="center"/>
            <w:shd w:fill="FFFFFF"/>
            <w:tcMar>
              <w:top w:w="80" w:type="dxa"/>
              <w:start w:w="100" w:type="dxa"/>
              <w:bottom w:w="80" w:type="dxa"/>
              <w:end w:w="100" w:type="dxa"/>
            </w:tcMar>
          </w:tcPr>
          <w:p>
            <w:pPr>
              <w:jc w:val="left"/>
            </w:pPr>
            <w:r/>
            <w:r>
              <w:rPr>
                <w:b w:val="0"/>
                <w:sz w:val="18"/>
              </w:rPr>
              <w:t>совместимая determinant orientation</w:t>
            </w:r>
          </w:p>
        </w:tc>
        <w:tc>
          <w:tcPr>
            <w:tcW w:type="dxa" w:w="3456"/>
            <w:vAlign w:val="center"/>
            <w:shd w:fill="FFFFFF"/>
            <w:tcMar>
              <w:top w:w="80" w:type="dxa"/>
              <w:start w:w="100" w:type="dxa"/>
              <w:bottom w:w="80" w:type="dxa"/>
              <w:end w:w="100" w:type="dxa"/>
            </w:tcMar>
          </w:tcPr>
          <w:p>
            <w:pPr>
              <w:jc w:val="left"/>
            </w:pPr>
            <w:r/>
            <w:r>
              <w:rPr>
                <w:b w:val="0"/>
                <w:sz w:val="18"/>
              </w:rPr>
              <w:t>знак/класс неоднозначен</w:t>
            </w:r>
          </w:p>
        </w:tc>
      </w:tr>
      <w:tr>
        <w:tc>
          <w:tcPr>
            <w:tcW w:type="dxa" w:w="1584"/>
            <w:vAlign w:val="center"/>
            <w:shd w:fill="F2F4F7"/>
            <w:tcMar>
              <w:top w:w="80" w:type="dxa"/>
              <w:start w:w="100" w:type="dxa"/>
              <w:bottom w:w="80" w:type="dxa"/>
              <w:end w:w="100" w:type="dxa"/>
            </w:tcMar>
          </w:tcPr>
          <w:p>
            <w:pPr>
              <w:jc w:val="center"/>
            </w:pPr>
            <w:r/>
            <w:r>
              <w:rPr>
                <w:b w:val="0"/>
                <w:sz w:val="18"/>
              </w:rPr>
              <w:t>стабилизаторы</w:t>
            </w:r>
          </w:p>
        </w:tc>
        <w:tc>
          <w:tcPr>
            <w:tcW w:type="dxa" w:w="3888"/>
            <w:vAlign w:val="center"/>
            <w:shd w:fill="F2F4F7"/>
            <w:tcMar>
              <w:top w:w="80" w:type="dxa"/>
              <w:start w:w="100" w:type="dxa"/>
              <w:bottom w:w="80" w:type="dxa"/>
              <w:end w:w="100" w:type="dxa"/>
            </w:tcMar>
          </w:tcPr>
          <w:p>
            <w:pPr>
              <w:jc w:val="left"/>
            </w:pPr>
            <w:r/>
            <w:r>
              <w:rPr>
                <w:b w:val="0"/>
                <w:sz w:val="18"/>
              </w:rPr>
              <w:t>stack normalization</w:t>
            </w:r>
          </w:p>
        </w:tc>
        <w:tc>
          <w:tcPr>
            <w:tcW w:type="dxa" w:w="3456"/>
            <w:vAlign w:val="center"/>
            <w:shd w:fill="F2F4F7"/>
            <w:tcMar>
              <w:top w:w="80" w:type="dxa"/>
              <w:start w:w="100" w:type="dxa"/>
              <w:bottom w:w="80" w:type="dxa"/>
              <w:end w:w="100" w:type="dxa"/>
            </w:tcMar>
          </w:tcPr>
          <w:p>
            <w:pPr>
              <w:jc w:val="left"/>
            </w:pPr>
            <w:r/>
            <w:r>
              <w:rPr>
                <w:b w:val="0"/>
                <w:sz w:val="18"/>
              </w:rPr>
              <w:t>веса и знаменатели несертифицированы</w:t>
            </w:r>
          </w:p>
        </w:tc>
      </w:tr>
      <w:tr>
        <w:tc>
          <w:tcPr>
            <w:tcW w:type="dxa" w:w="1584"/>
            <w:vAlign w:val="center"/>
            <w:shd w:fill="FFFFFF"/>
            <w:tcMar>
              <w:top w:w="80" w:type="dxa"/>
              <w:start w:w="100" w:type="dxa"/>
              <w:bottom w:w="80" w:type="dxa"/>
              <w:end w:w="100" w:type="dxa"/>
            </w:tcMar>
          </w:tcPr>
          <w:p>
            <w:pPr>
              <w:jc w:val="center"/>
            </w:pPr>
            <w:r/>
            <w:r>
              <w:rPr>
                <w:b w:val="0"/>
                <w:sz w:val="18"/>
              </w:rPr>
              <w:t>insertions</w:t>
            </w:r>
          </w:p>
        </w:tc>
        <w:tc>
          <w:tcPr>
            <w:tcW w:type="dxa" w:w="3888"/>
            <w:vAlign w:val="center"/>
            <w:shd w:fill="FFFFFF"/>
            <w:tcMar>
              <w:top w:w="80" w:type="dxa"/>
              <w:start w:w="100" w:type="dxa"/>
              <w:bottom w:w="80" w:type="dxa"/>
              <w:end w:w="100" w:type="dxa"/>
            </w:tcMar>
          </w:tcPr>
          <w:p>
            <w:pPr>
              <w:jc w:val="left"/>
            </w:pPr>
            <w:r/>
            <w:r>
              <w:rPr>
                <w:b w:val="0"/>
                <w:sz w:val="18"/>
              </w:rPr>
              <w:t>глобальность и transport</w:t>
            </w:r>
          </w:p>
        </w:tc>
        <w:tc>
          <w:tcPr>
            <w:tcW w:type="dxa" w:w="3456"/>
            <w:vAlign w:val="center"/>
            <w:shd w:fill="FFFFFF"/>
            <w:tcMar>
              <w:top w:w="80" w:type="dxa"/>
              <w:start w:w="100" w:type="dxa"/>
              <w:bottom w:w="80" w:type="dxa"/>
              <w:end w:w="100" w:type="dxa"/>
            </w:tcMar>
          </w:tcPr>
          <w:p>
            <w:pPr>
              <w:jc w:val="left"/>
            </w:pPr>
            <w:r/>
            <w:r>
              <w:rPr>
                <w:b w:val="0"/>
                <w:sz w:val="18"/>
              </w:rPr>
              <w:t>инвариант зависит от карты</w:t>
            </w:r>
          </w:p>
        </w:tc>
      </w:tr>
      <w:tr>
        <w:tc>
          <w:tcPr>
            <w:tcW w:type="dxa" w:w="1584"/>
            <w:vAlign w:val="center"/>
            <w:shd w:fill="F2F4F7"/>
            <w:tcMar>
              <w:top w:w="80" w:type="dxa"/>
              <w:start w:w="100" w:type="dxa"/>
              <w:bottom w:w="80" w:type="dxa"/>
              <w:end w:w="100" w:type="dxa"/>
            </w:tcMar>
          </w:tcPr>
          <w:p>
            <w:pPr>
              <w:jc w:val="center"/>
            </w:pPr>
            <w:r/>
            <w:r>
              <w:rPr>
                <w:b w:val="0"/>
                <w:sz w:val="18"/>
              </w:rPr>
              <w:t>коэффициенты</w:t>
            </w:r>
          </w:p>
        </w:tc>
        <w:tc>
          <w:tcPr>
            <w:tcW w:type="dxa" w:w="3888"/>
            <w:vAlign w:val="center"/>
            <w:shd w:fill="F2F4F7"/>
            <w:tcMar>
              <w:top w:w="80" w:type="dxa"/>
              <w:start w:w="100" w:type="dxa"/>
              <w:bottom w:w="80" w:type="dxa"/>
              <w:end w:w="100" w:type="dxa"/>
            </w:tcMar>
          </w:tcPr>
          <w:p>
            <w:pPr>
              <w:jc w:val="left"/>
            </w:pPr>
            <w:r/>
            <w:r>
              <w:rPr>
                <w:b w:val="0"/>
                <w:sz w:val="18"/>
              </w:rPr>
              <w:t>фиксированная Chow/homology theory</w:t>
            </w:r>
          </w:p>
        </w:tc>
        <w:tc>
          <w:tcPr>
            <w:tcW w:type="dxa" w:w="3456"/>
            <w:vAlign w:val="center"/>
            <w:shd w:fill="F2F4F7"/>
            <w:tcMar>
              <w:top w:w="80" w:type="dxa"/>
              <w:start w:w="100" w:type="dxa"/>
              <w:bottom w:w="80" w:type="dxa"/>
              <w:end w:w="100" w:type="dxa"/>
            </w:tcMar>
          </w:tcPr>
          <w:p>
            <w:pPr>
              <w:jc w:val="left"/>
            </w:pPr>
            <w:r/>
            <w:r>
              <w:rPr>
                <w:b w:val="0"/>
                <w:sz w:val="18"/>
              </w:rPr>
              <w:t>несравнимые значения</w:t>
            </w:r>
          </w:p>
        </w:tc>
      </w:tr>
    </w:tbl>
    <w:p>
      <w:pPr>
        <w:pStyle w:val="Heading1"/>
        <w:keepNext/>
      </w:pPr>
      <w:r>
        <w:t>220. Regular zero locus и excess intersection</w:t>
      </w:r>
    </w:p>
    <w:p>
      <w:r>
        <w:t>Базовая конечномерная модель помогает отделить классическую геометрию от виртуального ремонта. Пусть U - гладкое многообразие, E→U - ориентированное векторное расслоение, а s∈Γ(E). Нулевой локус Z=s⁻¹(0) имеет ожидаемую размерность dim U-rk E. Если s трансверсально нулевой секции, то</w:t>
      </w:r>
    </w:p>
    <w:p>
      <w:pPr>
        <w:pStyle w:val="Quote"/>
        <w:keepLines/>
      </w:pPr>
      <w:r>
        <w:t>[Z]ᵛⁱʳ=[Z],     vdim=dim U-rk E.                              (19.7)</w:t>
      </w:r>
    </w:p>
    <w:p>
      <w:r>
        <w:t>При нетрансверсальности фактическая размерность Z может быть больше ожидаемой, но виртуальный класс остаётся в ожидаемой степени и кодирует excess intersection. Поэтому virtual count является поправленным intersection number, а не буквальным количеством точек нулевого множества.</w:t>
      </w:r>
    </w:p>
    <w:p>
      <w:r>
        <w:t>Лемма 19.2 (Transverse reduction). [THM в конечномерной ориентированной модели] Если s трансверсально нулевой секции и Z компактен, виртуальный класс совпадает с обычным фундаментальным классом Z. Доказательство следует из идентификации normal cone с normal bundle и обычного Thom/Gysin pullback.</w:t>
      </w:r>
    </w:p>
    <w:p>
      <w:pPr>
        <w:pStyle w:val="Heading1"/>
        <w:keepNext/>
      </w:pPr>
      <w:r>
        <w:t>221. Деформационная инвариантность</w:t>
      </w:r>
    </w:p>
    <w:p>
      <w:r>
        <w:t>Пусть π:𝔐→B является proper семейством, снабжённым relative perfect obstruction theory, совместимой с базой, а insertions продолжаются по семейству. Для b∈B обозначим fibre через 𝔐_b. При выполнении base-change/Gysin-условий</w:t>
      </w:r>
    </w:p>
    <w:p>
      <w:pPr>
        <w:pStyle w:val="Quote"/>
        <w:keepLines/>
      </w:pPr>
      <w:r>
        <w:t>[𝔐_b]ᵛⁱʳ = i_b^![𝔐]ᵛⁱʳ_rel.                                 (19.8)</w:t>
      </w:r>
    </w:p>
    <w:p>
      <w:r>
        <w:t>Если B связна и путь не пересекает локусы потери properness, perfectness, orientation, chamber или insertion data, degrees виртуальных классов постоянны:</w:t>
      </w:r>
    </w:p>
    <w:p>
      <w:pPr>
        <w:pStyle w:val="Quote"/>
        <w:keepLines/>
      </w:pPr>
      <w:r>
        <w:t>Iᵛⁱʳ(𝔐_b;α_b)=const.                                           (19.9)</w:t>
      </w:r>
    </w:p>
    <w:p>
      <w:r>
        <w:t>Теорема 19.3 (Virtual deformation invariance). [COND] При hypotheses (19.8), properness и совместимом transport insertions виртуальный инвариант локально постоянен на связной базе. Это структурный отрицательный прогноз: изменение данного invariant невозможно без выхода из сертифицированного сектора. Теорема не сообщает, с какой вероятностью параметрическая система достигнет такого выхода.</w:t>
      </w:r>
    </w:p>
    <w:p>
      <w:pPr>
        <w:pStyle w:val="Heading1"/>
        <w:keepNext/>
      </w:pPr>
      <w:r>
        <w:t>222. Equivariant localization</w:t>
      </w:r>
    </w:p>
    <w:p>
      <w:r>
        <w:t>Если алгебраический тор T действует на 𝔐 и perfect obstruction theory T-эквивариантна, virtual localization выражает глобальный класс через fixed loci F⊂𝔐ᵀ:</w:t>
      </w:r>
    </w:p>
    <w:p>
      <w:pPr>
        <w:pStyle w:val="Quote"/>
        <w:keepLines/>
      </w:pPr>
      <w:r>
        <w:t>[𝔐]ᵛⁱʳ = i_* Σ_F [F]ᵛⁱʳ / e_T(N_Fᵛⁱʳ)                      (19.10)</w:t>
      </w:r>
    </w:p>
    <w:p>
      <w:r>
        <w:t>в локализованной equivariant Chow theory. Знаменатель является Euler class виртуального normal complex. Формула не является разложением вероятности по альтернативам: слагаемые могут иметь знаки, полюса в equivariant parameters и рациональные веса.</w:t>
      </w:r>
    </w:p>
    <w:p>
      <w:r>
        <w:t>Локализационный сертификат обязан хранить fixed loci, virtual normal complexes, invertibility Euler classes, chamber конвенции и финальную отмену формальных параметров. Числовой ответ без этих данных не считается воспроизводимым.</w:t>
      </w:r>
    </w:p>
    <w:p>
      <w:pPr>
        <w:pStyle w:val="Heading1"/>
        <w:keepNext/>
      </w:pPr>
      <w:r>
        <w:t>223. Когда virtual count действительно enumerative</w:t>
      </w:r>
    </w:p>
    <w:p>
      <w:r>
        <w:t>Enumerative interpretation разрешается только при дополнительном наборе достаточных условий. Типичный безопасный пакет включает: нулевую virtual dimension; proper moduli carrier; отсутствие boundary contributions; изолированные reduced решения; тривиальные либо учтённые стабилизаторы; согласованную ориентацию; и доказательство того, что multiplicity каждой точки равна требуемому геометрическому весу.</w:t>
      </w:r>
    </w:p>
    <w:p>
      <w:pPr>
        <w:pStyle w:val="Quote"/>
        <w:keepLines/>
      </w:pPr>
      <w:r>
        <w:t>Iᵛⁱʳ = Σ_[x] m_x / |Aut(x)|.                                  (19.11)</w:t>
      </w:r>
    </w:p>
    <w:p>
      <w:r>
        <w:t>Даже формула (19.11) обычно является signed/weighted stack count. Она совпадает с буквальным числом геометрических объектов только если m_x=1, ориентационные знаки положительны и Aut(x) тривиальны. В противном случае слово “count” должно сопровождаться точным типом веса.</w:t>
      </w:r>
    </w:p>
    <w:p>
      <w:pPr>
        <w:pStyle w:val="Heading1"/>
        <w:keepNext/>
      </w:pPr>
      <w:r>
        <w:t>224. Три модели, разрушающие вероятностную подмену</w:t>
      </w:r>
    </w:p>
    <w:p>
      <w:r>
        <w:t>Первая модель: отображение f:S¹→S¹ степени -1. Signed preimage count регулярного значения равен -1. Это корректный ориентированный intersection number, но отрицательная вероятность невозможна.</w:t>
      </w:r>
    </w:p>
    <w:p>
      <w:r>
        <w:t>Вторая модель: f(z)=z² имеет степень 2. Signed count равен 2, что также не принадлежит [0,1].</w:t>
      </w:r>
    </w:p>
    <w:p>
      <w:r>
        <w:t>Третья модель: для stack [pt/μ₂] стандартная stack-интеграция учитывает стабилизатор весом 1/2. Число лежит в [0,1], но без выборочного пространства и нормировки оно является stack-весом, а не вероятностью.</w:t>
      </w:r>
    </w:p>
    <w:p>
      <w:pPr>
        <w:keepLines/>
        <w:jc w:val="center"/>
      </w:pPr>
      <w:r>
        <w:drawing>
          <wp:inline xmlns:a="http://schemas.openxmlformats.org/drawingml/2006/main" xmlns:pic="http://schemas.openxmlformats.org/drawingml/2006/picture">
            <wp:extent cx="5806440" cy="3376508"/>
            <wp:docPr id="50" name="Picture 50"/>
            <wp:cNvGraphicFramePr>
              <a:graphicFrameLocks noChangeAspect="1"/>
            </wp:cNvGraphicFramePr>
            <a:graphic>
              <a:graphicData uri="http://schemas.openxmlformats.org/drawingml/2006/picture">
                <pic:pic>
                  <pic:nvPicPr>
                    <pic:cNvPr id="0" name="fig19_2.png"/>
                    <pic:cNvPicPr/>
                  </pic:nvPicPr>
                  <pic:blipFill>
                    <a:blip r:embed="rId87"/>
                    <a:stretch>
                      <a:fillRect/>
                    </a:stretch>
                  </pic:blipFill>
                  <pic:spPr>
                    <a:xfrm>
                      <a:off x="0" y="0"/>
                      <a:ext cx="5806440" cy="3376508"/>
                    </a:xfrm>
                    <a:prstGeom prst="rect"/>
                  </pic:spPr>
                </pic:pic>
              </a:graphicData>
            </a:graphic>
          </wp:inline>
        </w:drawing>
      </w:r>
    </w:p>
    <w:p>
      <w:pPr>
        <w:pStyle w:val="Caption"/>
        <w:keepNext w:val="0"/>
        <w:keepLines/>
      </w:pPr>
      <w:r>
        <w:t>Рисунок 19.2. Отрицательный, превышающий единицу и stacky-дробный virtual count. Собственная схема Тома II.</w:t>
      </w:r>
    </w:p>
    <w:p>
      <w:pPr>
        <w:pStyle w:val="Heading1"/>
        <w:keepNext/>
      </w:pPr>
      <w:r>
        <w:t>225. Теорема невозможности универсальной вероятностной интерпретации</w:t>
      </w:r>
    </w:p>
    <w:p>
      <w:r>
        <w:t>Теорема 19.4 (Additivity-probability no-go). [THM] Не существует отображения Pᵛⁱʳ из класса всех нульмерных ориентированных virtual cycles в [0,1], которое одновременно удовлетворяет следующим требованиям:</w:t>
      </w:r>
    </w:p>
    <w:p>
      <w:pPr>
        <w:pStyle w:val="ListNumber"/>
        <w:keepLines/>
      </w:pPr>
      <w:r>
        <w:t>Pᵛⁱʳ(∅)=0;</w:t>
      </w:r>
    </w:p>
    <w:p>
      <w:pPr>
        <w:pStyle w:val="ListNumber"/>
        <w:keepLines/>
      </w:pPr>
      <w:r>
        <w:t>Pᵛⁱʳ([pt]_+)=1 для положительно ориентированной точки;</w:t>
      </w:r>
    </w:p>
    <w:p>
      <w:pPr>
        <w:pStyle w:val="ListNumber"/>
        <w:keepLines/>
      </w:pPr>
      <w:r>
        <w:t>Pᵛⁱʳ(X⊔Y)=Pᵛⁱʳ(X)+Pᵛⁱʳ(Y) для дизъюнктного объединения;</w:t>
      </w:r>
    </w:p>
    <w:p>
      <w:pPr>
        <w:pStyle w:val="ListNumber"/>
        <w:keepLines/>
      </w:pPr>
      <w:r>
        <w:t>Pᵛⁱʳ зависит только от virtual degree.</w:t>
      </w:r>
    </w:p>
    <w:p>
      <w:r>
        <w:t>Доказательство. Из нормировки и аддитивности для двух положительно ориентированных точек следует Pᵛⁱʳ([pt]_+⊔[pt]_+)=2, что противоречит требованию значений в [0,1]. Дополнительно ориентационное обращение даёт degree -1. Следовательно, любая вероятностная интерпретация обязана отказаться хотя бы от одной из этих структур, ввести нормировку и добавить внешнюю модель.</w:t>
      </w:r>
    </w:p>
    <w:p>
      <w:pPr>
        <w:pStyle w:val="Quote"/>
        <w:keepLines/>
      </w:pPr>
      <w:r>
        <w:t>virtual degree  ≠  probability measure.                                (19.12)</w:t>
      </w:r>
    </w:p>
    <w:p>
      <w:pPr>
        <w:pStyle w:val="Heading1"/>
        <w:keepNext/>
      </w:pPr>
      <w:r>
        <w:t>226. Вероятностный мост</w:t>
      </w:r>
    </w:p>
    <w:p>
      <w:r>
        <w:t>Определение 19.5. Вероятностный мост к прикладному событию задаётся кортежем</w:t>
      </w:r>
    </w:p>
    <w:p>
      <w:pPr>
        <w:pStyle w:val="Quote"/>
        <w:keepLines/>
      </w:pPr>
      <w:r>
        <w:t>B_prob=(Ω,ℱ,P,Y,φ,g_θ,ℒ,Cal,Val,Ext).                         (19.13)</w:t>
      </w:r>
    </w:p>
    <w:p>
      <w:pPr>
        <w:pStyle w:val="ListBullet"/>
        <w:keepLines/>
      </w:pPr>
      <w:r>
        <w:t>Ω и ℱ задают пространство исходов и измеримые события;</w:t>
      </w:r>
    </w:p>
    <w:p>
      <w:pPr>
        <w:pStyle w:val="ListBullet"/>
        <w:keepLines/>
      </w:pPr>
      <w:r>
        <w:t>P является вероятностной мерой, установленной моделью или процедурой оценки;</w:t>
      </w:r>
    </w:p>
    <w:p>
      <w:pPr>
        <w:pStyle w:val="ListBullet"/>
        <w:keepLines/>
      </w:pPr>
      <w:r>
        <w:t>Y∈{0,1} либо иной наблюдаемый target фиксирует событие;</w:t>
      </w:r>
    </w:p>
    <w:p>
      <w:pPr>
        <w:pStyle w:val="ListBullet"/>
        <w:keepLines/>
      </w:pPr>
      <w:r>
        <w:t>φ извлекает признаки из virtual/Reper-профиля без утечки результата;</w:t>
      </w:r>
    </w:p>
    <w:p>
      <w:pPr>
        <w:pStyle w:val="ListBullet"/>
        <w:keepLines/>
      </w:pPr>
      <w:r>
        <w:t>g_θ отображает признаки в [0,1] и имеет обучаемые либо заданные параметры;</w:t>
      </w:r>
    </w:p>
    <w:p>
      <w:pPr>
        <w:pStyle w:val="ListBullet"/>
        <w:keepLines/>
      </w:pPr>
      <w:r>
        <w:t>ℒ является proper scoring rule или заранее выбранной функцией потерь;</w:t>
      </w:r>
    </w:p>
    <w:p>
      <w:pPr>
        <w:pStyle w:val="ListBullet"/>
        <w:keepLines/>
      </w:pPr>
      <w:r>
        <w:t>Cal и Val задают калибровку и валидацию;</w:t>
      </w:r>
    </w:p>
    <w:p>
      <w:pPr>
        <w:pStyle w:val="ListBullet"/>
        <w:keepLines/>
      </w:pPr>
      <w:r>
        <w:t>Ext означает независимый внешний запуск.</w:t>
      </w:r>
    </w:p>
    <w:p>
      <w:pPr>
        <w:pStyle w:val="Quote"/>
        <w:keepLines/>
      </w:pPr>
      <w:r>
        <w:t>p_θ = g_θ(φ(P_vir, P_stack, λ, CGI, D, Dom)).                 (19.14)</w:t>
      </w:r>
    </w:p>
    <w:p>
      <w:r>
        <w:t>Формула (19.14) является модельной гипотезой, а не следствием intersection theory. Даже если g_θ монотонна по virtual invariant, выбор монотонности и масштаба должен быть обоснован данными или предметной теорией.</w:t>
      </w:r>
    </w:p>
    <w:p>
      <w:pPr>
        <w:pStyle w:val="Heading1"/>
        <w:keepNext/>
      </w:pPr>
      <w:r>
        <w:t>227. Калибровка, discriminative quality и transportability</w:t>
      </w:r>
    </w:p>
    <w:p>
      <w:r>
        <w:t>Вероятностный прогноз должен отдельно проходить calibration и discrimination. Идеальная population-calibration выражается как</w:t>
      </w:r>
    </w:p>
    <w:p>
      <w:pPr>
        <w:pStyle w:val="Quote"/>
        <w:keepLines/>
      </w:pPr>
      <w:r>
        <w:t>E[Y | p_θ]=p_θ.                                                 (19.15)</w:t>
      </w:r>
    </w:p>
    <w:p>
      <w:r>
        <w:t>В конечной выборке используются заранее определённые оценки, интервалы и proper scores. Хорошая ранжирующая способность не гарантирует калибровку, а хорошая калибровка на обучающем домене не гарантирует transportability при сдвиге распределения.</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Сертификат</w:t>
            </w:r>
          </w:p>
        </w:tc>
        <w:tc>
          <w:tcPr>
            <w:tcW w:type="dxa" w:w="4320"/>
            <w:vAlign w:val="center"/>
            <w:shd w:fill="17345F"/>
            <w:tcMar>
              <w:top w:w="80" w:type="dxa"/>
              <w:start w:w="100" w:type="dxa"/>
              <w:bottom w:w="80" w:type="dxa"/>
              <w:end w:w="100" w:type="dxa"/>
            </w:tcMar>
          </w:tcPr>
          <w:p>
            <w:pPr>
              <w:jc w:val="center"/>
            </w:pPr>
            <w:r/>
            <w:r>
              <w:rPr>
                <w:b/>
                <w:color w:val="FFFFFF"/>
                <w:sz w:val="17"/>
              </w:rPr>
              <w:t>Проверяемый вопрос</w:t>
            </w:r>
          </w:p>
        </w:tc>
        <w:tc>
          <w:tcPr>
            <w:tcW w:type="dxa" w:w="3456"/>
            <w:vAlign w:val="center"/>
            <w:shd w:fill="17345F"/>
            <w:tcMar>
              <w:top w:w="80" w:type="dxa"/>
              <w:start w:w="100" w:type="dxa"/>
              <w:bottom w:w="80" w:type="dxa"/>
              <w:end w:w="100" w:type="dxa"/>
            </w:tcMar>
          </w:tcPr>
          <w:p>
            <w:pPr>
              <w:jc w:val="center"/>
            </w:pPr>
            <w:r/>
            <w:r>
              <w:rPr>
                <w:b/>
                <w:color w:val="FFFFFF"/>
                <w:sz w:val="17"/>
              </w:rPr>
              <w:t>Минимальный результат</w:t>
            </w:r>
          </w:p>
        </w:tc>
      </w:tr>
      <w:tr>
        <w:tc>
          <w:tcPr>
            <w:tcW w:type="dxa" w:w="1152"/>
            <w:vAlign w:val="center"/>
            <w:shd w:fill="FFFFFF"/>
            <w:tcMar>
              <w:top w:w="80" w:type="dxa"/>
              <w:start w:w="100" w:type="dxa"/>
              <w:bottom w:w="80" w:type="dxa"/>
              <w:end w:w="100" w:type="dxa"/>
            </w:tcMar>
          </w:tcPr>
          <w:p>
            <w:pPr>
              <w:jc w:val="center"/>
            </w:pPr>
            <w:r/>
            <w:r>
              <w:rPr>
                <w:b w:val="0"/>
                <w:sz w:val="17"/>
              </w:rPr>
              <w:t>CAL</w:t>
            </w:r>
          </w:p>
        </w:tc>
        <w:tc>
          <w:tcPr>
            <w:tcW w:type="dxa" w:w="4320"/>
            <w:vAlign w:val="center"/>
            <w:shd w:fill="FFFFFF"/>
            <w:tcMar>
              <w:top w:w="80" w:type="dxa"/>
              <w:start w:w="100" w:type="dxa"/>
              <w:bottom w:w="80" w:type="dxa"/>
              <w:end w:w="100" w:type="dxa"/>
            </w:tcMar>
          </w:tcPr>
          <w:p>
            <w:pPr>
              <w:jc w:val="left"/>
            </w:pPr>
            <w:r/>
            <w:r>
              <w:rPr>
                <w:b w:val="0"/>
                <w:sz w:val="17"/>
              </w:rPr>
              <w:t>соответствуют ли вероятности частотам?</w:t>
            </w:r>
          </w:p>
        </w:tc>
        <w:tc>
          <w:tcPr>
            <w:tcW w:type="dxa" w:w="3456"/>
            <w:vAlign w:val="center"/>
            <w:shd w:fill="FFFFFF"/>
            <w:tcMar>
              <w:top w:w="80" w:type="dxa"/>
              <w:start w:w="100" w:type="dxa"/>
              <w:bottom w:w="80" w:type="dxa"/>
              <w:end w:w="100" w:type="dxa"/>
            </w:tcMar>
          </w:tcPr>
          <w:p>
            <w:pPr>
              <w:jc w:val="left"/>
            </w:pPr>
            <w:r/>
            <w:r>
              <w:rPr>
                <w:b w:val="0"/>
                <w:sz w:val="17"/>
              </w:rPr>
              <w:t>calibration curve + interval</w:t>
            </w:r>
          </w:p>
        </w:tc>
      </w:tr>
      <w:tr>
        <w:tc>
          <w:tcPr>
            <w:tcW w:type="dxa" w:w="1152"/>
            <w:vAlign w:val="center"/>
            <w:shd w:fill="F2F4F7"/>
            <w:tcMar>
              <w:top w:w="80" w:type="dxa"/>
              <w:start w:w="100" w:type="dxa"/>
              <w:bottom w:w="80" w:type="dxa"/>
              <w:end w:w="100" w:type="dxa"/>
            </w:tcMar>
          </w:tcPr>
          <w:p>
            <w:pPr>
              <w:jc w:val="center"/>
            </w:pPr>
            <w:r/>
            <w:r>
              <w:rPr>
                <w:b w:val="0"/>
                <w:sz w:val="17"/>
              </w:rPr>
              <w:t>DISC</w:t>
            </w:r>
          </w:p>
        </w:tc>
        <w:tc>
          <w:tcPr>
            <w:tcW w:type="dxa" w:w="4320"/>
            <w:vAlign w:val="center"/>
            <w:shd w:fill="F2F4F7"/>
            <w:tcMar>
              <w:top w:w="80" w:type="dxa"/>
              <w:start w:w="100" w:type="dxa"/>
              <w:bottom w:w="80" w:type="dxa"/>
              <w:end w:w="100" w:type="dxa"/>
            </w:tcMar>
          </w:tcPr>
          <w:p>
            <w:pPr>
              <w:jc w:val="left"/>
            </w:pPr>
            <w:r/>
            <w:r>
              <w:rPr>
                <w:b w:val="0"/>
                <w:sz w:val="17"/>
              </w:rPr>
              <w:t>разделяет ли модель классы?</w:t>
            </w:r>
          </w:p>
        </w:tc>
        <w:tc>
          <w:tcPr>
            <w:tcW w:type="dxa" w:w="3456"/>
            <w:vAlign w:val="center"/>
            <w:shd w:fill="F2F4F7"/>
            <w:tcMar>
              <w:top w:w="80" w:type="dxa"/>
              <w:start w:w="100" w:type="dxa"/>
              <w:bottom w:w="80" w:type="dxa"/>
              <w:end w:w="100" w:type="dxa"/>
            </w:tcMar>
          </w:tcPr>
          <w:p>
            <w:pPr>
              <w:jc w:val="left"/>
            </w:pPr>
            <w:r/>
            <w:r>
              <w:rPr>
                <w:b w:val="0"/>
                <w:sz w:val="17"/>
              </w:rPr>
              <w:t>предзаданный discrimination metric</w:t>
            </w:r>
          </w:p>
        </w:tc>
      </w:tr>
      <w:tr>
        <w:tc>
          <w:tcPr>
            <w:tcW w:type="dxa" w:w="1152"/>
            <w:vAlign w:val="center"/>
            <w:shd w:fill="FFFFFF"/>
            <w:tcMar>
              <w:top w:w="80" w:type="dxa"/>
              <w:start w:w="100" w:type="dxa"/>
              <w:bottom w:w="80" w:type="dxa"/>
              <w:end w:w="100" w:type="dxa"/>
            </w:tcMar>
          </w:tcPr>
          <w:p>
            <w:pPr>
              <w:jc w:val="center"/>
            </w:pPr>
            <w:r/>
            <w:r>
              <w:rPr>
                <w:b w:val="0"/>
                <w:sz w:val="17"/>
              </w:rPr>
              <w:t>SHIFT</w:t>
            </w:r>
          </w:p>
        </w:tc>
        <w:tc>
          <w:tcPr>
            <w:tcW w:type="dxa" w:w="4320"/>
            <w:vAlign w:val="center"/>
            <w:shd w:fill="FFFFFF"/>
            <w:tcMar>
              <w:top w:w="80" w:type="dxa"/>
              <w:start w:w="100" w:type="dxa"/>
              <w:bottom w:w="80" w:type="dxa"/>
              <w:end w:w="100" w:type="dxa"/>
            </w:tcMar>
          </w:tcPr>
          <w:p>
            <w:pPr>
              <w:jc w:val="left"/>
            </w:pPr>
            <w:r/>
            <w:r>
              <w:rPr>
                <w:b w:val="0"/>
                <w:sz w:val="17"/>
              </w:rPr>
              <w:t>сохраняется ли условное распределение?</w:t>
            </w:r>
          </w:p>
        </w:tc>
        <w:tc>
          <w:tcPr>
            <w:tcW w:type="dxa" w:w="3456"/>
            <w:vAlign w:val="center"/>
            <w:shd w:fill="FFFFFF"/>
            <w:tcMar>
              <w:top w:w="80" w:type="dxa"/>
              <w:start w:w="100" w:type="dxa"/>
              <w:bottom w:w="80" w:type="dxa"/>
              <w:end w:w="100" w:type="dxa"/>
            </w:tcMar>
          </w:tcPr>
          <w:p>
            <w:pPr>
              <w:jc w:val="left"/>
            </w:pPr>
            <w:r/>
            <w:r>
              <w:rPr>
                <w:b w:val="0"/>
                <w:sz w:val="17"/>
              </w:rPr>
              <w:t>domain-shift audit</w:t>
            </w:r>
          </w:p>
        </w:tc>
      </w:tr>
      <w:tr>
        <w:tc>
          <w:tcPr>
            <w:tcW w:type="dxa" w:w="1152"/>
            <w:vAlign w:val="center"/>
            <w:shd w:fill="F2F4F7"/>
            <w:tcMar>
              <w:top w:w="80" w:type="dxa"/>
              <w:start w:w="100" w:type="dxa"/>
              <w:bottom w:w="80" w:type="dxa"/>
              <w:end w:w="100" w:type="dxa"/>
            </w:tcMar>
          </w:tcPr>
          <w:p>
            <w:pPr>
              <w:jc w:val="center"/>
            </w:pPr>
            <w:r/>
            <w:r>
              <w:rPr>
                <w:b w:val="0"/>
                <w:sz w:val="17"/>
              </w:rPr>
              <w:t>SPLIT</w:t>
            </w:r>
          </w:p>
        </w:tc>
        <w:tc>
          <w:tcPr>
            <w:tcW w:type="dxa" w:w="4320"/>
            <w:vAlign w:val="center"/>
            <w:shd w:fill="F2F4F7"/>
            <w:tcMar>
              <w:top w:w="80" w:type="dxa"/>
              <w:start w:w="100" w:type="dxa"/>
              <w:bottom w:w="80" w:type="dxa"/>
              <w:end w:w="100" w:type="dxa"/>
            </w:tcMar>
          </w:tcPr>
          <w:p>
            <w:pPr>
              <w:jc w:val="left"/>
            </w:pPr>
            <w:r/>
            <w:r>
              <w:rPr>
                <w:b w:val="0"/>
                <w:sz w:val="17"/>
              </w:rPr>
              <w:t>не использован ли результат при выборе модели?</w:t>
            </w:r>
          </w:p>
        </w:tc>
        <w:tc>
          <w:tcPr>
            <w:tcW w:type="dxa" w:w="3456"/>
            <w:vAlign w:val="center"/>
            <w:shd w:fill="F2F4F7"/>
            <w:tcMar>
              <w:top w:w="80" w:type="dxa"/>
              <w:start w:w="100" w:type="dxa"/>
              <w:bottom w:w="80" w:type="dxa"/>
              <w:end w:w="100" w:type="dxa"/>
            </w:tcMar>
          </w:tcPr>
          <w:p>
            <w:pPr>
              <w:jc w:val="left"/>
            </w:pPr>
            <w:r/>
            <w:r>
              <w:rPr>
                <w:b w:val="0"/>
                <w:sz w:val="17"/>
              </w:rPr>
              <w:t>blind train/validation/test</w:t>
            </w:r>
          </w:p>
        </w:tc>
      </w:tr>
      <w:tr>
        <w:tc>
          <w:tcPr>
            <w:tcW w:type="dxa" w:w="1152"/>
            <w:vAlign w:val="center"/>
            <w:shd w:fill="FFFFFF"/>
            <w:tcMar>
              <w:top w:w="80" w:type="dxa"/>
              <w:start w:w="100" w:type="dxa"/>
              <w:bottom w:w="80" w:type="dxa"/>
              <w:end w:w="100" w:type="dxa"/>
            </w:tcMar>
          </w:tcPr>
          <w:p>
            <w:pPr>
              <w:jc w:val="center"/>
            </w:pPr>
            <w:r/>
            <w:r>
              <w:rPr>
                <w:b w:val="0"/>
                <w:sz w:val="17"/>
              </w:rPr>
              <w:t>EXT</w:t>
            </w:r>
          </w:p>
        </w:tc>
        <w:tc>
          <w:tcPr>
            <w:tcW w:type="dxa" w:w="4320"/>
            <w:vAlign w:val="center"/>
            <w:shd w:fill="FFFFFF"/>
            <w:tcMar>
              <w:top w:w="80" w:type="dxa"/>
              <w:start w:w="100" w:type="dxa"/>
              <w:bottom w:w="80" w:type="dxa"/>
              <w:end w:w="100" w:type="dxa"/>
            </w:tcMar>
          </w:tcPr>
          <w:p>
            <w:pPr>
              <w:jc w:val="left"/>
            </w:pPr>
            <w:r/>
            <w:r>
              <w:rPr>
                <w:b w:val="0"/>
                <w:sz w:val="17"/>
              </w:rPr>
              <w:t>повторяется ли эффект независимо?</w:t>
            </w:r>
          </w:p>
        </w:tc>
        <w:tc>
          <w:tcPr>
            <w:tcW w:type="dxa" w:w="3456"/>
            <w:vAlign w:val="center"/>
            <w:shd w:fill="FFFFFF"/>
            <w:tcMar>
              <w:top w:w="80" w:type="dxa"/>
              <w:start w:w="100" w:type="dxa"/>
              <w:bottom w:w="80" w:type="dxa"/>
              <w:end w:w="100" w:type="dxa"/>
            </w:tcMar>
          </w:tcPr>
          <w:p>
            <w:pPr>
              <w:jc w:val="left"/>
            </w:pPr>
            <w:r/>
            <w:r>
              <w:rPr>
                <w:b w:val="0"/>
                <w:sz w:val="17"/>
              </w:rPr>
              <w:t>external run с frozen protocol</w:t>
            </w:r>
          </w:p>
        </w:tc>
      </w:tr>
      <w:tr>
        <w:tc>
          <w:tcPr>
            <w:tcW w:type="dxa" w:w="1152"/>
            <w:vAlign w:val="center"/>
            <w:shd w:fill="F2F4F7"/>
            <w:tcMar>
              <w:top w:w="80" w:type="dxa"/>
              <w:start w:w="100" w:type="dxa"/>
              <w:bottom w:w="80" w:type="dxa"/>
              <w:end w:w="100" w:type="dxa"/>
            </w:tcMar>
          </w:tcPr>
          <w:p>
            <w:pPr>
              <w:jc w:val="center"/>
            </w:pPr>
            <w:r/>
            <w:r>
              <w:rPr>
                <w:b w:val="0"/>
                <w:sz w:val="17"/>
              </w:rPr>
              <w:t>ABST</w:t>
            </w:r>
          </w:p>
        </w:tc>
        <w:tc>
          <w:tcPr>
            <w:tcW w:type="dxa" w:w="4320"/>
            <w:vAlign w:val="center"/>
            <w:shd w:fill="F2F4F7"/>
            <w:tcMar>
              <w:top w:w="80" w:type="dxa"/>
              <w:start w:w="100" w:type="dxa"/>
              <w:bottom w:w="80" w:type="dxa"/>
              <w:end w:w="100" w:type="dxa"/>
            </w:tcMar>
          </w:tcPr>
          <w:p>
            <w:pPr>
              <w:jc w:val="left"/>
            </w:pPr>
            <w:r/>
            <w:r>
              <w:rPr>
                <w:b w:val="0"/>
                <w:sz w:val="17"/>
              </w:rPr>
              <w:t>умеет ли система воздерживаться?</w:t>
            </w:r>
          </w:p>
        </w:tc>
        <w:tc>
          <w:tcPr>
            <w:tcW w:type="dxa" w:w="3456"/>
            <w:vAlign w:val="center"/>
            <w:shd w:fill="F2F4F7"/>
            <w:tcMar>
              <w:top w:w="80" w:type="dxa"/>
              <w:start w:w="100" w:type="dxa"/>
              <w:bottom w:w="80" w:type="dxa"/>
              <w:end w:w="100" w:type="dxa"/>
            </w:tcMar>
          </w:tcPr>
          <w:p>
            <w:pPr>
              <w:jc w:val="left"/>
            </w:pPr>
            <w:r/>
            <w:r>
              <w:rPr>
                <w:b w:val="0"/>
                <w:sz w:val="17"/>
              </w:rPr>
              <w:t>coverage-risk или blocker rule</w:t>
            </w:r>
          </w:p>
        </w:tc>
      </w:tr>
    </w:tbl>
    <w:p>
      <w:pPr>
        <w:pStyle w:val="Heading1"/>
        <w:keepNext/>
      </w:pPr>
      <w:r>
        <w:t>228. Виртуальный Reper-сертификат</w:t>
      </w:r>
    </w:p>
    <w:p>
      <w:r>
        <w:t>Для интеграции virtual geometry в KLT-RBD вводится не одиночное число, а типизированный сертификат</w:t>
      </w:r>
    </w:p>
    <w:p>
      <w:pPr>
        <w:pStyle w:val="Quote"/>
        <w:keepLines/>
      </w:pPr>
      <w:r>
        <w:t>VirtCert=(𝔐ᵈᵉʳ,E•,𝔠_𝔐,[𝔐]ᵛⁱʳ,α,or,prop,src,code,D,Dom).       (19.16)</w:t>
      </w:r>
    </w:p>
    <w:p>
      <w:r>
        <w:t>Его Reper-четвёрка имеет вид</w:t>
      </w:r>
    </w:p>
    <w:p>
      <w:pPr>
        <w:pStyle w:val="Quote"/>
        <w:keepLines/>
      </w:pPr>
      <w:r>
        <w:t>Rep_vir=(R_vir,I_vir,U_vir;D_vir),                             (19.17)</w:t>
      </w:r>
    </w:p>
    <w:p>
      <w:pPr>
        <w:pStyle w:val="ListBullet"/>
        <w:keepLines/>
      </w:pPr>
      <w:r>
        <w:t>R_vir: вычисленный virtual class и invariant в фиксированном carrier;</w:t>
      </w:r>
    </w:p>
    <w:p>
      <w:pPr>
        <w:pStyle w:val="ListBullet"/>
        <w:keepLines/>
      </w:pPr>
      <w:r>
        <w:t>I_vir: тип инварианта, insertions и правило сравнения;</w:t>
      </w:r>
    </w:p>
    <w:p>
      <w:pPr>
        <w:pStyle w:val="ListBullet"/>
        <w:keepLines/>
      </w:pPr>
      <w:r>
        <w:t>U_vir: допустимое семейство деформаций, камер и локализаций;</w:t>
      </w:r>
    </w:p>
    <w:p>
      <w:pPr>
        <w:pStyle w:val="ListBullet"/>
        <w:keepLines/>
      </w:pPr>
      <w:r>
        <w:t>D_vir: perfect obstruction theory, ориентация, properness, источники, код, данные и хеши.</w:t>
      </w:r>
    </w:p>
    <w:p>
      <w:r>
        <w:t>Проективно-гармоническая координата λ разрешена лишь после построения реперной четвёрки (19.17). Она не извлекается канонически из одного virtual degree. В частности, равенство λ=-1 не превращает Iᵛⁱʳ в вероятность и не закрывает вероятностный мост B_prob.</w:t>
      </w:r>
    </w:p>
    <w:p>
      <w:pPr>
        <w:pStyle w:val="Heading1"/>
        <w:keepNext/>
      </w:pPr>
      <w:r>
        <w:t>229. Проективно-гармонический и enumerative шлюз</w:t>
      </w:r>
    </w:p>
    <w:p>
      <w:pPr>
        <w:pStyle w:val="Quote"/>
        <w:keepLines/>
      </w:pPr>
      <w:r>
        <w:t>Gate_vir=1  ⇔  Cert_VFC=1 ∧ Valid(D)=1 ∧ Dom=1 ∧ Block_vir=∅. (19.18)</w:t>
      </w:r>
    </w:p>
    <w:p>
      <w:pPr>
        <w:pStyle w:val="Quote"/>
        <w:keepLines/>
      </w:pPr>
      <w:r>
        <w:t>Gate_prob=1 ⇔ Gate_vir=1 ∧ Cert_prob=1 ∧ Ext=1.                (19.19)</w:t>
      </w:r>
    </w:p>
    <w:p>
      <w:r>
        <w:t>Шлюз (19.18) разрешает только математический virtual/enumerative вывод. Шлюз (19.19) является дополнительным и разрешает вероятностный вывод. Ниже этого разделения прогнозная система обязана возвращать PROBABILITY-UNAVAILABLE, даже если virtual invariant вычислен точно до последнего знака.</w:t>
      </w:r>
    </w:p>
    <w:p>
      <w:pPr>
        <w:pStyle w:val="Heading1"/>
        <w:keepNext/>
      </w:pPr>
      <w:r>
        <w:t>230. Горизонты виртуального и вероятностного слоя</w:t>
      </w:r>
    </w:p>
    <w:p>
      <w:pPr>
        <w:pStyle w:val="Quote"/>
        <w:keepLines/>
      </w:pPr>
      <w:r>
        <w:t>Δ_VFC = Δ_POT ∪ Δ_amp ∪ Δ_prop ∪ Δ_or ∪ Δ_comp ∪ Δ_ins ∪ Δ_loc ∪ Δ_wall ∪ Δ_num.   (19.20)</w:t>
      </w:r>
    </w:p>
    <w:p>
      <w:r>
        <w:t>Здесь фиксируются потеря perfectness, смена amplitude, отказ properness, ориентационный дефект, нарушение compatibility, смена insertions, локализационный полюс, wall-crossing и численная несертифицированность.</w:t>
      </w:r>
    </w:p>
    <w:p>
      <w:pPr>
        <w:pStyle w:val="Quote"/>
        <w:keepLines/>
      </w:pPr>
      <w:r>
        <w:t>Δ_prob = Δ_Ω ∪ Δ_meas ∪ Δ_link ∪ Δ_cal ∪ Δ_shift ∪ Δ_sel ∪ Δ_ext.                  (19.21)</w:t>
      </w:r>
    </w:p>
    <w:p>
      <w:r>
        <w:t>Вероятностный горизонт отражает смену пространства исходов, меры, link-модели, калибровки, домена, селекционной процедуры и независимой валидации.</w:t>
      </w:r>
    </w:p>
    <w:p>
      <w:pPr>
        <w:pStyle w:val="Quote"/>
        <w:keepLines/>
      </w:pPr>
      <w:r>
        <w:t>Δ_safe^{v0.16}=Δ_safe^{v0.15}∪Δ_VFC∪Δ_prob.                    (19.22)</w:t>
      </w:r>
    </w:p>
    <w:p>
      <w:pPr>
        <w:pStyle w:val="Heading1"/>
        <w:keepNext/>
      </w:pPr>
      <w:r>
        <w:t>231. Главная условная теорема T2-RP-v0.16</w:t>
      </w:r>
    </w:p>
    <w:p>
      <w:r>
        <w:t>Теорема 19.6 (Virtual-cycle-safe predictive theorem). [COND] Пусть над связной камерой U выполнены условия:</w:t>
      </w:r>
    </w:p>
    <w:p>
      <w:pPr>
        <w:pStyle w:val="ListNumber"/>
        <w:keepLines/>
      </w:pPr>
      <w:r>
        <w:t>задано proper семейство global derived/stacky NAPG-carriers 𝔐→U;</w:t>
      </w:r>
    </w:p>
    <w:p>
      <w:pPr>
        <w:pStyle w:val="ListNumber"/>
        <w:keepLines/>
      </w:pPr>
      <w:r>
        <w:t>существует совместимая relative perfect obstruction theory постоянной amplitude;</w:t>
      </w:r>
    </w:p>
    <w:p>
      <w:pPr>
        <w:pStyle w:val="ListNumber"/>
        <w:keepLines/>
      </w:pPr>
      <w:r>
        <w:t>intrinsic normal cones и virtual classes совместимы с base change;</w:t>
      </w:r>
    </w:p>
    <w:p>
      <w:pPr>
        <w:pStyle w:val="ListNumber"/>
        <w:keepLines/>
      </w:pPr>
      <w:r>
        <w:t>ориентация, determinant data и stack normalization сохраняются;</w:t>
      </w:r>
    </w:p>
    <w:p>
      <w:pPr>
        <w:pStyle w:val="ListNumber"/>
        <w:keepLines/>
      </w:pPr>
      <w:r>
        <w:t>insertions и branch labels транспортируются без пересечения wall/ramification loci;</w:t>
      </w:r>
    </w:p>
    <w:p>
      <w:pPr>
        <w:pStyle w:val="ListNumber"/>
        <w:keepLines/>
      </w:pPr>
      <w:r>
        <w:t>Reper, λ, Evidence-D, Dom и внешний E-мост валидны;</w:t>
      </w:r>
    </w:p>
    <w:p>
      <w:pPr>
        <w:pStyle w:val="ListNumber"/>
        <w:keepLines/>
      </w:pPr>
      <w:r>
        <w:t>вычислительный сертификат VFC-ENUM воспроизводим;</w:t>
      </w:r>
    </w:p>
    <w:p>
      <w:pPr>
        <w:pStyle w:val="ListNumber"/>
        <w:keepLines/>
      </w:pPr>
      <w:r>
        <w:t>путь γ не пересекает Δ_safe^{v0.16}.</w:t>
      </w:r>
    </w:p>
    <w:p>
      <w:r>
        <w:t>Тогда virtual profile</w:t>
      </w:r>
    </w:p>
    <w:p>
      <w:pPr>
        <w:pStyle w:val="Quote"/>
        <w:keepLines/>
      </w:pPr>
      <w:r>
        <w:t>P_VFC(t)=([𝔐_t]ᵛⁱʳ, vdim, Iᵛⁱʳ_t, supp, sign, denom, chamber, λ_t, CGI_t)   (19.23)</w:t>
      </w:r>
    </w:p>
    <w:p>
      <w:r>
        <w:t>постоянен вдоль γ с точностью до доказанного transport. В частности, изменение Iᵛⁱʳ данного типа внутри модели невозможно:</w:t>
      </w:r>
    </w:p>
    <w:p>
      <w:pPr>
        <w:pStyle w:val="Quote"/>
        <w:keepLines/>
      </w:pPr>
      <w:r>
        <w:t>γ∩(Δ_safe^{v0.15}∪Δ_VFC)=∅  ⇒  NO-VIRTUAL-CHANGE-IN-MODEL.  (19.24)</w:t>
      </w:r>
    </w:p>
    <w:p>
      <w:r>
        <w:t>Вероятностное следствие не возникает автоматически. Оно разрешается только при Gate_prob=1 и отдельной проверке Δ_prob. При отсутствии B_prob вывод имеет форму PROBABILITY-UNAVAILABLE независимо от значения Iᵛⁱʳ.</w:t>
      </w:r>
    </w:p>
    <w:p>
      <w:pPr>
        <w:pStyle w:val="Heading1"/>
        <w:keepNext/>
      </w:pPr>
      <w:r>
        <w:t>232. Двухступенчатый blocker-safe вердикт</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440"/>
            <w:vAlign w:val="center"/>
            <w:shd w:fill="17345F"/>
            <w:tcMar>
              <w:top w:w="80" w:type="dxa"/>
              <w:start w:w="100" w:type="dxa"/>
              <w:bottom w:w="80" w:type="dxa"/>
              <w:end w:w="100" w:type="dxa"/>
            </w:tcMar>
          </w:tcPr>
          <w:p>
            <w:pPr>
              <w:jc w:val="center"/>
            </w:pPr>
            <w:r/>
            <w:r>
              <w:rPr>
                <w:b/>
                <w:color w:val="FFFFFF"/>
                <w:sz w:val="17"/>
              </w:rPr>
              <w:t>Ступень</w:t>
            </w:r>
          </w:p>
        </w:tc>
        <w:tc>
          <w:tcPr>
            <w:tcW w:type="dxa" w:w="4608"/>
            <w:vAlign w:val="center"/>
            <w:shd w:fill="17345F"/>
            <w:tcMar>
              <w:top w:w="80" w:type="dxa"/>
              <w:start w:w="100" w:type="dxa"/>
              <w:bottom w:w="80" w:type="dxa"/>
              <w:end w:w="100" w:type="dxa"/>
            </w:tcMar>
          </w:tcPr>
          <w:p>
            <w:pPr>
              <w:jc w:val="center"/>
            </w:pPr>
            <w:r/>
            <w:r>
              <w:rPr>
                <w:b/>
                <w:color w:val="FFFFFF"/>
                <w:sz w:val="17"/>
              </w:rPr>
              <w:t>Условия</w:t>
            </w:r>
          </w:p>
        </w:tc>
        <w:tc>
          <w:tcPr>
            <w:tcW w:type="dxa" w:w="3168"/>
            <w:vAlign w:val="center"/>
            <w:shd w:fill="17345F"/>
            <w:tcMar>
              <w:top w:w="80" w:type="dxa"/>
              <w:start w:w="100" w:type="dxa"/>
              <w:bottom w:w="80" w:type="dxa"/>
              <w:end w:w="100" w:type="dxa"/>
            </w:tcMar>
          </w:tcPr>
          <w:p>
            <w:pPr>
              <w:jc w:val="center"/>
            </w:pPr>
            <w:r/>
            <w:r>
              <w:rPr>
                <w:b/>
                <w:color w:val="FFFFFF"/>
                <w:sz w:val="17"/>
              </w:rPr>
              <w:t>Допустимый вердикт</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Δ_VFC не пересечён, POT/proper/orientation закрыты</w:t>
            </w:r>
          </w:p>
        </w:tc>
        <w:tc>
          <w:tcPr>
            <w:tcW w:type="dxa" w:w="3168"/>
            <w:vAlign w:val="center"/>
            <w:shd w:fill="FFFFFF"/>
            <w:tcMar>
              <w:top w:w="80" w:type="dxa"/>
              <w:start w:w="100" w:type="dxa"/>
              <w:bottom w:w="80" w:type="dxa"/>
              <w:end w:w="100" w:type="dxa"/>
            </w:tcMar>
          </w:tcPr>
          <w:p>
            <w:pPr>
              <w:jc w:val="left"/>
            </w:pPr>
            <w:r/>
            <w:r>
              <w:rPr>
                <w:b w:val="0"/>
                <w:sz w:val="17"/>
              </w:rPr>
              <w:t>NO-VIRTUAL-CHANGE-IN-MODEL</w:t>
            </w:r>
          </w:p>
        </w:tc>
      </w:tr>
      <w:tr>
        <w:tc>
          <w:tcPr>
            <w:tcW w:type="dxa" w:w="1440"/>
            <w:vAlign w:val="center"/>
            <w:shd w:fill="F2F4F7"/>
            <w:tcMar>
              <w:top w:w="80" w:type="dxa"/>
              <w:start w:w="100" w:type="dxa"/>
              <w:bottom w:w="80" w:type="dxa"/>
              <w:end w:w="100" w:type="dxa"/>
            </w:tcMar>
          </w:tcPr>
          <w:p>
            <w:pPr>
              <w:jc w:val="center"/>
            </w:pPr>
            <w:r/>
            <w:r>
              <w:rPr>
                <w:b w:val="0"/>
                <w:sz w:val="17"/>
              </w:rPr>
              <w:t>V: virtual</w:t>
            </w:r>
          </w:p>
        </w:tc>
        <w:tc>
          <w:tcPr>
            <w:tcW w:type="dxa" w:w="4608"/>
            <w:vAlign w:val="center"/>
            <w:shd w:fill="F2F4F7"/>
            <w:tcMar>
              <w:top w:w="80" w:type="dxa"/>
              <w:start w:w="100" w:type="dxa"/>
              <w:bottom w:w="80" w:type="dxa"/>
              <w:end w:w="100" w:type="dxa"/>
            </w:tcMar>
          </w:tcPr>
          <w:p>
            <w:pPr>
              <w:jc w:val="left"/>
            </w:pPr>
            <w:r/>
            <w:r>
              <w:rPr>
                <w:b w:val="0"/>
                <w:sz w:val="17"/>
              </w:rPr>
              <w:t>пересечён virtual horizon, но carrier сохранён</w:t>
            </w:r>
          </w:p>
        </w:tc>
        <w:tc>
          <w:tcPr>
            <w:tcW w:type="dxa" w:w="3168"/>
            <w:vAlign w:val="center"/>
            <w:shd w:fill="F2F4F7"/>
            <w:tcMar>
              <w:top w:w="80" w:type="dxa"/>
              <w:start w:w="100" w:type="dxa"/>
              <w:bottom w:w="80" w:type="dxa"/>
              <w:end w:w="100" w:type="dxa"/>
            </w:tcMar>
          </w:tcPr>
          <w:p>
            <w:pPr>
              <w:jc w:val="left"/>
            </w:pPr>
            <w:r/>
            <w:r>
              <w:rPr>
                <w:b w:val="0"/>
                <w:sz w:val="17"/>
              </w:rPr>
              <w:t>CANDIDATE-VIRTUAL-JUMP</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есть неустранённый математический blocker</w:t>
            </w:r>
          </w:p>
        </w:tc>
        <w:tc>
          <w:tcPr>
            <w:tcW w:type="dxa" w:w="3168"/>
            <w:vAlign w:val="center"/>
            <w:shd w:fill="FFFFFF"/>
            <w:tcMar>
              <w:top w:w="80" w:type="dxa"/>
              <w:start w:w="100" w:type="dxa"/>
              <w:bottom w:w="80" w:type="dxa"/>
              <w:end w:w="100" w:type="dxa"/>
            </w:tcMar>
          </w:tcPr>
          <w:p>
            <w:pPr>
              <w:jc w:val="left"/>
            </w:pPr>
            <w:r/>
            <w:r>
              <w:rPr>
                <w:b w:val="0"/>
                <w:sz w:val="17"/>
              </w:rPr>
              <w:t>ABSTAIN</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Gate_prob=1, calibration и Ext закрыты</w:t>
            </w:r>
          </w:p>
        </w:tc>
        <w:tc>
          <w:tcPr>
            <w:tcW w:type="dxa" w:w="3168"/>
            <w:vAlign w:val="center"/>
            <w:shd w:fill="F2F4F7"/>
            <w:tcMar>
              <w:top w:w="80" w:type="dxa"/>
              <w:start w:w="100" w:type="dxa"/>
              <w:bottom w:w="80" w:type="dxa"/>
              <w:end w:w="100" w:type="dxa"/>
            </w:tcMar>
          </w:tcPr>
          <w:p>
            <w:pPr>
              <w:jc w:val="left"/>
            </w:pPr>
            <w:r/>
            <w:r>
              <w:rPr>
                <w:b w:val="0"/>
                <w:sz w:val="17"/>
              </w:rPr>
              <w:t>CALIBRATED-PROBABILITY</w:t>
            </w:r>
          </w:p>
        </w:tc>
      </w:tr>
      <w:tr>
        <w:tc>
          <w:tcPr>
            <w:tcW w:type="dxa" w:w="1440"/>
            <w:vAlign w:val="center"/>
            <w:shd w:fill="FFFFFF"/>
            <w:tcMar>
              <w:top w:w="80" w:type="dxa"/>
              <w:start w:w="100" w:type="dxa"/>
              <w:bottom w:w="80" w:type="dxa"/>
              <w:end w:w="100" w:type="dxa"/>
            </w:tcMar>
          </w:tcPr>
          <w:p>
            <w:pPr>
              <w:jc w:val="center"/>
            </w:pPr>
            <w:r/>
            <w:r>
              <w:rPr>
                <w:b w:val="0"/>
                <w:sz w:val="17"/>
              </w:rPr>
              <w:t>P: probability</w:t>
            </w:r>
          </w:p>
        </w:tc>
        <w:tc>
          <w:tcPr>
            <w:tcW w:type="dxa" w:w="4608"/>
            <w:vAlign w:val="center"/>
            <w:shd w:fill="FFFFFF"/>
            <w:tcMar>
              <w:top w:w="80" w:type="dxa"/>
              <w:start w:w="100" w:type="dxa"/>
              <w:bottom w:w="80" w:type="dxa"/>
              <w:end w:w="100" w:type="dxa"/>
            </w:tcMar>
          </w:tcPr>
          <w:p>
            <w:pPr>
              <w:jc w:val="left"/>
            </w:pPr>
            <w:r/>
            <w:r>
              <w:rPr>
                <w:b w:val="0"/>
                <w:sz w:val="17"/>
              </w:rPr>
              <w:t>virtual слой есть, B_prob отсутствует</w:t>
            </w:r>
          </w:p>
        </w:tc>
        <w:tc>
          <w:tcPr>
            <w:tcW w:type="dxa" w:w="3168"/>
            <w:vAlign w:val="center"/>
            <w:shd w:fill="FFFFFF"/>
            <w:tcMar>
              <w:top w:w="80" w:type="dxa"/>
              <w:start w:w="100" w:type="dxa"/>
              <w:bottom w:w="80" w:type="dxa"/>
              <w:end w:w="100" w:type="dxa"/>
            </w:tcMar>
          </w:tcPr>
          <w:p>
            <w:pPr>
              <w:jc w:val="left"/>
            </w:pPr>
            <w:r/>
            <w:r>
              <w:rPr>
                <w:b w:val="0"/>
                <w:sz w:val="17"/>
              </w:rPr>
              <w:t>PROBABILITY-UNAVAILABLE</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мост задан, но blocker не закрыт</w:t>
            </w:r>
          </w:p>
        </w:tc>
        <w:tc>
          <w:tcPr>
            <w:tcW w:type="dxa" w:w="3168"/>
            <w:vAlign w:val="center"/>
            <w:shd w:fill="F2F4F7"/>
            <w:tcMar>
              <w:top w:w="80" w:type="dxa"/>
              <w:start w:w="100" w:type="dxa"/>
              <w:bottom w:w="80" w:type="dxa"/>
              <w:end w:w="100" w:type="dxa"/>
            </w:tcMar>
          </w:tcPr>
          <w:p>
            <w:pPr>
              <w:jc w:val="left"/>
            </w:pPr>
            <w:r/>
            <w:r>
              <w:rPr>
                <w:b w:val="0"/>
                <w:sz w:val="17"/>
              </w:rPr>
              <w:t>ABSTAIN</w:t>
            </w:r>
          </w:p>
        </w:tc>
      </w:tr>
    </w:tbl>
    <w:p>
      <w:pPr>
        <w:keepLines/>
        <w:jc w:val="center"/>
      </w:pPr>
      <w:r>
        <w:drawing>
          <wp:inline xmlns:a="http://schemas.openxmlformats.org/drawingml/2006/main" xmlns:pic="http://schemas.openxmlformats.org/drawingml/2006/picture">
            <wp:extent cx="5806440" cy="3563597"/>
            <wp:docPr id="51" name="Picture 51"/>
            <wp:cNvGraphicFramePr>
              <a:graphicFrameLocks noChangeAspect="1"/>
            </wp:cNvGraphicFramePr>
            <a:graphic>
              <a:graphicData uri="http://schemas.openxmlformats.org/drawingml/2006/picture">
                <pic:pic>
                  <pic:nvPicPr>
                    <pic:cNvPr id="0" name="fig19_3.png"/>
                    <pic:cNvPicPr/>
                  </pic:nvPicPr>
                  <pic:blipFill>
                    <a:blip r:embed="rId88"/>
                    <a:stretch>
                      <a:fillRect/>
                    </a:stretch>
                  </pic:blipFill>
                  <pic:spPr>
                    <a:xfrm>
                      <a:off x="0" y="0"/>
                      <a:ext cx="5806440" cy="3563597"/>
                    </a:xfrm>
                    <a:prstGeom prst="rect"/>
                  </pic:spPr>
                </pic:pic>
              </a:graphicData>
            </a:graphic>
          </wp:inline>
        </w:drawing>
      </w:r>
    </w:p>
    <w:p>
      <w:pPr>
        <w:pStyle w:val="Caption"/>
        <w:keepNext w:val="0"/>
        <w:keepLines/>
      </w:pPr>
      <w:r>
        <w:t>Рисунок 19.3. Двухступенчатый virtual/probability verdict и запрет автоматического экспорта. Собственная схема Тома II.</w:t>
      </w:r>
    </w:p>
    <w:p>
      <w:pPr>
        <w:pStyle w:val="Heading1"/>
        <w:keepNext/>
      </w:pPr>
      <w:r>
        <w:t>233. Контрпримеры и разделяющие модели</w:t>
      </w:r>
    </w:p>
    <w:p>
      <w:pPr>
        <w:pStyle w:val="ListBullet"/>
        <w:keepLines/>
      </w:pPr>
      <w:r>
        <w:t>Virtual degree постоянен в деформации, но вероятностная частота меняется из-за смены sampling mechanism: V-слой устойчив, P-слой нарушен.</w:t>
      </w:r>
    </w:p>
    <w:p>
      <w:pPr>
        <w:pStyle w:val="ListBullet"/>
        <w:keepLines/>
      </w:pPr>
      <w:r>
        <w:t>Вероятность откалибрована в одном домене, но virtual class меняется при wall-crossing: эмпирический мост не сохраняет математический тип.</w:t>
      </w:r>
    </w:p>
    <w:p>
      <w:pPr>
        <w:pStyle w:val="ListBullet"/>
        <w:keepLines/>
      </w:pPr>
      <w:r>
        <w:t>Virtual invariant равен нулю из-за cancellation положительных и отрицательных вкладов, хотя решения существуют.</w:t>
      </w:r>
    </w:p>
    <w:p>
      <w:pPr>
        <w:pStyle w:val="ListBullet"/>
        <w:keepLines/>
      </w:pPr>
      <w:r>
        <w:t>Virtual invariant ненулевой, но moduli carrier неп proper: degree зависит от выбранной compactification.</w:t>
      </w:r>
    </w:p>
    <w:p>
      <w:pPr>
        <w:pStyle w:val="ListBullet"/>
        <w:keepLines/>
      </w:pPr>
      <w:r>
        <w:t>Localization sum конечна, но отдельные слагаемые имеют полюса; интерпретация каждого слагаемого как вероятности невозможна.</w:t>
      </w:r>
    </w:p>
    <w:p>
      <w:pPr>
        <w:pStyle w:val="ListBullet"/>
        <w:keepLines/>
      </w:pPr>
      <w:r>
        <w:t>Stack count 1/|G| совпадает численно с долей, но изменение стабилизатора меняет число без изменения частоты наблюдаемого события.</w:t>
      </w:r>
    </w:p>
    <w:p>
      <w:pPr>
        <w:pStyle w:val="ListBullet"/>
        <w:keepLines/>
      </w:pPr>
      <w:r>
        <w:t>λ=-1 для Rep_vir при отсутствующем B_prob: структурная гармония не создаёт меру P.</w:t>
      </w:r>
    </w:p>
    <w:p>
      <w:pPr>
        <w:pStyle w:val="ListBullet"/>
        <w:keepLines/>
      </w:pPr>
      <w:r>
        <w:t>Хорошая Brier-калибровка на post-selected sample исчезает на frozen external run: селекционный blocker делает прогноз недействительным.</w:t>
      </w:r>
    </w:p>
    <w:p>
      <w:pPr>
        <w:pStyle w:val="ListBullet"/>
        <w:keepLines/>
      </w:pPr>
      <w:r>
        <w:t>Одинаковый virtual degree при различных support cycles: число теряет геометрическое расположение и branch information.</w:t>
      </w:r>
    </w:p>
    <w:p>
      <w:pPr>
        <w:pStyle w:val="ListBullet"/>
        <w:keepLines/>
      </w:pPr>
      <w:r>
        <w:t>Одинаковая вероятность при различных virtual invariants: вероятностная модель сознательно сжимает математический профиль.</w:t>
      </w:r>
    </w:p>
    <w:p>
      <w:pPr>
        <w:pStyle w:val="Heading1"/>
        <w:keepNext/>
      </w:pPr>
      <w:r>
        <w:t>234. Вычислительный сертификат VFC-ENUM-PROB v0.16</w:t>
      </w:r>
    </w:p>
    <w:p>
      <w:pPr>
        <w:pStyle w:val="ListBullet"/>
        <w:keepLines/>
      </w:pPr>
      <w:r>
        <w:t>VFC-01 carrier inventory; VFC-02 properness/compact-support; VFC-03 perfect obstruction theory; VFC-04 amplitude;</w:t>
      </w:r>
    </w:p>
    <w:p>
      <w:pPr>
        <w:pStyle w:val="ListBullet"/>
        <w:keepLines/>
      </w:pPr>
      <w:r>
        <w:t>VFC-05 intrinsic normal cone; VFC-06 zero-section Gysin map; VFC-07 virtual dimension; VFC-08 orientation/determinant;</w:t>
      </w:r>
    </w:p>
    <w:p>
      <w:pPr>
        <w:pStyle w:val="ListBullet"/>
        <w:keepLines/>
      </w:pPr>
      <w:r>
        <w:t>VFC-09 stack stabilizers; VFC-10 virtual class construction; VFC-11 insertion typing; VFC-12 degree compatibility;</w:t>
      </w:r>
    </w:p>
    <w:p>
      <w:pPr>
        <w:pStyle w:val="ListBullet"/>
        <w:keepLines/>
      </w:pPr>
      <w:r>
        <w:t>VFC-13 base-change; VFC-14 deformation invariance; VFC-15 fixed loci; VFC-16 virtual normal Euler classes;</w:t>
      </w:r>
    </w:p>
    <w:p>
      <w:pPr>
        <w:pStyle w:val="ListBullet"/>
        <w:keepLines/>
      </w:pPr>
      <w:r>
        <w:t>VFC-17 localization sum; VFC-18 chamber/wall ledger; VFC-19 branch transport; VFC-20 exact/rational arithmetic;</w:t>
      </w:r>
    </w:p>
    <w:p>
      <w:pPr>
        <w:pStyle w:val="ListBullet"/>
        <w:keepLines/>
      </w:pPr>
      <w:r>
        <w:t>VFC-21 interval numerical certificate; VFC-22 VirtCert/Reper; VFC-23 λ/CGI gate; VFC-24 probability sample space;</w:t>
      </w:r>
    </w:p>
    <w:p>
      <w:pPr>
        <w:pStyle w:val="ListBullet"/>
        <w:keepLines/>
      </w:pPr>
      <w:r>
        <w:t>VFC-25 measure/link specification; VFC-26 calibration; VFC-27 domain shift; VFC-28 independent external run;</w:t>
      </w:r>
    </w:p>
    <w:p>
      <w:pPr>
        <w:pStyle w:val="ListBullet"/>
        <w:keepLines/>
      </w:pPr>
      <w:r>
        <w:t>VFC-29 two-stage blocker-safe verdict; VFC-30 code/data/environment/source hashes.</w:t>
      </w:r>
    </w:p>
    <w:p>
      <w:pPr>
        <w:pStyle w:val="Heading2"/>
        <w:keepNext/>
      </w:pPr>
      <w:r>
        <w:t>Псевдокод</w:t>
      </w:r>
    </w:p>
    <w:p>
      <w:pPr>
        <w:pStyle w:val="Quote"/>
        <w:keepLines/>
      </w:pPr>
      <w:r>
        <w:t>INPUT global carrier, POT, cone, orientation, insertions, family path γ, Reper/D/Dom/E, optional probability bridge</w:t>
        <w:br/>
        <w:t>CHECK properness; build [M]^vir; verify insertion degree; compute exact/interval invariant</w:t>
        <w:br/>
        <w:t>CHECK base-change, walls, localization denominators, branch transport and Δ_VFC</w:t>
        <w:br/>
        <w:t>IF virtual blocker: RETURN ABSTAIN</w:t>
        <w:br/>
        <w:t>IF γ avoids Δ_VFC and invariant has certified constant transport: V_VERDICT=NO-VIRTUAL-CHANGE-IN-MODEL</w:t>
        <w:br/>
        <w:t>ELSE V_VERDICT=CANDIDATE-VIRTUAL-JUMP</w:t>
        <w:br/>
        <w:t>IF probability bridge absent: P_VERDICT=PROBABILITY-UNAVAILABLE</w:t>
        <w:br/>
        <w:t>ELSE verify Ω,P,link,calibration,shift,external run and Δ_prob</w:t>
        <w:br/>
        <w:t>RETURN (V_VERDICT,P_VERDICT,certificate,hashes)</w:t>
      </w:r>
    </w:p>
    <w:p>
      <w:pPr>
        <w:pStyle w:val="Heading1"/>
        <w:keepNext/>
      </w:pPr>
      <w:r>
        <w:t>235. Доказательные обязательства T2-PO-253-T2-PO-282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blHeader w:val="true"/>
        </w:trPr>
        <w:tc>
          <w:tcPr>
            <w:tcW w:type="dxa" w:w="2438"/>
            <w:vAlign w:val="center"/>
            <w:shd w:fill="17345F"/>
          </w:tcPr>
          <w:p>
            <w:pPr>
              <w:jc w:val="center"/>
            </w:pPr>
            <w:r/>
            <w:r>
              <w:rPr>
                <w:b/>
                <w:color w:val="FFFFFF"/>
                <w:sz w:val="17"/>
              </w:rPr>
              <w:t>PO</w:t>
            </w:r>
          </w:p>
        </w:tc>
        <w:tc>
          <w:tcPr>
            <w:tcW w:type="dxa" w:w="2438"/>
            <w:vAlign w:val="center"/>
            <w:shd w:fill="17345F"/>
          </w:tcPr>
          <w:p>
            <w:pPr>
              <w:jc w:val="center"/>
            </w:pPr>
            <w:r/>
            <w:r>
              <w:rPr>
                <w:b/>
                <w:color w:val="FFFFFF"/>
                <w:sz w:val="17"/>
              </w:rPr>
              <w:t>Обязательство</w:t>
            </w:r>
          </w:p>
        </w:tc>
        <w:tc>
          <w:tcPr>
            <w:tcW w:type="dxa" w:w="2438"/>
            <w:vAlign w:val="center"/>
            <w:shd w:fill="17345F"/>
          </w:tcPr>
          <w:p>
            <w:pPr>
              <w:jc w:val="center"/>
            </w:pPr>
            <w:r/>
            <w:r>
              <w:rPr>
                <w:b/>
                <w:color w:val="FFFFFF"/>
                <w:sz w:val="17"/>
              </w:rPr>
              <w:t>Статус</w:t>
            </w:r>
          </w:p>
        </w:tc>
        <w:tc>
          <w:tcPr>
            <w:tcW w:type="dxa" w:w="2438"/>
            <w:vAlign w:val="center"/>
            <w:shd w:fill="17345F"/>
          </w:tcPr>
          <w:p>
            <w:pPr>
              <w:jc w:val="center"/>
            </w:pPr>
            <w:r/>
            <w:r>
              <w:rPr>
                <w:b/>
                <w:color w:val="FFFFFF"/>
                <w:sz w:val="17"/>
              </w:rPr>
              <w:t>Условие закрытия</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T2-PO-253</w:t>
            </w:r>
          </w:p>
        </w:tc>
        <w:tc>
          <w:tcPr>
            <w:tcW w:type="dxa" w:w="2438"/>
            <w:vAlign w:val="center"/>
            <w:tcMar>
              <w:top w:w="70" w:type="dxa"/>
              <w:start w:w="80" w:type="dxa"/>
              <w:bottom w:w="70" w:type="dxa"/>
              <w:end w:w="80" w:type="dxa"/>
            </w:tcMar>
            <w:shd w:fill="FFFFFF"/>
          </w:tcPr>
          <w:p>
            <w:pPr>
              <w:jc w:val="left"/>
            </w:pPr>
            <w:r/>
            <w:r>
              <w:rPr>
                <w:b w:val="0"/>
                <w:sz w:val="16"/>
              </w:rPr>
              <w:t>Зафиксировать cycle/homology carrier для virtual class.</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Chow/homology specification.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T2-PO-254</w:t>
            </w:r>
          </w:p>
        </w:tc>
        <w:tc>
          <w:tcPr>
            <w:tcW w:type="dxa" w:w="2438"/>
            <w:vAlign w:val="center"/>
            <w:tcMar>
              <w:top w:w="70" w:type="dxa"/>
              <w:start w:w="80" w:type="dxa"/>
              <w:bottom w:w="70" w:type="dxa"/>
              <w:end w:w="80" w:type="dxa"/>
            </w:tcMar>
            <w:shd w:fill="F2F4F7"/>
          </w:tcPr>
          <w:p>
            <w:pPr>
              <w:jc w:val="left"/>
            </w:pPr>
            <w:r/>
            <w:r>
              <w:rPr>
                <w:b w:val="0"/>
                <w:sz w:val="16"/>
              </w:rPr>
              <w:t>Построить global virtual fundamental class NAPG.</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Global POT + intrinsic cone.</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T2-PO-255</w:t>
            </w:r>
          </w:p>
        </w:tc>
        <w:tc>
          <w:tcPr>
            <w:tcW w:type="dxa" w:w="2438"/>
            <w:vAlign w:val="center"/>
            <w:tcMar>
              <w:top w:w="70" w:type="dxa"/>
              <w:start w:w="80" w:type="dxa"/>
              <w:bottom w:w="70" w:type="dxa"/>
              <w:end w:w="80" w:type="dxa"/>
            </w:tcMar>
            <w:shd w:fill="FFFFFF"/>
          </w:tcPr>
          <w:p>
            <w:pPr>
              <w:jc w:val="left"/>
            </w:pPr>
            <w:r/>
            <w:r>
              <w:rPr>
                <w:b w:val="0"/>
                <w:sz w:val="16"/>
              </w:rPr>
              <w:t>Определить virtual dimension и grading.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Rank/Euler characteristic.</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T2-PO-256</w:t>
            </w:r>
          </w:p>
        </w:tc>
        <w:tc>
          <w:tcPr>
            <w:tcW w:type="dxa" w:w="2438"/>
            <w:vAlign w:val="center"/>
            <w:tcMar>
              <w:top w:w="70" w:type="dxa"/>
              <w:start w:w="80" w:type="dxa"/>
              <w:bottom w:w="70" w:type="dxa"/>
              <w:end w:w="80" w:type="dxa"/>
            </w:tcMar>
            <w:shd w:fill="F2F4F7"/>
          </w:tcPr>
          <w:p>
            <w:pPr>
              <w:jc w:val="left"/>
            </w:pPr>
            <w:r/>
            <w:r>
              <w:rPr>
                <w:b w:val="0"/>
                <w:sz w:val="16"/>
              </w:rPr>
              <w:t>Доказать properness либо compact-support substitute.</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compactness theorem.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T2-PO-257</w:t>
            </w:r>
          </w:p>
        </w:tc>
        <w:tc>
          <w:tcPr>
            <w:tcW w:type="dxa" w:w="2438"/>
            <w:vAlign w:val="center"/>
            <w:tcMar>
              <w:top w:w="70" w:type="dxa"/>
              <w:start w:w="80" w:type="dxa"/>
              <w:bottom w:w="70" w:type="dxa"/>
              <w:end w:w="80" w:type="dxa"/>
            </w:tcMar>
            <w:shd w:fill="FFFFFF"/>
          </w:tcPr>
          <w:p>
            <w:pPr>
              <w:jc w:val="left"/>
            </w:pPr>
            <w:r/>
            <w:r>
              <w:rPr>
                <w:b w:val="0"/>
                <w:sz w:val="16"/>
              </w:rPr>
              <w:t>Типизировать insertions и degree matching.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Формулы (19.5)-(19.6).</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T2-PO-258</w:t>
            </w:r>
          </w:p>
        </w:tc>
        <w:tc>
          <w:tcPr>
            <w:tcW w:type="dxa" w:w="2438"/>
            <w:vAlign w:val="center"/>
            <w:tcMar>
              <w:top w:w="70" w:type="dxa"/>
              <w:start w:w="80" w:type="dxa"/>
              <w:bottom w:w="70" w:type="dxa"/>
              <w:end w:w="80" w:type="dxa"/>
            </w:tcMar>
            <w:shd w:fill="F2F4F7"/>
          </w:tcPr>
          <w:p>
            <w:pPr>
              <w:jc w:val="left"/>
            </w:pPr>
            <w:r/>
            <w:r>
              <w:rPr>
                <w:b w:val="0"/>
                <w:sz w:val="16"/>
              </w:rPr>
              <w:t>Доказать base-change compatibility.</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Relative POT and refined Gysin.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T2-PO-259</w:t>
            </w:r>
          </w:p>
        </w:tc>
        <w:tc>
          <w:tcPr>
            <w:tcW w:type="dxa" w:w="2438"/>
            <w:vAlign w:val="center"/>
            <w:tcMar>
              <w:top w:w="70" w:type="dxa"/>
              <w:start w:w="80" w:type="dxa"/>
              <w:bottom w:w="70" w:type="dxa"/>
              <w:end w:w="80" w:type="dxa"/>
            </w:tcMar>
            <w:shd w:fill="FFFFFF"/>
          </w:tcPr>
          <w:p>
            <w:pPr>
              <w:jc w:val="left"/>
            </w:pPr>
            <w:r/>
            <w:r>
              <w:rPr>
                <w:b w:val="0"/>
                <w:sz w:val="16"/>
              </w:rPr>
              <w:t>Доказать deformation invariance.</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19.3 hypotheses.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T2-PO-260</w:t>
            </w:r>
          </w:p>
        </w:tc>
        <w:tc>
          <w:tcPr>
            <w:tcW w:type="dxa" w:w="2438"/>
            <w:vAlign w:val="center"/>
            <w:tcMar>
              <w:top w:w="70" w:type="dxa"/>
              <w:start w:w="80" w:type="dxa"/>
              <w:bottom w:w="70" w:type="dxa"/>
              <w:end w:w="80" w:type="dxa"/>
            </w:tcMar>
            <w:shd w:fill="F2F4F7"/>
          </w:tcPr>
          <w:p>
            <w:pPr>
              <w:jc w:val="left"/>
            </w:pPr>
            <w:r/>
            <w:r>
              <w:rPr>
                <w:b w:val="0"/>
                <w:sz w:val="16"/>
              </w:rPr>
              <w:t>Построить equivariant virtual localization.</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T-action + equivariant POT.</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T2-PO-261</w:t>
            </w:r>
          </w:p>
        </w:tc>
        <w:tc>
          <w:tcPr>
            <w:tcW w:type="dxa" w:w="2438"/>
            <w:vAlign w:val="center"/>
            <w:tcMar>
              <w:top w:w="70" w:type="dxa"/>
              <w:start w:w="80" w:type="dxa"/>
              <w:bottom w:w="70" w:type="dxa"/>
              <w:end w:w="80" w:type="dxa"/>
            </w:tcMar>
            <w:shd w:fill="FFFFFF"/>
          </w:tcPr>
          <w:p>
            <w:pPr>
              <w:jc w:val="left"/>
            </w:pPr>
            <w:r/>
            <w:r>
              <w:rPr>
                <w:b w:val="0"/>
                <w:sz w:val="16"/>
              </w:rPr>
              <w:t>Сертифицировать virtual normal Euler classes.</w:t>
            </w:r>
          </w:p>
        </w:tc>
        <w:tc>
          <w:tcPr>
            <w:tcW w:type="dxa" w:w="2438"/>
            <w:vAlign w:val="center"/>
            <w:tcMar>
              <w:top w:w="70" w:type="dxa"/>
              <w:start w:w="80" w:type="dxa"/>
              <w:bottom w:w="70" w:type="dxa"/>
              <w:end w:w="80" w:type="dxa"/>
            </w:tcMar>
            <w:shd w:fill="FFFFFF"/>
          </w:tcPr>
          <w:p>
            <w:pPr>
              <w:jc w:val="center"/>
            </w:pPr>
            <w:r/>
            <w:r>
              <w:rPr>
                <w:b w:val="0"/>
                <w:sz w:val="16"/>
              </w:rPr>
              <w:t>OPEN</w:t>
            </w:r>
          </w:p>
        </w:tc>
        <w:tc>
          <w:tcPr>
            <w:tcW w:type="dxa" w:w="2438"/>
            <w:vAlign w:val="center"/>
            <w:tcMar>
              <w:top w:w="70" w:type="dxa"/>
              <w:start w:w="80" w:type="dxa"/>
              <w:bottom w:w="70" w:type="dxa"/>
              <w:end w:w="80" w:type="dxa"/>
            </w:tcMar>
            <w:shd w:fill="FFFFFF"/>
          </w:tcPr>
          <w:p>
            <w:pPr>
              <w:jc w:val="left"/>
            </w:pPr>
            <w:r/>
            <w:r>
              <w:rPr>
                <w:b w:val="0"/>
                <w:sz w:val="16"/>
              </w:rPr>
              <w:t>No zero denominators in localization.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T2-PO-262</w:t>
            </w:r>
          </w:p>
        </w:tc>
        <w:tc>
          <w:tcPr>
            <w:tcW w:type="dxa" w:w="2438"/>
            <w:vAlign w:val="center"/>
            <w:tcMar>
              <w:top w:w="70" w:type="dxa"/>
              <w:start w:w="80" w:type="dxa"/>
              <w:bottom w:w="70" w:type="dxa"/>
              <w:end w:w="80" w:type="dxa"/>
            </w:tcMar>
            <w:shd w:fill="F2F4F7"/>
          </w:tcPr>
          <w:p>
            <w:pPr>
              <w:jc w:val="left"/>
            </w:pPr>
            <w:r/>
            <w:r>
              <w:rPr>
                <w:b w:val="0"/>
                <w:sz w:val="16"/>
              </w:rPr>
              <w:t>Зафиксировать orientation/determinant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Global compatible orientation.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T2-PO-263</w:t>
            </w:r>
          </w:p>
        </w:tc>
        <w:tc>
          <w:tcPr>
            <w:tcW w:type="dxa" w:w="2438"/>
            <w:vAlign w:val="center"/>
            <w:tcMar>
              <w:top w:w="70" w:type="dxa"/>
              <w:start w:w="80" w:type="dxa"/>
              <w:bottom w:w="70" w:type="dxa"/>
              <w:end w:w="80" w:type="dxa"/>
            </w:tcMar>
            <w:shd w:fill="FFFFFF"/>
          </w:tcPr>
          <w:p>
            <w:pPr>
              <w:jc w:val="left"/>
            </w:pPr>
            <w:r/>
            <w:r>
              <w:rPr>
                <w:b w:val="0"/>
                <w:sz w:val="16"/>
              </w:rPr>
              <w:t>Учесть stabilizer weights.</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Stack integration convention.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T2-PO-264</w:t>
            </w:r>
          </w:p>
        </w:tc>
        <w:tc>
          <w:tcPr>
            <w:tcW w:type="dxa" w:w="2438"/>
            <w:vAlign w:val="center"/>
            <w:tcMar>
              <w:top w:w="70" w:type="dxa"/>
              <w:start w:w="80" w:type="dxa"/>
              <w:bottom w:w="70" w:type="dxa"/>
              <w:end w:w="80" w:type="dxa"/>
            </w:tcMar>
            <w:shd w:fill="F2F4F7"/>
          </w:tcPr>
          <w:p>
            <w:pPr>
              <w:jc w:val="left"/>
            </w:pPr>
            <w:r/>
            <w:r>
              <w:rPr>
                <w:b w:val="0"/>
                <w:sz w:val="16"/>
              </w:rPr>
              <w:t>Согласовать VFC с PredCar v0.15.</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Compatibility diagram.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T2-PO-265</w:t>
            </w:r>
          </w:p>
        </w:tc>
        <w:tc>
          <w:tcPr>
            <w:tcW w:type="dxa" w:w="2438"/>
            <w:vAlign w:val="center"/>
            <w:tcMar>
              <w:top w:w="70" w:type="dxa"/>
              <w:start w:w="80" w:type="dxa"/>
              <w:bottom w:w="70" w:type="dxa"/>
              <w:end w:w="80" w:type="dxa"/>
            </w:tcMar>
            <w:shd w:fill="FFFFFF"/>
          </w:tcPr>
          <w:p>
            <w:pPr>
              <w:jc w:val="left"/>
            </w:pPr>
            <w:r/>
            <w:r>
              <w:rPr>
                <w:b w:val="0"/>
                <w:sz w:val="16"/>
              </w:rPr>
              <w:t>Определить VirtCert и Reper_vir.</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Формулы (19.16)-(19.17).</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T2-PO-266</w:t>
            </w:r>
          </w:p>
        </w:tc>
        <w:tc>
          <w:tcPr>
            <w:tcW w:type="dxa" w:w="2438"/>
            <w:vAlign w:val="center"/>
            <w:tcMar>
              <w:top w:w="70" w:type="dxa"/>
              <w:start w:w="80" w:type="dxa"/>
              <w:bottom w:w="70" w:type="dxa"/>
              <w:end w:w="80" w:type="dxa"/>
            </w:tcMar>
            <w:shd w:fill="F2F4F7"/>
          </w:tcPr>
          <w:p>
            <w:pPr>
              <w:jc w:val="left"/>
            </w:pPr>
            <w:r/>
            <w:r>
              <w:rPr>
                <w:b w:val="0"/>
                <w:sz w:val="16"/>
              </w:rPr>
              <w:t>Построить канонический λ-мост к virtual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Нужна χ_vir; автоматизма нет.</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T2-PO-267</w:t>
            </w:r>
          </w:p>
        </w:tc>
        <w:tc>
          <w:tcPr>
            <w:tcW w:type="dxa" w:w="2438"/>
            <w:vAlign w:val="center"/>
            <w:tcMar>
              <w:top w:w="70" w:type="dxa"/>
              <w:start w:w="80" w:type="dxa"/>
              <w:bottom w:w="70" w:type="dxa"/>
              <w:end w:w="80" w:type="dxa"/>
            </w:tcMar>
            <w:shd w:fill="FFFFFF"/>
          </w:tcPr>
          <w:p>
            <w:pPr>
              <w:jc w:val="left"/>
            </w:pPr>
            <w:r/>
            <w:r>
              <w:rPr>
                <w:b w:val="0"/>
                <w:sz w:val="16"/>
              </w:rPr>
              <w:t>Доказать additivity-probability no-go.</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Theorem 19.4.</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T2-PO-268</w:t>
            </w:r>
          </w:p>
        </w:tc>
        <w:tc>
          <w:tcPr>
            <w:tcW w:type="dxa" w:w="2438"/>
            <w:vAlign w:val="center"/>
            <w:tcMar>
              <w:top w:w="70" w:type="dxa"/>
              <w:start w:w="80" w:type="dxa"/>
              <w:bottom w:w="70" w:type="dxa"/>
              <w:end w:w="80" w:type="dxa"/>
            </w:tcMar>
            <w:shd w:fill="F2F4F7"/>
          </w:tcPr>
          <w:p>
            <w:pPr>
              <w:jc w:val="left"/>
            </w:pPr>
            <w:r/>
            <w:r>
              <w:rPr>
                <w:b w:val="0"/>
                <w:sz w:val="16"/>
              </w:rPr>
              <w:t>Задать пространство исходов Ω и σ-алгебру.</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Domain-specific event protocol.</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T2-PO-269</w:t>
            </w:r>
          </w:p>
        </w:tc>
        <w:tc>
          <w:tcPr>
            <w:tcW w:type="dxa" w:w="2438"/>
            <w:vAlign w:val="center"/>
            <w:tcMar>
              <w:top w:w="70" w:type="dxa"/>
              <w:start w:w="80" w:type="dxa"/>
              <w:bottom w:w="70" w:type="dxa"/>
              <w:end w:w="80" w:type="dxa"/>
            </w:tcMar>
            <w:shd w:fill="FFFFFF"/>
          </w:tcPr>
          <w:p>
            <w:pPr>
              <w:jc w:val="left"/>
            </w:pPr>
            <w:r/>
            <w:r>
              <w:rPr>
                <w:b w:val="0"/>
                <w:sz w:val="16"/>
              </w:rPr>
              <w:t>Задать/оценить вероятностную меру P.</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Sampling/model assumptions.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T2-PO-270</w:t>
            </w:r>
          </w:p>
        </w:tc>
        <w:tc>
          <w:tcPr>
            <w:tcW w:type="dxa" w:w="2438"/>
            <w:vAlign w:val="center"/>
            <w:tcMar>
              <w:top w:w="70" w:type="dxa"/>
              <w:start w:w="80" w:type="dxa"/>
              <w:bottom w:w="70" w:type="dxa"/>
              <w:end w:w="80" w:type="dxa"/>
            </w:tcMar>
            <w:shd w:fill="F2F4F7"/>
          </w:tcPr>
          <w:p>
            <w:pPr>
              <w:jc w:val="left"/>
            </w:pPr>
            <w:r/>
            <w:r>
              <w:rPr>
                <w:b w:val="0"/>
                <w:sz w:val="16"/>
              </w:rPr>
              <w:t>Зафиксировать link model g_θ.</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Pre-registered functional form.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T2-PO-271</w:t>
            </w:r>
          </w:p>
        </w:tc>
        <w:tc>
          <w:tcPr>
            <w:tcW w:type="dxa" w:w="2438"/>
            <w:vAlign w:val="center"/>
            <w:tcMar>
              <w:top w:w="70" w:type="dxa"/>
              <w:start w:w="80" w:type="dxa"/>
              <w:bottom w:w="70" w:type="dxa"/>
              <w:end w:w="80" w:type="dxa"/>
            </w:tcMar>
            <w:shd w:fill="FFFFFF"/>
          </w:tcPr>
          <w:p>
            <w:pPr>
              <w:jc w:val="left"/>
            </w:pPr>
            <w:r/>
            <w:r>
              <w:rPr>
                <w:b w:val="0"/>
                <w:sz w:val="16"/>
              </w:rPr>
              <w:t>Доказать или проверить calibration.</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Frozen calibration protocol.</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T2-PO-272</w:t>
            </w:r>
          </w:p>
        </w:tc>
        <w:tc>
          <w:tcPr>
            <w:tcW w:type="dxa" w:w="2438"/>
            <w:vAlign w:val="center"/>
            <w:tcMar>
              <w:top w:w="70" w:type="dxa"/>
              <w:start w:w="80" w:type="dxa"/>
              <w:bottom w:w="70" w:type="dxa"/>
              <w:end w:w="80" w:type="dxa"/>
            </w:tcMar>
            <w:shd w:fill="F2F4F7"/>
          </w:tcPr>
          <w:p>
            <w:pPr>
              <w:jc w:val="left"/>
            </w:pPr>
            <w:r/>
            <w:r>
              <w:rPr>
                <w:b w:val="0"/>
                <w:sz w:val="16"/>
              </w:rPr>
              <w:t>Проверить discrimination отдельно.</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Pre-specified metric.</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T2-PO-273</w:t>
            </w:r>
          </w:p>
        </w:tc>
        <w:tc>
          <w:tcPr>
            <w:tcW w:type="dxa" w:w="2438"/>
            <w:vAlign w:val="center"/>
            <w:tcMar>
              <w:top w:w="70" w:type="dxa"/>
              <w:start w:w="80" w:type="dxa"/>
              <w:bottom w:w="70" w:type="dxa"/>
              <w:end w:w="80" w:type="dxa"/>
            </w:tcMar>
            <w:shd w:fill="FFFFFF"/>
          </w:tcPr>
          <w:p>
            <w:pPr>
              <w:jc w:val="left"/>
            </w:pPr>
            <w:r/>
            <w:r>
              <w:rPr>
                <w:b w:val="0"/>
                <w:sz w:val="16"/>
              </w:rPr>
              <w:t>Проверить transportability/domain shift.</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External target domain.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T2-PO-274</w:t>
            </w:r>
          </w:p>
        </w:tc>
        <w:tc>
          <w:tcPr>
            <w:tcW w:type="dxa" w:w="2438"/>
            <w:vAlign w:val="center"/>
            <w:tcMar>
              <w:top w:w="70" w:type="dxa"/>
              <w:start w:w="80" w:type="dxa"/>
              <w:bottom w:w="70" w:type="dxa"/>
              <w:end w:w="80" w:type="dxa"/>
            </w:tcMar>
            <w:shd w:fill="F2F4F7"/>
          </w:tcPr>
          <w:p>
            <w:pPr>
              <w:jc w:val="left"/>
            </w:pPr>
            <w:r/>
            <w:r>
              <w:rPr>
                <w:b w:val="0"/>
                <w:sz w:val="16"/>
              </w:rPr>
              <w:t>Исполнить independent external run.</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EXT-RUN with frozen code/data.</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T2-PO-275</w:t>
            </w:r>
          </w:p>
        </w:tc>
        <w:tc>
          <w:tcPr>
            <w:tcW w:type="dxa" w:w="2438"/>
            <w:vAlign w:val="center"/>
            <w:tcMar>
              <w:top w:w="70" w:type="dxa"/>
              <w:start w:w="80" w:type="dxa"/>
              <w:bottom w:w="70" w:type="dxa"/>
              <w:end w:w="80" w:type="dxa"/>
            </w:tcMar>
            <w:shd w:fill="FFFFFF"/>
          </w:tcPr>
          <w:p>
            <w:pPr>
              <w:jc w:val="left"/>
            </w:pPr>
            <w:r/>
            <w:r>
              <w:rPr>
                <w:b w:val="0"/>
                <w:sz w:val="16"/>
              </w:rPr>
              <w:t>Построить Δ_VFC.</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Horizon ledger (19.20).</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T2-PO-276</w:t>
            </w:r>
          </w:p>
        </w:tc>
        <w:tc>
          <w:tcPr>
            <w:tcW w:type="dxa" w:w="2438"/>
            <w:vAlign w:val="center"/>
            <w:tcMar>
              <w:top w:w="70" w:type="dxa"/>
              <w:start w:w="80" w:type="dxa"/>
              <w:bottom w:w="70" w:type="dxa"/>
              <w:end w:w="80" w:type="dxa"/>
            </w:tcMar>
            <w:shd w:fill="F2F4F7"/>
          </w:tcPr>
          <w:p>
            <w:pPr>
              <w:jc w:val="left"/>
            </w:pPr>
            <w:r/>
            <w:r>
              <w:rPr>
                <w:b w:val="0"/>
                <w:sz w:val="16"/>
              </w:rPr>
              <w:t>Построить Δ_prob.</w:t>
            </w:r>
          </w:p>
        </w:tc>
        <w:tc>
          <w:tcPr>
            <w:tcW w:type="dxa" w:w="2438"/>
            <w:vAlign w:val="center"/>
            <w:tcMar>
              <w:top w:w="70" w:type="dxa"/>
              <w:start w:w="80" w:type="dxa"/>
              <w:bottom w:w="70" w:type="dxa"/>
              <w:end w:w="80" w:type="dxa"/>
            </w:tcMar>
            <w:shd w:fill="F2F4F7"/>
          </w:tcPr>
          <w:p>
            <w:pPr>
              <w:jc w:val="center"/>
            </w:pPr>
            <w:r/>
            <w:r>
              <w:rPr>
                <w:b w:val="0"/>
                <w:sz w:val="16"/>
              </w:rPr>
              <w:t>MODEL-CLOSED</w:t>
            </w:r>
          </w:p>
        </w:tc>
        <w:tc>
          <w:tcPr>
            <w:tcW w:type="dxa" w:w="2438"/>
            <w:vAlign w:val="center"/>
            <w:tcMar>
              <w:top w:w="70" w:type="dxa"/>
              <w:start w:w="80" w:type="dxa"/>
              <w:bottom w:w="70" w:type="dxa"/>
              <w:end w:w="80" w:type="dxa"/>
            </w:tcMar>
            <w:shd w:fill="F2F4F7"/>
          </w:tcPr>
          <w:p>
            <w:pPr>
              <w:jc w:val="left"/>
            </w:pPr>
            <w:r/>
            <w:r>
              <w:rPr>
                <w:b w:val="0"/>
                <w:sz w:val="16"/>
              </w:rPr>
              <w:t>Horizon ledger (19.21).</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T2-PO-277</w:t>
            </w:r>
          </w:p>
        </w:tc>
        <w:tc>
          <w:tcPr>
            <w:tcW w:type="dxa" w:w="2438"/>
            <w:vAlign w:val="center"/>
            <w:tcMar>
              <w:top w:w="70" w:type="dxa"/>
              <w:start w:w="80" w:type="dxa"/>
              <w:bottom w:w="70" w:type="dxa"/>
              <w:end w:w="80" w:type="dxa"/>
            </w:tcMar>
            <w:shd w:fill="FFFFFF"/>
          </w:tcPr>
          <w:p>
            <w:pPr>
              <w:jc w:val="left"/>
            </w:pPr>
            <w:r/>
            <w:r>
              <w:rPr>
                <w:b w:val="0"/>
                <w:sz w:val="16"/>
              </w:rPr>
              <w:t>Доказать virtual-profile constancy.</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19.6 H1-H8.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T2-PO-278</w:t>
            </w:r>
          </w:p>
        </w:tc>
        <w:tc>
          <w:tcPr>
            <w:tcW w:type="dxa" w:w="2438"/>
            <w:vAlign w:val="center"/>
            <w:tcMar>
              <w:top w:w="70" w:type="dxa"/>
              <w:start w:w="80" w:type="dxa"/>
              <w:bottom w:w="70" w:type="dxa"/>
              <w:end w:w="80" w:type="dxa"/>
            </w:tcMar>
            <w:shd w:fill="F2F4F7"/>
          </w:tcPr>
          <w:p>
            <w:pPr>
              <w:jc w:val="left"/>
            </w:pPr>
            <w:r/>
            <w:r>
              <w:rPr>
                <w:b w:val="0"/>
                <w:sz w:val="16"/>
              </w:rPr>
              <w:t>Проверить wall-crossing jump formula.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comparison.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T2-PO-279</w:t>
            </w:r>
          </w:p>
        </w:tc>
        <w:tc>
          <w:tcPr>
            <w:tcW w:type="dxa" w:w="2438"/>
            <w:vAlign w:val="center"/>
            <w:tcMar>
              <w:top w:w="70" w:type="dxa"/>
              <w:start w:w="80" w:type="dxa"/>
              <w:bottom w:w="70" w:type="dxa"/>
              <w:end w:w="80" w:type="dxa"/>
            </w:tcMar>
            <w:shd w:fill="FFFFFF"/>
          </w:tcPr>
          <w:p>
            <w:pPr>
              <w:jc w:val="left"/>
            </w:pPr>
            <w:r/>
            <w:r>
              <w:rPr>
                <w:b w:val="0"/>
                <w:sz w:val="16"/>
              </w:rPr>
              <w:t>Построить interval VFC computation.</w:t>
            </w:r>
          </w:p>
        </w:tc>
        <w:tc>
          <w:tcPr>
            <w:tcW w:type="dxa" w:w="2438"/>
            <w:vAlign w:val="center"/>
            <w:tcMar>
              <w:top w:w="70" w:type="dxa"/>
              <w:start w:w="80" w:type="dxa"/>
              <w:bottom w:w="70" w:type="dxa"/>
              <w:end w:w="80" w:type="dxa"/>
            </w:tcMar>
            <w:shd w:fill="FFFFFF"/>
          </w:tcPr>
          <w:p>
            <w:pPr>
              <w:jc w:val="center"/>
            </w:pPr>
            <w:r/>
            <w:r>
              <w:rPr>
                <w:b w:val="0"/>
                <w:sz w:val="16"/>
              </w:rPr>
              <w:t>COMP/OPEN</w:t>
            </w:r>
          </w:p>
        </w:tc>
        <w:tc>
          <w:tcPr>
            <w:tcW w:type="dxa" w:w="2438"/>
            <w:vAlign w:val="center"/>
            <w:tcMar>
              <w:top w:w="70" w:type="dxa"/>
              <w:start w:w="80" w:type="dxa"/>
              <w:bottom w:w="70" w:type="dxa"/>
              <w:end w:w="80" w:type="dxa"/>
            </w:tcMar>
            <w:shd w:fill="FFFFFF"/>
          </w:tcPr>
          <w:p>
            <w:pPr>
              <w:jc w:val="left"/>
            </w:pPr>
            <w:r/>
            <w:r>
              <w:rPr>
                <w:b w:val="0"/>
                <w:sz w:val="16"/>
              </w:rPr>
              <w:t>Exact arithmetic or certified bounds.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T2-PO-280</w:t>
            </w:r>
          </w:p>
        </w:tc>
        <w:tc>
          <w:tcPr>
            <w:tcW w:type="dxa" w:w="2438"/>
            <w:vAlign w:val="center"/>
            <w:tcMar>
              <w:top w:w="70" w:type="dxa"/>
              <w:start w:w="80" w:type="dxa"/>
              <w:bottom w:w="70" w:type="dxa"/>
              <w:end w:w="80" w:type="dxa"/>
            </w:tcMar>
            <w:shd w:fill="F2F4F7"/>
          </w:tcPr>
          <w:p>
            <w:pPr>
              <w:jc w:val="left"/>
            </w:pPr>
            <w:r/>
            <w:r>
              <w:rPr>
                <w:b w:val="0"/>
                <w:sz w:val="16"/>
              </w:rPr>
              <w:t>Заморозить VFC-ENUM-PROB certificate.</w:t>
            </w:r>
          </w:p>
        </w:tc>
        <w:tc>
          <w:tcPr>
            <w:tcW w:type="dxa" w:w="2438"/>
            <w:vAlign w:val="center"/>
            <w:tcMar>
              <w:top w:w="70" w:type="dxa"/>
              <w:start w:w="80" w:type="dxa"/>
              <w:bottom w:w="70" w:type="dxa"/>
              <w:end w:w="80" w:type="dxa"/>
            </w:tcMar>
            <w:shd w:fill="F2F4F7"/>
          </w:tcPr>
          <w:p>
            <w:pPr>
              <w:jc w:val="center"/>
            </w:pPr>
            <w:r/>
            <w:r>
              <w:rPr>
                <w:b w:val="0"/>
                <w:sz w:val="16"/>
              </w:rPr>
              <w:t>COMP</w:t>
            </w:r>
          </w:p>
        </w:tc>
        <w:tc>
          <w:tcPr>
            <w:tcW w:type="dxa" w:w="2438"/>
            <w:vAlign w:val="center"/>
            <w:tcMar>
              <w:top w:w="70" w:type="dxa"/>
              <w:start w:w="80" w:type="dxa"/>
              <w:bottom w:w="70" w:type="dxa"/>
              <w:end w:w="80" w:type="dxa"/>
            </w:tcMar>
            <w:shd w:fill="F2F4F7"/>
          </w:tcPr>
          <w:p>
            <w:pPr>
              <w:jc w:val="left"/>
            </w:pPr>
            <w:r/>
            <w:r>
              <w:rPr>
                <w:b w:val="0"/>
                <w:sz w:val="16"/>
              </w:rPr>
              <w:t>VFC-01-VFC-30 and hashes.</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T2-PO-281</w:t>
            </w:r>
          </w:p>
        </w:tc>
        <w:tc>
          <w:tcPr>
            <w:tcW w:type="dxa" w:w="2438"/>
            <w:vAlign w:val="center"/>
            <w:tcMar>
              <w:top w:w="70" w:type="dxa"/>
              <w:start w:w="80" w:type="dxa"/>
              <w:bottom w:w="70" w:type="dxa"/>
              <w:end w:w="80" w:type="dxa"/>
            </w:tcMar>
            <w:shd w:fill="FFFFFF"/>
          </w:tcPr>
          <w:p>
            <w:pPr>
              <w:jc w:val="left"/>
            </w:pPr>
            <w:r/>
            <w:r>
              <w:rPr>
                <w:b w:val="0"/>
                <w:sz w:val="16"/>
              </w:rPr>
              <w:t>Заблокировать автоматический physical/probability export.</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Probability firewall; B8.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T2-PO-282</w:t>
            </w:r>
          </w:p>
        </w:tc>
        <w:tc>
          <w:tcPr>
            <w:tcW w:type="dxa" w:w="2438"/>
            <w:vAlign w:val="center"/>
            <w:tcMar>
              <w:top w:w="70" w:type="dxa"/>
              <w:start w:w="80" w:type="dxa"/>
              <w:bottom w:w="70" w:type="dxa"/>
              <w:end w:w="80" w:type="dxa"/>
            </w:tcMar>
            <w:shd w:fill="F2F4F7"/>
          </w:tcPr>
          <w:p>
            <w:pPr>
              <w:jc w:val="left"/>
            </w:pPr>
            <w:r/>
            <w:r>
              <w:rPr>
                <w:b w:val="0"/>
                <w:sz w:val="16"/>
              </w:rPr>
              <w:t>Закрыть главную теорему v0.16.</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All mathematical and empirical bridges.</w:t>
            </w:r>
          </w:p>
        </w:tc>
      </w:tr>
    </w:tbl>
    <w:p>
      <w:pPr>
        <w:pStyle w:val="Heading1"/>
        <w:keepNext/>
      </w:pPr>
      <w:r>
        <w:t>236. Prior art и граница авторского вклада</w:t>
      </w:r>
    </w:p>
    <w:p>
      <w:r>
        <w:t>Классический prior art главы включает intersection theory и refined Gysin maps; intrinsic normal cone и perfect obstruction theory; virtual moduli cycles; Gromov-Witten classes; virtual localization; weighted Euler-characteristic интерпретацию Donaldson-Thomas invariants. Авторский вклад настоящей главы состоит не в переименовании virtual fundamental class, а в его встраивании в blocker-safe архитектуру KLT-RBD: отдельные VirtCert, Reper/D/Dom, два горизонта, двухступенчатый вердикт и доказанный запрет универсальной вероятностной интерпретации.</w:t>
      </w:r>
    </w:p>
    <w:p>
      <w:pPr/>
      <w:r>
        <w:t>[V0.16-1] Fulton, W. Intersection Theory. 2nd ed., Springer, 1998. DOI 10.1007/978-1-4612-1700-8. [классический источник]</w:t>
      </w:r>
    </w:p>
    <w:p>
      <w:pPr/>
      <w:r>
        <w:t>[V0.16-2] Behrend, K.; Fantechi, B. The Intrinsic Normal Cone. Invent. Math. 128 (1997), 45-88. arXiv: alg-geom/9601010. [первичный источник]</w:t>
      </w:r>
    </w:p>
    <w:p>
      <w:pPr/>
      <w:r>
        <w:t>[V0.16-3] Li, J.; Tian, G. Virtual Moduli Cycles and Gromov-Witten Invariants of Algebraic Varieties. JAMS 11 (1998), 119-174. arXiv: alg-geom/9602007. [первичный источник]</w:t>
      </w:r>
    </w:p>
    <w:p>
      <w:pPr/>
      <w:r>
        <w:t>[V0.16-4] Kontsevich, M.; Manin, Yu. Gromov-Witten Classes, Quantum Cohomology, and Enumerative Geometry. Comm. Math. Phys. 164 (1994), 525-562. arXiv: hep-th/9402147. [первичный источник]</w:t>
      </w:r>
    </w:p>
    <w:p>
      <w:pPr/>
      <w:r>
        <w:t>[V0.16-5] Graber, T.; Pandharipande, R. Localization of Virtual Classes. Invent. Math. 135 (1999), 487-518. arXiv: alg-geom/9708001. [первичный источник]</w:t>
      </w:r>
    </w:p>
    <w:p>
      <w:pPr/>
      <w:r>
        <w:t>[V0.16-6] Behrend, K. Donaldson-Thomas Type Invariants via Microlocal Geometry. Ann. Math. 170 (2009), 1307-1338. arXiv: math/0507523. [первичный источник]</w:t>
      </w:r>
    </w:p>
    <w:p>
      <w:pPr/>
      <w:r>
        <w:t>[V0.16-7] Behrend, K.; Fantechi, B. Symmetric Obstruction Theories and Hilbert Schemes of Points on Threefolds. Algebra Number Theory 2 (2008), 313-345. [первичный источник]</w:t>
      </w:r>
    </w:p>
    <w:p>
      <w:pPr/>
      <w:r>
        <w:t>[V0.16-8] Stacks Project. Chow Groups of Spaces; Cotangent Complex; Obstruction Theories; Gysin Maps. [справочный первичный корпус]</w:t>
      </w:r>
    </w:p>
    <w:p>
      <w:pPr/>
      <w:r>
        <w:t>[V0.16-9] Kurpishev, I. B. Том I v197 RU; Том II T2-RP-v0.1-v0.15. [внутренний авторский корпус]</w:t>
      </w:r>
    </w:p>
    <w:p>
      <w:pPr>
        <w:pStyle w:val="Heading1"/>
        <w:keepNext/>
      </w:pPr>
      <w:r>
        <w:t>237. Контрольная точка и граница вывода</w:t>
      </w:r>
    </w:p>
    <w:p>
      <w:pPr>
        <w:pStyle w:val="Quote"/>
        <w:keepLines/>
      </w:pPr>
      <w:r>
        <w:t>truth_layer_promotion=0; checkpoint=T2-RP-v0.16; next=T2-RP-v0.17.      (19.25)</w:t>
      </w:r>
    </w:p>
    <w:p>
      <w:r>
        <w:t>Глава 19 построила virtual/enumerative слой предсказательного метода и одновременно установила его жёсткий предел: virtual fundamental class и его интегралы являются математическими инвариантами при собственных гипотезах, но не вероятностями будущих событий. Вероятностный прогноз появляется только после отдельного пространства исходов, меры, link-модели, калибровки, transportability-аудита и независимого внешнего запуска. До этого система не “оценивает шанс”, а честно сообщает PROBABILITY-UNAVAILABLE.</w:t>
      </w:r>
    </w:p>
    <w:p>
      <w:pPr>
        <w:pStyle w:val="Small"/>
      </w:pPr>
      <w:r>
        <w:t>Следующая сборка tom2_v0_17 развивает категорифицированные, motivic и refined virtual invariants, generating series, функциональные уравнения и строгий запрет трактовать коэффициенты производящих рядов как временную динамику без эволюционного оператора и эмпирического моста.</w:t>
      </w:r>
    </w:p>
    <w:p>
      <w:pPr>
        <w:pStyle w:val="Small"/>
      </w:pPr>
      <w:r>
        <w:t>checkpoint=T2-RP-v0.16; source=T2-RP-v0.15; truth_layer_promotion=0; next=T2-RP-v0.17.</w:t>
      </w:r>
    </w:p>
    <w:p>
      <w:pPr>
        <w:pStyle w:val="Heading1"/>
        <w:keepNext/>
        <w:pageBreakBefore/>
      </w:pPr>
      <w:r>
        <w:t>Глава 20. Категорифицированные, мотивные и уточнённые виртуальные инварианты</w:t>
      </w:r>
    </w:p>
    <w:p>
      <w:pPr/>
      <w:r>
        <w:t>Глава 19 построила виртуальный цикл и запретила считать его степенью вероятности. Настоящая глава поднимает носитель на следующий уровень: от числа и класса к категории, мотиву, mixed-Hodge или cohomological объекту, а затем к completed generating series. Центральная задача состоит не в производстве ещё более впечатляющей формулы, а в точном учёте того, какие данные сохраняются при декатегорификации и какие не возникают вообще. Главный предел главы: grading, charge и степень модуля не являются временем до тех пор, пока не заданы временная шкала, оператор эволюции и наблюдательный мост.</w:t>
      </w:r>
    </w:p>
    <w:tbl>
      <w:tblPr>
        <w:tblStyle w:val="TableGrid"/>
        <w:tblW w:type="auto" w:w="0"/>
        <w:jc w:val="center"/>
        <w:tblLook w:firstColumn="1" w:firstRow="1" w:lastColumn="0" w:lastRow="0" w:noHBand="0" w:noVBand="1" w:val="04A0"/>
      </w:tblPr>
      <w:tblGrid>
        <w:gridCol w:w="4876"/>
        <w:gridCol w:w="4876"/>
      </w:tblGrid>
      <w:tr>
        <w:tc>
          <w:tcPr>
            <w:tcW w:type="dxa" w:w="4876"/>
            <w:shd w:fill="17345F"/>
            <w:tcMar>
              <w:top w:w="120" w:type="dxa"/>
              <w:start w:w="130" w:type="dxa"/>
              <w:bottom w:w="120" w:type="dxa"/>
              <w:end w:w="130" w:type="dxa"/>
            </w:tcMar>
            <w:vAlign w:val="center"/>
          </w:tcPr>
          <w:p>
            <w:pPr>
              <w:spacing w:after="0" w:line="252" w:lineRule="auto"/>
            </w:pPr>
            <w:r>
              <w:rPr>
                <w:b/>
                <w:color w:val="FFFFFF"/>
                <w:sz w:val="18"/>
              </w:rPr>
              <w:t>ОНТОЛОГИЯ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Категорифицированный инвариант является объектом категории с морфизмами, расширениями, градуировками и возможными higher-структурами. Его класс в K₀, мотив, Hodge-полином и число являются разными уровнями бытия математического носителя.</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ГНОСЕОЛОГИЯ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Каждый переход вниз по лестнице реализаций может быть неконсервативным. Равенство числовых специализаций не даёт права восстанавливать категорию или мотив без отдельной теоремы о консервативности.</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ФЕНОМЕНОЛОГИЯ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Производящий ряд показывает распределение инвариантов по зарядам, степеням или классам. Последовательность коэффициентов похожа на “историю”, но это сходство является визуальным, а не динамическим.</w:t>
            </w:r>
          </w:p>
        </w:tc>
      </w:tr>
      <w:tr>
        <w:tc>
          <w:tcPr>
            <w:tcW w:type="dxa" w:w="4876"/>
            <w:shd w:fill="A87312"/>
            <w:tcMar>
              <w:top w:w="120" w:type="dxa"/>
              <w:start w:w="130" w:type="dxa"/>
              <w:bottom w:w="120" w:type="dxa"/>
              <w:end w:w="130" w:type="dxa"/>
            </w:tcMar>
            <w:vAlign w:val="center"/>
          </w:tcPr>
          <w:p>
            <w:pPr>
              <w:spacing w:after="0" w:line="252" w:lineRule="auto"/>
            </w:pPr>
            <w:r>
              <w:rPr>
                <w:b/>
                <w:color w:val="FFFFFF"/>
                <w:sz w:val="18"/>
              </w:rPr>
              <w:t>ГРАНИЦА</w:t>
            </w:r>
          </w:p>
        </w:tc>
        <w:tc>
          <w:tcPr>
            <w:tcW w:type="dxa" w:w="4876"/>
            <w:shd w:fill="F7EED8"/>
            <w:tcMar>
              <w:top w:w="120" w:type="dxa"/>
              <w:start w:w="130" w:type="dxa"/>
              <w:bottom w:w="120" w:type="dxa"/>
              <w:end w:w="130" w:type="dxa"/>
            </w:tcMar>
            <w:vAlign w:val="center"/>
          </w:tcPr>
          <w:p>
            <w:pPr>
              <w:spacing w:after="0" w:line="252" w:lineRule="auto"/>
            </w:pPr>
            <w:r>
              <w:rPr>
                <w:b w:val="0"/>
                <w:sz w:val="18"/>
              </w:rPr>
              <w:t>Глава не строит общую motivic Donaldson-Thomas theory для NAPG и не вводит физическую BPS-интерпретацию. Все такие мосты сохраняют статус COND. Коэффициент формального ряда не считается состоянием во времени без τ, U(t,s), наблюдаемой и EXT-RUN.</w:t>
            </w:r>
          </w:p>
        </w:tc>
      </w:tr>
    </w:tbl>
    <w:p>
      <w:pPr>
        <w:spacing w:after="0"/>
      </w:pPr>
    </w:p>
    <w:p>
      <w:pPr>
        <w:pStyle w:val="Heading1"/>
        <w:keepNext/>
      </w:pPr>
      <w:r>
        <w:t>238. Лестница носителей и правило неповышения статуса</w:t>
      </w:r>
    </w:p>
    <w:p>
      <w:pPr/>
      <w:r>
        <w:t>Определение 20.1. Лестницей refined-носителей называется диаграмма</w:t>
      </w:r>
    </w:p>
    <w:p>
      <w:pPr>
        <w:pStyle w:val="Quote"/>
        <w:jc w:val="center"/>
      </w:pPr>
      <w:r>
        <w:t>𝕍_γ ∈ 𝒞_γ  →  [𝕍_γ] ∈ K₀(𝒞_γ)  →  𝓜_γ ∈ R_mot  →  Real(𝓜_γ)  →  I_γ ∈ R_num.  (20.1)</w:t>
      </w:r>
    </w:p>
    <w:p>
      <w:pPr/>
      <w:r>
        <w:t>Здесь 𝒞_γ является категорией или стабильной ∞-категорией объектов класса γ; K₀ выполняет декатегорификацию; R_mot является выбранным мотивным кольцом или его локализацией/пополнением; Real обозначает Hodge-, ℓ-adic-, Poincaré- или Euler-реализацию; I_γ является числовым либо полиномиальным инвариантом.</w:t>
      </w:r>
    </w:p>
    <w:p>
      <w:pPr/>
      <w:r>
        <w:t>Правило 20.A. Стрелки (20.1) направлены от более богатого носителя к более грубому. Обратная стрелка не допускается без отдельно доказанного lifting/reconstruction theorem. В частности, равенство I_γ=I_γ′ не означает эквивалентности 𝕍_γ≃𝕍_γ′.</w:t>
      </w:r>
    </w:p>
    <w:p>
      <w:pPr>
        <w:jc w:val="center"/>
      </w:pPr>
      <w:r>
        <w:drawing>
          <wp:inline xmlns:a="http://schemas.openxmlformats.org/drawingml/2006/main" xmlns:pic="http://schemas.openxmlformats.org/drawingml/2006/picture">
            <wp:extent cx="5796000" cy="3401889"/>
            <wp:docPr id="52" name="Picture 52"/>
            <wp:cNvGraphicFramePr>
              <a:graphicFrameLocks noChangeAspect="1"/>
            </wp:cNvGraphicFramePr>
            <a:graphic>
              <a:graphicData uri="http://schemas.openxmlformats.org/drawingml/2006/picture">
                <pic:pic>
                  <pic:nvPicPr>
                    <pic:cNvPr id="0" name="fig20_1.png"/>
                    <pic:cNvPicPr/>
                  </pic:nvPicPr>
                  <pic:blipFill>
                    <a:blip r:embed="rId89"/>
                    <a:stretch>
                      <a:fillRect/>
                    </a:stretch>
                  </pic:blipFill>
                  <pic:spPr>
                    <a:xfrm>
                      <a:off x="0" y="0"/>
                      <a:ext cx="5796000" cy="3401889"/>
                    </a:xfrm>
                    <a:prstGeom prst="rect"/>
                  </pic:spPr>
                </pic:pic>
              </a:graphicData>
            </a:graphic>
          </wp:inline>
        </w:drawing>
      </w:r>
    </w:p>
    <w:p>
      <w:pPr>
        <w:pStyle w:val="Caption"/>
        <w:keepNext w:val="0"/>
        <w:jc w:val="center"/>
      </w:pPr>
      <w:r>
        <w:t>Рисунок 20.1. Лестница категорификации, мотивных реализаций и информационных потерь. Собственная схема Тома II.</w:t>
      </w:r>
    </w:p>
    <w:p>
      <w:pPr>
        <w:pStyle w:val="Heading1"/>
        <w:keepNext/>
      </w:pPr>
      <w:r>
        <w:t>239. Категорификация и декатегорификация</w:t>
      </w:r>
    </w:p>
    <w:p>
      <w:pPr/>
      <w:r>
        <w:t>Определение 20.2. Категорификацией числового или кольцевого инварианта A называется выбор категории 𝒞, дополнительной структуры на 𝒞 и отображения декатегорификации dec:K₀(𝒞)→A, при котором заданный инвариант получается из класса категоризированного объекта. Это определение фиксирует минимальную структуру; в конкретной теории могут потребоваться dg-, A∞-, stable-∞- или monoidal-данные.</w:t>
      </w:r>
    </w:p>
    <w:p>
      <w:pPr/>
      <w:r>
        <w:t>Grothendieck-группа аддитивной/триангулированной категории порождается символами [X] с отношениями аддитивности. Для точного треугольника X→Y→Z→X[1] действует</w:t>
      </w:r>
    </w:p>
    <w:p>
      <w:pPr>
        <w:pStyle w:val="Quote"/>
        <w:jc w:val="center"/>
      </w:pPr>
      <w:r>
        <w:t>[Y]=[X]+[Z].  (20.2)</w:t>
      </w:r>
    </w:p>
    <w:p>
      <w:pPr/>
      <w:r>
        <w:t>Отношение (20.2) намеренно стирает конкретный класс расширения. Поэтому K₀ хранит additive shadow, но не всю геометрию Hom, Ext, t-структур и higher compositions.</w:t>
      </w:r>
    </w:p>
    <w:p>
      <w:pPr/>
      <w:r>
        <w:t>Теорема 20.1 (Decategorification no-go). [THM] Функтор K₀ не является консервативным на естественных классах tensor-triangulated categories. Существуют неэквивалентные категории с изоморфными Grothendieck-группами.</w:t>
      </w:r>
    </w:p>
    <w:p>
      <w:pPr/>
      <w:r>
        <w:t>Доказательство. Для поля k рассмотрим Perf(k) и Perf(k[ε]/(ε²)). Оба базовых кольца локальны, поэтому K₀ их категорий совершенных комплексов изоморфен ℤ посредством ранга. Однако tensor-unit имеет кольцо эндоморфизмов k в первом случае и k[ε]/(ε²) во втором. Tensor-triangulated equivalence должна сохранять unit и его эндоморфизмы, что невозможно. Следовательно, совпадение K₀ не восстанавливает категорию.</w:t>
      </w:r>
    </w:p>
    <w:p>
      <w:pPr>
        <w:pStyle w:val="Heading1"/>
        <w:keepNext/>
      </w:pPr>
      <w:r>
        <w:t>240. Мотивный носитель и Grothendieck-кольцо разновидностей</w:t>
      </w:r>
    </w:p>
    <w:p>
      <w:pPr/>
      <w:r>
        <w:t>Пусть k — поле. Grothendieck-кольцо K₀(Var_k) порождается классами [X] k-разновидностей с scissors relation</w:t>
      </w:r>
    </w:p>
    <w:p>
      <w:pPr>
        <w:pStyle w:val="Quote"/>
        <w:jc w:val="center"/>
      </w:pPr>
      <w:r>
        <w:t>[X]=[Z]+[X∖Z]  для замкнутого Z⊂X,   [X]·[Y]=[X×Y].  (20.3)</w:t>
      </w:r>
    </w:p>
    <w:p>
      <w:pPr/>
      <w:r>
        <w:t>Обозначим 𝕃=[𝔸¹] классом аффинной прямой. В motivic DT- и vanishing-cycle контекстах обычно требуется локализация по 𝕃, присоединение 𝕃^{1/2}, μ̂-эквивариантность и пополнение относительно размерности или эффективного конуса. Каждая такая операция меняет носитель и обязана входить в Evidence-D.</w:t>
      </w:r>
    </w:p>
    <w:p>
      <w:pPr/>
      <w:r>
        <w:t>Определение 20.3. Motivic carrier NAPG-кандидата есть кортеж</w:t>
      </w:r>
    </w:p>
    <w:p>
      <w:pPr>
        <w:pStyle w:val="Quote"/>
        <w:jc w:val="center"/>
      </w:pPr>
      <w:r>
        <w:t>MotCar=(R_mot, 𝕃^{1/2}, Fil, Comp, μ̂, or, src, D, Dom),  (20.4)</w:t>
      </w:r>
    </w:p>
    <w:p>
      <w:pPr/>
      <w:r>
        <w:t>где явно указаны коэффициентное кольцо, выбранная квадратная корень-мера, фильтрация и пополнение, монодромический слой, orientation data, происхождение и домен.</w:t>
      </w:r>
    </w:p>
    <w:p>
      <w:pPr/>
      <w:r>
        <w:t>Граница. Символ [X] является классом в конкретном Grothendieck-кольце. Он не равен множеству точек X, числу точек, Euler characteristic или вероятности.</w:t>
      </w:r>
    </w:p>
    <w:p>
      <w:pPr>
        <w:pStyle w:val="Heading1"/>
        <w:keepNext/>
      </w:pPr>
      <w:r>
        <w:t>241. Реализации и теорема числовой неразличимости</w:t>
      </w:r>
    </w:p>
    <w:p>
      <w:pPr/>
      <w:r>
        <w:t>Реализацией называется кольцевой или групповой гомоморфизм из мотивного носителя в более вычислимый объект. Типичные примеры: Hodge-Deligne polynomial E_c(X;u,v), weight polynomial, Poincaré polynomial и compactly supported Euler characteristic χ_c.</w:t>
      </w:r>
    </w:p>
    <w:p>
      <w:pPr>
        <w:pStyle w:val="Quote"/>
        <w:jc w:val="center"/>
      </w:pPr>
      <w:r>
        <w:t>χ_c : K₀(Var_ℂ) → ℤ,      E_c : K₀(Var_ℂ) → ℤ[u,v].  (20.5)</w:t>
      </w:r>
    </w:p>
    <w:p>
      <w:pPr/>
      <w:r>
        <w:t>Теорема 20.2 (Numerical realization no-go). [THM] Euler-реализация χ_c не инъективна.</w:t>
      </w:r>
    </w:p>
    <w:p>
      <w:pPr/>
      <w:r>
        <w:t>Доказательство. Для точки pt и аффинной прямой 𝔸¹ имеем χ_c(pt)=1 и χ_c(𝔸¹)=1. Однако E_c(pt;u,v)=1, тогда как E_c(𝔸¹;u,v)=uv. Следовательно, их мотивные классы различаются по Hodge-реализации, хотя числовая Euler-реализация совпадает.</w:t>
      </w:r>
    </w:p>
    <w:p>
      <w:pPr/>
      <w:r>
        <w:t>Следствие. Числовой инвариант может быть устойчивым и воспроизводимым, но не быть полным. Предсказательный алгоритм обязан хранить realization ledger и запрещать обратное восстановление данных, потерянных специализацией.</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680"/>
            <w:tcMar>
              <w:top w:w="90" w:type="dxa"/>
              <w:start w:w="110" w:type="dxa"/>
              <w:bottom w:w="90" w:type="dxa"/>
              <w:end w:w="110" w:type="dxa"/>
            </w:tcMar>
            <w:vAlign w:val="center"/>
            <w:shd w:fill="17345F"/>
          </w:tcPr>
          <w:p>
            <w:pPr>
              <w:spacing w:after="0" w:before="0" w:line="240" w:lineRule="auto"/>
            </w:pPr>
            <w:r>
              <w:rPr>
                <w:b/>
                <w:color w:val="FFFFFF"/>
                <w:sz w:val="16"/>
              </w:rPr>
              <w:t>Уровень</w:t>
            </w:r>
          </w:p>
        </w:tc>
        <w:tc>
          <w:tcPr>
            <w:tcW w:type="dxa" w:w="2154"/>
            <w:tcMar>
              <w:top w:w="90" w:type="dxa"/>
              <w:start w:w="110" w:type="dxa"/>
              <w:bottom w:w="90" w:type="dxa"/>
              <w:end w:w="110" w:type="dxa"/>
            </w:tcMar>
            <w:vAlign w:val="center"/>
            <w:shd w:fill="17345F"/>
          </w:tcPr>
          <w:p>
            <w:pPr>
              <w:spacing w:after="0" w:before="0" w:line="240" w:lineRule="auto"/>
            </w:pPr>
            <w:r>
              <w:rPr>
                <w:b/>
                <w:color w:val="FFFFFF"/>
                <w:sz w:val="16"/>
              </w:rPr>
              <w:t>Объект</w:t>
            </w:r>
          </w:p>
        </w:tc>
        <w:tc>
          <w:tcPr>
            <w:tcW w:type="dxa" w:w="2948"/>
            <w:tcMar>
              <w:top w:w="90" w:type="dxa"/>
              <w:start w:w="110" w:type="dxa"/>
              <w:bottom w:w="90" w:type="dxa"/>
              <w:end w:w="110" w:type="dxa"/>
            </w:tcMar>
            <w:vAlign w:val="center"/>
            <w:shd w:fill="17345F"/>
          </w:tcPr>
          <w:p>
            <w:pPr>
              <w:spacing w:after="0" w:before="0" w:line="240" w:lineRule="auto"/>
            </w:pPr>
            <w:r>
              <w:rPr>
                <w:b/>
                <w:color w:val="FFFFFF"/>
                <w:sz w:val="16"/>
              </w:rPr>
              <w:t>Сохраняет</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6"/>
              </w:rPr>
              <w:t>Может потерять</w:t>
            </w:r>
          </w:p>
        </w:tc>
      </w:tr>
      <w:tr>
        <w:tc>
          <w:tcPr>
            <w:tcW w:type="dxa" w:w="680"/>
            <w:tcMar>
              <w:top w:w="90" w:type="dxa"/>
              <w:start w:w="110" w:type="dxa"/>
              <w:bottom w:w="90" w:type="dxa"/>
              <w:end w:w="110" w:type="dxa"/>
            </w:tcMar>
            <w:vAlign w:val="center"/>
          </w:tcPr>
          <w:p>
            <w:pPr>
              <w:spacing w:after="0" w:before="0" w:line="240" w:lineRule="auto"/>
            </w:pPr>
            <w:r>
              <w:rPr>
                <w:b w:val="0"/>
                <w:sz w:val="16"/>
              </w:rPr>
              <w:t>C</w:t>
            </w:r>
          </w:p>
        </w:tc>
        <w:tc>
          <w:tcPr>
            <w:tcW w:type="dxa" w:w="2154"/>
            <w:tcMar>
              <w:top w:w="90" w:type="dxa"/>
              <w:start w:w="110" w:type="dxa"/>
              <w:bottom w:w="90" w:type="dxa"/>
              <w:end w:w="110" w:type="dxa"/>
            </w:tcMar>
            <w:vAlign w:val="center"/>
          </w:tcPr>
          <w:p>
            <w:pPr>
              <w:spacing w:after="0" w:before="0" w:line="240" w:lineRule="auto"/>
            </w:pPr>
            <w:r>
              <w:rPr>
                <w:b w:val="0"/>
                <w:sz w:val="16"/>
              </w:rPr>
              <w:t>𝕍γ∈𝒞γ</w:t>
            </w:r>
          </w:p>
        </w:tc>
        <w:tc>
          <w:tcPr>
            <w:tcW w:type="dxa" w:w="2948"/>
            <w:tcMar>
              <w:top w:w="90" w:type="dxa"/>
              <w:start w:w="110" w:type="dxa"/>
              <w:bottom w:w="90" w:type="dxa"/>
              <w:end w:w="110" w:type="dxa"/>
            </w:tcMar>
            <w:vAlign w:val="center"/>
          </w:tcPr>
          <w:p>
            <w:pPr>
              <w:spacing w:after="0" w:before="0" w:line="240" w:lineRule="auto"/>
            </w:pPr>
            <w:r>
              <w:rPr>
                <w:b w:val="0"/>
                <w:sz w:val="16"/>
              </w:rPr>
              <w:t>объекты, morphisms, extensions, higher structure</w:t>
            </w:r>
          </w:p>
        </w:tc>
        <w:tc>
          <w:tcPr>
            <w:tcW w:type="dxa" w:w="3458"/>
            <w:tcMar>
              <w:top w:w="90" w:type="dxa"/>
              <w:start w:w="110" w:type="dxa"/>
              <w:bottom w:w="90" w:type="dxa"/>
              <w:end w:w="110" w:type="dxa"/>
            </w:tcMar>
            <w:vAlign w:val="center"/>
          </w:tcPr>
          <w:p>
            <w:pPr>
              <w:spacing w:after="0" w:before="0" w:line="240" w:lineRule="auto"/>
            </w:pPr>
            <w:r>
              <w:rPr>
                <w:b w:val="0"/>
                <w:sz w:val="16"/>
              </w:rPr>
              <w:t>—</w:t>
            </w:r>
          </w:p>
        </w:tc>
      </w:tr>
      <w:tr>
        <w:tc>
          <w:tcPr>
            <w:tcW w:type="dxa" w:w="680"/>
            <w:tcMar>
              <w:top w:w="90" w:type="dxa"/>
              <w:start w:w="110" w:type="dxa"/>
              <w:bottom w:w="90" w:type="dxa"/>
              <w:end w:w="110" w:type="dxa"/>
            </w:tcMar>
            <w:vAlign w:val="center"/>
          </w:tcPr>
          <w:p>
            <w:pPr>
              <w:spacing w:after="0" w:before="0" w:line="240" w:lineRule="auto"/>
            </w:pPr>
            <w:r>
              <w:rPr>
                <w:b w:val="0"/>
                <w:sz w:val="16"/>
              </w:rPr>
              <w:t>K</w:t>
            </w:r>
          </w:p>
        </w:tc>
        <w:tc>
          <w:tcPr>
            <w:tcW w:type="dxa" w:w="2154"/>
            <w:tcMar>
              <w:top w:w="90" w:type="dxa"/>
              <w:start w:w="110" w:type="dxa"/>
              <w:bottom w:w="90" w:type="dxa"/>
              <w:end w:w="110" w:type="dxa"/>
            </w:tcMar>
            <w:vAlign w:val="center"/>
          </w:tcPr>
          <w:p>
            <w:pPr>
              <w:spacing w:after="0" w:before="0" w:line="240" w:lineRule="auto"/>
            </w:pPr>
            <w:r>
              <w:rPr>
                <w:b w:val="0"/>
                <w:sz w:val="16"/>
              </w:rPr>
              <w:t>[𝕍γ]∈K₀</w:t>
            </w:r>
          </w:p>
        </w:tc>
        <w:tc>
          <w:tcPr>
            <w:tcW w:type="dxa" w:w="2948"/>
            <w:tcMar>
              <w:top w:w="90" w:type="dxa"/>
              <w:start w:w="110" w:type="dxa"/>
              <w:bottom w:w="90" w:type="dxa"/>
              <w:end w:w="110" w:type="dxa"/>
            </w:tcMar>
            <w:vAlign w:val="center"/>
          </w:tcPr>
          <w:p>
            <w:pPr>
              <w:spacing w:after="0" w:before="0" w:line="240" w:lineRule="auto"/>
            </w:pPr>
            <w:r>
              <w:rPr>
                <w:b w:val="0"/>
                <w:sz w:val="16"/>
              </w:rPr>
              <w:t>аддитивные классы</w:t>
            </w:r>
          </w:p>
        </w:tc>
        <w:tc>
          <w:tcPr>
            <w:tcW w:type="dxa" w:w="3458"/>
            <w:tcMar>
              <w:top w:w="90" w:type="dxa"/>
              <w:start w:w="110" w:type="dxa"/>
              <w:bottom w:w="90" w:type="dxa"/>
              <w:end w:w="110" w:type="dxa"/>
            </w:tcMar>
            <w:vAlign w:val="center"/>
          </w:tcPr>
          <w:p>
            <w:pPr>
              <w:spacing w:after="0" w:before="0" w:line="240" w:lineRule="auto"/>
            </w:pPr>
            <w:r>
              <w:rPr>
                <w:b w:val="0"/>
                <w:sz w:val="16"/>
              </w:rPr>
              <w:t>extension classes, полный Hom/Ext</w:t>
            </w:r>
          </w:p>
        </w:tc>
      </w:tr>
      <w:tr>
        <w:tc>
          <w:tcPr>
            <w:tcW w:type="dxa" w:w="680"/>
            <w:tcMar>
              <w:top w:w="90" w:type="dxa"/>
              <w:start w:w="110" w:type="dxa"/>
              <w:bottom w:w="90" w:type="dxa"/>
              <w:end w:w="110" w:type="dxa"/>
            </w:tcMar>
            <w:vAlign w:val="center"/>
          </w:tcPr>
          <w:p>
            <w:pPr>
              <w:spacing w:after="0" w:before="0" w:line="240" w:lineRule="auto"/>
            </w:pPr>
            <w:r>
              <w:rPr>
                <w:b w:val="0"/>
                <w:sz w:val="16"/>
              </w:rPr>
              <w:t>M</w:t>
            </w:r>
          </w:p>
        </w:tc>
        <w:tc>
          <w:tcPr>
            <w:tcW w:type="dxa" w:w="2154"/>
            <w:tcMar>
              <w:top w:w="90" w:type="dxa"/>
              <w:start w:w="110" w:type="dxa"/>
              <w:bottom w:w="90" w:type="dxa"/>
              <w:end w:w="110" w:type="dxa"/>
            </w:tcMar>
            <w:vAlign w:val="center"/>
          </w:tcPr>
          <w:p>
            <w:pPr>
              <w:spacing w:after="0" w:before="0" w:line="240" w:lineRule="auto"/>
            </w:pPr>
            <w:r>
              <w:rPr>
                <w:b w:val="0"/>
                <w:sz w:val="16"/>
              </w:rPr>
              <w:t>𝓜γ∈R_mot</w:t>
            </w:r>
          </w:p>
        </w:tc>
        <w:tc>
          <w:tcPr>
            <w:tcW w:type="dxa" w:w="2948"/>
            <w:tcMar>
              <w:top w:w="90" w:type="dxa"/>
              <w:start w:w="110" w:type="dxa"/>
              <w:bottom w:w="90" w:type="dxa"/>
              <w:end w:w="110" w:type="dxa"/>
            </w:tcMar>
            <w:vAlign w:val="center"/>
          </w:tcPr>
          <w:p>
            <w:pPr>
              <w:spacing w:after="0" w:before="0" w:line="240" w:lineRule="auto"/>
            </w:pPr>
            <w:r>
              <w:rPr>
                <w:b w:val="0"/>
                <w:sz w:val="16"/>
              </w:rPr>
              <w:t>склейку, произведения, монодромию по выбранному носителю</w:t>
            </w:r>
          </w:p>
        </w:tc>
        <w:tc>
          <w:tcPr>
            <w:tcW w:type="dxa" w:w="3458"/>
            <w:tcMar>
              <w:top w:w="90" w:type="dxa"/>
              <w:start w:w="110" w:type="dxa"/>
              <w:bottom w:w="90" w:type="dxa"/>
              <w:end w:w="110" w:type="dxa"/>
            </w:tcMar>
            <w:vAlign w:val="center"/>
          </w:tcPr>
          <w:p>
            <w:pPr>
              <w:spacing w:after="0" w:before="0" w:line="240" w:lineRule="auto"/>
            </w:pPr>
            <w:r>
              <w:rPr>
                <w:b w:val="0"/>
                <w:sz w:val="16"/>
              </w:rPr>
              <w:t>конкретный категориальный lift</w:t>
            </w:r>
          </w:p>
        </w:tc>
      </w:tr>
      <w:tr>
        <w:tc>
          <w:tcPr>
            <w:tcW w:type="dxa" w:w="680"/>
            <w:tcMar>
              <w:top w:w="90" w:type="dxa"/>
              <w:start w:w="110" w:type="dxa"/>
              <w:bottom w:w="90" w:type="dxa"/>
              <w:end w:w="110" w:type="dxa"/>
            </w:tcMar>
            <w:vAlign w:val="center"/>
          </w:tcPr>
          <w:p>
            <w:pPr>
              <w:spacing w:after="0" w:before="0" w:line="240" w:lineRule="auto"/>
            </w:pPr>
            <w:r>
              <w:rPr>
                <w:b w:val="0"/>
                <w:sz w:val="16"/>
              </w:rPr>
              <w:t>R</w:t>
            </w:r>
          </w:p>
        </w:tc>
        <w:tc>
          <w:tcPr>
            <w:tcW w:type="dxa" w:w="2154"/>
            <w:tcMar>
              <w:top w:w="90" w:type="dxa"/>
              <w:start w:w="110" w:type="dxa"/>
              <w:bottom w:w="90" w:type="dxa"/>
              <w:end w:w="110" w:type="dxa"/>
            </w:tcMar>
            <w:vAlign w:val="center"/>
          </w:tcPr>
          <w:p>
            <w:pPr>
              <w:spacing w:after="0" w:before="0" w:line="240" w:lineRule="auto"/>
            </w:pPr>
            <w:r>
              <w:rPr>
                <w:b w:val="0"/>
                <w:sz w:val="16"/>
              </w:rPr>
              <w:t>E_c, P_t, W_t</w:t>
            </w:r>
          </w:p>
        </w:tc>
        <w:tc>
          <w:tcPr>
            <w:tcW w:type="dxa" w:w="2948"/>
            <w:tcMar>
              <w:top w:w="90" w:type="dxa"/>
              <w:start w:w="110" w:type="dxa"/>
              <w:bottom w:w="90" w:type="dxa"/>
              <w:end w:w="110" w:type="dxa"/>
            </w:tcMar>
            <w:vAlign w:val="center"/>
          </w:tcPr>
          <w:p>
            <w:pPr>
              <w:spacing w:after="0" w:before="0" w:line="240" w:lineRule="auto"/>
            </w:pPr>
            <w:r>
              <w:rPr>
                <w:b w:val="0"/>
                <w:sz w:val="16"/>
              </w:rPr>
              <w:t>градуированные размеры/веса</w:t>
            </w:r>
          </w:p>
        </w:tc>
        <w:tc>
          <w:tcPr>
            <w:tcW w:type="dxa" w:w="3458"/>
            <w:tcMar>
              <w:top w:w="90" w:type="dxa"/>
              <w:start w:w="110" w:type="dxa"/>
              <w:bottom w:w="90" w:type="dxa"/>
              <w:end w:w="110" w:type="dxa"/>
            </w:tcMar>
            <w:vAlign w:val="center"/>
          </w:tcPr>
          <w:p>
            <w:pPr>
              <w:spacing w:after="0" w:before="0" w:line="240" w:lineRule="auto"/>
            </w:pPr>
            <w:r>
              <w:rPr>
                <w:b w:val="0"/>
                <w:sz w:val="16"/>
              </w:rPr>
              <w:t>часть мотивной структуры</w:t>
            </w:r>
          </w:p>
        </w:tc>
      </w:tr>
      <w:tr>
        <w:tc>
          <w:tcPr>
            <w:tcW w:type="dxa" w:w="680"/>
            <w:tcMar>
              <w:top w:w="90" w:type="dxa"/>
              <w:start w:w="110" w:type="dxa"/>
              <w:bottom w:w="90" w:type="dxa"/>
              <w:end w:w="110" w:type="dxa"/>
            </w:tcMar>
            <w:vAlign w:val="center"/>
          </w:tcPr>
          <w:p>
            <w:pPr>
              <w:spacing w:after="0" w:before="0" w:line="240" w:lineRule="auto"/>
            </w:pPr>
            <w:r>
              <w:rPr>
                <w:b w:val="0"/>
                <w:sz w:val="16"/>
              </w:rPr>
              <w:t>N</w:t>
            </w:r>
          </w:p>
        </w:tc>
        <w:tc>
          <w:tcPr>
            <w:tcW w:type="dxa" w:w="2154"/>
            <w:tcMar>
              <w:top w:w="90" w:type="dxa"/>
              <w:start w:w="110" w:type="dxa"/>
              <w:bottom w:w="90" w:type="dxa"/>
              <w:end w:w="110" w:type="dxa"/>
            </w:tcMar>
            <w:vAlign w:val="center"/>
          </w:tcPr>
          <w:p>
            <w:pPr>
              <w:spacing w:after="0" w:before="0" w:line="240" w:lineRule="auto"/>
            </w:pPr>
            <w:r>
              <w:rPr>
                <w:b w:val="0"/>
                <w:sz w:val="16"/>
              </w:rPr>
              <w:t>χ_c, degree</w:t>
            </w:r>
          </w:p>
        </w:tc>
        <w:tc>
          <w:tcPr>
            <w:tcW w:type="dxa" w:w="2948"/>
            <w:tcMar>
              <w:top w:w="90" w:type="dxa"/>
              <w:start w:w="110" w:type="dxa"/>
              <w:bottom w:w="90" w:type="dxa"/>
              <w:end w:w="110" w:type="dxa"/>
            </w:tcMar>
            <w:vAlign w:val="center"/>
          </w:tcPr>
          <w:p>
            <w:pPr>
              <w:spacing w:after="0" w:before="0" w:line="240" w:lineRule="auto"/>
            </w:pPr>
            <w:r>
              <w:rPr>
                <w:b w:val="0"/>
                <w:sz w:val="16"/>
              </w:rPr>
              <w:t>одно число или конечный вектор</w:t>
            </w:r>
          </w:p>
        </w:tc>
        <w:tc>
          <w:tcPr>
            <w:tcW w:type="dxa" w:w="3458"/>
            <w:tcMar>
              <w:top w:w="90" w:type="dxa"/>
              <w:start w:w="110" w:type="dxa"/>
              <w:bottom w:w="90" w:type="dxa"/>
              <w:end w:w="110" w:type="dxa"/>
            </w:tcMar>
            <w:vAlign w:val="center"/>
          </w:tcPr>
          <w:p>
            <w:pPr>
              <w:spacing w:after="0" w:before="0" w:line="240" w:lineRule="auto"/>
            </w:pPr>
            <w:r>
              <w:rPr>
                <w:b w:val="0"/>
                <w:sz w:val="16"/>
              </w:rPr>
              <w:t>градуировки, знаки, носитель, branch data</w:t>
            </w:r>
          </w:p>
        </w:tc>
      </w:tr>
    </w:tbl>
    <w:p>
      <w:pPr>
        <w:spacing w:after="0"/>
      </w:pPr>
    </w:p>
    <w:p>
      <w:pPr>
        <w:pStyle w:val="Heading1"/>
        <w:keepNext/>
      </w:pPr>
      <w:r>
        <w:t>242. Power structures и плетистические операции</w:t>
      </w:r>
    </w:p>
    <w:p>
      <w:pPr/>
      <w:r>
        <w:t>Пусть R является полным λ-кольцом с Adams-операциями ψ_r и полным идеалом I. Для f∈I определяется plethystic exponential</w:t>
      </w:r>
    </w:p>
    <w:p>
      <w:pPr>
        <w:pStyle w:val="Quote"/>
        <w:jc w:val="center"/>
      </w:pPr>
      <w:r>
        <w:t>PExp(f)=exp(Σ_{r≥1} ψ_r(f)/r),     PLog=PExp^{-1}.  (20.6)</w:t>
      </w:r>
    </w:p>
    <w:p>
      <w:pPr/>
      <w:r>
        <w:t>Формула (20.6) корректна только после спецификации коэффициентного кольца, пополнения и делимости, необходимой для экспоненты. В геометрическом power structure выражение A(t)^{[X]} кодирует конфигурации точек на X и не является обычным возведением чисел в степень.</w:t>
      </w:r>
    </w:p>
    <w:p>
      <w:pPr/>
      <w:r>
        <w:t>Лемма 20.3. [THM] Если R полно относительно I и ψ_r(I)⊂I^r, то PExp задаёт биекцию между I и 1+I. Доказательство следует из формальной экспоненты и логарифма в полном фильтрованном кольце. При отсутствии полноты равенство является лишь формальным шаблоном и не разрешает подстановку числовых значений.</w:t>
      </w:r>
    </w:p>
    <w:p>
      <w:pPr>
        <w:pStyle w:val="Heading1"/>
        <w:keepNext/>
      </w:pPr>
      <w:r>
        <w:t>243. Motivic vanishing cycles и orientation data</w:t>
      </w:r>
    </w:p>
    <w:p>
      <w:pPr/>
      <w:r>
        <w:t>Для критического локуса X=Crit(f) гладкой пары (U,f) motivic vanishing cycle хранит больше информации, чем взвешенная Euler characteristic. В глобальном d-critical или derived-контексте локальные циклы склеиваются только при совместимых orientation data и переходных тождествах.</w:t>
      </w:r>
    </w:p>
    <w:p>
      <w:pPr>
        <w:pStyle w:val="Quote"/>
        <w:jc w:val="center"/>
      </w:pPr>
      <w:r>
        <w:t>MF^φ_{U,f} ∈ 𝓜_X^{μ̂},        Real(MF^φ_{U,f}) = vanishing-cycle realization.  (20.7)</w:t>
      </w:r>
    </w:p>
    <w:p>
      <w:pPr/>
      <w:r>
        <w:t>NAPG-импорт (20.7) получает статус COND. Требуются: критическая chart-модель; независимость от chart; orientation gerbe; совместимость с derived stack главы 18; связь с virtual class главы 19; доказанная functoriality по NAPG-морфизмам.</w:t>
      </w:r>
    </w:p>
    <w:p>
      <w:pPr/>
      <w:r>
        <w:t>Запрет 20.B. Наличие функции, похожей на потенциал, не даёт права использовать motivic vanishing cycles. Необходимо доказать, что локальный carrier действительно является критическим локусом и что переходы сохраняют заданную d-critical/derived структуру.</w:t>
      </w:r>
    </w:p>
    <w:p>
      <w:pPr>
        <w:pStyle w:val="Heading1"/>
        <w:keepNext/>
      </w:pPr>
      <w:r>
        <w:t>244. Refined-инварианты и реализационный паспорт</w:t>
      </w:r>
    </w:p>
    <w:p>
      <w:pPr/>
      <w:r>
        <w:t>Уточнённый инвариант сохраняет дополнительную градуировку, вес, spin, Hodge-тип или монодромию. В минимальном абстрактном виде</w:t>
      </w:r>
    </w:p>
    <w:p>
      <w:pPr>
        <w:pStyle w:val="Quote"/>
        <w:jc w:val="center"/>
      </w:pPr>
      <w:r>
        <w:t>Ω_γ^{ref}(y)=Σ_j (-1)^j dim 𝓗_γ^j · y^{j/2}.  (20.8)</w:t>
      </w:r>
    </w:p>
    <w:p>
      <w:pPr/>
      <w:r>
        <w:t>Конвенция знаков, полуцелых степеней и weight shifts зависит от теории. Поэтому объектом сравнения служит не голая формула, а паспорт RefCert=(𝓗_γ, grading, weight, shift, duality, realization, source, D, Dom).</w:t>
      </w:r>
    </w:p>
    <w:p>
      <w:pPr/>
      <w:r>
        <w:t>Specialization map y↦1 или y↦-1 может давать числовой индекс, но она обычно неинъективна. Например, Laurent-полиномы y+y^{-1} и 2 имеют одинаковое значение при y=1, хотя refined-профили различны.</w:t>
      </w:r>
    </w:p>
    <w:p>
      <w:pPr>
        <w:pStyle w:val="Heading1"/>
        <w:keepNext/>
      </w:pPr>
      <w:r>
        <w:t>245. Cohomological Hall algebra</w:t>
      </w:r>
    </w:p>
    <w:p>
      <w:pPr/>
      <w:r>
        <w:t>Для подходящего quiver-with-potential или 3-Calabi-Yau контекста cohomological Hall algebra имеет градуированное пространство</w:t>
      </w:r>
    </w:p>
    <w:p>
      <w:pPr>
        <w:pStyle w:val="Quote"/>
        <w:jc w:val="center"/>
      </w:pPr>
      <w:r>
        <w:t>CoHA=⊕_{γ∈Γ_+} H^•_{c,G_γ}(Rep_γ, φ_{Tr W}),  (20.9)</w:t>
      </w:r>
    </w:p>
    <w:p>
      <w:pPr/>
      <w:r>
        <w:t>а произведение строится через correspondences, pull-push operations и vanishing cycles. Ассоциативность произведения является теоремой конкретной CoHA-конструкции и не следует из одной аддитивной градуировки.</w:t>
      </w:r>
    </w:p>
    <w:p>
      <w:pPr/>
      <w:r>
        <w:t>Для NAPG возможный CoHA-мост требует: категории объектов/расширений; стеков коротких точных последовательностей; proper/smooth conditions для pull-push; orientation/vanishing-cycle data; proof of associativity; совместимости с частичным произведением ⊙. До закрытия этих пунктов обозначение CoHA_NAPG является OPEN-CANDIDATE.</w:t>
      </w:r>
    </w:p>
    <w:p>
      <w:pPr>
        <w:pStyle w:val="Heading1"/>
        <w:keepNext/>
      </w:pPr>
      <w:r>
        <w:t>246. BPS-cohomology и интегральность</w:t>
      </w:r>
    </w:p>
    <w:p>
      <w:pPr/>
      <w:r>
        <w:t>В cohomological DT theory числовые BPS-инварианты заменяются mixed Hodge structures или cohomological BPS spaces. Схематически</w:t>
      </w:r>
    </w:p>
    <w:p>
      <w:pPr>
        <w:pStyle w:val="Quote"/>
        <w:jc w:val="center"/>
      </w:pPr>
      <w:r>
        <w:t>BPS_γ ∈ MHM(M_γ),      Ω_γ^{ref}=Real(BPS_γ).  (20.10)</w:t>
      </w:r>
    </w:p>
    <w:p>
      <w:pPr/>
      <w:r>
        <w:t>Интегральность числового инварианта может быть следствием существования категоризированного носителя, но не означает существования физической частицы. Термин BPS в настоящей главе используется только как имя классического математического слоя DT-теории; физический экспорт требует отдельного тома и независимого моста.</w:t>
      </w:r>
    </w:p>
    <w:p>
      <w:pPr/>
      <w:r>
        <w:t>PBW/freeness statements для CoHA фиксируют структурную генерацию алгебры BPS-слоем при собственных гипотезах. Они не задают временной порядок рождения объектов: порядок в PBW-базисе является алгебраическим.</w:t>
      </w:r>
    </w:p>
    <w:p>
      <w:pPr>
        <w:pStyle w:val="Heading1"/>
        <w:keepNext/>
      </w:pPr>
      <w:r>
        <w:t>247. Производящие ряды как завершённые градуированные объекты</w:t>
      </w:r>
    </w:p>
    <w:p>
      <w:pPr/>
      <w:r>
        <w:t>Пусть Γ_+ — положительный конус классов, R — коэффициентное кольцо, а R[[Γ_+]] — его completion. Refined generating series определяется как</w:t>
      </w:r>
    </w:p>
    <w:p>
      <w:pPr>
        <w:pStyle w:val="Quote"/>
        <w:jc w:val="center"/>
      </w:pPr>
      <w:r>
        <w:t>Z_ref(𝐱;y,𝕃)=1+Σ_{0≠γ∈Γ_+} Ω_γ^{ref}(y,𝕃) 𝐱^γ ∈ 1+Î.  (20.11)</w:t>
      </w:r>
    </w:p>
    <w:p>
      <w:pPr/>
      <w:r>
        <w:t>Переменная 𝐱^γ маркирует класс γ. Она не является моментом времени, если отдельно не задана карта τ:Γ_+→T. Даже при Γ_+=ℕ индекс n может означать длину, заряд, степень, число точек, Chern character, размерность представления или порядок возмущения.</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2041"/>
            <w:tcMar>
              <w:top w:w="90" w:type="dxa"/>
              <w:start w:w="110" w:type="dxa"/>
              <w:bottom w:w="90" w:type="dxa"/>
              <w:end w:w="110" w:type="dxa"/>
            </w:tcMar>
            <w:vAlign w:val="center"/>
            <w:shd w:fill="17345F"/>
          </w:tcPr>
          <w:p>
            <w:pPr>
              <w:spacing w:after="0" w:before="0" w:line="240" w:lineRule="auto"/>
            </w:pPr>
            <w:r>
              <w:rPr>
                <w:b/>
                <w:color w:val="FFFFFF"/>
                <w:sz w:val="17"/>
              </w:rPr>
              <w:t>Компонент ряда</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7"/>
              </w:rPr>
              <w:t>Математическая роль</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Чего он не задаёт</w:t>
            </w:r>
          </w:p>
        </w:tc>
      </w:tr>
      <w:tr>
        <w:tc>
          <w:tcPr>
            <w:tcW w:type="dxa" w:w="2041"/>
            <w:tcMar>
              <w:top w:w="90" w:type="dxa"/>
              <w:start w:w="110" w:type="dxa"/>
              <w:bottom w:w="90" w:type="dxa"/>
              <w:end w:w="110" w:type="dxa"/>
            </w:tcMar>
            <w:vAlign w:val="center"/>
          </w:tcPr>
          <w:p>
            <w:pPr>
              <w:spacing w:after="0" w:before="0" w:line="240" w:lineRule="auto"/>
            </w:pPr>
            <w:r>
              <w:rPr>
                <w:b w:val="0"/>
                <w:sz w:val="17"/>
              </w:rPr>
              <w:t>γ∈Γ</w:t>
            </w:r>
          </w:p>
        </w:tc>
        <w:tc>
          <w:tcPr>
            <w:tcW w:type="dxa" w:w="3458"/>
            <w:tcMar>
              <w:top w:w="90" w:type="dxa"/>
              <w:start w:w="110" w:type="dxa"/>
              <w:bottom w:w="90" w:type="dxa"/>
              <w:end w:w="110" w:type="dxa"/>
            </w:tcMar>
            <w:vAlign w:val="center"/>
          </w:tcPr>
          <w:p>
            <w:pPr>
              <w:spacing w:after="0" w:before="0" w:line="240" w:lineRule="auto"/>
            </w:pPr>
            <w:r>
              <w:rPr>
                <w:b w:val="0"/>
                <w:sz w:val="17"/>
              </w:rPr>
              <w:t>градуировка/заряд/класс</w:t>
            </w:r>
          </w:p>
        </w:tc>
        <w:tc>
          <w:tcPr>
            <w:tcW w:type="dxa" w:w="3515"/>
            <w:tcMar>
              <w:top w:w="90" w:type="dxa"/>
              <w:start w:w="110" w:type="dxa"/>
              <w:bottom w:w="90" w:type="dxa"/>
              <w:end w:w="110" w:type="dxa"/>
            </w:tcMar>
            <w:vAlign w:val="center"/>
          </w:tcPr>
          <w:p>
            <w:pPr>
              <w:spacing w:after="0" w:before="0" w:line="240" w:lineRule="auto"/>
            </w:pPr>
            <w:r>
              <w:rPr>
                <w:b w:val="0"/>
                <w:sz w:val="17"/>
              </w:rPr>
              <w:t>момент времени</w:t>
            </w:r>
          </w:p>
        </w:tc>
      </w:tr>
      <w:tr>
        <w:tc>
          <w:tcPr>
            <w:tcW w:type="dxa" w:w="2041"/>
            <w:tcMar>
              <w:top w:w="90" w:type="dxa"/>
              <w:start w:w="110" w:type="dxa"/>
              <w:bottom w:w="90" w:type="dxa"/>
              <w:end w:w="110" w:type="dxa"/>
            </w:tcMar>
            <w:vAlign w:val="center"/>
          </w:tcPr>
          <w:p>
            <w:pPr>
              <w:spacing w:after="0" w:before="0" w:line="240" w:lineRule="auto"/>
            </w:pPr>
            <w:r>
              <w:rPr>
                <w:b w:val="0"/>
                <w:sz w:val="17"/>
              </w:rPr>
              <w:t>Ωγ</w:t>
            </w:r>
          </w:p>
        </w:tc>
        <w:tc>
          <w:tcPr>
            <w:tcW w:type="dxa" w:w="3458"/>
            <w:tcMar>
              <w:top w:w="90" w:type="dxa"/>
              <w:start w:w="110" w:type="dxa"/>
              <w:bottom w:w="90" w:type="dxa"/>
              <w:end w:w="110" w:type="dxa"/>
            </w:tcMar>
            <w:vAlign w:val="center"/>
          </w:tcPr>
          <w:p>
            <w:pPr>
              <w:spacing w:after="0" w:before="0" w:line="240" w:lineRule="auto"/>
            </w:pPr>
            <w:r>
              <w:rPr>
                <w:b w:val="0"/>
                <w:sz w:val="17"/>
              </w:rPr>
              <w:t>коэффициентный invariant</w:t>
            </w:r>
          </w:p>
        </w:tc>
        <w:tc>
          <w:tcPr>
            <w:tcW w:type="dxa" w:w="3515"/>
            <w:tcMar>
              <w:top w:w="90" w:type="dxa"/>
              <w:start w:w="110" w:type="dxa"/>
              <w:bottom w:w="90" w:type="dxa"/>
              <w:end w:w="110" w:type="dxa"/>
            </w:tcMar>
            <w:vAlign w:val="center"/>
          </w:tcPr>
          <w:p>
            <w:pPr>
              <w:spacing w:after="0" w:before="0" w:line="240" w:lineRule="auto"/>
            </w:pPr>
            <w:r>
              <w:rPr>
                <w:b w:val="0"/>
                <w:sz w:val="17"/>
              </w:rPr>
              <w:t>вероятность или частоту</w:t>
            </w:r>
          </w:p>
        </w:tc>
      </w:tr>
      <w:tr>
        <w:tc>
          <w:tcPr>
            <w:tcW w:type="dxa" w:w="2041"/>
            <w:tcMar>
              <w:top w:w="90" w:type="dxa"/>
              <w:start w:w="110" w:type="dxa"/>
              <w:bottom w:w="90" w:type="dxa"/>
              <w:end w:w="110" w:type="dxa"/>
            </w:tcMar>
            <w:vAlign w:val="center"/>
          </w:tcPr>
          <w:p>
            <w:pPr>
              <w:spacing w:after="0" w:before="0" w:line="240" w:lineRule="auto"/>
            </w:pPr>
            <w:r>
              <w:rPr>
                <w:b w:val="0"/>
                <w:sz w:val="17"/>
              </w:rPr>
              <w:t>x^γ</w:t>
            </w:r>
          </w:p>
        </w:tc>
        <w:tc>
          <w:tcPr>
            <w:tcW w:type="dxa" w:w="3458"/>
            <w:tcMar>
              <w:top w:w="90" w:type="dxa"/>
              <w:start w:w="110" w:type="dxa"/>
              <w:bottom w:w="90" w:type="dxa"/>
              <w:end w:w="110" w:type="dxa"/>
            </w:tcMar>
            <w:vAlign w:val="center"/>
          </w:tcPr>
          <w:p>
            <w:pPr>
              <w:spacing w:after="0" w:before="0" w:line="240" w:lineRule="auto"/>
            </w:pPr>
            <w:r>
              <w:rPr>
                <w:b w:val="0"/>
                <w:sz w:val="17"/>
              </w:rPr>
              <w:t>формальный моном</w:t>
            </w:r>
          </w:p>
        </w:tc>
        <w:tc>
          <w:tcPr>
            <w:tcW w:type="dxa" w:w="3515"/>
            <w:tcMar>
              <w:top w:w="90" w:type="dxa"/>
              <w:start w:w="110" w:type="dxa"/>
              <w:bottom w:w="90" w:type="dxa"/>
              <w:end w:w="110" w:type="dxa"/>
            </w:tcMar>
            <w:vAlign w:val="center"/>
          </w:tcPr>
          <w:p>
            <w:pPr>
              <w:spacing w:after="0" w:before="0" w:line="240" w:lineRule="auto"/>
            </w:pPr>
            <w:r>
              <w:rPr>
                <w:b w:val="0"/>
                <w:sz w:val="17"/>
              </w:rPr>
              <w:t>состояние системы</w:t>
            </w:r>
          </w:p>
        </w:tc>
      </w:tr>
      <w:tr>
        <w:tc>
          <w:tcPr>
            <w:tcW w:type="dxa" w:w="2041"/>
            <w:tcMar>
              <w:top w:w="90" w:type="dxa"/>
              <w:start w:w="110" w:type="dxa"/>
              <w:bottom w:w="90" w:type="dxa"/>
              <w:end w:w="110" w:type="dxa"/>
            </w:tcMar>
            <w:vAlign w:val="center"/>
          </w:tcPr>
          <w:p>
            <w:pPr>
              <w:spacing w:after="0" w:before="0" w:line="240" w:lineRule="auto"/>
            </w:pPr>
            <w:r>
              <w:rPr>
                <w:b w:val="0"/>
                <w:sz w:val="17"/>
              </w:rPr>
              <w:t>PExp/PLog</w:t>
            </w:r>
          </w:p>
        </w:tc>
        <w:tc>
          <w:tcPr>
            <w:tcW w:type="dxa" w:w="3458"/>
            <w:tcMar>
              <w:top w:w="90" w:type="dxa"/>
              <w:start w:w="110" w:type="dxa"/>
              <w:bottom w:w="90" w:type="dxa"/>
              <w:end w:w="110" w:type="dxa"/>
            </w:tcMar>
            <w:vAlign w:val="center"/>
          </w:tcPr>
          <w:p>
            <w:pPr>
              <w:spacing w:after="0" w:before="0" w:line="240" w:lineRule="auto"/>
            </w:pPr>
            <w:r>
              <w:rPr>
                <w:b w:val="0"/>
                <w:sz w:val="17"/>
              </w:rPr>
              <w:t>упаковка multi-particle/combinatorial data</w:t>
            </w:r>
          </w:p>
        </w:tc>
        <w:tc>
          <w:tcPr>
            <w:tcW w:type="dxa" w:w="3515"/>
            <w:tcMar>
              <w:top w:w="90" w:type="dxa"/>
              <w:start w:w="110" w:type="dxa"/>
              <w:bottom w:w="90" w:type="dxa"/>
              <w:end w:w="110" w:type="dxa"/>
            </w:tcMar>
            <w:vAlign w:val="center"/>
          </w:tcPr>
          <w:p>
            <w:pPr>
              <w:spacing w:after="0" w:before="0" w:line="240" w:lineRule="auto"/>
            </w:pPr>
            <w:r>
              <w:rPr>
                <w:b w:val="0"/>
                <w:sz w:val="17"/>
              </w:rPr>
              <w:t>эволюционный оператор</w:t>
            </w:r>
          </w:p>
        </w:tc>
      </w:tr>
      <w:tr>
        <w:tc>
          <w:tcPr>
            <w:tcW w:type="dxa" w:w="2041"/>
            <w:tcMar>
              <w:top w:w="90" w:type="dxa"/>
              <w:start w:w="110" w:type="dxa"/>
              <w:bottom w:w="90" w:type="dxa"/>
              <w:end w:w="110" w:type="dxa"/>
            </w:tcMar>
            <w:vAlign w:val="center"/>
          </w:tcPr>
          <w:p>
            <w:pPr>
              <w:spacing w:after="0" w:before="0" w:line="240" w:lineRule="auto"/>
            </w:pPr>
            <w:r>
              <w:rPr>
                <w:b w:val="0"/>
                <w:sz w:val="17"/>
              </w:rPr>
              <w:t>functional equation</w:t>
            </w:r>
          </w:p>
        </w:tc>
        <w:tc>
          <w:tcPr>
            <w:tcW w:type="dxa" w:w="3458"/>
            <w:tcMar>
              <w:top w:w="90" w:type="dxa"/>
              <w:start w:w="110" w:type="dxa"/>
              <w:bottom w:w="90" w:type="dxa"/>
              <w:end w:w="110" w:type="dxa"/>
            </w:tcMar>
            <w:vAlign w:val="center"/>
          </w:tcPr>
          <w:p>
            <w:pPr>
              <w:spacing w:after="0" w:before="0" w:line="240" w:lineRule="auto"/>
            </w:pPr>
            <w:r>
              <w:rPr>
                <w:b w:val="0"/>
                <w:sz w:val="17"/>
              </w:rPr>
              <w:t>алгебраическая симметрия</w:t>
            </w:r>
          </w:p>
        </w:tc>
        <w:tc>
          <w:tcPr>
            <w:tcW w:type="dxa" w:w="3515"/>
            <w:tcMar>
              <w:top w:w="90" w:type="dxa"/>
              <w:start w:w="110" w:type="dxa"/>
              <w:bottom w:w="90" w:type="dxa"/>
              <w:end w:w="110" w:type="dxa"/>
            </w:tcMar>
            <w:vAlign w:val="center"/>
          </w:tcPr>
          <w:p>
            <w:pPr>
              <w:spacing w:after="0" w:before="0" w:line="240" w:lineRule="auto"/>
            </w:pPr>
            <w:r>
              <w:rPr>
                <w:b w:val="0"/>
                <w:sz w:val="17"/>
              </w:rPr>
              <w:t>причинность</w:t>
            </w:r>
          </w:p>
        </w:tc>
      </w:tr>
      <w:tr>
        <w:tc>
          <w:tcPr>
            <w:tcW w:type="dxa" w:w="2041"/>
            <w:tcMar>
              <w:top w:w="90" w:type="dxa"/>
              <w:start w:w="110" w:type="dxa"/>
              <w:bottom w:w="90" w:type="dxa"/>
              <w:end w:w="110" w:type="dxa"/>
            </w:tcMar>
            <w:vAlign w:val="center"/>
          </w:tcPr>
          <w:p>
            <w:pPr>
              <w:spacing w:after="0" w:before="0" w:line="240" w:lineRule="auto"/>
            </w:pPr>
            <w:r>
              <w:rPr>
                <w:b w:val="0"/>
                <w:sz w:val="17"/>
              </w:rPr>
              <w:t>radius of convergence</w:t>
            </w:r>
          </w:p>
        </w:tc>
        <w:tc>
          <w:tcPr>
            <w:tcW w:type="dxa" w:w="3458"/>
            <w:tcMar>
              <w:top w:w="90" w:type="dxa"/>
              <w:start w:w="110" w:type="dxa"/>
              <w:bottom w:w="90" w:type="dxa"/>
              <w:end w:w="110" w:type="dxa"/>
            </w:tcMar>
            <w:vAlign w:val="center"/>
          </w:tcPr>
          <w:p>
            <w:pPr>
              <w:spacing w:after="0" w:before="0" w:line="240" w:lineRule="auto"/>
            </w:pPr>
            <w:r>
              <w:rPr>
                <w:b w:val="0"/>
                <w:sz w:val="17"/>
              </w:rPr>
              <w:t>аналитическая область числовой реализации</w:t>
            </w:r>
          </w:p>
        </w:tc>
        <w:tc>
          <w:tcPr>
            <w:tcW w:type="dxa" w:w="3515"/>
            <w:tcMar>
              <w:top w:w="90" w:type="dxa"/>
              <w:start w:w="110" w:type="dxa"/>
              <w:bottom w:w="90" w:type="dxa"/>
              <w:end w:w="110" w:type="dxa"/>
            </w:tcMar>
            <w:vAlign w:val="center"/>
          </w:tcPr>
          <w:p>
            <w:pPr>
              <w:spacing w:after="0" w:before="0" w:line="240" w:lineRule="auto"/>
            </w:pPr>
            <w:r>
              <w:rPr>
                <w:b w:val="0"/>
                <w:sz w:val="17"/>
              </w:rPr>
              <w:t>физический горизонт без модели</w:t>
            </w:r>
          </w:p>
        </w:tc>
      </w:tr>
    </w:tbl>
    <w:p>
      <w:pPr>
        <w:spacing w:after="0"/>
      </w:pPr>
    </w:p>
    <w:p>
      <w:pPr>
        <w:pStyle w:val="Heading1"/>
        <w:keepNext/>
      </w:pPr>
      <w:r>
        <w:t>248. Квантовый тор и упорядоченные факторизации</w:t>
      </w:r>
    </w:p>
    <w:p>
      <w:pPr/>
      <w:r>
        <w:t>Если Γ снабжена кососимметрической формой ⟨·,·⟩, motivic DT series часто живёт в quantum torus с умножением</w:t>
      </w:r>
    </w:p>
    <w:p>
      <w:pPr>
        <w:pStyle w:val="Quote"/>
        <w:jc w:val="center"/>
      </w:pPr>
      <w:r>
        <w:t>𝐱^α 𝐱^β = 𝕃^{⟨α,β⟩/2} 𝐱^{α+β}.  (20.12)</w:t>
      </w:r>
    </w:p>
    <w:p>
      <w:pPr/>
      <w:r>
        <w:t>При ненулевой форме порядок множителей существенен. Wall-crossing утверждает инвариантность соответствующего ordered product при изменении стабильности, а не покадровую временную эволюцию каждого коэффициента. Лучи центрального заряда задают порядок в факторизации, но не физические даты.</w:t>
      </w:r>
    </w:p>
    <w:p>
      <w:pPr/>
      <w:r>
        <w:t>Определение 20.4. Series certificate включает (Γ,R,completion,pairing,ordering,chamber,PExp/PLog,convergence_status,D,Dom). Без этого произведение и перестановка факторов не считаются типизированными.</w:t>
      </w:r>
    </w:p>
    <w:p>
      <w:pPr>
        <w:pStyle w:val="Heading1"/>
        <w:keepNext/>
      </w:pPr>
      <w:r>
        <w:t>249. Rationality и функциональные уравнения</w:t>
      </w:r>
    </w:p>
    <w:p>
      <w:pPr/>
      <w:r>
        <w:t>В ряде curve-counting задач generating functions являются разложениями рациональных функций или удовлетворяют duality/functional equations. Эти свойства являются сильными структурными ограничениями, но не задают trajectory law.</w:t>
      </w:r>
    </w:p>
    <w:p>
      <w:pPr>
        <w:pStyle w:val="Quote"/>
        <w:jc w:val="center"/>
      </w:pPr>
      <w:r>
        <w:t>Z(q^{-1}) = q^a · ε · Z(q)    или    Z(q)=P(q)/Q(q).  (20.13)</w:t>
      </w:r>
    </w:p>
    <w:p>
      <w:pPr/>
      <w:r>
        <w:t>Формула (20.13) связывает коэффициенты как алгебраические данные. Она не сообщает, как состояние при времени t переходит в состояние при t+Δt. Даже recurrence relation для коэффициентов становится динамикой только после определения state vector, transition map и интерпретации шага индекса.</w:t>
      </w:r>
    </w:p>
    <w:p>
      <w:pPr>
        <w:pStyle w:val="Heading1"/>
        <w:keepNext/>
      </w:pPr>
      <w:r>
        <w:t>250. Теорема неидентифицируемости времени по коэффициентам</w:t>
      </w:r>
    </w:p>
    <w:p>
      <w:pPr/>
      <w:r>
        <w:t>Теорема 20.4 (Coefficient-time non-identifiability). [THM] Формальный ряд Z(q)=Σ_{n≥0}a_nq^n сам по себе не определяет временную шкалу, длительности между наблюдениями или эволюционный оператор.</w:t>
      </w:r>
    </w:p>
    <w:p>
      <w:pPr/>
      <w:r>
        <w:t>Доказательство. Ряд определяет функцию коэффициентов a:ℕ→R. Выберем две инъективные временные разметки τ₁(n)=n и τ₂(n)=n² в ℝ_{≥0}. Они присваивают одной и той же последовательности различные интервалы: τ₁(n+1)-τ₁(n)=1, тогда как τ₂(n+1)-τ₂(n)=2n+1. Никакое свойство коэффициентов не выбирает одну разметку. Более того, ряд не содержит операторов U(τ(n+1),τ(n)), поэтому не определяет переход между состояниями. Следовательно, time metric и dynamics неидентифицируемы.</w:t>
      </w:r>
    </w:p>
    <w:p>
      <w:pPr>
        <w:pStyle w:val="Quote"/>
        <w:jc w:val="center"/>
      </w:pPr>
      <w:r>
        <w:t>graded coefficient ≠ time-stamped state; generating series ≠ flow.  (20.14)</w:t>
      </w:r>
    </w:p>
    <w:p>
      <w:pPr>
        <w:jc w:val="center"/>
      </w:pPr>
      <w:r>
        <w:drawing>
          <wp:inline xmlns:a="http://schemas.openxmlformats.org/drawingml/2006/main" xmlns:pic="http://schemas.openxmlformats.org/drawingml/2006/picture">
            <wp:extent cx="5796000" cy="3401889"/>
            <wp:docPr id="53" name="Picture 53"/>
            <wp:cNvGraphicFramePr>
              <a:graphicFrameLocks noChangeAspect="1"/>
            </wp:cNvGraphicFramePr>
            <a:graphic>
              <a:graphicData uri="http://schemas.openxmlformats.org/drawingml/2006/picture">
                <pic:pic>
                  <pic:nvPicPr>
                    <pic:cNvPr id="0" name="fig20_2.png"/>
                    <pic:cNvPicPr/>
                  </pic:nvPicPr>
                  <pic:blipFill>
                    <a:blip r:embed="rId90"/>
                    <a:stretch>
                      <a:fillRect/>
                    </a:stretch>
                  </pic:blipFill>
                  <pic:spPr>
                    <a:xfrm>
                      <a:off x="0" y="0"/>
                      <a:ext cx="5796000" cy="3401889"/>
                    </a:xfrm>
                    <a:prstGeom prst="rect"/>
                  </pic:spPr>
                </pic:pic>
              </a:graphicData>
            </a:graphic>
          </wp:inline>
        </w:drawing>
      </w:r>
    </w:p>
    <w:p>
      <w:pPr>
        <w:pStyle w:val="Caption"/>
        <w:keepNext w:val="0"/>
        <w:jc w:val="center"/>
      </w:pPr>
      <w:r>
        <w:t>Рисунок 20.2. Типовой барьер между производящим рядом и временной динамикой. Собственная схема Тома II.</w:t>
      </w:r>
    </w:p>
    <w:p>
      <w:pPr>
        <w:pStyle w:val="Heading1"/>
        <w:keepNext/>
      </w:pPr>
      <w:r>
        <w:t>251. Минимальный динамический мост</w:t>
      </w:r>
    </w:p>
    <w:p>
      <w:pPr/>
      <w:r>
        <w:t>Определение 20.5. Динамический мост задаётся кортежем</w:t>
      </w:r>
    </w:p>
    <w:p>
      <w:pPr>
        <w:pStyle w:val="Quote"/>
        <w:jc w:val="center"/>
      </w:pPr>
      <w:r>
        <w:t>B_dyn=(T,S,τ,U,𝒢,ι,Obs,noise,Cal,Ext,D,Dom).  (20.15)</w:t>
      </w:r>
    </w:p>
    <w:p>
      <w:pPr>
        <w:pStyle w:val="ListBullet"/>
      </w:pPr>
      <w:r>
        <w:t>T — временной носитель с выбранной топологией/мерой и направлением;</w:t>
      </w:r>
    </w:p>
    <w:p>
      <w:pPr>
        <w:pStyle w:val="ListBullet"/>
      </w:pPr>
      <w:r>
        <w:t>S — пространство состояний;</w:t>
      </w:r>
    </w:p>
    <w:p>
      <w:pPr>
        <w:pStyle w:val="ListBullet"/>
      </w:pPr>
      <w:r>
        <w:t>τ:Γ→T связывает grading с моментами или интервалами;</w:t>
      </w:r>
    </w:p>
    <w:p>
      <w:pPr>
        <w:pStyle w:val="ListBullet"/>
      </w:pPr>
      <w:r>
        <w:t>U(t,s):S→S — evolution family, определённая при t≥s;</w:t>
      </w:r>
    </w:p>
    <w:p>
      <w:pPr>
        <w:pStyle w:val="ListBullet"/>
      </w:pPr>
      <w:r>
        <w:t>𝒢 — генератор, уравнение или kernel, если он существует;</w:t>
      </w:r>
    </w:p>
    <w:p>
      <w:pPr>
        <w:pStyle w:val="ListBullet"/>
      </w:pPr>
      <w:r>
        <w:t>ι — embedding refined/motivic data в state/parameter space;</w:t>
      </w:r>
    </w:p>
    <w:p>
      <w:pPr>
        <w:pStyle w:val="ListBullet"/>
      </w:pPr>
      <w:r>
        <w:t>Obs — наблюдательная карта;</w:t>
      </w:r>
    </w:p>
    <w:p>
      <w:pPr>
        <w:pStyle w:val="ListBullet"/>
      </w:pPr>
      <w:r>
        <w:t>noise — вероятностная или интервальная модель ошибок;</w:t>
      </w:r>
    </w:p>
    <w:p>
      <w:pPr>
        <w:pStyle w:val="ListBullet"/>
      </w:pPr>
      <w:r>
        <w:t>Cal и Ext — калибровка и независимый внешний запуск;</w:t>
      </w:r>
    </w:p>
    <w:p>
      <w:pPr>
        <w:pStyle w:val="ListBullet"/>
      </w:pPr>
      <w:r>
        <w:t>D/ Dom — достаточное основание и допустимая область.</w:t>
      </w:r>
    </w:p>
    <w:p>
      <w:pPr/>
      <w:r>
        <w:t>Основные тождества evolution family:</w:t>
      </w:r>
    </w:p>
    <w:p>
      <w:pPr>
        <w:pStyle w:val="Quote"/>
        <w:jc w:val="center"/>
      </w:pPr>
      <w:r>
        <w:t>U(t,t)=Id,       U(t,r)∘U(r,s)=U(t,s),       t≥r≥s.  (20.16)</w:t>
      </w:r>
    </w:p>
    <w:p>
      <w:pPr/>
      <w:r>
        <w:t>Без (20.16) символ “эволюция” остаётся метафорой или независимым набором операторов.</w:t>
      </w:r>
    </w:p>
    <w:p>
      <w:pPr>
        <w:pStyle w:val="Heading1"/>
        <w:keepNext/>
      </w:pPr>
      <w:r>
        <w:t>252. Полугруппы, генераторы и transfer operators</w:t>
      </w:r>
    </w:p>
    <w:p>
      <w:pPr/>
      <w:r>
        <w:t>Для автономной линейной модели может использоваться strongly continuous semigroup U(t)=e^{tA}. Генератор определяется пределом</w:t>
      </w:r>
    </w:p>
    <w:p>
      <w:pPr>
        <w:pStyle w:val="Quote"/>
        <w:jc w:val="center"/>
      </w:pPr>
      <w:r>
        <w:t>Ax = lim_{t↓0} (U(t)x-x)/t,  x∈Dom(A).  (20.17)</w:t>
      </w:r>
    </w:p>
    <w:p>
      <w:pPr/>
      <w:r>
        <w:t>Для неавтономной модели требуется двупараметрическое U(t,s), а для вероятностных состояний — Markov/transfer operator с сохранением положительности и массы. Ни одно из этих свойств не следует из positivity коэффициентов generating series: положительный коэффициент не является positive operator.</w:t>
      </w:r>
    </w:p>
    <w:p>
      <w:pPr/>
      <w:r>
        <w:t>NAPG-версия transfer bridge должна также сохранять реперные ограничения, D/Dom, partial operation domains и blocker-safe abstention. Существование такого оператора в общей NAPG остаётся OPEN.</w:t>
      </w:r>
    </w:p>
    <w:p>
      <w:pPr>
        <w:pStyle w:val="Heading1"/>
        <w:keepNext/>
      </w:pPr>
      <w:r>
        <w:t>253. Path-space carrier и причинный порядок</w:t>
      </w:r>
    </w:p>
    <w:p>
      <w:pPr/>
      <w:r>
        <w:t>Временной прогноз требует не только маргинальных состояний, но и допустимых путей. Вводится path-space 𝒫(S) и мера/множество допустимых траекторий 𝔔. Причинный kernel K_{t,s} должен удовлетворять композиции Чепмена–Колмогорова или её детерминированному аналогу.</w:t>
      </w:r>
    </w:p>
    <w:p>
      <w:pPr>
        <w:pStyle w:val="Quote"/>
        <w:jc w:val="center"/>
      </w:pPr>
      <w:r>
        <w:t>K_{t,s}=K_{t,r}∘K_{r,s}.  (20.18)</w:t>
      </w:r>
    </w:p>
    <w:p>
      <w:pPr/>
      <w:r>
        <w:t>Формальный ряд может кодировать суммы по путям после того, как path model уже задана. Обратный вывод “есть ряд, значит есть путь” недопустим. Один и тот же partition function допускает различные microscopic path models.</w:t>
      </w:r>
    </w:p>
    <w:p>
      <w:pPr>
        <w:pStyle w:val="Heading1"/>
        <w:keepNext/>
      </w:pPr>
      <w:r>
        <w:t>254. Эмпирический мост и операционализация</w:t>
      </w:r>
    </w:p>
    <w:p>
      <w:pPr/>
      <w:r>
        <w:t>Динамический мост становится эмпирическим только после спецификации наблюдаемой Y_t, частоты измерения, censoring, selection mechanism, train/validation/test split и критериев фальсификации. Внешний слой имеет вид</w:t>
      </w:r>
    </w:p>
    <w:p>
      <w:pPr>
        <w:pStyle w:val="Quote"/>
        <w:jc w:val="center"/>
      </w:pPr>
      <w:r>
        <w:t>Y_t = Obs(U(t,t₀)ι(𝓜_ref)) + ε_t.  (20.19)</w:t>
      </w:r>
    </w:p>
    <w:p>
      <w:pPr/>
      <w:r>
        <w:t>Формула (20.19) является моделью измерения. Она не выводится из мотивного кольца. Параметры Obs, ε_t и τ должны быть определены до раскрытия контрольного результата, иначе коэффициенты ряда могут быть постфактум переименованы во “временные признаки”.</w:t>
      </w:r>
    </w:p>
    <w:p>
      <w:pPr>
        <w:pStyle w:val="Heading1"/>
        <w:keepNext/>
      </w:pPr>
      <w:r>
        <w:t>255. Мотивно-refined Reper-сертификат</w:t>
      </w:r>
    </w:p>
    <w:p>
      <w:pPr/>
      <w:r>
        <w:t>Определение 20.6. Полный сертификат главы имеет вид</w:t>
      </w:r>
    </w:p>
    <w:p>
      <w:pPr>
        <w:pStyle w:val="Quote"/>
        <w:jc w:val="center"/>
      </w:pPr>
      <w:r>
        <w:t>MotRefCert=(𝕍,K₀,𝓜,Real,Ω_ref,Z_ref,B_dyn,B_emp,src,code,D,Dom).  (20.20)</w:t>
      </w:r>
    </w:p>
    <w:p>
      <w:pPr/>
      <w:r>
        <w:t>Ему сопоставляется Reper-четвёрка</w:t>
      </w:r>
    </w:p>
    <w:p>
      <w:pPr>
        <w:pStyle w:val="Quote"/>
        <w:jc w:val="center"/>
      </w:pPr>
      <w:r>
        <w:t>Rep_mot=(R_mot,I_mot,U_mot;D_mot),  (20.21)</w:t>
      </w:r>
    </w:p>
    <w:p>
      <w:pPr>
        <w:pStyle w:val="ListBullet"/>
      </w:pPr>
      <w:r>
        <w:t>R_mot: фактически построенный категориальный/мотивный/refined carrier;</w:t>
      </w:r>
    </w:p>
    <w:p>
      <w:pPr>
        <w:pStyle w:val="ListBullet"/>
      </w:pPr>
      <w:r>
        <w:t>I_mot: выбранный invariant, realization и правило сравнения;</w:t>
      </w:r>
    </w:p>
    <w:p>
      <w:pPr>
        <w:pStyle w:val="ListBullet"/>
      </w:pPr>
      <w:r>
        <w:t>U_mot: допустимые chamber, grading, completion, specialization и dynamic bridges;</w:t>
      </w:r>
    </w:p>
    <w:p>
      <w:pPr>
        <w:pStyle w:val="ListBullet"/>
      </w:pPr>
      <w:r>
        <w:t>D_mot: orientation, source provenance, software, exact/interval arithmetic, time map, evolution law и external evidence.</w:t>
      </w:r>
    </w:p>
    <w:p>
      <w:pPr/>
      <w:r>
        <w:t>Проективно-гармоническая координата λ вычисляется только для типизированной четвёрки (20.21). Она не извлекается из одного коэффициента и не назначает индексу временной смысл.</w:t>
      </w:r>
    </w:p>
    <w:p>
      <w:pPr>
        <w:pStyle w:val="Heading1"/>
        <w:keepNext/>
      </w:pPr>
      <w:r>
        <w:t>256. Информационные остатки и refined-CGI</w:t>
      </w:r>
    </w:p>
    <w:p>
      <w:pPr/>
      <w:r>
        <w:t>Вместо преждевременного сведения всех ошибок к одному числу вводится вектор остатков</w:t>
      </w:r>
    </w:p>
    <w:p>
      <w:pPr>
        <w:pStyle w:val="Quote"/>
        <w:jc w:val="center"/>
      </w:pPr>
      <w:r>
        <w:t>R_ref=(r_cat,r_K₀,r_mot,r_real,r_spec,r_series,r_time,r_evol,r_obs,r_ext).  (20.22)</w:t>
      </w:r>
    </w:p>
    <w:p>
      <w:pPr/>
      <w:r>
        <w:t>Компоненты измеряют соответственно потерю категориальных данных, неопределённость декатегорификации, motivic orientation/gluing, неконсервативность realization, ошибку специализации, дефект completed series, отсутствие time map, нарушение evolution law, observational mismatch и внешний validation gap.</w:t>
      </w:r>
    </w:p>
    <w:p>
      <w:pPr/>
      <w:r>
        <w:t>Скалярный индекс CGI_ref=∥W R_ref∥ разрешён только после публикации весового оператора W и анализа чувствительности. Изменение W может менять ranking кандидатов, поэтому W входит в D и контрольный хеш.</w:t>
      </w:r>
    </w:p>
    <w:p>
      <w:pPr>
        <w:pStyle w:val="Heading1"/>
        <w:keepNext/>
      </w:pPr>
      <w:r>
        <w:t>257. Три переходных горизонта v0.17</w:t>
      </w:r>
    </w:p>
    <w:p>
      <w:pPr>
        <w:pStyle w:val="Quote"/>
        <w:jc w:val="center"/>
      </w:pPr>
      <w:r>
        <w:t>Δ_mot = Δ_cat ∪ Δ_or ∪ Δ_glue ∪ Δ_comp ∪ Δ_real ∪ Δ_spec.  (20.23)</w:t>
      </w:r>
    </w:p>
    <w:p>
      <w:pPr>
        <w:pStyle w:val="Quote"/>
        <w:jc w:val="center"/>
      </w:pPr>
      <w:r>
        <w:t>Δ_series = Δ_ring ∪ Δ_order ∪ Δ_wall ∪ Δ_PExp ∪ Δ_conv ∪ Δ_func.  (20.24)</w:t>
      </w:r>
    </w:p>
    <w:p>
      <w:pPr>
        <w:pStyle w:val="Quote"/>
        <w:jc w:val="center"/>
      </w:pPr>
      <w:r>
        <w:t>Δ_dyn = Δ_time ∪ Δ_state ∪ Δ_U ∪ Δ_gen ∪ Δ_path ∪ Δ_obs ∪ Δ_cal ∪ Δ_ext.  (20.25)</w:t>
      </w:r>
    </w:p>
    <w:p>
      <w:pPr/>
      <w:r>
        <w:t>Первый горизонт фиксирует смену категориального/мотивного carrier, orientation, gluing, completion, realization и specialization. Второй — смену coefficient ring, порядка в quantum torus, wall, plethystic admissibility, режима сходимости и functional equation. Третий — изменение времени, state space, evolution family, generator, path model, observation, calibration и внешней проверки.</w:t>
      </w:r>
    </w:p>
    <w:p>
      <w:pPr>
        <w:pStyle w:val="Quote"/>
        <w:jc w:val="center"/>
      </w:pPr>
      <w:r>
        <w:t>Δ_safe^{v0.17}=Δ_safe^{v0.16}∪Δ_mot∪Δ_series∪Δ_dyn.  (20.26)</w:t>
      </w:r>
    </w:p>
    <w:p>
      <w:pPr>
        <w:pStyle w:val="Heading1"/>
        <w:keepNext/>
      </w:pPr>
      <w:r>
        <w:t>258. Главная условная теорема T2-RP-v0.17</w:t>
      </w:r>
    </w:p>
    <w:p>
      <w:pPr/>
      <w:r>
        <w:t>Теорема 20.5 (Motivic-series-dynamic safe theorem). [COND] Пусть над связной камерой параметров выполнены условия:</w:t>
      </w:r>
    </w:p>
    <w:p>
      <w:pPr>
        <w:pStyle w:val="ListNumber"/>
      </w:pPr>
      <w:r>
        <w:t>существует глобальный categorified/refined carrier 𝕍_γ с доказанным descent;</w:t>
      </w:r>
    </w:p>
    <w:p>
      <w:pPr>
        <w:pStyle w:val="ListNumber"/>
      </w:pPr>
      <w:r>
        <w:t>orientation и motivic vanishing-cycle data согласованы;</w:t>
      </w:r>
    </w:p>
    <w:p>
      <w:pPr>
        <w:pStyle w:val="ListNumber"/>
      </w:pPr>
      <w:r>
        <w:t>Grothendieck, motivic и realization maps типизированы и естественны;</w:t>
      </w:r>
    </w:p>
    <w:p>
      <w:pPr>
        <w:pStyle w:val="ListNumber"/>
      </w:pPr>
      <w:r>
        <w:t>coefficient ring complete, а PExp/PLog и ordered products определены;</w:t>
      </w:r>
    </w:p>
    <w:p>
      <w:pPr>
        <w:pStyle w:val="ListNumber"/>
      </w:pPr>
      <w:r>
        <w:t>grading cone, chamber и wall-crossing transport фиксированы;</w:t>
      </w:r>
    </w:p>
    <w:p>
      <w:pPr>
        <w:pStyle w:val="ListNumber"/>
      </w:pPr>
      <w:r>
        <w:t>MotRefCert, Evidence-D и Dom валидны;</w:t>
      </w:r>
    </w:p>
    <w:p>
      <w:pPr>
        <w:pStyle w:val="ListNumber"/>
      </w:pPr>
      <w:r>
        <w:t>если заявлен временной вывод, то задан B_dyn с (20.16) и B_emp с (20.19);</w:t>
      </w:r>
    </w:p>
    <w:p>
      <w:pPr>
        <w:pStyle w:val="ListNumber"/>
      </w:pPr>
      <w:r>
        <w:t>путь γ(I) не пересекает Δ_safe^{v0.17}.</w:t>
      </w:r>
    </w:p>
    <w:p>
      <w:pPr/>
      <w:r>
        <w:t>Тогда motivic/refined profile</w:t>
      </w:r>
    </w:p>
    <w:p>
      <w:pPr>
        <w:pStyle w:val="Quote"/>
        <w:jc w:val="center"/>
      </w:pPr>
      <w:r>
        <w:t>P_ref(t)=([𝕍_t],𝓜_t,Real_t,Ω_t^{ref},Z_t,chamber_t,λ_t,CGI_ref,t)  (20.27)</w:t>
      </w:r>
    </w:p>
    <w:p>
      <w:pPr/>
      <w:r>
        <w:t>постоянен вдоль пути с точностью до доказанного transport. Если временной мост отсутствует, допустим только вывод</w:t>
      </w:r>
    </w:p>
    <w:p>
      <w:pPr>
        <w:pStyle w:val="Quote"/>
        <w:jc w:val="center"/>
      </w:pPr>
      <w:r>
        <w:t>NO-REFINED-CHANGE-IN-MODEL  или  FORMAL-SERIES-ONLY.  (20.28)</w:t>
      </w:r>
    </w:p>
    <w:p>
      <w:pPr/>
      <w:r>
        <w:t>Если B_dyn и B_emp закрыты, дополнительно разрешается проверка динамического профиля. Даже тогда теорема не утверждает физическую универсальность: она ограничена выбранными state space, time map, evolution law, observation и доменом.</w:t>
      </w:r>
    </w:p>
    <w:p>
      <w:pPr>
        <w:pStyle w:val="Heading1"/>
        <w:keepNext/>
      </w:pPr>
      <w:r>
        <w:t>259. Трёхступенчатый blocker-safe вердикт</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1531"/>
            <w:tcMar>
              <w:top w:w="90" w:type="dxa"/>
              <w:start w:w="110" w:type="dxa"/>
              <w:bottom w:w="90" w:type="dxa"/>
              <w:end w:w="110" w:type="dxa"/>
            </w:tcMar>
            <w:vAlign w:val="center"/>
            <w:shd w:fill="17345F"/>
          </w:tcPr>
          <w:p>
            <w:pPr>
              <w:spacing w:after="0" w:before="0" w:line="240" w:lineRule="auto"/>
            </w:pPr>
            <w:r>
              <w:rPr>
                <w:b/>
                <w:color w:val="FFFFFF"/>
                <w:sz w:val="17"/>
              </w:rPr>
              <w:t>Ступень</w:t>
            </w:r>
          </w:p>
        </w:tc>
        <w:tc>
          <w:tcPr>
            <w:tcW w:type="dxa" w:w="4025"/>
            <w:tcMar>
              <w:top w:w="90" w:type="dxa"/>
              <w:start w:w="110" w:type="dxa"/>
              <w:bottom w:w="90" w:type="dxa"/>
              <w:end w:w="110" w:type="dxa"/>
            </w:tcMar>
            <w:vAlign w:val="center"/>
            <w:shd w:fill="17345F"/>
          </w:tcPr>
          <w:p>
            <w:pPr>
              <w:spacing w:after="0" w:before="0" w:line="240" w:lineRule="auto"/>
            </w:pPr>
            <w:r>
              <w:rPr>
                <w:b/>
                <w:color w:val="FFFFFF"/>
                <w:sz w:val="17"/>
              </w:rPr>
              <w:t>Необходимые условия</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Допустимый результат</w:t>
            </w:r>
          </w:p>
        </w:tc>
      </w:tr>
      <w:tr>
        <w:tc>
          <w:tcPr>
            <w:tcW w:type="dxa" w:w="1531"/>
            <w:tcMar>
              <w:top w:w="90" w:type="dxa"/>
              <w:start w:w="110" w:type="dxa"/>
              <w:bottom w:w="90" w:type="dxa"/>
              <w:end w:w="110" w:type="dxa"/>
            </w:tcMar>
            <w:vAlign w:val="center"/>
          </w:tcPr>
          <w:p>
            <w:pPr>
              <w:spacing w:after="0" w:before="0" w:line="240" w:lineRule="auto"/>
            </w:pPr>
            <w:r>
              <w:rPr>
                <w:b w:val="0"/>
                <w:sz w:val="17"/>
              </w:rPr>
              <w:t>M: categorified/motivic</w:t>
            </w:r>
          </w:p>
        </w:tc>
        <w:tc>
          <w:tcPr>
            <w:tcW w:type="dxa" w:w="4025"/>
            <w:tcMar>
              <w:top w:w="90" w:type="dxa"/>
              <w:start w:w="110" w:type="dxa"/>
              <w:bottom w:w="90" w:type="dxa"/>
              <w:end w:w="110" w:type="dxa"/>
            </w:tcMar>
            <w:vAlign w:val="center"/>
          </w:tcPr>
          <w:p>
            <w:pPr>
              <w:spacing w:after="0" w:before="0" w:line="240" w:lineRule="auto"/>
            </w:pPr>
            <w:r>
              <w:rPr>
                <w:b w:val="0"/>
                <w:sz w:val="17"/>
              </w:rPr>
              <w:t>carrier, orientation, descent, realization</w:t>
            </w:r>
          </w:p>
        </w:tc>
        <w:tc>
          <w:tcPr>
            <w:tcW w:type="dxa" w:w="3515"/>
            <w:tcMar>
              <w:top w:w="90" w:type="dxa"/>
              <w:start w:w="110" w:type="dxa"/>
              <w:bottom w:w="90" w:type="dxa"/>
              <w:end w:w="110" w:type="dxa"/>
            </w:tcMar>
            <w:vAlign w:val="center"/>
          </w:tcPr>
          <w:p>
            <w:pPr>
              <w:spacing w:after="0" w:before="0" w:line="240" w:lineRule="auto"/>
            </w:pPr>
            <w:r>
              <w:rPr>
                <w:b w:val="0"/>
                <w:sz w:val="17"/>
              </w:rPr>
              <w:t>MOTIVIC-STABLE / CANDIDATE-MOTIVIC-JUMP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S: generating series</w:t>
            </w:r>
          </w:p>
        </w:tc>
        <w:tc>
          <w:tcPr>
            <w:tcW w:type="dxa" w:w="4025"/>
            <w:tcMar>
              <w:top w:w="90" w:type="dxa"/>
              <w:start w:w="110" w:type="dxa"/>
              <w:bottom w:w="90" w:type="dxa"/>
              <w:end w:w="110" w:type="dxa"/>
            </w:tcMar>
            <w:vAlign w:val="center"/>
          </w:tcPr>
          <w:p>
            <w:pPr>
              <w:spacing w:after="0" w:before="0" w:line="240" w:lineRule="auto"/>
            </w:pPr>
            <w:r>
              <w:rPr>
                <w:b w:val="0"/>
                <w:sz w:val="17"/>
              </w:rPr>
              <w:t>completion, ordering, PExp/PLog, chamber</w:t>
            </w:r>
          </w:p>
        </w:tc>
        <w:tc>
          <w:tcPr>
            <w:tcW w:type="dxa" w:w="3515"/>
            <w:tcMar>
              <w:top w:w="90" w:type="dxa"/>
              <w:start w:w="110" w:type="dxa"/>
              <w:bottom w:w="90" w:type="dxa"/>
              <w:end w:w="110" w:type="dxa"/>
            </w:tcMar>
            <w:vAlign w:val="center"/>
          </w:tcPr>
          <w:p>
            <w:pPr>
              <w:spacing w:after="0" w:before="0" w:line="240" w:lineRule="auto"/>
            </w:pPr>
            <w:r>
              <w:rPr>
                <w:b w:val="0"/>
                <w:sz w:val="17"/>
              </w:rPr>
              <w:t>SERIES-STABLE / CANDIDATE-SERIES-JUMP / FORMAL-SERIES-ONLY</w:t>
            </w:r>
          </w:p>
        </w:tc>
      </w:tr>
      <w:tr>
        <w:tc>
          <w:tcPr>
            <w:tcW w:type="dxa" w:w="1531"/>
            <w:tcMar>
              <w:top w:w="90" w:type="dxa"/>
              <w:start w:w="110" w:type="dxa"/>
              <w:bottom w:w="90" w:type="dxa"/>
              <w:end w:w="110" w:type="dxa"/>
            </w:tcMar>
            <w:vAlign w:val="center"/>
          </w:tcPr>
          <w:p>
            <w:pPr>
              <w:spacing w:after="0" w:before="0" w:line="240" w:lineRule="auto"/>
            </w:pPr>
            <w:r>
              <w:rPr>
                <w:b w:val="0"/>
                <w:sz w:val="17"/>
              </w:rPr>
              <w:t>D: dynamics</w:t>
            </w:r>
          </w:p>
        </w:tc>
        <w:tc>
          <w:tcPr>
            <w:tcW w:type="dxa" w:w="4025"/>
            <w:tcMar>
              <w:top w:w="90" w:type="dxa"/>
              <w:start w:w="110" w:type="dxa"/>
              <w:bottom w:w="90" w:type="dxa"/>
              <w:end w:w="110" w:type="dxa"/>
            </w:tcMar>
            <w:vAlign w:val="center"/>
          </w:tcPr>
          <w:p>
            <w:pPr>
              <w:spacing w:after="0" w:before="0" w:line="240" w:lineRule="auto"/>
            </w:pPr>
            <w:r>
              <w:rPr>
                <w:b w:val="0"/>
                <w:sz w:val="17"/>
              </w:rPr>
              <w:t>τ, state space, U(t,s), generator/path law</w:t>
            </w:r>
          </w:p>
        </w:tc>
        <w:tc>
          <w:tcPr>
            <w:tcW w:type="dxa" w:w="3515"/>
            <w:tcMar>
              <w:top w:w="90" w:type="dxa"/>
              <w:start w:w="110" w:type="dxa"/>
              <w:bottom w:w="90" w:type="dxa"/>
              <w:end w:w="110" w:type="dxa"/>
            </w:tcMar>
            <w:vAlign w:val="center"/>
          </w:tcPr>
          <w:p>
            <w:pPr>
              <w:spacing w:after="0" w:before="0" w:line="240" w:lineRule="auto"/>
            </w:pPr>
            <w:r>
              <w:rPr>
                <w:b w:val="0"/>
                <w:sz w:val="17"/>
              </w:rPr>
              <w:t>DYNAMIC-CANDIDATE / NO-DYNAMIC-CHANGE-IN-MODEL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E: empirical</w:t>
            </w:r>
          </w:p>
        </w:tc>
        <w:tc>
          <w:tcPr>
            <w:tcW w:type="dxa" w:w="4025"/>
            <w:tcMar>
              <w:top w:w="90" w:type="dxa"/>
              <w:start w:w="110" w:type="dxa"/>
              <w:bottom w:w="90" w:type="dxa"/>
              <w:end w:w="110" w:type="dxa"/>
            </w:tcMar>
            <w:vAlign w:val="center"/>
          </w:tcPr>
          <w:p>
            <w:pPr>
              <w:spacing w:after="0" w:before="0" w:line="240" w:lineRule="auto"/>
            </w:pPr>
            <w:r>
              <w:rPr>
                <w:b w:val="0"/>
                <w:sz w:val="17"/>
              </w:rPr>
              <w:t>Obs, calibration, frozen split, EXT-RUN</w:t>
            </w:r>
          </w:p>
        </w:tc>
        <w:tc>
          <w:tcPr>
            <w:tcW w:type="dxa" w:w="3515"/>
            <w:tcMar>
              <w:top w:w="90" w:type="dxa"/>
              <w:start w:w="110" w:type="dxa"/>
              <w:bottom w:w="90" w:type="dxa"/>
              <w:end w:w="110" w:type="dxa"/>
            </w:tcMar>
            <w:vAlign w:val="center"/>
          </w:tcPr>
          <w:p>
            <w:pPr>
              <w:spacing w:after="0" w:before="0" w:line="240" w:lineRule="auto"/>
            </w:pPr>
            <w:r>
              <w:rPr>
                <w:b w:val="0"/>
                <w:sz w:val="17"/>
              </w:rPr>
              <w:t>EMPIRICALLY-VALIDATED / FALSIFIED-IN-DOMAIN / ABSTAIN</w:t>
            </w:r>
          </w:p>
        </w:tc>
      </w:tr>
    </w:tbl>
    <w:p>
      <w:pPr>
        <w:spacing w:after="0"/>
      </w:pPr>
    </w:p>
    <w:p>
      <w:pPr>
        <w:jc w:val="center"/>
      </w:pPr>
      <w:r>
        <w:drawing>
          <wp:inline xmlns:a="http://schemas.openxmlformats.org/drawingml/2006/main" xmlns:pic="http://schemas.openxmlformats.org/drawingml/2006/picture">
            <wp:extent cx="5796000" cy="3623844"/>
            <wp:docPr id="54" name="Picture 54"/>
            <wp:cNvGraphicFramePr>
              <a:graphicFrameLocks noChangeAspect="1"/>
            </wp:cNvGraphicFramePr>
            <a:graphic>
              <a:graphicData uri="http://schemas.openxmlformats.org/drawingml/2006/picture">
                <pic:pic>
                  <pic:nvPicPr>
                    <pic:cNvPr id="0" name="fig20_3.png"/>
                    <pic:cNvPicPr/>
                  </pic:nvPicPr>
                  <pic:blipFill>
                    <a:blip r:embed="rId91"/>
                    <a:stretch>
                      <a:fillRect/>
                    </a:stretch>
                  </pic:blipFill>
                  <pic:spPr>
                    <a:xfrm>
                      <a:off x="0" y="0"/>
                      <a:ext cx="5796000" cy="3623844"/>
                    </a:xfrm>
                    <a:prstGeom prst="rect"/>
                  </pic:spPr>
                </pic:pic>
              </a:graphicData>
            </a:graphic>
          </wp:inline>
        </w:drawing>
      </w:r>
    </w:p>
    <w:p>
      <w:pPr>
        <w:pStyle w:val="Caption"/>
        <w:keepNext w:val="0"/>
        <w:jc w:val="center"/>
      </w:pPr>
      <w:r>
        <w:t>Рисунок 20.3. Трёхступенчатый motivic/series/dynamic verdict. Собственная схема Тома II.</w:t>
      </w:r>
    </w:p>
    <w:p>
      <w:pPr>
        <w:pStyle w:val="Heading1"/>
        <w:keepNext/>
      </w:pPr>
      <w:r>
        <w:t>260. Контрпримеры и разделяющие модели</w:t>
      </w:r>
    </w:p>
    <w:p>
      <w:pPr>
        <w:pStyle w:val="ListBullet"/>
      </w:pPr>
      <w:r>
        <w:t>Perf(k) и Perf(k[ε]/ε²) имеют K₀≅ℤ, но не эквивалентны как tensor-triangulated categories.</w:t>
      </w:r>
    </w:p>
    <w:p>
      <w:pPr>
        <w:pStyle w:val="ListBullet"/>
      </w:pPr>
      <w:r>
        <w:t>𝔸¹ и pt имеют одинаковую χ_c, но разные Hodge-Deligne realizations uv и 1.</w:t>
      </w:r>
    </w:p>
    <w:p>
      <w:pPr>
        <w:pStyle w:val="ListBullet"/>
      </w:pPr>
      <w:r>
        <w:t>Разные refined polynomials могут иметь одинаковую specialization при y=1.</w:t>
      </w:r>
    </w:p>
    <w:p>
      <w:pPr>
        <w:pStyle w:val="ListBullet"/>
      </w:pPr>
      <w:r>
        <w:t>Один и тот же ряд Z(q) допускает временные разметки τ(n)=n и τ(n)=n².</w:t>
      </w:r>
    </w:p>
    <w:p>
      <w:pPr>
        <w:pStyle w:val="ListBullet"/>
      </w:pPr>
      <w:r>
        <w:t>Рекуррентность коэффициентов не задаёт state space: scalar recurrence и companion-matrix system имеют разные carriers.</w:t>
      </w:r>
    </w:p>
    <w:p>
      <w:pPr>
        <w:pStyle w:val="ListBullet"/>
      </w:pPr>
      <w:r>
        <w:t>Рациональная функция может иметь несколько Laurent-разложений в разных камерах; их порядок не является временем.</w:t>
      </w:r>
    </w:p>
    <w:p>
      <w:pPr>
        <w:pStyle w:val="ListBullet"/>
      </w:pPr>
      <w:r>
        <w:t>Положительные коэффициенты не гарантируют Markov property и нормировку суммы к единице.</w:t>
      </w:r>
    </w:p>
    <w:p>
      <w:pPr>
        <w:pStyle w:val="ListBullet"/>
      </w:pPr>
      <w:r>
        <w:t>Quantum-torus product зависит от порядка, но ordered ray factorization является wall-crossing datum, а не chronology.</w:t>
      </w:r>
    </w:p>
    <w:p>
      <w:pPr>
        <w:pStyle w:val="ListBullet"/>
      </w:pPr>
      <w:r>
        <w:t>Нулевой числовой индекс может возникать из cancellation ненулевых cohomological pieces.</w:t>
      </w:r>
    </w:p>
    <w:p>
      <w:pPr>
        <w:pStyle w:val="ListBullet"/>
      </w:pPr>
      <w:r>
        <w:t>Ненулевой motivic class может иметь нулевую Euler realization.</w:t>
      </w:r>
    </w:p>
    <w:p>
      <w:pPr>
        <w:pStyle w:val="ListBullet"/>
      </w:pPr>
      <w:r>
        <w:t>Функциональное уравнение q↦q^{-1} выражает duality, а не обратимость временной эволюции.</w:t>
      </w:r>
    </w:p>
    <w:p>
      <w:pPr>
        <w:pStyle w:val="ListBullet"/>
      </w:pPr>
      <w:r>
        <w:t>λ=-1 для Rep_mot не создаёт τ, U(t,s), Obs или EXT-RUN.</w:t>
      </w:r>
    </w:p>
    <w:p>
      <w:pPr>
        <w:pStyle w:val="Heading1"/>
        <w:keepNext/>
      </w:pPr>
      <w:r>
        <w:t>261. Вычислительный сертификат MOT-REF-SER-DYN v0.17</w:t>
      </w:r>
    </w:p>
    <w:p>
      <w:pPr>
        <w:pStyle w:val="ListBullet"/>
      </w:pPr>
      <w:r>
        <w:t>MOT-01 category/carrier inventory; MOT-02 morphism and Ext typing; MOT-03 K₀ relations; MOT-04 tensor/monoidal data;</w:t>
      </w:r>
    </w:p>
    <w:p>
      <w:pPr>
        <w:pStyle w:val="ListBullet"/>
      </w:pPr>
      <w:r>
        <w:t>MOT-05 Grothendieck motivic ring; MOT-06 localization by 𝕃; MOT-07 square-root convention; MOT-08 completion/filtration;</w:t>
      </w:r>
    </w:p>
    <w:p>
      <w:pPr>
        <w:pStyle w:val="ListBullet"/>
      </w:pPr>
      <w:r>
        <w:t>MOT-09 vanishing-cycle chart; MOT-10 orientation data; MOT-11 descent/gluing; MOT-12 realization ledger;</w:t>
      </w:r>
    </w:p>
    <w:p>
      <w:pPr>
        <w:pStyle w:val="ListBullet"/>
      </w:pPr>
      <w:r>
        <w:t>MOT-13 Hodge/weight/Poincaré data; MOT-14 numerical specialization; MOT-15 information-loss tests; MOT-16 refined invariant;</w:t>
      </w:r>
    </w:p>
    <w:p>
      <w:pPr>
        <w:pStyle w:val="ListBullet"/>
      </w:pPr>
      <w:r>
        <w:t>MOT-17 CoHA correspondence; MOT-18 associativity/PBW test; MOT-19 BPS carrier; MOT-20 integrality certificate;</w:t>
      </w:r>
    </w:p>
    <w:p>
      <w:pPr>
        <w:pStyle w:val="ListBullet"/>
      </w:pPr>
      <w:r>
        <w:t>MOT-21 generating series; MOT-22 coefficient monoid; MOT-23 PExp/PLog; MOT-24 quantum-torus ordering;</w:t>
      </w:r>
    </w:p>
    <w:p>
      <w:pPr>
        <w:pStyle w:val="ListBullet"/>
      </w:pPr>
      <w:r>
        <w:t>MOT-25 wall/functional equation; MOT-26 exact/formal/convergent status; MOT-27 time map τ; MOT-28 state space;</w:t>
      </w:r>
    </w:p>
    <w:p>
      <w:pPr>
        <w:pStyle w:val="ListBullet"/>
      </w:pPr>
      <w:r>
        <w:t>MOT-29 evolution cocycle; MOT-30 observation/calibration/EXT-RUN; MOT-31 blocker-safe verdict; MOT-32 source/code/data/environment hashes.</w:t>
      </w:r>
    </w:p>
    <w:p>
      <w:pPr>
        <w:pStyle w:val="Heading2"/>
        <w:keepNext/>
      </w:pPr>
      <w:r>
        <w:t>Псевдокод</w:t>
      </w:r>
    </w:p>
    <w:p>
      <w:pPr>
        <w:pStyle w:val="Quote"/>
        <w:jc w:val="center"/>
      </w:pPr>
      <w:r>
        <w:t>INPUT categorified carrier, motivic ring, realizations, refined coefficients, chamber, optional dynamic bridge</w:t>
        <w:br/>
        <w:t>CHECK category/K₀/motive/realization types and information-loss ledger</w:t>
        <w:br/>
        <w:t>BUILD Z_ref in certified completion; CHECK ordering, PExp/PLog and wall data</w:t>
        <w:br/>
        <w:t>IF no τ or U(t,s): RETURN FORMAL-SERIES-ONLY</w:t>
        <w:br/>
        <w:t>CHECK evolution cocycle, observation model, calibration and EXT-RUN</w:t>
        <w:br/>
        <w:t>IF any blocker: RETURN ABSTAIN</w:t>
        <w:br/>
        <w:t>ELSE RETURN domain-bounded refined/dynamic verdict + hashes</w:t>
      </w:r>
    </w:p>
    <w:p>
      <w:pPr>
        <w:pStyle w:val="Heading1"/>
        <w:keepNext/>
      </w:pPr>
      <w:r>
        <w:t>262. Доказательные обязательства T2-PO-283–T2-PO-314</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1304"/>
            <w:tcMar>
              <w:top w:w="90" w:type="dxa"/>
              <w:start w:w="110" w:type="dxa"/>
              <w:bottom w:w="90" w:type="dxa"/>
              <w:end w:w="110" w:type="dxa"/>
            </w:tcMar>
            <w:vAlign w:val="center"/>
            <w:shd w:fill="17345F"/>
          </w:tcPr>
          <w:p>
            <w:pPr>
              <w:spacing w:after="0" w:before="0" w:line="240" w:lineRule="auto"/>
            </w:pPr>
            <w:r>
              <w:rPr>
                <w:b/>
                <w:color w:val="FFFFFF"/>
                <w:sz w:val="15"/>
              </w:rPr>
              <w:t>PO</w:t>
            </w:r>
          </w:p>
        </w:tc>
        <w:tc>
          <w:tcPr>
            <w:tcW w:type="dxa" w:w="3685"/>
            <w:tcMar>
              <w:top w:w="90" w:type="dxa"/>
              <w:start w:w="110" w:type="dxa"/>
              <w:bottom w:w="90" w:type="dxa"/>
              <w:end w:w="110" w:type="dxa"/>
            </w:tcMar>
            <w:vAlign w:val="center"/>
            <w:shd w:fill="17345F"/>
          </w:tcPr>
          <w:p>
            <w:pPr>
              <w:spacing w:after="0" w:before="0" w:line="240" w:lineRule="auto"/>
            </w:pPr>
            <w:r>
              <w:rPr>
                <w:b/>
                <w:color w:val="FFFFFF"/>
                <w:sz w:val="15"/>
              </w:rPr>
              <w:t>Обязательство</w:t>
            </w:r>
          </w:p>
        </w:tc>
        <w:tc>
          <w:tcPr>
            <w:tcW w:type="dxa" w:w="1417"/>
            <w:tcMar>
              <w:top w:w="90" w:type="dxa"/>
              <w:start w:w="110" w:type="dxa"/>
              <w:bottom w:w="90" w:type="dxa"/>
              <w:end w:w="110" w:type="dxa"/>
            </w:tcMar>
            <w:vAlign w:val="center"/>
            <w:shd w:fill="17345F"/>
          </w:tcPr>
          <w:p>
            <w:pPr>
              <w:spacing w:after="0" w:before="0" w:line="240" w:lineRule="auto"/>
            </w:pPr>
            <w:r>
              <w:rPr>
                <w:b/>
                <w:color w:val="FFFFFF"/>
                <w:sz w:val="15"/>
              </w:rPr>
              <w:t>Статус</w:t>
            </w:r>
          </w:p>
        </w:tc>
        <w:tc>
          <w:tcPr>
            <w:tcW w:type="dxa" w:w="2835"/>
            <w:tcMar>
              <w:top w:w="90" w:type="dxa"/>
              <w:start w:w="110" w:type="dxa"/>
              <w:bottom w:w="90" w:type="dxa"/>
              <w:end w:w="110" w:type="dxa"/>
            </w:tcMar>
            <w:vAlign w:val="center"/>
            <w:shd w:fill="17345F"/>
          </w:tcPr>
          <w:p>
            <w:pPr>
              <w:spacing w:after="0" w:before="0" w:line="240" w:lineRule="auto"/>
            </w:pPr>
            <w:r>
              <w:rPr>
                <w:b/>
                <w:color w:val="FFFFFF"/>
                <w:sz w:val="15"/>
              </w:rPr>
              <w:t>Условие закрытия</w:t>
            </w:r>
          </w:p>
        </w:tc>
      </w:tr>
      <w:tr>
        <w:tc>
          <w:tcPr>
            <w:tcW w:type="dxa" w:w="1304"/>
            <w:tcMar>
              <w:top w:w="90" w:type="dxa"/>
              <w:start w:w="110" w:type="dxa"/>
              <w:bottom w:w="90" w:type="dxa"/>
              <w:end w:w="110" w:type="dxa"/>
            </w:tcMar>
            <w:vAlign w:val="center"/>
          </w:tcPr>
          <w:p>
            <w:pPr>
              <w:spacing w:after="0" w:before="0" w:line="240" w:lineRule="auto"/>
            </w:pPr>
            <w:r>
              <w:rPr>
                <w:b w:val="0"/>
                <w:sz w:val="15"/>
              </w:rPr>
              <w:t>T2-PO-283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категориальный carrier общей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Concrete stable/dg/∞ category.</w:t>
            </w:r>
          </w:p>
        </w:tc>
      </w:tr>
      <w:tr>
        <w:tc>
          <w:tcPr>
            <w:tcW w:type="dxa" w:w="1304"/>
            <w:tcMar>
              <w:top w:w="90" w:type="dxa"/>
              <w:start w:w="110" w:type="dxa"/>
              <w:bottom w:w="90" w:type="dxa"/>
              <w:end w:w="110" w:type="dxa"/>
            </w:tcMar>
            <w:vAlign w:val="center"/>
          </w:tcPr>
          <w:p>
            <w:pPr>
              <w:spacing w:after="0" w:before="0" w:line="240" w:lineRule="auto"/>
            </w:pPr>
            <w:r>
              <w:rPr>
                <w:b w:val="0"/>
                <w:sz w:val="15"/>
              </w:rPr>
              <w:t>T2-PO-284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functorial K₀.</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Exact/triangulated structure and naturality.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T2-PO-285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tensor compatibility декатегорификации.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Monoidal enhancement.</w:t>
            </w:r>
          </w:p>
        </w:tc>
      </w:tr>
      <w:tr>
        <w:tc>
          <w:tcPr>
            <w:tcW w:type="dxa" w:w="1304"/>
            <w:tcMar>
              <w:top w:w="90" w:type="dxa"/>
              <w:start w:w="110" w:type="dxa"/>
              <w:bottom w:w="90" w:type="dxa"/>
              <w:end w:w="110" w:type="dxa"/>
            </w:tcMar>
            <w:vAlign w:val="center"/>
          </w:tcPr>
          <w:p>
            <w:pPr>
              <w:spacing w:after="0" w:before="0" w:line="240" w:lineRule="auto"/>
            </w:pPr>
            <w:r>
              <w:rPr>
                <w:b w:val="0"/>
                <w:sz w:val="15"/>
              </w:rPr>
              <w:t>T2-PO-286</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motivic coefficient ring.</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Ring/localization/completion passport.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T2-PO-287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measure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Scissors/product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T2-PO-288</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𝕃^{1/2} convention.</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Orientation and coefficient extension.</w:t>
            </w:r>
          </w:p>
        </w:tc>
      </w:tr>
      <w:tr>
        <w:tc>
          <w:tcPr>
            <w:tcW w:type="dxa" w:w="1304"/>
            <w:tcMar>
              <w:top w:w="90" w:type="dxa"/>
              <w:start w:w="110" w:type="dxa"/>
              <w:bottom w:w="90" w:type="dxa"/>
              <w:end w:w="110" w:type="dxa"/>
            </w:tcMar>
            <w:vAlign w:val="center"/>
          </w:tcPr>
          <w:p>
            <w:pPr>
              <w:spacing w:after="0" w:before="0" w:line="240" w:lineRule="auto"/>
            </w:pPr>
            <w:r>
              <w:rPr>
                <w:b w:val="0"/>
                <w:sz w:val="15"/>
              </w:rPr>
              <w:t>T2-PO-289</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vanishing cycles.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Critical charts + orientation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T2-PO-290</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chart independence.</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d-critical/derived comparison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T2-PO-291</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realization functors.</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Hodge/weight/ℓ-adic realization.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T2-PO-292</w:t>
            </w:r>
          </w:p>
        </w:tc>
        <w:tc>
          <w:tcPr>
            <w:tcW w:type="dxa" w:w="3685"/>
            <w:tcMar>
              <w:top w:w="90" w:type="dxa"/>
              <w:start w:w="110" w:type="dxa"/>
              <w:bottom w:w="90" w:type="dxa"/>
              <w:end w:w="110" w:type="dxa"/>
            </w:tcMar>
            <w:vAlign w:val="center"/>
          </w:tcPr>
          <w:p>
            <w:pPr>
              <w:spacing w:after="0" w:before="0" w:line="240" w:lineRule="auto"/>
            </w:pPr>
            <w:r>
              <w:rPr>
                <w:b w:val="0"/>
                <w:sz w:val="15"/>
              </w:rPr>
              <w:t>Вести information-loss ledger.</w:t>
            </w:r>
          </w:p>
        </w:tc>
        <w:tc>
          <w:tcPr>
            <w:tcW w:type="dxa" w:w="1417"/>
            <w:tcMar>
              <w:top w:w="90" w:type="dxa"/>
              <w:start w:w="110" w:type="dxa"/>
              <w:bottom w:w="90" w:type="dxa"/>
              <w:end w:w="110" w:type="dxa"/>
            </w:tcMar>
            <w:vAlign w:val="center"/>
          </w:tcPr>
          <w:p>
            <w:pPr>
              <w:spacing w:after="0" w:before="0" w:line="240" w:lineRule="auto"/>
            </w:pPr>
            <w:r>
              <w:rPr>
                <w:b w:val="0"/>
                <w:sz w:val="15"/>
              </w:rPr>
              <w:t>CLOSED/PROTO</w:t>
            </w:r>
          </w:p>
        </w:tc>
        <w:tc>
          <w:tcPr>
            <w:tcW w:type="dxa" w:w="2835"/>
            <w:tcMar>
              <w:top w:w="90" w:type="dxa"/>
              <w:start w:w="110" w:type="dxa"/>
              <w:bottom w:w="90" w:type="dxa"/>
              <w:end w:w="110" w:type="dxa"/>
            </w:tcMar>
            <w:vAlign w:val="center"/>
          </w:tcPr>
          <w:p>
            <w:pPr>
              <w:spacing w:after="0" w:before="0" w:line="240" w:lineRule="auto"/>
            </w:pPr>
            <w:r>
              <w:rPr>
                <w:b w:val="0"/>
                <w:sz w:val="15"/>
              </w:rPr>
              <w:t>MOT-15 tests.</w:t>
            </w:r>
          </w:p>
        </w:tc>
      </w:tr>
      <w:tr>
        <w:tc>
          <w:tcPr>
            <w:tcW w:type="dxa" w:w="1304"/>
            <w:tcMar>
              <w:top w:w="90" w:type="dxa"/>
              <w:start w:w="110" w:type="dxa"/>
              <w:bottom w:w="90" w:type="dxa"/>
              <w:end w:w="110" w:type="dxa"/>
            </w:tcMar>
            <w:vAlign w:val="center"/>
          </w:tcPr>
          <w:p>
            <w:pPr>
              <w:spacing w:after="0" w:before="0" w:line="240" w:lineRule="auto"/>
            </w:pPr>
            <w:r>
              <w:rPr>
                <w:b w:val="0"/>
                <w:sz w:val="15"/>
              </w:rPr>
              <w:t>T2-PO-293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refined invariant.</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Grading, sign, shift, duality.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T2-PO-294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CoHA_NAPG.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Extension stacks and pull-push.</w:t>
            </w:r>
          </w:p>
        </w:tc>
      </w:tr>
      <w:tr>
        <w:tc>
          <w:tcPr>
            <w:tcW w:type="dxa" w:w="1304"/>
            <w:tcMar>
              <w:top w:w="90" w:type="dxa"/>
              <w:start w:w="110" w:type="dxa"/>
              <w:bottom w:w="90" w:type="dxa"/>
              <w:end w:w="110" w:type="dxa"/>
            </w:tcMar>
            <w:vAlign w:val="center"/>
          </w:tcPr>
          <w:p>
            <w:pPr>
              <w:spacing w:after="0" w:before="0" w:line="240" w:lineRule="auto"/>
            </w:pPr>
            <w:r>
              <w:rPr>
                <w:b w:val="0"/>
                <w:sz w:val="15"/>
              </w:rPr>
              <w:t>T2-PO-295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ассоциативность CoHA.</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Correspondence composition.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BPS-cohomology carrier.</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PBW/integrality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T2-PO-297</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grading monoid Γ.</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Positive cone and support.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T2-PO-298</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completed series ring.</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Filtration and completeness.</w:t>
            </w:r>
          </w:p>
        </w:tc>
      </w:tr>
      <w:tr>
        <w:tc>
          <w:tcPr>
            <w:tcW w:type="dxa" w:w="1304"/>
            <w:tcMar>
              <w:top w:w="90" w:type="dxa"/>
              <w:start w:w="110" w:type="dxa"/>
              <w:bottom w:w="90" w:type="dxa"/>
              <w:end w:w="110" w:type="dxa"/>
            </w:tcMar>
            <w:vAlign w:val="center"/>
          </w:tcPr>
          <w:p>
            <w:pPr>
              <w:spacing w:after="0" w:before="0" w:line="240" w:lineRule="auto"/>
            </w:pPr>
            <w:r>
              <w:rPr>
                <w:b w:val="0"/>
                <w:sz w:val="15"/>
              </w:rPr>
              <w:t>T2-PO-299</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PExp/PLog.</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λ-ring/Adams hypotheses.</w:t>
            </w:r>
          </w:p>
        </w:tc>
      </w:tr>
      <w:tr>
        <w:tc>
          <w:tcPr>
            <w:tcW w:type="dxa" w:w="1304"/>
            <w:tcMar>
              <w:top w:w="90" w:type="dxa"/>
              <w:start w:w="110" w:type="dxa"/>
              <w:bottom w:w="90" w:type="dxa"/>
              <w:end w:w="110" w:type="dxa"/>
            </w:tcMar>
            <w:vAlign w:val="center"/>
          </w:tcPr>
          <w:p>
            <w:pPr>
              <w:spacing w:after="0" w:before="0" w:line="240" w:lineRule="auto"/>
            </w:pPr>
            <w:r>
              <w:rPr>
                <w:b w:val="0"/>
                <w:sz w:val="15"/>
              </w:rPr>
              <w:t>T2-PO-300</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quantum-torus pairing.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Skew form and ordering.</w:t>
            </w:r>
          </w:p>
        </w:tc>
      </w:tr>
      <w:tr>
        <w:tc>
          <w:tcPr>
            <w:tcW w:type="dxa" w:w="1304"/>
            <w:tcMar>
              <w:top w:w="90" w:type="dxa"/>
              <w:start w:w="110" w:type="dxa"/>
              <w:bottom w:w="90" w:type="dxa"/>
              <w:end w:w="110" w:type="dxa"/>
            </w:tcMar>
            <w:vAlign w:val="center"/>
          </w:tcPr>
          <w:p>
            <w:pPr>
              <w:spacing w:after="0" w:before="0" w:line="240" w:lineRule="auto"/>
            </w:pPr>
            <w:r>
              <w:rPr>
                <w:b w:val="0"/>
                <w:sz w:val="15"/>
              </w:rPr>
              <w:t>T2-PO-301</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wall-crossing factorization.</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Stability structure and transport.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T2-PO-302</w:t>
            </w:r>
          </w:p>
        </w:tc>
        <w:tc>
          <w:tcPr>
            <w:tcW w:type="dxa" w:w="3685"/>
            <w:tcMar>
              <w:top w:w="90" w:type="dxa"/>
              <w:start w:w="110" w:type="dxa"/>
              <w:bottom w:w="90" w:type="dxa"/>
              <w:end w:w="110" w:type="dxa"/>
            </w:tcMar>
            <w:vAlign w:val="center"/>
          </w:tcPr>
          <w:p>
            <w:pPr>
              <w:spacing w:after="0" w:before="0" w:line="240" w:lineRule="auto"/>
            </w:pPr>
            <w:r>
              <w:rPr>
                <w:b w:val="0"/>
                <w:sz w:val="15"/>
              </w:rPr>
              <w:t>Классифицировать формальный/аналитический статус ряда.</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Convergence ledger.</w:t>
            </w:r>
          </w:p>
        </w:tc>
      </w:tr>
      <w:tr>
        <w:tc>
          <w:tcPr>
            <w:tcW w:type="dxa" w:w="1304"/>
            <w:tcMar>
              <w:top w:w="90" w:type="dxa"/>
              <w:start w:w="110" w:type="dxa"/>
              <w:bottom w:w="90" w:type="dxa"/>
              <w:end w:w="110" w:type="dxa"/>
            </w:tcMar>
            <w:vAlign w:val="center"/>
          </w:tcPr>
          <w:p>
            <w:pPr>
              <w:spacing w:after="0" w:before="0" w:line="240" w:lineRule="auto"/>
            </w:pPr>
            <w:r>
              <w:rPr>
                <w:b w:val="0"/>
                <w:sz w:val="15"/>
              </w:rPr>
              <w:t>T2-PO-303</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no-time theorem.</w:t>
            </w:r>
          </w:p>
        </w:tc>
        <w:tc>
          <w:tcPr>
            <w:tcW w:type="dxa" w:w="1417"/>
            <w:tcMar>
              <w:top w:w="90" w:type="dxa"/>
              <w:start w:w="110" w:type="dxa"/>
              <w:bottom w:w="90" w:type="dxa"/>
              <w:end w:w="110" w:type="dxa"/>
            </w:tcMar>
            <w:vAlign w:val="center"/>
          </w:tcPr>
          <w:p>
            <w:pPr>
              <w:spacing w:after="0" w:before="0" w:line="240" w:lineRule="auto"/>
            </w:pPr>
            <w:r>
              <w:rPr>
                <w:b w:val="0"/>
                <w:sz w:val="15"/>
              </w:rPr>
              <w:t>CLOSED</w:t>
            </w:r>
          </w:p>
        </w:tc>
        <w:tc>
          <w:tcPr>
            <w:tcW w:type="dxa" w:w="2835"/>
            <w:tcMar>
              <w:top w:w="90" w:type="dxa"/>
              <w:start w:w="110" w:type="dxa"/>
              <w:bottom w:w="90" w:type="dxa"/>
              <w:end w:w="110" w:type="dxa"/>
            </w:tcMar>
            <w:vAlign w:val="center"/>
          </w:tcPr>
          <w:p>
            <w:pPr>
              <w:spacing w:after="0" w:before="0" w:line="240" w:lineRule="auto"/>
            </w:pPr>
            <w:r>
              <w:rPr>
                <w:b w:val="0"/>
                <w:sz w:val="15"/>
              </w:rPr>
              <w:t>Theorem 20.4.</w:t>
            </w:r>
          </w:p>
        </w:tc>
      </w:tr>
      <w:tr>
        <w:tc>
          <w:tcPr>
            <w:tcW w:type="dxa" w:w="1304"/>
            <w:tcMar>
              <w:top w:w="90" w:type="dxa"/>
              <w:start w:w="110" w:type="dxa"/>
              <w:bottom w:w="90" w:type="dxa"/>
              <w:end w:w="110" w:type="dxa"/>
            </w:tcMar>
            <w:vAlign w:val="center"/>
          </w:tcPr>
          <w:p>
            <w:pPr>
              <w:spacing w:after="0" w:before="0" w:line="240" w:lineRule="auto"/>
            </w:pPr>
            <w:r>
              <w:rPr>
                <w:b w:val="0"/>
                <w:sz w:val="15"/>
              </w:rPr>
              <w:t>T2-PO-304</w:t>
            </w:r>
          </w:p>
        </w:tc>
        <w:tc>
          <w:tcPr>
            <w:tcW w:type="dxa" w:w="3685"/>
            <w:tcMar>
              <w:top w:w="90" w:type="dxa"/>
              <w:start w:w="110" w:type="dxa"/>
              <w:bottom w:w="90" w:type="dxa"/>
              <w:end w:w="110" w:type="dxa"/>
            </w:tcMar>
            <w:vAlign w:val="center"/>
          </w:tcPr>
          <w:p>
            <w:pPr>
              <w:spacing w:after="0" w:before="0" w:line="240" w:lineRule="auto"/>
            </w:pPr>
            <w:r>
              <w:rPr>
                <w:b w:val="0"/>
                <w:sz w:val="15"/>
              </w:rPr>
              <w:t>Задать time map τ.</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External temporal semantics.</w:t>
            </w:r>
          </w:p>
        </w:tc>
      </w:tr>
      <w:tr>
        <w:tc>
          <w:tcPr>
            <w:tcW w:type="dxa" w:w="1304"/>
            <w:tcMar>
              <w:top w:w="90" w:type="dxa"/>
              <w:start w:w="110" w:type="dxa"/>
              <w:bottom w:w="90" w:type="dxa"/>
              <w:end w:w="110" w:type="dxa"/>
            </w:tcMar>
            <w:vAlign w:val="center"/>
          </w:tcPr>
          <w:p>
            <w:pPr>
              <w:spacing w:after="0" w:before="0" w:line="240" w:lineRule="auto"/>
            </w:pPr>
            <w:r>
              <w:rPr>
                <w:b w:val="0"/>
                <w:sz w:val="15"/>
              </w:rPr>
              <w:t>T2-PO-305</w:t>
            </w:r>
          </w:p>
        </w:tc>
        <w:tc>
          <w:tcPr>
            <w:tcW w:type="dxa" w:w="3685"/>
            <w:tcMar>
              <w:top w:w="90" w:type="dxa"/>
              <w:start w:w="110" w:type="dxa"/>
              <w:bottom w:w="90" w:type="dxa"/>
              <w:end w:w="110" w:type="dxa"/>
            </w:tcMar>
            <w:vAlign w:val="center"/>
          </w:tcPr>
          <w:p>
            <w:pPr>
              <w:spacing w:after="0" w:before="0" w:line="240" w:lineRule="auto"/>
            </w:pPr>
            <w:r>
              <w:rPr>
                <w:b w:val="0"/>
                <w:sz w:val="15"/>
              </w:rPr>
              <w:t>Задать state space S.</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Domain-specific states.</w:t>
            </w:r>
          </w:p>
        </w:tc>
      </w:tr>
      <w:tr>
        <w:tc>
          <w:tcPr>
            <w:tcW w:type="dxa" w:w="1304"/>
            <w:tcMar>
              <w:top w:w="90" w:type="dxa"/>
              <w:start w:w="110" w:type="dxa"/>
              <w:bottom w:w="90" w:type="dxa"/>
              <w:end w:w="110" w:type="dxa"/>
            </w:tcMar>
            <w:vAlign w:val="center"/>
          </w:tcPr>
          <w:p>
            <w:pPr>
              <w:spacing w:after="0" w:before="0" w:line="240" w:lineRule="auto"/>
            </w:pPr>
            <w:r>
              <w:rPr>
                <w:b w:val="0"/>
                <w:sz w:val="15"/>
              </w:rPr>
              <w:t>T2-PO-306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evolution family U(t,s).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Cocycle and regularity.</w:t>
            </w:r>
          </w:p>
        </w:tc>
      </w:tr>
      <w:tr>
        <w:tc>
          <w:tcPr>
            <w:tcW w:type="dxa" w:w="1304"/>
            <w:tcMar>
              <w:top w:w="90" w:type="dxa"/>
              <w:start w:w="110" w:type="dxa"/>
              <w:bottom w:w="90" w:type="dxa"/>
              <w:end w:w="110" w:type="dxa"/>
            </w:tcMar>
            <w:vAlign w:val="center"/>
          </w:tcPr>
          <w:p>
            <w:pPr>
              <w:spacing w:after="0" w:before="0" w:line="240" w:lineRule="auto"/>
            </w:pPr>
            <w:r>
              <w:rPr>
                <w:b w:val="0"/>
                <w:sz w:val="15"/>
              </w:rPr>
              <w:t>T2-PO-307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generator/path kernel.</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Semigroup or nonautonomous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T2-PO-308</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NAPG-совместимость эволюции.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Preservation of D/Dom/⊙.</w:t>
            </w:r>
          </w:p>
        </w:tc>
      </w:tr>
      <w:tr>
        <w:tc>
          <w:tcPr>
            <w:tcW w:type="dxa" w:w="1304"/>
            <w:tcMar>
              <w:top w:w="90" w:type="dxa"/>
              <w:start w:w="110" w:type="dxa"/>
              <w:bottom w:w="90" w:type="dxa"/>
              <w:end w:w="110" w:type="dxa"/>
            </w:tcMar>
            <w:vAlign w:val="center"/>
          </w:tcPr>
          <w:p>
            <w:pPr>
              <w:spacing w:after="0" w:before="0" w:line="240" w:lineRule="auto"/>
            </w:pPr>
            <w:r>
              <w:rPr>
                <w:b w:val="0"/>
                <w:sz w:val="15"/>
              </w:rPr>
              <w:t>T2-PO-309</w:t>
            </w:r>
          </w:p>
        </w:tc>
        <w:tc>
          <w:tcPr>
            <w:tcW w:type="dxa" w:w="3685"/>
            <w:tcMar>
              <w:top w:w="90" w:type="dxa"/>
              <w:start w:w="110" w:type="dxa"/>
              <w:bottom w:w="90" w:type="dxa"/>
              <w:end w:w="110" w:type="dxa"/>
            </w:tcMar>
            <w:vAlign w:val="center"/>
          </w:tcPr>
          <w:p>
            <w:pPr>
              <w:spacing w:after="0" w:before="0" w:line="240" w:lineRule="auto"/>
            </w:pPr>
            <w:r>
              <w:rPr>
                <w:b w:val="0"/>
                <w:sz w:val="15"/>
              </w:rPr>
              <w:t>Задать observation map.</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Operational measurement model.</w:t>
            </w:r>
          </w:p>
        </w:tc>
      </w:tr>
      <w:tr>
        <w:tc>
          <w:tcPr>
            <w:tcW w:type="dxa" w:w="1304"/>
            <w:tcMar>
              <w:top w:w="90" w:type="dxa"/>
              <w:start w:w="110" w:type="dxa"/>
              <w:bottom w:w="90" w:type="dxa"/>
              <w:end w:w="110" w:type="dxa"/>
            </w:tcMar>
            <w:vAlign w:val="center"/>
          </w:tcPr>
          <w:p>
            <w:pPr>
              <w:spacing w:after="0" w:before="0" w:line="240" w:lineRule="auto"/>
            </w:pPr>
            <w:r>
              <w:rPr>
                <w:b w:val="0"/>
                <w:sz w:val="15"/>
              </w:rPr>
              <w:t>T2-PO-310</w:t>
            </w:r>
          </w:p>
        </w:tc>
        <w:tc>
          <w:tcPr>
            <w:tcW w:type="dxa" w:w="3685"/>
            <w:tcMar>
              <w:top w:w="90" w:type="dxa"/>
              <w:start w:w="110" w:type="dxa"/>
              <w:bottom w:w="90" w:type="dxa"/>
              <w:end w:w="110" w:type="dxa"/>
            </w:tcMar>
            <w:vAlign w:val="center"/>
          </w:tcPr>
          <w:p>
            <w:pPr>
              <w:spacing w:after="0" w:before="0" w:line="240" w:lineRule="auto"/>
            </w:pPr>
            <w:r>
              <w:rPr>
                <w:b w:val="0"/>
                <w:sz w:val="15"/>
              </w:rPr>
              <w:t>Провести calibration/validation.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Frozen protocol and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T2-PO-311</w:t>
            </w:r>
          </w:p>
        </w:tc>
        <w:tc>
          <w:tcPr>
            <w:tcW w:type="dxa" w:w="3685"/>
            <w:tcMar>
              <w:top w:w="90" w:type="dxa"/>
              <w:start w:w="110" w:type="dxa"/>
              <w:bottom w:w="90" w:type="dxa"/>
              <w:end w:w="110" w:type="dxa"/>
            </w:tcMar>
            <w:vAlign w:val="center"/>
          </w:tcPr>
          <w:p>
            <w:pPr>
              <w:spacing w:after="0" w:before="0" w:line="240" w:lineRule="auto"/>
            </w:pPr>
            <w:r>
              <w:rPr>
                <w:b w:val="0"/>
                <w:sz w:val="15"/>
              </w:rPr>
              <w:t>Выполнить независимый EXT-RUN.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External preregistered run.</w:t>
            </w:r>
          </w:p>
        </w:tc>
      </w:tr>
      <w:tr>
        <w:tc>
          <w:tcPr>
            <w:tcW w:type="dxa" w:w="1304"/>
            <w:tcMar>
              <w:top w:w="90" w:type="dxa"/>
              <w:start w:w="110" w:type="dxa"/>
              <w:bottom w:w="90" w:type="dxa"/>
              <w:end w:w="110" w:type="dxa"/>
            </w:tcMar>
            <w:vAlign w:val="center"/>
          </w:tcPr>
          <w:p>
            <w:pPr>
              <w:spacing w:after="0" w:before="0" w:line="240" w:lineRule="auto"/>
            </w:pPr>
            <w:r>
              <w:rPr>
                <w:b w:val="0"/>
                <w:sz w:val="15"/>
              </w:rPr>
              <w:t>T2-PO-312</w:t>
            </w:r>
          </w:p>
        </w:tc>
        <w:tc>
          <w:tcPr>
            <w:tcW w:type="dxa" w:w="3685"/>
            <w:tcMar>
              <w:top w:w="90" w:type="dxa"/>
              <w:start w:w="110" w:type="dxa"/>
              <w:bottom w:w="90" w:type="dxa"/>
              <w:end w:w="110" w:type="dxa"/>
            </w:tcMar>
            <w:vAlign w:val="center"/>
          </w:tcPr>
          <w:p>
            <w:pPr>
              <w:spacing w:after="0" w:before="0" w:line="240" w:lineRule="auto"/>
            </w:pPr>
            <w:r>
              <w:rPr>
                <w:b w:val="0"/>
                <w:sz w:val="15"/>
              </w:rPr>
              <w:t>Согласовать λ и CGI_ref.</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Weight/source sensitivity certificate.</w:t>
            </w:r>
          </w:p>
        </w:tc>
      </w:tr>
      <w:tr>
        <w:tc>
          <w:tcPr>
            <w:tcW w:type="dxa" w:w="1304"/>
            <w:tcMar>
              <w:top w:w="90" w:type="dxa"/>
              <w:start w:w="110" w:type="dxa"/>
              <w:bottom w:w="90" w:type="dxa"/>
              <w:end w:w="110" w:type="dxa"/>
            </w:tcMar>
            <w:vAlign w:val="center"/>
          </w:tcPr>
          <w:p>
            <w:pPr>
              <w:spacing w:after="0" w:before="0" w:line="240" w:lineRule="auto"/>
            </w:pPr>
            <w:r>
              <w:rPr>
                <w:b w:val="0"/>
                <w:sz w:val="15"/>
              </w:rPr>
              <w:t>T2-PO-313</w:t>
            </w:r>
          </w:p>
        </w:tc>
        <w:tc>
          <w:tcPr>
            <w:tcW w:type="dxa" w:w="3685"/>
            <w:tcMar>
              <w:top w:w="90" w:type="dxa"/>
              <w:start w:w="110" w:type="dxa"/>
              <w:bottom w:w="90" w:type="dxa"/>
              <w:end w:w="110" w:type="dxa"/>
            </w:tcMar>
            <w:vAlign w:val="center"/>
          </w:tcPr>
          <w:p>
            <w:pPr>
              <w:spacing w:after="0" w:before="0" w:line="240" w:lineRule="auto"/>
            </w:pPr>
            <w:r>
              <w:rPr>
                <w:b w:val="0"/>
                <w:sz w:val="15"/>
              </w:rPr>
              <w:t>Реализовать MOT-REF-SER-DYN код.</w:t>
            </w:r>
          </w:p>
        </w:tc>
        <w:tc>
          <w:tcPr>
            <w:tcW w:type="dxa" w:w="1417"/>
            <w:tcMar>
              <w:top w:w="90" w:type="dxa"/>
              <w:start w:w="110" w:type="dxa"/>
              <w:bottom w:w="90" w:type="dxa"/>
              <w:end w:w="110" w:type="dxa"/>
            </w:tcMar>
            <w:vAlign w:val="center"/>
          </w:tcPr>
          <w:p>
            <w:pPr>
              <w:spacing w:after="0" w:before="0" w:line="240" w:lineRule="auto"/>
            </w:pPr>
            <w:r>
              <w:rPr>
                <w:b w:val="0"/>
                <w:sz w:val="15"/>
              </w:rPr>
              <w:t>OPEN-COMP</w:t>
            </w:r>
          </w:p>
        </w:tc>
        <w:tc>
          <w:tcPr>
            <w:tcW w:type="dxa" w:w="2835"/>
            <w:tcMar>
              <w:top w:w="90" w:type="dxa"/>
              <w:start w:w="110" w:type="dxa"/>
              <w:bottom w:w="90" w:type="dxa"/>
              <w:end w:w="110" w:type="dxa"/>
            </w:tcMar>
            <w:vAlign w:val="center"/>
          </w:tcPr>
          <w:p>
            <w:pPr>
              <w:spacing w:after="0" w:before="0" w:line="240" w:lineRule="auto"/>
            </w:pPr>
            <w:r>
              <w:rPr>
                <w:b w:val="0"/>
                <w:sz w:val="15"/>
              </w:rPr>
              <w:t>Exact/interval executable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T2-PO-314</w:t>
            </w:r>
          </w:p>
        </w:tc>
        <w:tc>
          <w:tcPr>
            <w:tcW w:type="dxa" w:w="3685"/>
            <w:tcMar>
              <w:top w:w="90" w:type="dxa"/>
              <w:start w:w="110" w:type="dxa"/>
              <w:bottom w:w="90" w:type="dxa"/>
              <w:end w:w="110" w:type="dxa"/>
            </w:tcMar>
            <w:vAlign w:val="center"/>
          </w:tcPr>
          <w:p>
            <w:pPr>
              <w:spacing w:after="0" w:before="0" w:line="240" w:lineRule="auto"/>
            </w:pPr>
            <w:r>
              <w:rPr>
                <w:b w:val="0"/>
                <w:sz w:val="15"/>
              </w:rPr>
              <w:t>Закрыть главную теорему v0.17.</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All categorified, series, dynamic and empirical bridges.</w:t>
            </w:r>
          </w:p>
        </w:tc>
      </w:tr>
    </w:tbl>
    <w:p>
      <w:pPr>
        <w:spacing w:after="0"/>
      </w:pPr>
    </w:p>
    <w:p>
      <w:pPr>
        <w:pStyle w:val="Heading1"/>
        <w:keepNext/>
      </w:pPr>
      <w:r>
        <w:t>263. Prior art и граница авторского вклада</w:t>
      </w:r>
    </w:p>
    <w:p>
      <w:pPr/>
      <w:r>
        <w:t>Классический prior art главы включает Grothendieck-кольца и power structures; motivic zeta functions и vanishing cycles; motivic Donaldson–Thomas invariants и wall-crossing; cohomological Hall algebras; generalized DT theory; cohomological BPS-categorification; Hall-algebraic curve counting. Авторский слой Тома II состоит в их типизированном включении в NAPG/KLT-RBD, информационном ledger, тройном motivic-series-dynamic firewall, Reper/D/Dom-сертификате и отрицательной теореме о неидентифицируемости времени по коэффициентам.</w:t>
      </w:r>
    </w:p>
    <w:p>
      <w:pPr/>
      <w:r>
        <w:t>[V0.17-1] Kontsevich, M.; Soibelman, Y. Stability structures, motivic Donaldson–Thomas invariants and cluster transformations. arXiv:0811.2435. [первичный источник]</w:t>
      </w:r>
    </w:p>
    <w:p>
      <w:pPr/>
      <w:r>
        <w:t>[V0.17-2] Kontsevich, M.; Soibelman, Y. Cohomological Hall algebra, exponential Hodge structures and motivic Donaldson–Thomas invariants. arXiv:1006.2706. [первичный источник]</w:t>
      </w:r>
    </w:p>
    <w:p>
      <w:pPr/>
      <w:r>
        <w:t>[V0.17-3] Joyce, D.; Song, Y. A theory of generalized Donaldson–Thomas invariants. arXiv:0810.5645. [первичный источник]</w:t>
      </w:r>
    </w:p>
    <w:p>
      <w:pPr/>
      <w:r>
        <w:t>[V0.17-4] Bridgeland, T. Hall algebras and curve-counting invariants. arXiv:1002.4374. [первичный источник]</w:t>
      </w:r>
    </w:p>
    <w:p>
      <w:pPr/>
      <w:r>
        <w:t>[V0.17-5] Davison, B.; Meinhardt, S. Cohomological Donaldson–Thomas theory of a quiver with potential and quantum enveloping algebras. arXiv:1601.02479. [первичный источник]</w:t>
      </w:r>
    </w:p>
    <w:p>
      <w:pPr/>
      <w:r>
        <w:t>[V0.17-6] Bussi, V.; Joyce, D.; Meinhardt, S. On motivic vanishing cycles of critical loci. arXiv:1305.6428. [первичный источник]</w:t>
      </w:r>
    </w:p>
    <w:p>
      <w:pPr/>
      <w:r>
        <w:t>[V0.17-7] Denef, J.; Loeser, F. Motivic Igusa zeta functions. arXiv:math/9803040. [первичный источник]</w:t>
      </w:r>
    </w:p>
    <w:p>
      <w:pPr/>
      <w:r>
        <w:t>[V0.17-8] Gusein-Zade, S. M.; Luengo, I.; Melle-Hernández, A. On the power structure over the Grothendieck ring of varieties and its applications. arXiv:math/0605467. [первичный источник]</w:t>
      </w:r>
    </w:p>
    <w:p>
      <w:pPr/>
      <w:r>
        <w:t>[V0.17-9] Behrend, K. Donaldson–Thomas type invariants via microlocal geometry. arXiv:math/0507523. [первичный источник]</w:t>
      </w:r>
    </w:p>
    <w:p>
      <w:pPr/>
      <w:r>
        <w:t>[V0.17-10] Kurpishev, I. B. Том I v197 RU; Том II T2-RP-v0.1–v0.16. [внутренний авторский корпус]</w:t>
      </w:r>
    </w:p>
    <w:p>
      <w:pPr>
        <w:pStyle w:val="Heading1"/>
        <w:keepNext/>
      </w:pPr>
      <w:r>
        <w:t>264. Контрольная точка и граница вывода</w:t>
      </w:r>
    </w:p>
    <w:p>
      <w:pPr>
        <w:pStyle w:val="Quote"/>
        <w:jc w:val="center"/>
      </w:pPr>
      <w:r>
        <w:t>truth_layer_promotion=0; checkpoint=T2-RP-v0.17; next=T2-RP-v0.18.  (20.29)</w:t>
      </w:r>
    </w:p>
    <w:p>
      <w:pPr/>
      <w:r>
        <w:t>Глава 20 построила лестницу categorified→motivic→refined→numerical, формализовала производящие ряды и установила их предел: grading не является временем, а коэффициенты не задают evolution law. Для динамического вывода необходимы отдельные τ, state space, U(t,s), path/observation model, calibration и независимый внешний запуск. До их построения результат остаётся математическим профилем и не получает физического статуса.</w:t>
      </w:r>
    </w:p>
    <w:p>
      <w:pPr>
        <w:pStyle w:val="Small"/>
      </w:pPr>
      <w:r>
        <w:t>Следующая сборка tom2_v0_18 развивает нелинейные эволюционные полугруппы, transfer operators, path-space carriers, causal kernels и связь с реперным прогнозом при явной временной, вероятностной и эмпирической спецификации.</w:t>
      </w:r>
    </w:p>
    <w:p>
      <w:pPr>
        <w:pStyle w:val="Small"/>
      </w:pPr>
      <w:r>
        <w:t>checkpoint=T2-RP-v0.17; source=T2-RP-v0.16; truth_layer_promotion=0; next=T2-RP-v0.18.</w:t>
      </w:r>
    </w:p>
    <w:p>
      <w:r>
        <w:br w:type="page"/>
      </w:r>
    </w:p>
    <w:p>
      <w:pPr>
        <w:pStyle w:val="Heading1"/>
      </w:pPr>
      <w:r>
        <w:t>Глава 21. Нелинейные эволюционные полугруппы, transfer operators, path-space carriers и причинные ядра</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Временная структура начинается не с последовательности индексов, а с пространства состояний, направленного временного носителя и правила перехода. Траектория существует лишь после задания совместимых переходов или меры на пространстве путей.</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Оператор эволюции сообщает, как модель переносит состояние; transfer-оператор сообщает, как переносятся наблюдаемые или меры; эмпирическая причинность требует ещё наблюдений, интервенций, контроля смешения и независимой проверки.</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Наблюдаемый поток данных является проекцией скрытой или расширенной траектории. Память, запаздывание и ветвление могут требовать увеличения состояния до истории, поэтому одно текущее значение не всегда является достаточным носителем будущего.</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Полугруппа, Markov kernel, Volterra kernel, Koopman-спектр, λ=-1 или низкий CGI сами по себе не доказывают физическую причинность, вероятность будущего события или переносимость за пределы заявленного Dom.</w:t>
            </w:r>
          </w:p>
        </w:tc>
      </w:tr>
    </w:tbl>
    <w:p>
      <w:pPr>
        <w:pStyle w:val="Lead"/>
      </w:pPr>
      <w:r>
        <w:t>Статус главы: theorem/conditional/computational package. В ней строится математический временной интерфейс, необходимый после динамического firewall главы 20. Физическая и эмпирическая интерпретации остаются отдельными слоями. ПН.2 и F-1–F-14 статуса не меняют.</w:t>
      </w:r>
    </w:p>
    <w:p>
      <w:pPr>
        <w:pStyle w:val="Quote"/>
        <w:jc w:val="center"/>
      </w:pPr>
      <w:r>
        <w:t>truth_layer_promotion=0; source=T2-RP-v0.17; checkpoint=T2-RP-v0.18.  (21.1)</w:t>
      </w:r>
    </w:p>
    <w:p>
      <w:pPr>
        <w:pStyle w:val="Heading1"/>
      </w:pPr>
      <w:r>
        <w:t>265. Типы времени, состояния и эволюции</w:t>
      </w:r>
    </w:p>
    <w:p>
      <w:pPr/>
      <w:r>
        <w:t>Определение 21.1. Временным носителем называется ориентированное частично упорядоченное множество (T,≤), снабжённое топологией или измеримой структурой, достаточной для выбранного класса эволюций. Пространство состояний S может быть метрическим, банаховым, гильбертовым, стратифицированным или категориальным объектом, но его тип фиксируется до определения перехода.</w:t>
      </w:r>
    </w:p>
    <w:p>
      <w:pPr/>
      <w:r>
        <w:t>Чтобы не смешивать компонент U реперной четвёрки с оператором эволюции, в настоящей главе оператор обозначается каллиграфической буквой 𝒰. Для t≥s вводится частично определённая карта</w:t>
      </w:r>
    </w:p>
    <w:p>
      <w:pPr>
        <w:pStyle w:val="Quote"/>
        <w:jc w:val="center"/>
      </w:pPr>
      <w:r>
        <w:t>𝒰(t,s): Dom_{t,s}⊆S_s → S_t.  (21.2)</w:t>
      </w:r>
    </w:p>
    <w:p>
      <w:pPr/>
      <w:r>
        <w:t>Автономный случай задаётся S_t=S и 𝒰(t,s)=𝒮(t-s). Неавтономный случай требует двух параметров, потому что переход зависит не только от длительности, но и от положения интервала на временной оси.</w:t>
      </w:r>
    </w:p>
    <w:p>
      <w:pPr>
        <w:pStyle w:val="Heading2"/>
      </w:pPr>
      <w:r>
        <w:t>Минимальный реестр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T</w:t>
            </w:r>
          </w:p>
        </w:tc>
        <w:tc>
          <w:tcPr>
            <w:tcW w:type="dxa" w:w="6480"/>
            <w:tcMar>
              <w:top w:w="90" w:type="dxa"/>
              <w:start w:w="100" w:type="dxa"/>
              <w:bottom w:w="90" w:type="dxa"/>
              <w:end w:w="100" w:type="dxa"/>
            </w:tcMar>
            <w:vAlign w:val="center"/>
          </w:tcPr>
          <w:p>
            <w:r>
              <w:t>Временной носитель; индекс, физическое время, логическое время и порядок раскрытия данных не отождествляются автоматически.</w:t>
            </w:r>
          </w:p>
        </w:tc>
      </w:tr>
      <w:tr>
        <w:tc>
          <w:tcPr>
            <w:tcW w:type="dxa" w:w="3168"/>
            <w:tcMar>
              <w:top w:w="90" w:type="dxa"/>
              <w:start w:w="100" w:type="dxa"/>
              <w:bottom w:w="90" w:type="dxa"/>
              <w:end w:w="100" w:type="dxa"/>
            </w:tcMar>
            <w:vAlign w:val="center"/>
          </w:tcPr>
          <w:p>
            <w:r>
              <w:t>S_t</w:t>
            </w:r>
          </w:p>
        </w:tc>
        <w:tc>
          <w:tcPr>
            <w:tcW w:type="dxa" w:w="6480"/>
            <w:tcMar>
              <w:top w:w="90" w:type="dxa"/>
              <w:start w:w="100" w:type="dxa"/>
              <w:bottom w:w="90" w:type="dxa"/>
              <w:end w:w="100" w:type="dxa"/>
            </w:tcMar>
            <w:vAlign w:val="center"/>
          </w:tcPr>
          <w:p>
            <w:r>
              <w:t>Состояние в момент t; при изменении носителя требуется state bundle или поле состояний.</w:t>
            </w:r>
          </w:p>
        </w:tc>
      </w:tr>
      <w:tr>
        <w:tc>
          <w:tcPr>
            <w:tcW w:type="dxa" w:w="3168"/>
            <w:tcMar>
              <w:top w:w="90" w:type="dxa"/>
              <w:start w:w="100" w:type="dxa"/>
              <w:bottom w:w="90" w:type="dxa"/>
              <w:end w:w="100" w:type="dxa"/>
            </w:tcMar>
            <w:vAlign w:val="center"/>
          </w:tcPr>
          <w:p>
            <w:r>
              <w:t>𝒰(t,s)</w:t>
            </w:r>
          </w:p>
        </w:tc>
        <w:tc>
          <w:tcPr>
            <w:tcW w:type="dxa" w:w="6480"/>
            <w:tcMar>
              <w:top w:w="90" w:type="dxa"/>
              <w:start w:w="100" w:type="dxa"/>
              <w:bottom w:w="90" w:type="dxa"/>
              <w:end w:w="100" w:type="dxa"/>
            </w:tcMar>
            <w:vAlign w:val="center"/>
          </w:tcPr>
          <w:p>
            <w:r>
              <w:t>Evolution family с явным Dom; композиция допускается только при совместимости промежуточных областей.</w:t>
            </w:r>
          </w:p>
        </w:tc>
      </w:tr>
      <w:tr>
        <w:tc>
          <w:tcPr>
            <w:tcW w:type="dxa" w:w="3168"/>
            <w:tcMar>
              <w:top w:w="90" w:type="dxa"/>
              <w:start w:w="100" w:type="dxa"/>
              <w:bottom w:w="90" w:type="dxa"/>
              <w:end w:w="100" w:type="dxa"/>
            </w:tcMar>
            <w:vAlign w:val="center"/>
          </w:tcPr>
          <w:p>
            <w:r>
              <w:t>Obs_t</w:t>
            </w:r>
          </w:p>
        </w:tc>
        <w:tc>
          <w:tcPr>
            <w:tcW w:type="dxa" w:w="6480"/>
            <w:tcMar>
              <w:top w:w="90" w:type="dxa"/>
              <w:start w:w="100" w:type="dxa"/>
              <w:bottom w:w="90" w:type="dxa"/>
              <w:end w:w="100" w:type="dxa"/>
            </w:tcMar>
            <w:vAlign w:val="center"/>
          </w:tcPr>
          <w:p>
            <w:r>
              <w:t>Наблюдательная карта; без неё состояние модели не становится измерением.</w:t>
            </w:r>
          </w:p>
        </w:tc>
      </w:tr>
      <w:tr>
        <w:tc>
          <w:tcPr>
            <w:tcW w:type="dxa" w:w="3168"/>
            <w:tcMar>
              <w:top w:w="90" w:type="dxa"/>
              <w:start w:w="100" w:type="dxa"/>
              <w:bottom w:w="90" w:type="dxa"/>
              <w:end w:w="100" w:type="dxa"/>
            </w:tcMar>
            <w:vAlign w:val="center"/>
          </w:tcPr>
          <w:p>
            <w:r>
              <w:t>D_t / Dom_t</w:t>
            </w:r>
          </w:p>
        </w:tc>
        <w:tc>
          <w:tcPr>
            <w:tcW w:type="dxa" w:w="6480"/>
            <w:tcMar>
              <w:top w:w="90" w:type="dxa"/>
              <w:start w:w="100" w:type="dxa"/>
              <w:bottom w:w="90" w:type="dxa"/>
              <w:end w:w="100" w:type="dxa"/>
            </w:tcMar>
            <w:vAlign w:val="center"/>
          </w:tcPr>
          <w:p>
            <w:r>
              <w:t>Достаточное основание, provenance, допустимый режим и ограничения применимости.</w:t>
            </w:r>
          </w:p>
        </w:tc>
      </w:tr>
    </w:tbl>
    <w:p>
      <w:pPr>
        <w:pStyle w:val="Heading1"/>
      </w:pPr>
      <w:r>
        <w:t>266. Нелинейная эволюционная полугруппа</w:t>
      </w:r>
    </w:p>
    <w:p>
      <w:pPr/>
      <w:r>
        <w:t>Определение 21.2. Нелинейной полугруппой на замкнутом множестве C банахова пространства X называется семейство отображений {𝒮(t)}_{t≥0}, для которого</w:t>
      </w:r>
    </w:p>
    <w:p>
      <w:pPr>
        <w:pStyle w:val="Quote"/>
        <w:jc w:val="center"/>
      </w:pPr>
      <w:r>
        <w:t>𝒮(0)=Id_C,    𝒮(t+s)=𝒮(t)∘𝒮(s),    lim_{t↓0}𝒮(t)x=x.  (21.3)</w:t>
      </w:r>
    </w:p>
    <w:p>
      <w:pPr/>
      <w:r>
        <w:t>Контрактивность означает ∥𝒮(t)x-𝒮(t)y∥≤∥x-y∥. Квазиконтрактивность допускает множитель e^{ωt}. Для частичной NAPG-операции дополнительно требуется инвариантность допустимого сектора: 𝒮(t)C_adm⊆C_adm и сохранение D/Dom.</w:t>
      </w:r>
    </w:p>
    <w:p>
      <w:pPr/>
      <w:r>
        <w:t>Полугрупповое тождество является свойством композиции переходов. Оно не определяет единицу времени, не выбирает наблюдаемую и не сообщает, является ли параметр t физическим, вычислительным или деформационным.</w:t>
      </w:r>
    </w:p>
    <w:p>
      <w:pPr>
        <w:jc w:val="center"/>
      </w:pPr>
      <w:r>
        <w:drawing>
          <wp:inline xmlns:a="http://schemas.openxmlformats.org/drawingml/2006/main" xmlns:pic="http://schemas.openxmlformats.org/drawingml/2006/picture">
            <wp:extent cx="6126480" cy="3274260"/>
            <wp:docPr id="55" name="Picture 55"/>
            <wp:cNvGraphicFramePr>
              <a:graphicFrameLocks noChangeAspect="1"/>
            </wp:cNvGraphicFramePr>
            <a:graphic>
              <a:graphicData uri="http://schemas.openxmlformats.org/drawingml/2006/picture">
                <pic:pic>
                  <pic:nvPicPr>
                    <pic:cNvPr id="0" name="fig21_1.png"/>
                    <pic:cNvPicPr/>
                  </pic:nvPicPr>
                  <pic:blipFill>
                    <a:blip r:embed="rId92"/>
                    <a:stretch>
                      <a:fillRect/>
                    </a:stretch>
                  </pic:blipFill>
                  <pic:spPr>
                    <a:xfrm>
                      <a:off x="0" y="0"/>
                      <a:ext cx="6126480" cy="3274260"/>
                    </a:xfrm>
                    <a:prstGeom prst="rect"/>
                  </pic:spPr>
                </pic:pic>
              </a:graphicData>
            </a:graphic>
          </wp:inline>
        </w:drawing>
      </w:r>
    </w:p>
    <w:p>
      <w:pPr>
        <w:pStyle w:val="Caption"/>
        <w:jc w:val="center"/>
      </w:pPr>
      <w:r>
        <w:t>Рисунок 21.1. Нелинейная полугруппа: генератор, резольвента и неявная Euler-схема. Собственная схема Тома II.</w:t>
      </w:r>
    </w:p>
    <w:p>
      <w:pPr>
        <w:pStyle w:val="Heading1"/>
      </w:pPr>
      <w:r>
        <w:t>267. Аккретивные и m-аккретивные генераторы</w:t>
      </w:r>
    </w:p>
    <w:p>
      <w:pPr/>
      <w:r>
        <w:t>Для многозначного оператора A⊆X×X резольвента определяется формально как J_h=(I+hA)^{-1}. Оператор аккретивен, если его резольвента не расширяет расстояния на своей области. Он m-аккретивен, если дополнительно Range(I+hA)=X для всех h&gt;0 в соответствующем режиме.</w:t>
      </w:r>
    </w:p>
    <w:p>
      <w:pPr/>
      <w:r>
        <w:t>Теорема 21.1 (Crandall–Liggett generation, специализированная форма). [THM/prior art] Пусть X — банахово пространство, A — m-аккретивный оператор и x∈cl Dom(A). Тогда предел неявных Euler-приближений</w:t>
      </w:r>
    </w:p>
    <w:p>
      <w:pPr>
        <w:pStyle w:val="Quote"/>
        <w:jc w:val="center"/>
      </w:pPr>
      <w:r>
        <w:t>𝒮(t)x = lim_{m→∞}(I+(t/m)A)^{-m}x  (21.4)</w:t>
      </w:r>
    </w:p>
    <w:p>
      <w:pPr/>
      <w:r>
        <w:t>существует равномерно на компактных временных интервалах и задаёт нелинейную контрактивную полугруппу. В NAPG данная теорема применима только после доказательства m-аккретивности конкретного оператора, замкнутости допустимого сектора и совместимости резольвенты с пакетной структурой.</w:t>
      </w:r>
    </w:p>
    <w:p>
      <w:pPr/>
      <w:r>
        <w:t>Следствие 21.1. Вычислительная схема может сертифицировать переход лишь при контроле ошибки дискретизации, устойчивости резольвенты и неизменности Dom. Запись exp(-tA)x без этих условий является обозначением цели, а не доказанным объектом.</w:t>
      </w:r>
    </w:p>
    <w:p>
      <w:pPr>
        <w:pStyle w:val="Heading1"/>
      </w:pPr>
      <w:r>
        <w:t>268. Неавтономные evolution families и интерфейс Като</w:t>
      </w:r>
    </w:p>
    <w:p>
      <w:pPr/>
      <w:r>
        <w:t>Определение 21.3. Неавтономным evolution family называется семейство 𝒰(t,s), t≥s, удовлетворяющее</w:t>
      </w:r>
    </w:p>
    <w:p>
      <w:pPr>
        <w:pStyle w:val="Quote"/>
        <w:jc w:val="center"/>
      </w:pPr>
      <w:r>
        <w:t>𝒰(s,s)=Id,    𝒰(t,r)∘𝒰(r,s)=𝒰(t,s).  (21.5)</w:t>
      </w:r>
    </w:p>
    <w:p>
      <w:pPr/>
      <w:r>
        <w:t>Для уравнения u′(t)+A(t)u(t)=0 необходимо контролировать зависимость Dom A(t), устойчивость семейства резольвент, измеримость или регулярность t↦A(t) и существование общего admissible core. Исходная теория Като показывает, что эволюционные операторы требуют самостоятельного пакета условий и не сводятся к подстановке t в автономную экспоненту.</w:t>
      </w:r>
    </w:p>
    <w:p>
      <w:pPr/>
      <w:r>
        <w:t>NAPG-версия вводит transport-domain condition: если x∈Dom_{r,s}, то 𝒰(r,s)x должно принадлежать Dom_{t,r}; иначе композиция (21.5) не типизирована. На стратифицированной базе дополнительно требуется совместимость с переходами между стратами.</w:t>
      </w:r>
    </w:p>
    <w:p>
      <w:pPr>
        <w:pStyle w:val="Heading1"/>
      </w:pPr>
      <w:r>
        <w:t>269. Динамика состояний и Koopman-оператор наблюдаемых</w:t>
      </w:r>
    </w:p>
    <w:p>
      <w:pPr/>
      <w:r>
        <w:t>Пусть Φ_t:S→S — измеримое отображение состояния. Koopman-оператор действует не на состояниях, а на наблюдаемых f:S→ℂ:</w:t>
      </w:r>
    </w:p>
    <w:p>
      <w:pPr>
        <w:pStyle w:val="Quote"/>
        <w:jc w:val="center"/>
      </w:pPr>
      <w:r>
        <w:t>(𝒦_t f)(x)=f(Φ_t(x)).  (21.6)</w:t>
      </w:r>
    </w:p>
    <w:p>
      <w:pPr/>
      <w:r>
        <w:t>Даже если Φ_t нелинейно, 𝒦_t линеен по f. Если Φ_{t+s}=Φ_t∘Φ_s, то с выбранной convention выполняется 𝒦_{t+s}=𝒦_s𝒦_t либо обратный порядок; convention фиксируется в сертификате. Спектр Koopman-оператора может выявлять моды наблюдаемых, но не создаёт причинного механизма и не идентифицирует скрытые состояния без условия наблюдаемости.</w:t>
      </w:r>
    </w:p>
    <w:p>
      <w:pPr/>
      <w:r>
        <w:t>Теорема 21.2 (no-state-reconstruction). [THM] Если семейство наблюдаемых не разделяет точки S, то из всех значений 𝒦_t f в данном семействе нельзя однозначно восстановить состояние. Доказательство следует из существования x≠y с f(x)=f(y) для всех выбранных f.</w:t>
      </w:r>
    </w:p>
    <w:p>
      <w:pPr>
        <w:pStyle w:val="Heading1"/>
      </w:pPr>
      <w:r>
        <w:t>270. Perron–Frobenius и transfer-операторы</w:t>
      </w:r>
    </w:p>
    <w:p>
      <w:pPr/>
      <w:r>
        <w:t>Для меры μ pushforward задаётся</w:t>
      </w:r>
    </w:p>
    <w:p>
      <w:pPr>
        <w:pStyle w:val="Quote"/>
        <w:jc w:val="center"/>
      </w:pPr>
      <w:r>
        <w:t>𝒫_t μ=(Φ_t)_#μ,    (𝒫_t μ)(B)=μ(Φ_t^{-1}(B)).  (21.7)</w:t>
      </w:r>
    </w:p>
    <w:p>
      <w:pPr/>
      <w:r>
        <w:t>В подходящем L¹-секторе 𝒫_t действует на плотностях и дуален Koopman-оператору:</w:t>
      </w:r>
    </w:p>
    <w:p>
      <w:pPr>
        <w:pStyle w:val="Quote"/>
        <w:jc w:val="center"/>
      </w:pPr>
      <w:r>
        <w:t>∫_S f d(𝒫_t μ)=∫_S (𝒦_t f)dμ.  (21.8)</w:t>
      </w:r>
    </w:p>
    <w:p>
      <w:pPr/>
      <w:r>
        <w:t>Ключевое различение: нелинейность Φ_t не делает pushforward нелинейным как оператор на мерах. Transfer-оператор может быть положительным и сохранять массу, но это свойства операторного представления, а не доказательство того, что физическая система действительно следует Φ_t.</w:t>
      </w:r>
    </w:p>
    <w:p>
      <w:pPr/>
      <w:r>
        <w:t>Для piecewise monotone maps классическая линия Lasota–Yorke связывает transfer-операторы с существованием инвариантных мер при дополнительных вариационных оценках. В NAPG аналогичная оценка должна включать вариацию по реперному carrier, сохранение Dom и отсутствие перехода через структурный горизонт.</w:t>
      </w:r>
    </w:p>
    <w:p>
      <w:pPr>
        <w:jc w:val="center"/>
      </w:pPr>
      <w:r>
        <w:drawing>
          <wp:inline xmlns:a="http://schemas.openxmlformats.org/drawingml/2006/main" xmlns:pic="http://schemas.openxmlformats.org/drawingml/2006/picture">
            <wp:extent cx="6126480" cy="3577688"/>
            <wp:docPr id="56" name="Picture 56"/>
            <wp:cNvGraphicFramePr>
              <a:graphicFrameLocks noChangeAspect="1"/>
            </wp:cNvGraphicFramePr>
            <a:graphic>
              <a:graphicData uri="http://schemas.openxmlformats.org/drawingml/2006/picture">
                <pic:pic>
                  <pic:nvPicPr>
                    <pic:cNvPr id="0" name="fig21_2.png"/>
                    <pic:cNvPicPr/>
                  </pic:nvPicPr>
                  <pic:blipFill>
                    <a:blip r:embed="rId93"/>
                    <a:stretch>
                      <a:fillRect/>
                    </a:stretch>
                  </pic:blipFill>
                  <pic:spPr>
                    <a:xfrm>
                      <a:off x="0" y="0"/>
                      <a:ext cx="6126480" cy="3577688"/>
                    </a:xfrm>
                    <a:prstGeom prst="rect"/>
                  </pic:spPr>
                </pic:pic>
              </a:graphicData>
            </a:graphic>
          </wp:inline>
        </w:drawing>
      </w:r>
    </w:p>
    <w:p>
      <w:pPr>
        <w:pStyle w:val="Caption"/>
        <w:jc w:val="center"/>
      </w:pPr>
      <w:r>
        <w:t>Рисунок 21.2. Динамика состояний, Koopman/Perron–Frobenius duality и переход к path-space carrier. Собственная схема Тома II.</w:t>
      </w:r>
    </w:p>
    <w:p>
      <w:pPr>
        <w:pStyle w:val="Heading1"/>
      </w:pPr>
      <w:r>
        <w:t>271. Markov kernels и Chapman–Kolmogorov</w:t>
      </w:r>
    </w:p>
    <w:p>
      <w:pPr/>
      <w:r>
        <w:t>Определение 21.4. Переходным Markov kernel называется K_{t,s}(x,B), который для фиксированного x является вероятностной мерой по B, а для фиксированного B измерим по x. Согласованность требует</w:t>
      </w:r>
    </w:p>
    <w:p>
      <w:pPr>
        <w:pStyle w:val="Quote"/>
        <w:jc w:val="center"/>
      </w:pPr>
      <w:r>
        <w:t>K_{t,s}(x,B)=∫_S K_{t,r}(y,B)K_{r,s}(x,dy),    t≥r≥s.  (21.9)</w:t>
      </w:r>
    </w:p>
    <w:p>
      <w:pPr/>
      <w:r>
        <w:t>Формула (21.9) является вероятностным аналогом evolution-family identity. Она не следует из одного набора одномоментных распределений и не устанавливает причинную интерпретацию без фильтрации, non-anticipation и модели вмешательств.</w:t>
      </w:r>
    </w:p>
    <w:p>
      <w:pPr/>
      <w:r>
        <w:t>Для детерминированной эволюции K_{t,s}(x,·)=δ_{𝒰(t,s)x}. Обратное неверно: общий Markov kernel не обязан быть порождён единственным детерминированным потоком.</w:t>
      </w:r>
    </w:p>
    <w:p>
      <w:pPr>
        <w:pStyle w:val="Heading1"/>
      </w:pPr>
      <w:r>
        <w:t>272. Path-space carrier и цилиндрическая согласованность</w:t>
      </w:r>
    </w:p>
    <w:p>
      <w:pPr/>
      <w:r>
        <w:t>Пусть Ω является пространством путей: C(T,S), D(T,S) либо S^T с цилиндрической σ-алгеброй. Координатный процесс X_t(ω)=ω(t) переводит меру Q на Ω в конечномерные распределения</w:t>
      </w:r>
    </w:p>
    <w:p>
      <w:pPr>
        <w:pStyle w:val="Quote"/>
        <w:jc w:val="center"/>
      </w:pPr>
      <w:r>
        <w:t>μ_{t₁,…,t_m}=Q∘(X_{t₁},…,X_{t_m})^{-1}.  (21.10)</w:t>
      </w:r>
    </w:p>
    <w:p>
      <w:pPr/>
      <w:r>
        <w:t>Теорема 21.3 (Kolmogorov consistency, стандартная форма). [THM/prior art] Для стандартных борелевских пространств согласованное семейство конечномерных распределений определяет меру на цилиндрическом path space. Согласованность включает инвариантность относительно перестановок и маргинализацию при удалении координат.</w:t>
      </w:r>
    </w:p>
    <w:p>
      <w:pPr/>
      <w:r>
        <w:t>Гладкость, непрерывность или càdlàg-свойство траекторий не следуют из одной extension theorem. Для концентрации меры на C(T,S) или D(T,S) требуются отдельные moment/tightness estimates.</w:t>
      </w:r>
    </w:p>
    <w:p>
      <w:pPr/>
      <w:r>
        <w:t>Следствие 21.2. Одномоментные распределения {μ_t} не определяют совместный закон пути. В частности, независимый Bernoulli-процесс и процесс X_t=Z с одной случайной величиной Z имеют одинаковые Bernoulli-маргиналы, но радикально различную временную зависимость.</w:t>
      </w:r>
    </w:p>
    <w:p>
      <w:pPr>
        <w:pStyle w:val="Heading1"/>
      </w:pPr>
      <w:r>
        <w:t>273. Детерминированные path carriers и орбиты</w:t>
      </w:r>
    </w:p>
    <w:p>
      <w:pPr/>
      <w:r>
        <w:t>Для детерминированного evolution family каждой начальной точке x сопоставляется путь</w:t>
      </w:r>
    </w:p>
    <w:p>
      <w:pPr>
        <w:pStyle w:val="Quote"/>
        <w:jc w:val="center"/>
      </w:pPr>
      <w:r>
        <w:t>ω_x(t)=𝒰(t,t₀)x.  (21.11)</w:t>
      </w:r>
    </w:p>
    <w:p>
      <w:pPr/>
      <w:r>
        <w:t>Отображение x↦ω_x определяет орбитный carrier. Его инъективность не гарантируется: различные начальные состояния могут сливаться при необратимой динамике. Поэтому восстановление прошлого требует отдельной обратимости или observability theorem.</w:t>
      </w:r>
    </w:p>
    <w:p>
      <w:pPr/>
      <w:r>
        <w:t>Для нелинейной контрактивной полугруппы слияние траекторий допустимо. Следовательно, текущий Reper-узел может не содержать достаточной информации для единственного ретро-Reper восстановления.</w:t>
      </w:r>
    </w:p>
    <w:p>
      <w:pPr>
        <w:pStyle w:val="Heading1"/>
      </w:pPr>
      <w:r>
        <w:t>274. Причинные Volterra kernels и память</w:t>
      </w:r>
    </w:p>
    <w:p>
      <w:pPr/>
      <w:r>
        <w:t>Markov kernel описывает переход условного распределения. Volterra kernel описывает направленную память. Типовая интегральная эволюция имеет вид</w:t>
      </w:r>
    </w:p>
    <w:p>
      <w:pPr>
        <w:pStyle w:val="Quote"/>
        <w:jc w:val="center"/>
      </w:pPr>
      <w:r>
        <w:t>x(t)=f(t)+∫_{t₀}^{t} B(t,s,x(s)) ds.  (21.12)</w:t>
      </w:r>
    </w:p>
    <w:p>
      <w:pPr/>
      <w:r>
        <w:t>Причинность здесь выражена треугольной областью s≤t. Для линейного ядра B(t,s) условие B(t,s)=0 при s&gt;t является support-level non-anticipation. Резольвентное ядро требует собственного существования и сходимости; оно не совпадает с Markov transition kernel и обычно не удовлетворяет Chapman–Kolmogorov.</w:t>
      </w:r>
    </w:p>
    <w:p>
      <w:pPr/>
      <w:r>
        <w:t>Система с памятью может быть немарковской на S, но марковской на расширенном пространстве историй H_t={x|_{[t₀,t]}}. Это расширение является математической конструкцией, а не доказательством того, что эмпирическая система хранит именно такую память.</w:t>
      </w:r>
    </w:p>
    <w:p>
      <w:pPr>
        <w:pStyle w:val="Heading1"/>
      </w:pPr>
      <w:r>
        <w:t>275. Non-anticipation как строгий причинный firewall</w:t>
      </w:r>
    </w:p>
    <w:p>
      <w:pPr/>
      <w:r>
        <w:t>Определение 21.5. Оператор F на пространстве путей не предвосхищает будущее, если для любых ω,ω′, совпадающих на [t₀,t], выполняется</w:t>
      </w:r>
    </w:p>
    <w:p>
      <w:pPr>
        <w:pStyle w:val="Quote"/>
        <w:jc w:val="center"/>
      </w:pPr>
      <w:r>
        <w:t>(Fω)(t)=(Fω′)(t).  (21.13)</w:t>
      </w:r>
    </w:p>
    <w:p>
      <w:pPr/>
      <w:r>
        <w:t>Для интегрального оператора с достаточно регулярным ядром triangular support s≤t является достаточным условием (21.13). Если ядро имеет ненулевую часть при s&gt;t, оператор использует будущие значения и не является причинным относительно данной временной ориентации.</w:t>
      </w:r>
    </w:p>
    <w:p>
      <w:pPr/>
      <w:r>
        <w:t>Теорема 21.4 (kernel non-anticipation). [THM] Пусть (Fω)(t)=∫_T B(t,s)ω(s)ds и B(t,s)=0 почти всюду при s&gt;t. Тогда F не предвосхищает будущее. Если существует измеримое множество положительной меры с s&gt;t и B(t,s)≠0, то при подходящем выборе двух путей, совпадающих до t, non-anticipation нарушается.</w:t>
      </w:r>
    </w:p>
    <w:p>
      <w:pPr>
        <w:pStyle w:val="Heading1"/>
      </w:pPr>
      <w:r>
        <w:t>276. Фильтрации, адаптированность и наблюдаемость</w:t>
      </w:r>
    </w:p>
    <w:p>
      <w:pPr/>
      <w:r>
        <w:t>В вероятностном path-space вводится фильтрация 𝔽_t=σ(X_s:s≤t) либо её завершение. Процесс Y_t адаптирован, если Y_t измерим относительно 𝔽_t. Адаптированность запрещает явное использование будущих координат, но сама по себе не доказывает причинность: общая скрытая причина может порождать адаптированные корреляции.</w:t>
      </w:r>
    </w:p>
    <w:p>
      <w:pPr/>
      <w:r>
        <w:t>Наблюдаемость означает возможность восстановить существенный класс состояний по истории Obs_s(x_s), s≤t. Идентифицируемость параметров и наблюдаемость состояния являются разными обязательствами и получают отдельные PO.</w:t>
      </w:r>
    </w:p>
    <w:p>
      <w:pPr>
        <w:pStyle w:val="Heading1"/>
      </w:pPr>
      <w:r>
        <w:t>277. Причинный kernel не равен причинному механизму</w:t>
      </w:r>
    </w:p>
    <w:p>
      <w:pPr/>
      <w:r>
        <w:t>Даже корректный K_{t,s} задаёт условный переход в выбранной модели. Для вывода о вмешательстве необходима спецификация action/intervention map, различение наблюдательного и интервенционного законов и проверка transportability. Поэтому</w:t>
      </w:r>
    </w:p>
    <w:p>
      <w:pPr>
        <w:pStyle w:val="Quote"/>
        <w:jc w:val="center"/>
      </w:pPr>
      <w:r>
        <w:t>transition kernel ≠ intervention kernel ≠ physical cause.  (21.14)</w:t>
      </w:r>
    </w:p>
    <w:p>
      <w:pPr/>
      <w:r>
        <w:t>Статистическая зависимость, semigroup composition и temporal precedence являются необходимыми или полезными структурами, но ни одна из них отдельно не является достаточной для причинного утверждения.</w:t>
      </w:r>
    </w:p>
    <w:p>
      <w:pPr>
        <w:pStyle w:val="Heading1"/>
      </w:pPr>
      <w:r>
        <w:t>278. Реперная траектория и временной Reper</w:t>
      </w:r>
    </w:p>
    <w:p>
      <w:pPr/>
      <w:r>
        <w:t>Определение 21.6. Временной Reper в момент t имеет вид</w:t>
      </w:r>
    </w:p>
    <w:p>
      <w:pPr>
        <w:pStyle w:val="Quote"/>
        <w:jc w:val="center"/>
      </w:pPr>
      <w:r>
        <w:t>Rep_t=(R_t,I_t,U_t;D_t),    λ_t=cr(U_t,I_t;R_t,D_t).  (21.15)</w:t>
      </w:r>
    </w:p>
    <w:p>
      <w:pPr/>
      <w:r>
        <w:t>Реперной траекторией называется путь t↦Rep_t, для которого определены transport maps всех компонентов и доказана их совместимость с 𝒰(t,s), D/Dom и obstruction layers. Компонент U_t в (21.15) обозначает поле возможностей и не тождественна evolution operator 𝒰(t,s).</w:t>
      </w:r>
    </w:p>
    <w:p>
      <w:pPr/>
      <w:r>
        <w:t>Точечное выполнение λ_t=-1 для всех t не задаёт траекторию, если отсутствуют переходы между Rep_s и Rep_t. Аналогично, существование 𝒰(t,s) не гарантирует гармоничность, Evidence-D или отсутствие препятствий.</w:t>
      </w:r>
    </w:p>
    <w:p>
      <w:pPr>
        <w:pStyle w:val="Heading1"/>
      </w:pPr>
      <w:r>
        <w:t>279. Path-Reper carrier</w:t>
      </w:r>
    </w:p>
    <w:p>
      <w:pPr/>
      <w:r>
        <w:t>Полный носитель пути задаётся кортежем</w:t>
      </w:r>
    </w:p>
    <w:p>
      <w:pPr>
        <w:pStyle w:val="Quote"/>
        <w:jc w:val="center"/>
      </w:pPr>
      <w:r>
        <w:t>PathRep=(Ω,Q/𝔄,{Rep_t},𝒰,K,B,Obs,𝔽,D,Dom,src,code).  (21.16)</w:t>
      </w:r>
    </w:p>
    <w:p>
      <w:pPr/>
      <w:r>
        <w:t>Здесь Q является вероятностной мерой либо 𝔄 — детерминированным/интервальным множеством допустимых путей; K обозначает Markov/transfer channel; B — memory kernel; 𝔽 — filtration. Нельзя одновременно использовать Q и 𝔄 как взаимозаменяемые объекты: первый кодирует вероятности, второй — допустимость без вероятностной массы.</w:t>
      </w:r>
    </w:p>
    <w:p>
      <w:pPr>
        <w:jc w:val="center"/>
      </w:pPr>
      <w:r>
        <w:drawing>
          <wp:inline xmlns:a="http://schemas.openxmlformats.org/drawingml/2006/main" xmlns:pic="http://schemas.openxmlformats.org/drawingml/2006/picture">
            <wp:extent cx="6126480" cy="3881115"/>
            <wp:docPr id="57" name="Picture 57"/>
            <wp:cNvGraphicFramePr>
              <a:graphicFrameLocks noChangeAspect="1"/>
            </wp:cNvGraphicFramePr>
            <a:graphic>
              <a:graphicData uri="http://schemas.openxmlformats.org/drawingml/2006/picture">
                <pic:pic>
                  <pic:nvPicPr>
                    <pic:cNvPr id="0" name="fig21_3.png"/>
                    <pic:cNvPicPr/>
                  </pic:nvPicPr>
                  <pic:blipFill>
                    <a:blip r:embed="rId94"/>
                    <a:stretch>
                      <a:fillRect/>
                    </a:stretch>
                  </pic:blipFill>
                  <pic:spPr>
                    <a:xfrm>
                      <a:off x="0" y="0"/>
                      <a:ext cx="6126480" cy="3881115"/>
                    </a:xfrm>
                    <a:prstGeom prst="rect"/>
                  </pic:spPr>
                </pic:pic>
              </a:graphicData>
            </a:graphic>
          </wp:inline>
        </w:drawing>
      </w:r>
    </w:p>
    <w:p>
      <w:pPr>
        <w:pStyle w:val="Caption"/>
        <w:jc w:val="center"/>
      </w:pPr>
      <w:r>
        <w:t>Рисунок 21.3. Строгий временной интерфейс предсказательного реперного метода. Собственная схема Тома II.</w:t>
      </w:r>
    </w:p>
    <w:p>
      <w:pPr>
        <w:pStyle w:val="Heading1"/>
      </w:pPr>
      <w:r>
        <w:t>280. Динамическая проективно-гармоническая координата</w:t>
      </w:r>
    </w:p>
    <w:p>
      <w:pPr/>
      <w:r>
        <w:t>Пусть компоненты Rep_t лежат в projective-Reper atlas и не пересекают полюсный локус. Тогда λ_t является наблюдаемой структурной координатой пути. При достаточной регулярности</w:t>
      </w:r>
    </w:p>
    <w:p>
      <w:pPr>
        <w:pStyle w:val="Quote"/>
        <w:jc w:val="center"/>
      </w:pPr>
      <w:r>
        <w:t>dλ_t/dt = Dλ(Rep_t)·Ṙep_t.  (21.17)</w:t>
      </w:r>
    </w:p>
    <w:p>
      <w:pPr/>
      <w:r>
        <w:t>Формула (21.17) требует differentiable lift и не действует на произвольном path space. Для càdlàg-путей используется jump decomposition, для интервальных данных — enclosure Λ_t, для стохастических процессов — отдельный calculus.</w:t>
      </w:r>
    </w:p>
    <w:p>
      <w:pPr/>
      <w:r>
        <w:t>Гармонический hitting time τ_H=inf{t:λ_t=-1} является случайной или детерминированной величиной только после задания path law или trajectory. Из ряда коэффициентов, статического carrier или набора независимых snapshots τ_H не определяется.</w:t>
      </w:r>
    </w:p>
    <w:p>
      <w:pPr>
        <w:pStyle w:val="Heading1"/>
      </w:pPr>
      <w:r>
        <w:t>281. Transfer-оператор реперной базы</w:t>
      </w:r>
    </w:p>
    <w:p>
      <w:pPr/>
      <w:r>
        <w:t>Для RBD-графа с состояниями z=(Rep,Evidence,Dom,obstruction) вводится transition/transfer operator 𝒯_{t,s}. Он считается допустимым, если сохраняет типы узлов, provenance, запрещённые переходы и массу только в вероятностном режиме.</w:t>
      </w:r>
    </w:p>
    <w:p>
      <w:pPr>
        <w:pStyle w:val="Quote"/>
        <w:jc w:val="center"/>
      </w:pPr>
      <w:r>
        <w:t>𝒯_{t,s}: 𝔐(S_s)→𝔐(S_t),    𝒯_{t,r}𝒯_{r,s}=𝒯_{t,s}.  (21.18)</w:t>
      </w:r>
    </w:p>
    <w:p>
      <w:pPr/>
      <w:r>
        <w:t>В детерминированном режиме 𝒯 является pushforward. В вероятностном — Markov operator. В possibilistic режиме он действует на множества или capacity. Эти три режима не смешиваются одним словом “вероятность”.</w:t>
      </w:r>
    </w:p>
    <w:p>
      <w:pPr>
        <w:pStyle w:val="Heading1"/>
      </w:pPr>
      <w:r>
        <w:t>282. Генератор и локальный прогноз</w:t>
      </w:r>
    </w:p>
    <w:p>
      <w:pPr/>
      <w:r>
        <w:t>Если 𝒯_t образует strongly continuous semigroup на пространстве наблюдаемых или мер, генератор L определяется на своей области. Локальная формула</w:t>
      </w:r>
    </w:p>
    <w:p>
      <w:pPr>
        <w:pStyle w:val="Quote"/>
        <w:jc w:val="center"/>
      </w:pPr>
      <w:r>
        <w:t>d/dt 𝒯_t f |_{t=0}=Lf  (21.19)</w:t>
      </w:r>
    </w:p>
    <w:p>
      <w:pPr/>
      <w:r>
        <w:t>имеет смысл только для f∈Dom(L). Численная аппроксимация генератора по конечным данным является inverse problem и требует регуляризации, оценки смещения, identifiability и held-out проверки. Один fitted matrix не считается сертификатом истинного генератора.</w:t>
      </w:r>
    </w:p>
    <w:p>
      <w:pPr>
        <w:pStyle w:val="Heading1"/>
      </w:pPr>
      <w:r>
        <w:t>283. Устойчивость к возмущениям и ошибка траектории</w:t>
      </w:r>
    </w:p>
    <w:p>
      <w:pPr/>
      <w:r>
        <w:t>Для двух evolution families вводится ошибка</w:t>
      </w:r>
    </w:p>
    <w:p>
      <w:pPr>
        <w:pStyle w:val="Quote"/>
        <w:jc w:val="center"/>
      </w:pPr>
      <w:r>
        <w:t>e_𝒰(t,s;x)=d(𝒰(t,s)x,Ũ(t,s)x).  (21.20)</w:t>
      </w:r>
    </w:p>
    <w:p>
      <w:pPr/>
      <w:r>
        <w:t>Контрактивность даёт контроль распространения начальной ошибки, но не модельной ошибки. Для нелинейного уравнения с m-аккретивным генератором устойчивость к perturbation A→Ã требует графовой или resolvent convergence. Для path law применяется расстояние между мерами, выбранное заранее: total variation, Wasserstein, bounded-Lipschitz или иное.</w:t>
      </w:r>
    </w:p>
    <w:p>
      <w:pPr/>
      <w:r>
        <w:t>Выбор метрики влияет на численный вывод и входит в Evidence-D. Нельзя сообщать “малое различие траекторий” без указания carrier, coupling и масштаба.</w:t>
      </w:r>
    </w:p>
    <w:p>
      <w:pPr>
        <w:pStyle w:val="Heading1"/>
      </w:pPr>
      <w:r>
        <w:t>284. Динамический и причинный вектор невязок</w:t>
      </w:r>
    </w:p>
    <w:p>
      <w:pPr/>
      <w:r>
        <w:t>Вместо одной неразличимой ошибки вводится</w:t>
      </w:r>
    </w:p>
    <w:p>
      <w:pPr>
        <w:pStyle w:val="Quote"/>
        <w:jc w:val="center"/>
      </w:pPr>
      <w:r>
        <w:t>R_time=(r_sg,r_gen,r_res,r_tr,r_path,r_CK,r_mem,r_na,r_obs,r_cal,r_ext).  (21.21)</w:t>
      </w:r>
    </w:p>
    <w:p>
      <w:pPr/>
      <w:r>
        <w:t>Компоненты измеряют дефект полугруппы, генератора, резольвенты, transfer duality, path consistency, Chapman–Kolmogorov, memory-resolvent, non-anticipation, наблюдаемости, калибровки и внешней проверки. Скаляр CGI_time=∥W_time R_time∥ допустим только при опубликованном W_time и sensitivity analysis.</w:t>
      </w:r>
    </w:p>
    <w:p>
      <w:pPr>
        <w:pStyle w:val="Heading1"/>
      </w:pPr>
      <w:r>
        <w:t>285. Переходные горизонты главы 21</w:t>
      </w:r>
    </w:p>
    <w:p>
      <w:pPr>
        <w:pStyle w:val="Quote"/>
        <w:jc w:val="center"/>
      </w:pPr>
      <w:r>
        <w:t>Δ_sg=Δ_dom∪Δ_cont∪Δ_comp∪Δ_accr∪Δ_res.  (21.22)</w:t>
      </w:r>
    </w:p>
    <w:p>
      <w:pPr>
        <w:pStyle w:val="Quote"/>
        <w:jc w:val="center"/>
      </w:pPr>
      <w:r>
        <w:t>Δ_tr=Δ_pos∪Δ_mass∪Δ_dual∪Δ_spec∪Δ_inv.  (21.23)</w:t>
      </w:r>
    </w:p>
    <w:p>
      <w:pPr>
        <w:pStyle w:val="Quote"/>
        <w:jc w:val="center"/>
      </w:pPr>
      <w:r>
        <w:t>Δ_path=Δ_cons∪Δ_tight∪Δ_reg∪Δ_branch∪Δ_hist.  (21.24)</w:t>
      </w:r>
    </w:p>
    <w:p>
      <w:pPr>
        <w:pStyle w:val="Quote"/>
        <w:jc w:val="center"/>
      </w:pPr>
      <w:r>
        <w:t>Δ_causal=Δ_order∪Δ_NA∪Δ_filt∪Δ_interv∪Δ_transport.  (21.25)</w:t>
      </w:r>
    </w:p>
    <w:p>
      <w:pPr/>
      <w:r>
        <w:t>Общий временной горизонт определяется как</w:t>
      </w:r>
    </w:p>
    <w:p>
      <w:pPr>
        <w:pStyle w:val="Quote"/>
        <w:jc w:val="center"/>
      </w:pPr>
      <w:r>
        <w:t>Δ_safe^{v0.18}=Δ_safe^{v0.17}∪Δ_sg∪Δ_tr∪Δ_path∪Δ_causal.  (21.26)</w:t>
      </w:r>
    </w:p>
    <w:p>
      <w:pPr/>
      <w:r>
        <w:t>Пересечение горизонта означает необходимость смены математического режима или появление кандидата перехода. Оно не означает наступление физического события.</w:t>
      </w:r>
    </w:p>
    <w:p>
      <w:pPr>
        <w:pStyle w:val="Heading1"/>
      </w:pPr>
      <w:r>
        <w:t>286. Теорема постоянства временного профиля</w:t>
      </w:r>
    </w:p>
    <w:p>
      <w:pPr/>
      <w:r>
        <w:t>Теорема 21.5 (Temporal-profile stability). [COND] Пусть на компактном интервале I задано семейство, для которого:</w:t>
      </w:r>
    </w:p>
    <w:p>
      <w:pPr>
        <w:pStyle w:val="ListNumber"/>
      </w:pPr>
      <w:r>
        <w:t>существует общий complete metric/Banach carrier и фиксирован admissible sector;</w:t>
      </w:r>
    </w:p>
    <w:p>
      <w:pPr>
        <w:pStyle w:val="ListNumber"/>
      </w:pPr>
      <w:r>
        <w:t>генераторы m-аккретивны либо evolution family построено по доказанной неавтономной теореме;</w:t>
      </w:r>
    </w:p>
    <w:p>
      <w:pPr>
        <w:pStyle w:val="ListNumber"/>
      </w:pPr>
      <w:r>
        <w:t>operator domains и transport-domain condition согласованы;</w:t>
      </w:r>
    </w:p>
    <w:p>
      <w:pPr>
        <w:pStyle w:val="ListNumber"/>
      </w:pPr>
      <w:r>
        <w:t>transfer operators положительны и сохраняют требуемую массу в вероятностном режиме;</w:t>
      </w:r>
    </w:p>
    <w:p>
      <w:pPr>
        <w:pStyle w:val="ListNumber"/>
      </w:pPr>
      <w:r>
        <w:t>конечномерные распределения согласованы и path carrier существует;</w:t>
      </w:r>
    </w:p>
    <w:p>
      <w:pPr>
        <w:pStyle w:val="ListNumber"/>
      </w:pPr>
      <w:r>
        <w:t>Markov/Volterra kernels типизированы, а non-anticipation доказан;</w:t>
      </w:r>
    </w:p>
    <w:p>
      <w:pPr>
        <w:pStyle w:val="ListNumber"/>
      </w:pPr>
      <w:r>
        <w:t>Rep_t, λ_t, Evidence-D и Dom определены вдоль всего пути;</w:t>
      </w:r>
    </w:p>
    <w:p>
      <w:pPr>
        <w:pStyle w:val="ListNumber"/>
      </w:pPr>
      <w:r>
        <w:t>наблюдательная модель и калибровка фиксированы до внешнего теста;</w:t>
      </w:r>
    </w:p>
    <w:p>
      <w:pPr>
        <w:pStyle w:val="ListNumber"/>
      </w:pPr>
      <w:r>
        <w:t>путь параметров не пересекает Δ_safe^{v0.18}.</w:t>
      </w:r>
    </w:p>
    <w:p>
      <w:pPr/>
      <w:r>
        <w:t>Тогда сертифицированный профиль</w:t>
      </w:r>
    </w:p>
    <w:p>
      <w:pPr>
        <w:pStyle w:val="Quote"/>
        <w:jc w:val="center"/>
      </w:pPr>
      <w:r>
        <w:t>P_time(t)=(class(𝒰_t),class(𝒯_t),class(Q_t),rank/stratum,λ_t,CGI_time,t)  (21.27)</w:t>
      </w:r>
    </w:p>
    <w:p>
      <w:pPr/>
      <w:r>
        <w:t>локально постоянен с точностью до доказанного transport. Если дополнительно расстояние до целевого transition set имеет положительную нижнюю границу ε&gt;0, то переход данного типа невозможен внутри модели.</w:t>
      </w:r>
    </w:p>
    <w:p>
      <w:pPr>
        <w:pStyle w:val="Quote"/>
        <w:jc w:val="center"/>
      </w:pPr>
      <w:r>
        <w:t>NO-TEMPORAL-TRANSITION-IN-MODEL.  (21.28)</w:t>
      </w:r>
    </w:p>
    <w:p>
      <w:pPr/>
      <w:r>
        <w:t>Если горизонт пересечён или запас исчезает, разрешён только статус CANDIDATE-TEMPORAL-TRANSITION. При незакрытых Dom, path consistency, non-anticipation, calibration или EXT-RUN выдаётся ABSTAIN.</w:t>
      </w:r>
    </w:p>
    <w:p>
      <w:pPr>
        <w:pStyle w:val="Heading1"/>
      </w:pPr>
      <w:r>
        <w:t>287. Отрицательная теорема о статических снимках</w:t>
      </w:r>
    </w:p>
    <w:p>
      <w:pPr/>
      <w:r>
        <w:t>Теорема 21.6 (Snapshot no-go). [THM] Набор состояний {x_t:t∈T} без совместимых переходов не определяет evolution family. Действительно, даже для двух моментов можно выбрать множество различных отображений, переводящих x_s в x_t и различающихся на остальных состояниях. Следовательно, snapshots не идентифицируют генератор, path law или причинный kernel.</w:t>
      </w:r>
    </w:p>
    <w:p>
      <w:pPr/>
      <w:r>
        <w:t>Это распространяется на реперные снимки: последовательность λ_t или CGI_t без transport и path certificate не является динамической моделью.</w:t>
      </w:r>
    </w:p>
    <w:p>
      <w:pPr>
        <w:pStyle w:val="Heading1"/>
      </w:pPr>
      <w:r>
        <w:t>288. Контрпримеры и разделяющие модели</w:t>
      </w:r>
    </w:p>
    <w:p>
      <w:pPr>
        <w:pStyle w:val="ListBullet"/>
      </w:pPr>
      <w:r>
        <w:t>Одинаковые одномоментные Bernoulli-маргиналы имеют независимый процесс и полностью коррелированный процесс X_t=Z; path laws различны.</w:t>
      </w:r>
    </w:p>
    <w:p>
      <w:pPr>
        <w:pStyle w:val="ListBullet"/>
      </w:pPr>
      <w:r>
        <w:t>Два разных потока могут иметь одну и ту же инвариантную меру; invariant measure не восстанавливает генератор.</w:t>
      </w:r>
    </w:p>
    <w:p>
      <w:pPr>
        <w:pStyle w:val="ListBullet"/>
      </w:pPr>
      <w:r>
        <w:t>Нелинейная state map порождает линейный pushforward на мерах; “нелинейный процесс” и “нелинейный transfer operator” не тождественны.</w:t>
      </w:r>
    </w:p>
    <w:p>
      <w:pPr>
        <w:pStyle w:val="ListBullet"/>
      </w:pPr>
      <w:r>
        <w:t>Положительный оператор, не сохраняющий единицу или массу, не является Markov operator.</w:t>
      </w:r>
    </w:p>
    <w:p>
      <w:pPr>
        <w:pStyle w:val="ListBullet"/>
      </w:pPr>
      <w:r>
        <w:t>Chapman–Kolmogorov может выполняться в модели, но наблюдаемая может использовать будущие данные и нарушать non-anticipation.</w:t>
      </w:r>
    </w:p>
    <w:p>
      <w:pPr>
        <w:pStyle w:val="ListBullet"/>
      </w:pPr>
      <w:r>
        <w:t>Volterra memory equation не является Markov на текущем состоянии, но может стать Markov после расширения до истории.</w:t>
      </w:r>
    </w:p>
    <w:p>
      <w:pPr>
        <w:pStyle w:val="ListBullet"/>
      </w:pPr>
      <w:r>
        <w:t>Сильная непрерывность полугруппы не задаёт физическую единицу времени; перепараметризация t↦ct меняет генератор.</w:t>
      </w:r>
    </w:p>
    <w:p>
      <w:pPr>
        <w:pStyle w:val="ListBullet"/>
      </w:pPr>
      <w:r>
        <w:t>Одинаковый набор траекторий допускает разные вероятностные веса; path set не определяет path measure.</w:t>
      </w:r>
    </w:p>
    <w:p>
      <w:pPr>
        <w:pStyle w:val="ListBullet"/>
      </w:pPr>
      <w:r>
        <w:t>Одинаковая path measure допускает разные каузальные интерпретации при наличии скрытых переменных.</w:t>
      </w:r>
    </w:p>
    <w:p>
      <w:pPr>
        <w:pStyle w:val="ListBullet"/>
      </w:pPr>
      <w:r>
        <w:t>λ_t=-1 для каждого t не гарантирует совместимость Rep_t с одним evolution family.</w:t>
      </w:r>
    </w:p>
    <w:p>
      <w:pPr>
        <w:pStyle w:val="ListBullet"/>
      </w:pPr>
      <w:r>
        <w:t>Нулевой semigroup defect на конечной сетке не доказывает тождество для всех t,s.</w:t>
      </w:r>
    </w:p>
    <w:p>
      <w:pPr>
        <w:pStyle w:val="ListBullet"/>
      </w:pPr>
      <w:r>
        <w:t>Низкий CGI_time при выбранном W_time может исчезнуть после разумной смены весов; sensitivity analysis обязателен.</w:t>
      </w:r>
    </w:p>
    <w:p>
      <w:pPr>
        <w:pStyle w:val="Heading1"/>
      </w:pPr>
      <w:r>
        <w:t>289. Вычислительный сертификат EVOL-TRANSFER-PATH v0.18</w:t>
      </w:r>
    </w:p>
    <w:p>
      <w:pPr>
        <w:pStyle w:val="ListBullet"/>
      </w:pPr>
      <w:r>
        <w:t>EVOL-01 time carrier and order; EVOL-02 state-space type; EVOL-03 admissible sector; EVOL-04 operator domains;</w:t>
      </w:r>
    </w:p>
    <w:p>
      <w:pPr>
        <w:pStyle w:val="ListBullet"/>
      </w:pPr>
      <w:r>
        <w:t>EVOL-05 semigroup identity; EVOL-06 strong continuity; EVOL-07 contraction/quasi-contraction; EVOL-08 generator graph;</w:t>
      </w:r>
    </w:p>
    <w:p>
      <w:pPr>
        <w:pStyle w:val="ListBullet"/>
      </w:pPr>
      <w:r>
        <w:t>EVOL-09 accretivity; EVOL-10 range condition; EVOL-11 resolvent solver; EVOL-12 Crandall–Liggett approximation;</w:t>
      </w:r>
    </w:p>
    <w:p>
      <w:pPr>
        <w:pStyle w:val="ListBullet"/>
      </w:pPr>
      <w:r>
        <w:t>EVOL-13 nonautonomous stability; EVOL-14 evolution-family cocycle; EVOL-15 domain transport; EVOL-16 stratum compatibility;</w:t>
      </w:r>
    </w:p>
    <w:p>
      <w:pPr>
        <w:pStyle w:val="ListBullet"/>
      </w:pPr>
      <w:r>
        <w:t>EVOL-17 Koopman action; EVOL-18 Perron–Frobenius pushforward; EVOL-19 duality test; EVOL-20 positivity/mass;</w:t>
      </w:r>
    </w:p>
    <w:p>
      <w:pPr>
        <w:pStyle w:val="ListBullet"/>
      </w:pPr>
      <w:r>
        <w:t>EVOL-21 invariant-measure test; EVOL-22 finite-dimensional distributions; EVOL-23 Kolmogorov consistency; EVOL-24 path regularity/tightness;</w:t>
      </w:r>
    </w:p>
    <w:p>
      <w:pPr>
        <w:pStyle w:val="ListBullet"/>
      </w:pPr>
      <w:r>
        <w:t>EVOL-25 Markov kernel; EVOL-26 Chapman–Kolmogorov; EVOL-27 Volterra kernel; EVOL-28 resolvent/memory test;</w:t>
      </w:r>
    </w:p>
    <w:p>
      <w:pPr>
        <w:pStyle w:val="ListBullet"/>
      </w:pPr>
      <w:r>
        <w:t>EVOL-29 non-anticipation; EVOL-30 filtration/adaptedness; EVOL-31 observability/identifiability; EVOL-32 Reper transport;</w:t>
      </w:r>
    </w:p>
    <w:p>
      <w:pPr>
        <w:pStyle w:val="ListBullet"/>
      </w:pPr>
      <w:r>
        <w:t>EVOL-33 λ/CGI_time path profile; EVOL-34 interval and perturbation bounds; EVOL-35 blocker-safe verdict; EVOL-36 hashes for source/code/data/environment.</w:t>
      </w:r>
    </w:p>
    <w:p>
      <w:pPr>
        <w:pStyle w:val="Heading2"/>
      </w:pPr>
      <w:r>
        <w:t>Псевдокод</w:t>
      </w:r>
    </w:p>
    <w:p>
      <w:pPr>
        <w:pStyle w:val="Quote"/>
        <w:jc w:val="center"/>
      </w:pPr>
      <w:r>
        <w:t>INPUT state carrier S, time T, generator/evolution family, transfer/path/causal data, Rep_t, D, Dom</w:t>
        <w:br/>
        <w:t>CHECK types, domains, semigroup/evolution identities, accretivity/resolvent or Kato hypotheses</w:t>
        <w:br/>
        <w:t>BUILD Koopman/PF dual pair; verify positivity and mass only in probabilistic mode</w:t>
        <w:br/>
        <w:t>CHECK finite-dimensional consistency; construct/validate path carrier</w:t>
        <w:br/>
        <w:t>CHECK Chapman–Kolmogorov or Volterra memory separately; certify non-anticipation</w:t>
        <w:br/>
        <w:t>COMPUTE λ_t, CGI_time, distance to Δ_safe^{v0.18}</w:t>
        <w:br/>
        <w:t>IF any blocker THEN ABSTAIN</w:t>
        <w:br/>
        <w:t>ELSE IF certified positive separation THEN NO-TEMPORAL-TRANSITION-IN-MODEL</w:t>
        <w:br/>
        <w:t>ELSE CANDIDATE-TEMPORAL-TRANSITION</w:t>
        <w:br/>
        <w:t>RECORD hashes and truth_layer_promotion=0.</w:t>
      </w:r>
    </w:p>
    <w:p>
      <w:pPr>
        <w:pStyle w:val="Heading1"/>
      </w:pPr>
      <w:r>
        <w:t>290. Доказательные обязательства T2-PO-315–T2-PO-348</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rPr>
          <w:cantSplit/>
        </w:trPr>
        <w:tc>
          <w:tcPr>
            <w:tcW w:type="dxa" w:w="1512"/>
            <w:tcMar>
              <w:top w:w="90" w:type="dxa"/>
              <w:start w:w="100" w:type="dxa"/>
              <w:bottom w:w="90" w:type="dxa"/>
              <w:end w:w="100" w:type="dxa"/>
            </w:tcMar>
            <w:vAlign w:val="center"/>
          </w:tcPr>
          <w:p>
            <w:r>
              <w:t>T2-PO-315</w:t>
            </w:r>
          </w:p>
        </w:tc>
        <w:tc>
          <w:tcPr>
            <w:tcW w:type="dxa" w:w="5112"/>
            <w:tcMar>
              <w:top w:w="90" w:type="dxa"/>
              <w:start w:w="100" w:type="dxa"/>
              <w:bottom w:w="90" w:type="dxa"/>
              <w:end w:w="100" w:type="dxa"/>
            </w:tcMar>
            <w:vAlign w:val="center"/>
          </w:tcPr>
          <w:p>
            <w:r>
              <w:t>Типизация временного носителя и порядка</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21.1</w:t>
            </w:r>
          </w:p>
        </w:tc>
      </w:tr>
      <w:tr>
        <w:trPr>
          <w:cantSplit/>
        </w:trPr>
        <w:tc>
          <w:tcPr>
            <w:tcW w:type="dxa" w:w="1512"/>
            <w:tcMar>
              <w:top w:w="90" w:type="dxa"/>
              <w:start w:w="100" w:type="dxa"/>
              <w:bottom w:w="90" w:type="dxa"/>
              <w:end w:w="100" w:type="dxa"/>
            </w:tcMar>
            <w:vAlign w:val="center"/>
          </w:tcPr>
          <w:p>
            <w:r>
              <w:t>T2-PO-316</w:t>
            </w:r>
          </w:p>
        </w:tc>
        <w:tc>
          <w:tcPr>
            <w:tcW w:type="dxa" w:w="5112"/>
            <w:tcMar>
              <w:top w:w="90" w:type="dxa"/>
              <w:start w:w="100" w:type="dxa"/>
              <w:bottom w:w="90" w:type="dxa"/>
              <w:end w:w="100" w:type="dxa"/>
            </w:tcMar>
            <w:vAlign w:val="center"/>
          </w:tcPr>
          <w:p>
            <w:r>
              <w:t>Типизация state bundle и evolution domains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(21.2)</w:t>
            </w:r>
          </w:p>
        </w:tc>
      </w:tr>
      <w:tr>
        <w:trPr>
          <w:cantSplit/>
        </w:trPr>
        <w:tc>
          <w:tcPr>
            <w:tcW w:type="dxa" w:w="1512"/>
            <w:tcMar>
              <w:top w:w="90" w:type="dxa"/>
              <w:start w:w="100" w:type="dxa"/>
              <w:bottom w:w="90" w:type="dxa"/>
              <w:end w:w="100" w:type="dxa"/>
            </w:tcMar>
            <w:vAlign w:val="center"/>
          </w:tcPr>
          <w:p>
            <w:r>
              <w:t>T2-PO-317</w:t>
            </w:r>
          </w:p>
        </w:tc>
        <w:tc>
          <w:tcPr>
            <w:tcW w:type="dxa" w:w="5112"/>
            <w:tcMar>
              <w:top w:w="90" w:type="dxa"/>
              <w:start w:w="100" w:type="dxa"/>
              <w:bottom w:w="90" w:type="dxa"/>
              <w:end w:w="100" w:type="dxa"/>
            </w:tcMar>
            <w:vAlign w:val="center"/>
          </w:tcPr>
          <w:p>
            <w:r>
              <w:t>Нелинейная semigroup axioms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(21.3)</w:t>
            </w:r>
          </w:p>
        </w:tc>
      </w:tr>
      <w:tr>
        <w:trPr>
          <w:cantSplit/>
        </w:trPr>
        <w:tc>
          <w:tcPr>
            <w:tcW w:type="dxa" w:w="1512"/>
            <w:tcMar>
              <w:top w:w="90" w:type="dxa"/>
              <w:start w:w="100" w:type="dxa"/>
              <w:bottom w:w="90" w:type="dxa"/>
              <w:end w:w="100" w:type="dxa"/>
            </w:tcMar>
            <w:vAlign w:val="center"/>
          </w:tcPr>
          <w:p>
            <w:r>
              <w:t>T2-PO-318</w:t>
            </w:r>
          </w:p>
        </w:tc>
        <w:tc>
          <w:tcPr>
            <w:tcW w:type="dxa" w:w="5112"/>
            <w:tcMar>
              <w:top w:w="90" w:type="dxa"/>
              <w:start w:w="100" w:type="dxa"/>
              <w:bottom w:w="90" w:type="dxa"/>
              <w:end w:w="100" w:type="dxa"/>
            </w:tcMar>
            <w:vAlign w:val="center"/>
          </w:tcPr>
          <w:p>
            <w:r>
              <w:t>m-аккретивность конкретного NAPG-генератора</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Требуется модель</w:t>
            </w:r>
          </w:p>
        </w:tc>
      </w:tr>
      <w:tr>
        <w:trPr>
          <w:cantSplit/>
        </w:trPr>
        <w:tc>
          <w:tcPr>
            <w:tcW w:type="dxa" w:w="1512"/>
            <w:tcMar>
              <w:top w:w="90" w:type="dxa"/>
              <w:start w:w="100" w:type="dxa"/>
              <w:bottom w:w="90" w:type="dxa"/>
              <w:end w:w="100" w:type="dxa"/>
            </w:tcMar>
            <w:vAlign w:val="center"/>
          </w:tcPr>
          <w:p>
            <w:r>
              <w:t>T2-PO-319</w:t>
            </w:r>
          </w:p>
        </w:tc>
        <w:tc>
          <w:tcPr>
            <w:tcW w:type="dxa" w:w="5112"/>
            <w:tcMar>
              <w:top w:w="90" w:type="dxa"/>
              <w:start w:w="100" w:type="dxa"/>
              <w:bottom w:w="90" w:type="dxa"/>
              <w:end w:w="100" w:type="dxa"/>
            </w:tcMar>
            <w:vAlign w:val="center"/>
          </w:tcPr>
          <w:p>
            <w:r>
              <w:t>Crandall–Liggett generation для выбранного A</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PO-318</w:t>
            </w:r>
          </w:p>
        </w:tc>
      </w:tr>
      <w:tr>
        <w:trPr>
          <w:cantSplit/>
        </w:trPr>
        <w:tc>
          <w:tcPr>
            <w:tcW w:type="dxa" w:w="1512"/>
            <w:tcMar>
              <w:top w:w="90" w:type="dxa"/>
              <w:start w:w="100" w:type="dxa"/>
              <w:bottom w:w="90" w:type="dxa"/>
              <w:end w:w="100" w:type="dxa"/>
            </w:tcMar>
            <w:vAlign w:val="center"/>
          </w:tcPr>
          <w:p>
            <w:r>
              <w:t>T2-PO-320</w:t>
            </w:r>
          </w:p>
        </w:tc>
        <w:tc>
          <w:tcPr>
            <w:tcW w:type="dxa" w:w="5112"/>
            <w:tcMar>
              <w:top w:w="90" w:type="dxa"/>
              <w:start w:w="100" w:type="dxa"/>
              <w:bottom w:w="90" w:type="dxa"/>
              <w:end w:w="100" w:type="dxa"/>
            </w:tcMar>
            <w:vAlign w:val="center"/>
          </w:tcPr>
          <w:p>
            <w:r>
              <w:t>Инвариантность admissible sector под резольвентой</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T2-PO-321</w:t>
            </w:r>
          </w:p>
        </w:tc>
        <w:tc>
          <w:tcPr>
            <w:tcW w:type="dxa" w:w="5112"/>
            <w:tcMar>
              <w:top w:w="90" w:type="dxa"/>
              <w:start w:w="100" w:type="dxa"/>
              <w:bottom w:w="90" w:type="dxa"/>
              <w:end w:w="100" w:type="dxa"/>
            </w:tcMar>
            <w:vAlign w:val="center"/>
          </w:tcPr>
          <w:p>
            <w:r>
              <w:t>Неавтономная Kato stability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Семейство A(t)</w:t>
            </w:r>
          </w:p>
        </w:tc>
      </w:tr>
      <w:tr>
        <w:trPr>
          <w:cantSplit/>
        </w:trPr>
        <w:tc>
          <w:tcPr>
            <w:tcW w:type="dxa" w:w="1512"/>
            <w:tcMar>
              <w:top w:w="90" w:type="dxa"/>
              <w:start w:w="100" w:type="dxa"/>
              <w:bottom w:w="90" w:type="dxa"/>
              <w:end w:w="100" w:type="dxa"/>
            </w:tcMar>
            <w:vAlign w:val="center"/>
          </w:tcPr>
          <w:p>
            <w:r>
              <w:t>T2-PO-322</w:t>
            </w:r>
          </w:p>
        </w:tc>
        <w:tc>
          <w:tcPr>
            <w:tcW w:type="dxa" w:w="5112"/>
            <w:tcMar>
              <w:top w:w="90" w:type="dxa"/>
              <w:start w:w="100" w:type="dxa"/>
              <w:bottom w:w="90" w:type="dxa"/>
              <w:end w:w="100" w:type="dxa"/>
            </w:tcMar>
            <w:vAlign w:val="center"/>
          </w:tcPr>
          <w:p>
            <w:r>
              <w:t>Transport-domain compatibility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Проверка композиций</w:t>
            </w:r>
          </w:p>
        </w:tc>
      </w:tr>
      <w:tr>
        <w:trPr>
          <w:cantSplit/>
        </w:trPr>
        <w:tc>
          <w:tcPr>
            <w:tcW w:type="dxa" w:w="1512"/>
            <w:tcMar>
              <w:top w:w="90" w:type="dxa"/>
              <w:start w:w="100" w:type="dxa"/>
              <w:bottom w:w="90" w:type="dxa"/>
              <w:end w:w="100" w:type="dxa"/>
            </w:tcMar>
            <w:vAlign w:val="center"/>
          </w:tcPr>
          <w:p>
            <w:r>
              <w:t>T2-PO-323</w:t>
            </w:r>
          </w:p>
        </w:tc>
        <w:tc>
          <w:tcPr>
            <w:tcW w:type="dxa" w:w="5112"/>
            <w:tcMar>
              <w:top w:w="90" w:type="dxa"/>
              <w:start w:w="100" w:type="dxa"/>
              <w:bottom w:w="90" w:type="dxa"/>
              <w:end w:w="100" w:type="dxa"/>
            </w:tcMar>
            <w:vAlign w:val="center"/>
          </w:tcPr>
          <w:p>
            <w:r>
              <w:t>Koopman functoriality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(21.6)</w:t>
            </w:r>
          </w:p>
        </w:tc>
      </w:tr>
      <w:tr>
        <w:trPr>
          <w:cantSplit/>
        </w:trPr>
        <w:tc>
          <w:tcPr>
            <w:tcW w:type="dxa" w:w="1512"/>
            <w:tcMar>
              <w:top w:w="90" w:type="dxa"/>
              <w:start w:w="100" w:type="dxa"/>
              <w:bottom w:w="90" w:type="dxa"/>
              <w:end w:w="100" w:type="dxa"/>
            </w:tcMar>
            <w:vAlign w:val="center"/>
          </w:tcPr>
          <w:p>
            <w:r>
              <w:t>T2-PO-324</w:t>
            </w:r>
          </w:p>
        </w:tc>
        <w:tc>
          <w:tcPr>
            <w:tcW w:type="dxa" w:w="5112"/>
            <w:tcMar>
              <w:top w:w="90" w:type="dxa"/>
              <w:start w:w="100" w:type="dxa"/>
              <w:bottom w:w="90" w:type="dxa"/>
              <w:end w:w="100" w:type="dxa"/>
            </w:tcMar>
            <w:vAlign w:val="center"/>
          </w:tcPr>
          <w:p>
            <w:r>
              <w:t>Perron–Frobenius pushforward и duality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(21.7)–(21.8)</w:t>
            </w:r>
          </w:p>
        </w:tc>
      </w:tr>
      <w:tr>
        <w:trPr>
          <w:cantSplit/>
        </w:trPr>
        <w:tc>
          <w:tcPr>
            <w:tcW w:type="dxa" w:w="1512"/>
            <w:tcMar>
              <w:top w:w="90" w:type="dxa"/>
              <w:start w:w="100" w:type="dxa"/>
              <w:bottom w:w="90" w:type="dxa"/>
              <w:end w:w="100" w:type="dxa"/>
            </w:tcMar>
            <w:vAlign w:val="center"/>
          </w:tcPr>
          <w:p>
            <w:r>
              <w:t>T2-PO-325</w:t>
            </w:r>
          </w:p>
        </w:tc>
        <w:tc>
          <w:tcPr>
            <w:tcW w:type="dxa" w:w="5112"/>
            <w:tcMar>
              <w:top w:w="90" w:type="dxa"/>
              <w:start w:w="100" w:type="dxa"/>
              <w:bottom w:w="90" w:type="dxa"/>
              <w:end w:w="100" w:type="dxa"/>
            </w:tcMar>
            <w:vAlign w:val="center"/>
          </w:tcPr>
          <w:p>
            <w:r>
              <w:t>Положительность и сохранение массы</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Зависит от режима</w:t>
            </w:r>
          </w:p>
        </w:tc>
      </w:tr>
      <w:tr>
        <w:trPr>
          <w:cantSplit/>
        </w:trPr>
        <w:tc>
          <w:tcPr>
            <w:tcW w:type="dxa" w:w="1512"/>
            <w:tcMar>
              <w:top w:w="90" w:type="dxa"/>
              <w:start w:w="100" w:type="dxa"/>
              <w:bottom w:w="90" w:type="dxa"/>
              <w:end w:w="100" w:type="dxa"/>
            </w:tcMar>
            <w:vAlign w:val="center"/>
          </w:tcPr>
          <w:p>
            <w:r>
              <w:t>T2-PO-326</w:t>
            </w:r>
          </w:p>
        </w:tc>
        <w:tc>
          <w:tcPr>
            <w:tcW w:type="dxa" w:w="5112"/>
            <w:tcMar>
              <w:top w:w="90" w:type="dxa"/>
              <w:start w:w="100" w:type="dxa"/>
              <w:bottom w:w="90" w:type="dxa"/>
              <w:end w:w="100" w:type="dxa"/>
            </w:tcMar>
            <w:vAlign w:val="center"/>
          </w:tcPr>
          <w:p>
            <w:r>
              <w:t>Lasota–Yorke-type estimate для RBD/NAPG</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Новая оценка</w:t>
            </w:r>
          </w:p>
        </w:tc>
      </w:tr>
      <w:tr>
        <w:trPr>
          <w:cantSplit/>
        </w:trPr>
        <w:tc>
          <w:tcPr>
            <w:tcW w:type="dxa" w:w="1512"/>
            <w:tcMar>
              <w:top w:w="90" w:type="dxa"/>
              <w:start w:w="100" w:type="dxa"/>
              <w:bottom w:w="90" w:type="dxa"/>
              <w:end w:w="100" w:type="dxa"/>
            </w:tcMar>
            <w:vAlign w:val="center"/>
          </w:tcPr>
          <w:p>
            <w:r>
              <w:t>T2-PO-327</w:t>
            </w:r>
          </w:p>
        </w:tc>
        <w:tc>
          <w:tcPr>
            <w:tcW w:type="dxa" w:w="5112"/>
            <w:tcMar>
              <w:top w:w="90" w:type="dxa"/>
              <w:start w:w="100" w:type="dxa"/>
              <w:bottom w:w="90" w:type="dxa"/>
              <w:end w:w="100" w:type="dxa"/>
            </w:tcMar>
            <w:vAlign w:val="center"/>
          </w:tcPr>
          <w:p>
            <w:r>
              <w:t>Markov-kernel measurability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Доменная модель</w:t>
            </w:r>
          </w:p>
        </w:tc>
      </w:tr>
      <w:tr>
        <w:trPr>
          <w:cantSplit/>
        </w:trPr>
        <w:tc>
          <w:tcPr>
            <w:tcW w:type="dxa" w:w="1512"/>
            <w:tcMar>
              <w:top w:w="90" w:type="dxa"/>
              <w:start w:w="100" w:type="dxa"/>
              <w:bottom w:w="90" w:type="dxa"/>
              <w:end w:w="100" w:type="dxa"/>
            </w:tcMar>
            <w:vAlign w:val="center"/>
          </w:tcPr>
          <w:p>
            <w:r>
              <w:t>T2-PO-328</w:t>
            </w:r>
          </w:p>
        </w:tc>
        <w:tc>
          <w:tcPr>
            <w:tcW w:type="dxa" w:w="5112"/>
            <w:tcMar>
              <w:top w:w="90" w:type="dxa"/>
              <w:start w:w="100" w:type="dxa"/>
              <w:bottom w:w="90" w:type="dxa"/>
              <w:end w:w="100" w:type="dxa"/>
            </w:tcMar>
            <w:vAlign w:val="center"/>
          </w:tcPr>
          <w:p>
            <w:r>
              <w:t>Chapman–Kolmogorov consistency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(21.9)</w:t>
            </w:r>
          </w:p>
        </w:tc>
      </w:tr>
      <w:tr>
        <w:trPr>
          <w:cantSplit/>
        </w:trPr>
        <w:tc>
          <w:tcPr>
            <w:tcW w:type="dxa" w:w="1512"/>
            <w:tcMar>
              <w:top w:w="90" w:type="dxa"/>
              <w:start w:w="100" w:type="dxa"/>
              <w:bottom w:w="90" w:type="dxa"/>
              <w:end w:w="100" w:type="dxa"/>
            </w:tcMar>
            <w:vAlign w:val="center"/>
          </w:tcPr>
          <w:p>
            <w:r>
              <w:t>T2-PO-329</w:t>
            </w:r>
          </w:p>
        </w:tc>
        <w:tc>
          <w:tcPr>
            <w:tcW w:type="dxa" w:w="5112"/>
            <w:tcMar>
              <w:top w:w="90" w:type="dxa"/>
              <w:start w:w="100" w:type="dxa"/>
              <w:bottom w:w="90" w:type="dxa"/>
              <w:end w:w="100" w:type="dxa"/>
            </w:tcMar>
            <w:vAlign w:val="center"/>
          </w:tcPr>
          <w:p>
            <w:r>
              <w:t>Kolmogorov path-space extension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Стандартный Borel sector</w:t>
            </w:r>
          </w:p>
        </w:tc>
      </w:tr>
      <w:tr>
        <w:trPr>
          <w:cantSplit/>
        </w:trPr>
        <w:tc>
          <w:tcPr>
            <w:tcW w:type="dxa" w:w="1512"/>
            <w:tcMar>
              <w:top w:w="90" w:type="dxa"/>
              <w:start w:w="100" w:type="dxa"/>
              <w:bottom w:w="90" w:type="dxa"/>
              <w:end w:w="100" w:type="dxa"/>
            </w:tcMar>
            <w:vAlign w:val="center"/>
          </w:tcPr>
          <w:p>
            <w:r>
              <w:t>T2-PO-330</w:t>
            </w:r>
          </w:p>
        </w:tc>
        <w:tc>
          <w:tcPr>
            <w:tcW w:type="dxa" w:w="5112"/>
            <w:tcMar>
              <w:top w:w="90" w:type="dxa"/>
              <w:start w:w="100" w:type="dxa"/>
              <w:bottom w:w="90" w:type="dxa"/>
              <w:end w:w="100" w:type="dxa"/>
            </w:tcMar>
            <w:vAlign w:val="center"/>
          </w:tcPr>
          <w:p>
            <w:r>
              <w:t>Tightness/regularity path law</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Moment estimates</w:t>
            </w:r>
          </w:p>
        </w:tc>
      </w:tr>
      <w:tr>
        <w:trPr>
          <w:cantSplit/>
        </w:trPr>
        <w:tc>
          <w:tcPr>
            <w:tcW w:type="dxa" w:w="1512"/>
            <w:tcMar>
              <w:top w:w="90" w:type="dxa"/>
              <w:start w:w="100" w:type="dxa"/>
              <w:bottom w:w="90" w:type="dxa"/>
              <w:end w:w="100" w:type="dxa"/>
            </w:tcMar>
            <w:vAlign w:val="center"/>
          </w:tcPr>
          <w:p>
            <w:r>
              <w:t>T2-PO-331</w:t>
            </w:r>
          </w:p>
        </w:tc>
        <w:tc>
          <w:tcPr>
            <w:tcW w:type="dxa" w:w="5112"/>
            <w:tcMar>
              <w:top w:w="90" w:type="dxa"/>
              <w:start w:w="100" w:type="dxa"/>
              <w:bottom w:w="90" w:type="dxa"/>
              <w:end w:w="100" w:type="dxa"/>
            </w:tcMar>
            <w:vAlign w:val="center"/>
          </w:tcPr>
          <w:p>
            <w:r>
              <w:t>Детерминированный orbit carrier</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(21.11)</w:t>
            </w:r>
          </w:p>
        </w:tc>
      </w:tr>
      <w:tr>
        <w:trPr>
          <w:cantSplit/>
        </w:trPr>
        <w:tc>
          <w:tcPr>
            <w:tcW w:type="dxa" w:w="1512"/>
            <w:tcMar>
              <w:top w:w="90" w:type="dxa"/>
              <w:start w:w="100" w:type="dxa"/>
              <w:bottom w:w="90" w:type="dxa"/>
              <w:end w:w="100" w:type="dxa"/>
            </w:tcMar>
            <w:vAlign w:val="center"/>
          </w:tcPr>
          <w:p>
            <w:r>
              <w:t>T2-PO-332</w:t>
            </w:r>
          </w:p>
        </w:tc>
        <w:tc>
          <w:tcPr>
            <w:tcW w:type="dxa" w:w="5112"/>
            <w:tcMar>
              <w:top w:w="90" w:type="dxa"/>
              <w:start w:w="100" w:type="dxa"/>
              <w:bottom w:w="90" w:type="dxa"/>
              <w:end w:w="100" w:type="dxa"/>
            </w:tcMar>
            <w:vAlign w:val="center"/>
          </w:tcPr>
          <w:p>
            <w:r>
              <w:t>Volterra-kernel existence/uniqueness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Kernel-specific</w:t>
            </w:r>
          </w:p>
        </w:tc>
      </w:tr>
      <w:tr>
        <w:trPr>
          <w:cantSplit/>
        </w:trPr>
        <w:tc>
          <w:tcPr>
            <w:tcW w:type="dxa" w:w="1512"/>
            <w:tcMar>
              <w:top w:w="90" w:type="dxa"/>
              <w:start w:w="100" w:type="dxa"/>
              <w:bottom w:w="90" w:type="dxa"/>
              <w:end w:w="100" w:type="dxa"/>
            </w:tcMar>
            <w:vAlign w:val="center"/>
          </w:tcPr>
          <w:p>
            <w:r>
              <w:t>T2-PO-333</w:t>
            </w:r>
          </w:p>
        </w:tc>
        <w:tc>
          <w:tcPr>
            <w:tcW w:type="dxa" w:w="5112"/>
            <w:tcMar>
              <w:top w:w="90" w:type="dxa"/>
              <w:start w:w="100" w:type="dxa"/>
              <w:bottom w:w="90" w:type="dxa"/>
              <w:end w:w="100" w:type="dxa"/>
            </w:tcMar>
            <w:vAlign w:val="center"/>
          </w:tcPr>
          <w:p>
            <w:r>
              <w:t>Resolvent memory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Analytic package</w:t>
            </w:r>
          </w:p>
        </w:tc>
      </w:tr>
      <w:tr>
        <w:trPr>
          <w:cantSplit/>
        </w:trPr>
        <w:tc>
          <w:tcPr>
            <w:tcW w:type="dxa" w:w="1512"/>
            <w:tcMar>
              <w:top w:w="90" w:type="dxa"/>
              <w:start w:w="100" w:type="dxa"/>
              <w:bottom w:w="90" w:type="dxa"/>
              <w:end w:w="100" w:type="dxa"/>
            </w:tcMar>
            <w:vAlign w:val="center"/>
          </w:tcPr>
          <w:p>
            <w:r>
              <w:t>T2-PO-334</w:t>
            </w:r>
          </w:p>
        </w:tc>
        <w:tc>
          <w:tcPr>
            <w:tcW w:type="dxa" w:w="5112"/>
            <w:tcMar>
              <w:top w:w="90" w:type="dxa"/>
              <w:start w:w="100" w:type="dxa"/>
              <w:bottom w:w="90" w:type="dxa"/>
              <w:end w:w="100" w:type="dxa"/>
            </w:tcMar>
            <w:vAlign w:val="center"/>
          </w:tcPr>
          <w:p>
            <w:r>
              <w:t>Non-anticipation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21.4</w:t>
            </w:r>
          </w:p>
        </w:tc>
      </w:tr>
      <w:tr>
        <w:trPr>
          <w:cantSplit/>
        </w:trPr>
        <w:tc>
          <w:tcPr>
            <w:tcW w:type="dxa" w:w="1512"/>
            <w:tcMar>
              <w:top w:w="90" w:type="dxa"/>
              <w:start w:w="100" w:type="dxa"/>
              <w:bottom w:w="90" w:type="dxa"/>
              <w:end w:w="100" w:type="dxa"/>
            </w:tcMar>
            <w:vAlign w:val="center"/>
          </w:tcPr>
          <w:p>
            <w:r>
              <w:t>T2-PO-335</w:t>
            </w:r>
          </w:p>
        </w:tc>
        <w:tc>
          <w:tcPr>
            <w:tcW w:type="dxa" w:w="5112"/>
            <w:tcMar>
              <w:top w:w="90" w:type="dxa"/>
              <w:start w:w="100" w:type="dxa"/>
              <w:bottom w:w="90" w:type="dxa"/>
              <w:end w:w="100" w:type="dxa"/>
            </w:tcMar>
            <w:vAlign w:val="center"/>
          </w:tcPr>
          <w:p>
            <w:r>
              <w:t>Filtration and adaptedness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Probability bridge</w:t>
            </w:r>
          </w:p>
        </w:tc>
      </w:tr>
      <w:tr>
        <w:trPr>
          <w:cantSplit/>
        </w:trPr>
        <w:tc>
          <w:tcPr>
            <w:tcW w:type="dxa" w:w="1512"/>
            <w:tcMar>
              <w:top w:w="90" w:type="dxa"/>
              <w:start w:w="100" w:type="dxa"/>
              <w:bottom w:w="90" w:type="dxa"/>
              <w:end w:w="100" w:type="dxa"/>
            </w:tcMar>
            <w:vAlign w:val="center"/>
          </w:tcPr>
          <w:p>
            <w:r>
              <w:t>T2-PO-336</w:t>
            </w:r>
          </w:p>
        </w:tc>
        <w:tc>
          <w:tcPr>
            <w:tcW w:type="dxa" w:w="5112"/>
            <w:tcMar>
              <w:top w:w="90" w:type="dxa"/>
              <w:start w:w="100" w:type="dxa"/>
              <w:bottom w:w="90" w:type="dxa"/>
              <w:end w:w="100" w:type="dxa"/>
            </w:tcMar>
            <w:vAlign w:val="center"/>
          </w:tcPr>
          <w:p>
            <w:r>
              <w:t>Observability of Reper state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Obs-specific</w:t>
            </w:r>
          </w:p>
        </w:tc>
      </w:tr>
      <w:tr>
        <w:trPr>
          <w:cantSplit/>
        </w:trPr>
        <w:tc>
          <w:tcPr>
            <w:tcW w:type="dxa" w:w="1512"/>
            <w:tcMar>
              <w:top w:w="90" w:type="dxa"/>
              <w:start w:w="100" w:type="dxa"/>
              <w:bottom w:w="90" w:type="dxa"/>
              <w:end w:w="100" w:type="dxa"/>
            </w:tcMar>
            <w:vAlign w:val="center"/>
          </w:tcPr>
          <w:p>
            <w:r>
              <w:t>T2-PO-337</w:t>
            </w:r>
          </w:p>
        </w:tc>
        <w:tc>
          <w:tcPr>
            <w:tcW w:type="dxa" w:w="5112"/>
            <w:tcMar>
              <w:top w:w="90" w:type="dxa"/>
              <w:start w:w="100" w:type="dxa"/>
              <w:bottom w:w="90" w:type="dxa"/>
              <w:end w:w="100" w:type="dxa"/>
            </w:tcMar>
            <w:vAlign w:val="center"/>
          </w:tcPr>
          <w:p>
            <w:r>
              <w:t>Parameter identifiability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Data-specific</w:t>
            </w:r>
          </w:p>
        </w:tc>
      </w:tr>
      <w:tr>
        <w:trPr>
          <w:cantSplit/>
        </w:trPr>
        <w:tc>
          <w:tcPr>
            <w:tcW w:type="dxa" w:w="1512"/>
            <w:tcMar>
              <w:top w:w="90" w:type="dxa"/>
              <w:start w:w="100" w:type="dxa"/>
              <w:bottom w:w="90" w:type="dxa"/>
              <w:end w:w="100" w:type="dxa"/>
            </w:tcMar>
            <w:vAlign w:val="center"/>
          </w:tcPr>
          <w:p>
            <w:r>
              <w:t>T2-PO-338</w:t>
            </w:r>
          </w:p>
        </w:tc>
        <w:tc>
          <w:tcPr>
            <w:tcW w:type="dxa" w:w="5112"/>
            <w:tcMar>
              <w:top w:w="90" w:type="dxa"/>
              <w:start w:w="100" w:type="dxa"/>
              <w:bottom w:w="90" w:type="dxa"/>
              <w:end w:w="100" w:type="dxa"/>
            </w:tcMar>
            <w:vAlign w:val="center"/>
          </w:tcPr>
          <w:p>
            <w:r>
              <w:t>Reper trajectory transport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T2-PO-339</w:t>
            </w:r>
          </w:p>
        </w:tc>
        <w:tc>
          <w:tcPr>
            <w:tcW w:type="dxa" w:w="5112"/>
            <w:tcMar>
              <w:top w:w="90" w:type="dxa"/>
              <w:start w:w="100" w:type="dxa"/>
              <w:bottom w:w="90" w:type="dxa"/>
              <w:end w:w="100" w:type="dxa"/>
            </w:tcMar>
            <w:vAlign w:val="center"/>
          </w:tcPr>
          <w:p>
            <w:r>
              <w:t>Global definition of λ_t</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Projective atlas</w:t>
            </w:r>
          </w:p>
        </w:tc>
      </w:tr>
      <w:tr>
        <w:trPr>
          <w:cantSplit/>
        </w:trPr>
        <w:tc>
          <w:tcPr>
            <w:tcW w:type="dxa" w:w="1512"/>
            <w:tcMar>
              <w:top w:w="90" w:type="dxa"/>
              <w:start w:w="100" w:type="dxa"/>
              <w:bottom w:w="90" w:type="dxa"/>
              <w:end w:w="100" w:type="dxa"/>
            </w:tcMar>
            <w:vAlign w:val="center"/>
          </w:tcPr>
          <w:p>
            <w:r>
              <w:t>T2-PO-340</w:t>
            </w:r>
          </w:p>
        </w:tc>
        <w:tc>
          <w:tcPr>
            <w:tcW w:type="dxa" w:w="5112"/>
            <w:tcMar>
              <w:top w:w="90" w:type="dxa"/>
              <w:start w:w="100" w:type="dxa"/>
              <w:bottom w:w="90" w:type="dxa"/>
              <w:end w:w="100" w:type="dxa"/>
            </w:tcMar>
            <w:vAlign w:val="center"/>
          </w:tcPr>
          <w:p>
            <w:r>
              <w:t>Hitting-time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Path law required</w:t>
            </w:r>
          </w:p>
        </w:tc>
      </w:tr>
      <w:tr>
        <w:trPr>
          <w:cantSplit/>
        </w:trPr>
        <w:tc>
          <w:tcPr>
            <w:tcW w:type="dxa" w:w="1512"/>
            <w:tcMar>
              <w:top w:w="90" w:type="dxa"/>
              <w:start w:w="100" w:type="dxa"/>
              <w:bottom w:w="90" w:type="dxa"/>
              <w:end w:w="100" w:type="dxa"/>
            </w:tcMar>
            <w:vAlign w:val="center"/>
          </w:tcPr>
          <w:p>
            <w:r>
              <w:t>T2-PO-341</w:t>
            </w:r>
          </w:p>
        </w:tc>
        <w:tc>
          <w:tcPr>
            <w:tcW w:type="dxa" w:w="5112"/>
            <w:tcMar>
              <w:top w:w="90" w:type="dxa"/>
              <w:start w:w="100" w:type="dxa"/>
              <w:bottom w:w="90" w:type="dxa"/>
              <w:end w:w="100" w:type="dxa"/>
            </w:tcMar>
            <w:vAlign w:val="center"/>
          </w:tcPr>
          <w:p>
            <w:r>
              <w:t>RBD transfer operator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Software/data model</w:t>
            </w:r>
          </w:p>
        </w:tc>
      </w:tr>
      <w:tr>
        <w:trPr>
          <w:cantSplit/>
        </w:trPr>
        <w:tc>
          <w:tcPr>
            <w:tcW w:type="dxa" w:w="1512"/>
            <w:tcMar>
              <w:top w:w="90" w:type="dxa"/>
              <w:start w:w="100" w:type="dxa"/>
              <w:bottom w:w="90" w:type="dxa"/>
              <w:end w:w="100" w:type="dxa"/>
            </w:tcMar>
            <w:vAlign w:val="center"/>
          </w:tcPr>
          <w:p>
            <w:r>
              <w:t>T2-PO-342</w:t>
            </w:r>
          </w:p>
        </w:tc>
        <w:tc>
          <w:tcPr>
            <w:tcW w:type="dxa" w:w="5112"/>
            <w:tcMar>
              <w:top w:w="90" w:type="dxa"/>
              <w:start w:w="100" w:type="dxa"/>
              <w:bottom w:w="90" w:type="dxa"/>
              <w:end w:w="100" w:type="dxa"/>
            </w:tcMar>
            <w:vAlign w:val="center"/>
          </w:tcPr>
          <w:p>
            <w:r>
              <w:t>Generator inference error bound</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rPr>
          <w:cantSplit/>
        </w:trPr>
        <w:tc>
          <w:tcPr>
            <w:tcW w:type="dxa" w:w="1512"/>
            <w:tcMar>
              <w:top w:w="90" w:type="dxa"/>
              <w:start w:w="100" w:type="dxa"/>
              <w:bottom w:w="90" w:type="dxa"/>
              <w:end w:w="100" w:type="dxa"/>
            </w:tcMar>
            <w:vAlign w:val="center"/>
          </w:tcPr>
          <w:p>
            <w:r>
              <w:t>T2-PO-343</w:t>
            </w:r>
          </w:p>
        </w:tc>
        <w:tc>
          <w:tcPr>
            <w:tcW w:type="dxa" w:w="5112"/>
            <w:tcMar>
              <w:top w:w="90" w:type="dxa"/>
              <w:start w:w="100" w:type="dxa"/>
              <w:bottom w:w="90" w:type="dxa"/>
              <w:end w:w="100" w:type="dxa"/>
            </w:tcMar>
            <w:vAlign w:val="center"/>
          </w:tcPr>
          <w:p>
            <w:r>
              <w:t>Perturbation/resolvent convergence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r>
              <w:t>T2-PO-344</w:t>
            </w:r>
          </w:p>
        </w:tc>
        <w:tc>
          <w:tcPr>
            <w:tcW w:type="dxa" w:w="5112"/>
            <w:tcMar>
              <w:top w:w="90" w:type="dxa"/>
              <w:start w:w="100" w:type="dxa"/>
              <w:bottom w:w="90" w:type="dxa"/>
              <w:end w:w="100" w:type="dxa"/>
            </w:tcMar>
            <w:vAlign w:val="center"/>
          </w:tcPr>
          <w:p>
            <w:r>
              <w:t>Dynamic residual weights W_time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Sensitivity analysis</w:t>
            </w:r>
          </w:p>
        </w:tc>
      </w:tr>
      <w:tr>
        <w:trPr>
          <w:cantSplit/>
        </w:trPr>
        <w:tc>
          <w:tcPr>
            <w:tcW w:type="dxa" w:w="1512"/>
            <w:tcMar>
              <w:top w:w="90" w:type="dxa"/>
              <w:start w:w="100" w:type="dxa"/>
              <w:bottom w:w="90" w:type="dxa"/>
              <w:end w:w="100" w:type="dxa"/>
            </w:tcMar>
            <w:vAlign w:val="center"/>
          </w:tcPr>
          <w:p>
            <w:r>
              <w:t>T2-PO-345</w:t>
            </w:r>
          </w:p>
        </w:tc>
        <w:tc>
          <w:tcPr>
            <w:tcW w:type="dxa" w:w="5112"/>
            <w:tcMar>
              <w:top w:w="90" w:type="dxa"/>
              <w:start w:w="100" w:type="dxa"/>
              <w:bottom w:w="90" w:type="dxa"/>
              <w:end w:w="100" w:type="dxa"/>
            </w:tcMar>
            <w:vAlign w:val="center"/>
          </w:tcPr>
          <w:p>
            <w:r>
              <w:t>Temporal-profile stability theorem</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H1–H9</w:t>
            </w:r>
          </w:p>
        </w:tc>
      </w:tr>
      <w:tr>
        <w:trPr>
          <w:cantSplit/>
        </w:trPr>
        <w:tc>
          <w:tcPr>
            <w:tcW w:type="dxa" w:w="1512"/>
            <w:tcMar>
              <w:top w:w="90" w:type="dxa"/>
              <w:start w:w="100" w:type="dxa"/>
              <w:bottom w:w="90" w:type="dxa"/>
              <w:end w:w="100" w:type="dxa"/>
            </w:tcMar>
            <w:vAlign w:val="center"/>
          </w:tcPr>
          <w:p>
            <w:r>
              <w:t>T2-PO-346</w:t>
            </w:r>
          </w:p>
        </w:tc>
        <w:tc>
          <w:tcPr>
            <w:tcW w:type="dxa" w:w="5112"/>
            <w:tcMar>
              <w:top w:w="90" w:type="dxa"/>
              <w:start w:w="100" w:type="dxa"/>
              <w:bottom w:w="90" w:type="dxa"/>
              <w:end w:w="100" w:type="dxa"/>
            </w:tcMar>
            <w:vAlign w:val="center"/>
          </w:tcPr>
          <w:p>
            <w:r>
              <w:t>Snapshot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21.6</w:t>
            </w:r>
          </w:p>
        </w:tc>
      </w:tr>
      <w:tr>
        <w:trPr>
          <w:cantSplit/>
        </w:trPr>
        <w:tc>
          <w:tcPr>
            <w:tcW w:type="dxa" w:w="1512"/>
            <w:tcMar>
              <w:top w:w="90" w:type="dxa"/>
              <w:start w:w="100" w:type="dxa"/>
              <w:bottom w:w="90" w:type="dxa"/>
              <w:end w:w="100" w:type="dxa"/>
            </w:tcMar>
            <w:vAlign w:val="center"/>
          </w:tcPr>
          <w:p>
            <w:r>
              <w:t>T2-PO-347</w:t>
            </w:r>
          </w:p>
        </w:tc>
        <w:tc>
          <w:tcPr>
            <w:tcW w:type="dxa" w:w="5112"/>
            <w:tcMar>
              <w:top w:w="90" w:type="dxa"/>
              <w:start w:w="100" w:type="dxa"/>
              <w:bottom w:w="90" w:type="dxa"/>
              <w:end w:w="100" w:type="dxa"/>
            </w:tcMar>
            <w:vAlign w:val="center"/>
          </w:tcPr>
          <w:p>
            <w:r>
              <w:t>Empirical calibration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Независимый запуск</w:t>
            </w:r>
          </w:p>
        </w:tc>
      </w:tr>
      <w:tr>
        <w:trPr>
          <w:cantSplit/>
        </w:trPr>
        <w:tc>
          <w:tcPr>
            <w:tcW w:type="dxa" w:w="1512"/>
            <w:tcMar>
              <w:top w:w="90" w:type="dxa"/>
              <w:start w:w="100" w:type="dxa"/>
              <w:bottom w:w="90" w:type="dxa"/>
              <w:end w:w="100" w:type="dxa"/>
            </w:tcMar>
            <w:vAlign w:val="center"/>
          </w:tcPr>
          <w:p>
            <w:r>
              <w:t>T2-PO-348</w:t>
            </w:r>
          </w:p>
        </w:tc>
        <w:tc>
          <w:tcPr>
            <w:tcW w:type="dxa" w:w="5112"/>
            <w:tcMar>
              <w:top w:w="90" w:type="dxa"/>
              <w:start w:w="100" w:type="dxa"/>
              <w:bottom w:w="90" w:type="dxa"/>
              <w:end w:w="100" w:type="dxa"/>
            </w:tcMar>
            <w:vAlign w:val="center"/>
          </w:tcPr>
          <w:p>
            <w:r>
              <w:t>Physical/causal interpretation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Отдельный bridge</w:t>
            </w:r>
          </w:p>
        </w:tc>
      </w:tr>
    </w:tbl>
    <w:p>
      <w:pPr>
        <w:pStyle w:val="Heading1"/>
      </w:pPr>
      <w:r>
        <w:t>291. Prior art и граница авторского вклада</w:t>
      </w:r>
    </w:p>
    <w:p>
      <w:pPr/>
      <w:r>
        <w:t>Классический prior art главы включает генерацию нелинейных контрактивных полугрупп m-аккретивными операторами; неавтономные evolution equations; операторное представление динамики по Купману; transfer/Perron–Frobenius operators и инвариантные меры; Kolmogorov extension для path spaces; Markov kernels и Volterra memory equations. Авторский слой Тома II состоит в их типизированном включении в NAPG/KLT-RBD с Evidence-D, Dom, λ/CGI, obstruction horizons, blocker-safe вердиктом и запретом подмены математической эволюции эмпирической причинностью.</w:t>
      </w:r>
    </w:p>
    <w:p>
      <w:pPr/>
      <w:r>
        <w:t>[V0.18-1] Crandall, M. G.; Liggett, T. M. Generation of semi-groups of nonlinear transformations on general Banach spaces. American Journal of Mathematics 93 (1971), 265–298. DOI 10.2307/2373376. [первичный источник]</w:t>
      </w:r>
    </w:p>
    <w:p>
      <w:pPr/>
      <w:r>
        <w:t>[V0.18-2] Kato, T. Integration of the equation of evolution in a Banach space. Journal of the Mathematical Society of Japan 5 (1953), 208–234. DOI 10.2969/jmsj/00520208. [первичный источник]</w:t>
      </w:r>
    </w:p>
    <w:p>
      <w:pPr/>
      <w:r>
        <w:t>[V0.18-3] Koopman, B. O. Hamiltonian systems and transformation in Hilbert space. PNAS 17 (1931), 315–318. DOI 10.1073/pnas.17.5.315. [первичный источник]</w:t>
      </w:r>
    </w:p>
    <w:p>
      <w:pPr/>
      <w:r>
        <w:t>[V0.18-4] Ruelle, D. Generalized zeta-functions for Axiom A basic sets. Bulletin of the AMS 82 (1976), 153–156; IHES prepublication P/75/104. [первичный источник]</w:t>
      </w:r>
    </w:p>
    <w:p>
      <w:pPr/>
      <w:r>
        <w:t>[V0.18-5] Lasota, A.; Yorke, J. A. On the existence of invariant measures for piecewise monotonic transformations. Transactions AMS 186 (1973), 481–488. DOI 10.1090/S0002-9947-1973-0335758-1. [первичный источник]</w:t>
      </w:r>
    </w:p>
    <w:p>
      <w:pPr/>
      <w:r>
        <w:t>[V0.18-6] Kolmogorov, A. N. Grundbegriffe der Wahrscheinlichkeitsrechnung. Springer, 1933; и On the analytic methods of probability theory, 1938. [первичный источник]</w:t>
      </w:r>
    </w:p>
    <w:p>
      <w:pPr/>
      <w:r>
        <w:t>[V0.18-7] Nagy, J.; Nováková, E. Concerning resolvent kernels of Volterra integral equations. Comment. Math. Univ. Carolinae 12 (1971), 737–752. [первичный источник]</w:t>
      </w:r>
    </w:p>
    <w:p>
      <w:pPr/>
      <w:r>
        <w:t>[V0.18-8] Kurpishev, I. B. Том I v197 RU; Том II T2-RP-v0.1–v0.17. [внутренний авторский корпус]</w:t>
      </w:r>
    </w:p>
    <w:p>
      <w:pPr>
        <w:pStyle w:val="Small"/>
      </w:pPr>
      <w:r>
        <w:t>В Том I уже закреплены blocker-safe домены, независимая проверка и главная условная теорема предсказательного метода; настоящая глава не повышает их статус, а добавляет временной carrier и operator/path obligations. fileciteturn5file9</w:t>
      </w:r>
    </w:p>
    <w:p>
      <w:pPr>
        <w:pStyle w:val="Heading1"/>
      </w:pPr>
      <w:r>
        <w:t>292. Контрольная точка и граница вывода</w:t>
      </w:r>
    </w:p>
    <w:p>
      <w:pPr>
        <w:pStyle w:val="Quote"/>
        <w:jc w:val="center"/>
      </w:pPr>
      <w:r>
        <w:t>truth_layer_promotion=0; checkpoint=T2-RP-v0.18; next=T2-RP-v0.19.  (21.29)</w:t>
      </w:r>
    </w:p>
    <w:p>
      <w:pPr/>
      <w:r>
        <w:t>Глава 21 построила строгий временной интерфейс: нелинейная полугруппа или evolution family задаёт переход состояний; Koopman/Perron–Frobenius operators задают перенос наблюдаемых и мер; path-space carrier задаёт совместные траектории; Markov/Volterra kernels кодируют соответственно переход и память; non-anticipation отделяет причинно допустимое использование прошлого от утечки будущего. Ни один слой не заменяет остальные.</w:t>
      </w:r>
    </w:p>
    <w:p>
      <w:pPr>
        <w:pStyle w:val="Small"/>
      </w:pPr>
      <w:r>
        <w:t>Следующая сборка tom2_v0_19 развивает стохастические эволюции, Markov semigroups и их генераторы, martingale problems, stopping times, фильтрации, interventions и строгую границу между прогнозом, управлением и причинным выводом.</w:t>
      </w:r>
    </w:p>
    <w:p>
      <w:pPr>
        <w:pStyle w:val="Small"/>
      </w:pPr>
      <w:r>
        <w:t>checkpoint=T2-RP-v0.18; source=T2-RP-v0.17; truth_layer_promotion=0; next=T2-RP-v0.19.</w:t>
      </w:r>
    </w:p>
    <w:p>
      <w:r>
        <w:br w:type="page"/>
      </w:r>
    </w:p>
    <w:p>
      <w:pPr>
        <w:pStyle w:val="Heading1"/>
      </w:pPr>
      <w:r>
        <w:t>Глава 22. Стохастические эволюции, martingale problems, stopping times, управление и причинный вывод</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Стохастическая эволюция задаётся не одной траекторией, а законом на пространстве путей, фильтрацией и правилом условного перехода. Причинное вмешательство изменяет механизм порождения закона и потому не совпадает с условным наблюдением.</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Markov semigroup кодирует прогноз при фиксированном режиме; controlled law кодирует результат выбранной policy; intervention law требует структурных допущений. Эти три знания имеют разные основания и разные тесты.</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Случайность проявляется как множество возможных ветвей с весами. Остановка выбирает момент по уже раскрытой истории, а не по будущему. Управление меняет ветвление, но не превращает статистическую зависимость в причинный закон без идентификации.</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Ни martingale property, ни optional stopping, ни Girsanov change of measure, ни HJB-уравнение, ни λ=-1 не доказывают физическую причинность или неизбежность события. Все выводы действуют только в заявленном stochastic Dom.</w:t>
            </w:r>
          </w:p>
        </w:tc>
      </w:tr>
    </w:tbl>
    <w:p>
      <w:pPr>
        <w:pStyle w:val="Lead"/>
      </w:pPr>
      <w:r>
        <w:t>Статус главы: theorem/conditional/computational package. Глава добавляет стохастический и интервенционный интерфейс к временному carrier v0.18. Физические мосты, ПН.2 и F-1–F-14 статуса не меняют.</w:t>
      </w:r>
    </w:p>
    <w:p>
      <w:pPr>
        <w:pStyle w:val="Quote"/>
        <w:jc w:val="center"/>
      </w:pPr>
      <w:r>
        <w:t>truth_layer_promotion=0; source=T2-RP-v0.18; checkpoint=T2-RP-v0.19.  (22.1)</w:t>
      </w:r>
    </w:p>
    <w:p>
      <w:pPr>
        <w:pStyle w:val="Heading1"/>
      </w:pPr>
      <w:r>
        <w:t>293. Стохастический базис и usual conditions</w:t>
      </w:r>
    </w:p>
    <w:p>
      <w:pPr/>
      <w:r>
        <w:t>Определение 22.1. Стохастическим базисом называется пятёрка (Ω,𝔽,(𝔽_t)_{t∈T},P,N), где P — вероятностная мера, (𝔽_t) — возрастающая фильтрация, а N фиксирует класс P-нулевых множеств и convention завершения. Для непрерывного времени usual conditions означают полноту и правую непрерывность фильтрации.</w:t>
      </w:r>
    </w:p>
    <w:p>
      <w:pPr/>
      <w:r>
        <w:t>Процесс X_t считается адаптированным, если X_t измерим относительно 𝔽_t. Прогрессивная или предсказуемая измеримость требуется отдельно для стохастического интегрирования и admissible controls. Изменение фильтрации может изменить множество stopping times и допустимых стратегий, даже если конечномерные распределения X не меняются.</w:t>
      </w:r>
    </w:p>
    <w:p>
      <w:pPr>
        <w:pStyle w:val="Heading2"/>
      </w:pPr>
      <w:r>
        <w:t>Реестр стохастических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Ω,𝔽,P</w:t>
            </w:r>
          </w:p>
        </w:tc>
        <w:tc>
          <w:tcPr>
            <w:tcW w:type="dxa" w:w="6480"/>
            <w:tcMar>
              <w:top w:w="90" w:type="dxa"/>
              <w:start w:w="100" w:type="dxa"/>
              <w:bottom w:w="90" w:type="dxa"/>
              <w:end w:w="100" w:type="dxa"/>
            </w:tcMar>
            <w:vAlign w:val="center"/>
          </w:tcPr>
          <w:p>
            <w:r>
              <w:t>Пространство исходов и наблюдательный закон; не совпадает с intervention law.</w:t>
            </w:r>
          </w:p>
        </w:tc>
      </w:tr>
      <w:tr>
        <w:tc>
          <w:tcPr>
            <w:tcW w:type="dxa" w:w="3168"/>
            <w:tcMar>
              <w:top w:w="90" w:type="dxa"/>
              <w:start w:w="100" w:type="dxa"/>
              <w:bottom w:w="90" w:type="dxa"/>
              <w:end w:w="100" w:type="dxa"/>
            </w:tcMar>
            <w:vAlign w:val="center"/>
          </w:tcPr>
          <w:p>
            <w:r>
              <w:t>(𝔽_t)</w:t>
            </w:r>
          </w:p>
        </w:tc>
        <w:tc>
          <w:tcPr>
            <w:tcW w:type="dxa" w:w="6480"/>
            <w:tcMar>
              <w:top w:w="90" w:type="dxa"/>
              <w:start w:w="100" w:type="dxa"/>
              <w:bottom w:w="90" w:type="dxa"/>
              <w:end w:w="100" w:type="dxa"/>
            </w:tcMar>
            <w:vAlign w:val="center"/>
          </w:tcPr>
          <w:p>
            <w:r>
              <w:t>Информационный поток; обязан исключать future leakage.</w:t>
            </w:r>
          </w:p>
        </w:tc>
      </w:tr>
      <w:tr>
        <w:tc>
          <w:tcPr>
            <w:tcW w:type="dxa" w:w="3168"/>
            <w:tcMar>
              <w:top w:w="90" w:type="dxa"/>
              <w:start w:w="100" w:type="dxa"/>
              <w:bottom w:w="90" w:type="dxa"/>
              <w:end w:w="100" w:type="dxa"/>
            </w:tcMar>
            <w:vAlign w:val="center"/>
          </w:tcPr>
          <w:p>
            <w:r>
              <w:t>X_t</w:t>
            </w:r>
          </w:p>
        </w:tc>
        <w:tc>
          <w:tcPr>
            <w:tcW w:type="dxa" w:w="6480"/>
            <w:tcMar>
              <w:top w:w="90" w:type="dxa"/>
              <w:start w:w="100" w:type="dxa"/>
              <w:bottom w:w="90" w:type="dxa"/>
              <w:end w:w="100" w:type="dxa"/>
            </w:tcMar>
            <w:vAlign w:val="center"/>
          </w:tcPr>
          <w:p>
            <w:r>
              <w:t>State process; его закон не определяет единственную структурную модель.</w:t>
            </w:r>
          </w:p>
        </w:tc>
      </w:tr>
      <w:tr>
        <w:tc>
          <w:tcPr>
            <w:tcW w:type="dxa" w:w="3168"/>
            <w:tcMar>
              <w:top w:w="90" w:type="dxa"/>
              <w:start w:w="100" w:type="dxa"/>
              <w:bottom w:w="90" w:type="dxa"/>
              <w:end w:w="100" w:type="dxa"/>
            </w:tcMar>
            <w:vAlign w:val="center"/>
          </w:tcPr>
          <w:p>
            <w:r>
              <w:t>τ</w:t>
            </w:r>
          </w:p>
        </w:tc>
        <w:tc>
          <w:tcPr>
            <w:tcW w:type="dxa" w:w="6480"/>
            <w:tcMar>
              <w:top w:w="90" w:type="dxa"/>
              <w:start w:w="100" w:type="dxa"/>
              <w:bottom w:w="90" w:type="dxa"/>
              <w:end w:w="100" w:type="dxa"/>
            </w:tcMar>
            <w:vAlign w:val="center"/>
          </w:tcPr>
          <w:p>
            <w:r>
              <w:t>Stopping time, если {τ≤t}∈𝔽_t для всех t.</w:t>
            </w:r>
          </w:p>
        </w:tc>
      </w:tr>
      <w:tr>
        <w:tc>
          <w:tcPr>
            <w:tcW w:type="dxa" w:w="3168"/>
            <w:tcMar>
              <w:top w:w="90" w:type="dxa"/>
              <w:start w:w="100" w:type="dxa"/>
              <w:bottom w:w="90" w:type="dxa"/>
              <w:end w:w="100" w:type="dxa"/>
            </w:tcMar>
            <w:vAlign w:val="center"/>
          </w:tcPr>
          <w:p>
            <w:r>
              <w:t>π или a_t</w:t>
            </w:r>
          </w:p>
        </w:tc>
        <w:tc>
          <w:tcPr>
            <w:tcW w:type="dxa" w:w="6480"/>
            <w:tcMar>
              <w:top w:w="90" w:type="dxa"/>
              <w:start w:w="100" w:type="dxa"/>
              <w:bottom w:w="90" w:type="dxa"/>
              <w:end w:w="100" w:type="dxa"/>
            </w:tcMar>
            <w:vAlign w:val="center"/>
          </w:tcPr>
          <w:p>
            <w:r>
              <w:t>Policy/control; допустимость проверяется относительно фильтрации и Dom.</w:t>
            </w:r>
          </w:p>
        </w:tc>
      </w:tr>
      <w:tr>
        <w:tc>
          <w:tcPr>
            <w:tcW w:type="dxa" w:w="3168"/>
            <w:tcMar>
              <w:top w:w="90" w:type="dxa"/>
              <w:start w:w="100" w:type="dxa"/>
              <w:bottom w:w="90" w:type="dxa"/>
              <w:end w:w="100" w:type="dxa"/>
            </w:tcMar>
            <w:vAlign w:val="center"/>
          </w:tcPr>
          <w:p>
            <w:r>
              <w:t>D/Dom</w:t>
            </w:r>
          </w:p>
        </w:tc>
        <w:tc>
          <w:tcPr>
            <w:tcW w:type="dxa" w:w="6480"/>
            <w:tcMar>
              <w:top w:w="90" w:type="dxa"/>
              <w:start w:w="100" w:type="dxa"/>
              <w:bottom w:w="90" w:type="dxa"/>
              <w:end w:w="100" w:type="dxa"/>
            </w:tcMar>
            <w:vAlign w:val="center"/>
          </w:tcPr>
          <w:p>
            <w:r>
              <w:t>Provenance, режим применимости, версия генератора, данные и ограничения внешнего вывода.</w:t>
            </w:r>
          </w:p>
        </w:tc>
      </w:tr>
    </w:tbl>
    <w:p>
      <w:pPr>
        <w:pStyle w:val="Heading1"/>
      </w:pPr>
      <w:r>
        <w:t>294. Markov kernels и Markov semigroup</w:t>
      </w:r>
    </w:p>
    <w:p>
      <w:pPr/>
      <w:r>
        <w:t>Пусть E — стандартное борелевское пространство. Переходная функция p_t(x,B) задаёт Markov semigroup на ограниченных измеримых функциях:</w:t>
      </w:r>
    </w:p>
    <w:p>
      <w:pPr>
        <w:pStyle w:val="Quote"/>
        <w:jc w:val="center"/>
      </w:pPr>
      <w:r>
        <w:t>(P_t f)(x)=∫_E f(y)p_t(x,dy)=E_x[f(X_t)].  (22.2)</w:t>
      </w:r>
    </w:p>
    <w:p>
      <w:pPr/>
      <w:r>
        <w:t>Условия P_0=I, P_{t+s}=P_tP_s, positivity и P_t1=1 описывают консервативный Markov semigroup. Субмарковский режим допускает P_t1≤1 и интерпретирует потерю массы как killing или выход из рассматриваемого carrier.</w:t>
      </w:r>
    </w:p>
    <w:p>
      <w:pPr/>
      <w:r>
        <w:t>Семигрупповое свойство является прогнозным законом внутри фиксированного режима. Оно не определяет intervention distribution и не гарантирует, что наблюдаемый процесс остаётся Markov после укрупнения или скрытия состояния.</w:t>
      </w:r>
    </w:p>
    <w:p>
      <w:pPr>
        <w:pStyle w:val="Heading1"/>
      </w:pPr>
      <w:r>
        <w:t>295. Feller-сектор, генератор и положительный максимум</w:t>
      </w:r>
    </w:p>
    <w:p>
      <w:pPr/>
      <w:r>
        <w:t>На локально компактном E Feller semigroup действует на C_0(E), является сильно непрерывным, положительным и сохраняет или не увеличивает единицу в соответствующем режиме. Генератор задаётся только на своей области:</w:t>
      </w:r>
    </w:p>
    <w:p>
      <w:pPr>
        <w:pStyle w:val="Quote"/>
        <w:jc w:val="center"/>
      </w:pPr>
      <w:r>
        <w:t>Lf = lim_{t↓0}(P_t f-f)/t,    f∈Dom(L).  (22.3)</w:t>
      </w:r>
    </w:p>
    <w:p>
      <w:pPr/>
      <w:r>
        <w:t>Замыкание графа L, core и positive maximum principle являются частью сертификата. Одна дифференциальная формула без Dom(L) не определяет Markov process. Различные граничные реализации одного формального оператора могут порождать отражение, поглощение, sticky boundary или отсутствие консервативности.</w:t>
      </w:r>
    </w:p>
    <w:p>
      <w:pPr>
        <w:pStyle w:val="Heading1"/>
      </w:pPr>
      <w:r>
        <w:t>296. Резольвента и уравнения Колмогорова</w:t>
      </w:r>
    </w:p>
    <w:p>
      <w:pPr/>
      <w:r>
        <w:t>Для α&gt;0 резольвента Markov semigroup определяется как</w:t>
      </w:r>
    </w:p>
    <w:p>
      <w:pPr>
        <w:pStyle w:val="Quote"/>
        <w:jc w:val="center"/>
      </w:pPr>
      <w:r>
        <w:t>R_α f = ∫_0^∞ e^{-αt}P_t f dt.  (22.4)</w:t>
      </w:r>
    </w:p>
    <w:p>
      <w:pPr/>
      <w:r>
        <w:t>На корректной области выполняются (αI-L)R_αf=f и R_α(αI-L)g=g. Backward equation ∂_tP_tf=LP_tf и forward equation для мер или плотностей требуют дополнительных domain/regularity assumptions. Их нельзя записывать как тождество для произвольного f только потому, что символ L уже появился на странице.</w:t>
      </w:r>
    </w:p>
    <w:p>
      <w:pPr>
        <w:jc w:val="center"/>
      </w:pPr>
      <w:r>
        <w:drawing>
          <wp:inline xmlns:a="http://schemas.openxmlformats.org/drawingml/2006/main" xmlns:pic="http://schemas.openxmlformats.org/drawingml/2006/picture">
            <wp:extent cx="6126480" cy="3577688"/>
            <wp:docPr id="58" name="Picture 58"/>
            <wp:cNvGraphicFramePr>
              <a:graphicFrameLocks noChangeAspect="1"/>
            </wp:cNvGraphicFramePr>
            <a:graphic>
              <a:graphicData uri="http://schemas.openxmlformats.org/drawingml/2006/picture">
                <pic:pic>
                  <pic:nvPicPr>
                    <pic:cNvPr id="0" name="fig22_1.png"/>
                    <pic:cNvPicPr/>
                  </pic:nvPicPr>
                  <pic:blipFill>
                    <a:blip r:embed="rId95"/>
                    <a:stretch>
                      <a:fillRect/>
                    </a:stretch>
                  </pic:blipFill>
                  <pic:spPr>
                    <a:xfrm>
                      <a:off x="0" y="0"/>
                      <a:ext cx="6126480" cy="3577688"/>
                    </a:xfrm>
                    <a:prstGeom prst="rect"/>
                  </pic:spPr>
                </pic:pic>
              </a:graphicData>
            </a:graphic>
          </wp:inline>
        </w:drawing>
      </w:r>
    </w:p>
    <w:p>
      <w:pPr>
        <w:pStyle w:val="Caption"/>
        <w:jc w:val="center"/>
      </w:pPr>
      <w:r>
        <w:t>Рисунок 22.1. Треугольник Markov semigroup - generator - martingale problem. Собственная схема Тома II.</w:t>
      </w:r>
    </w:p>
    <w:p>
      <w:pPr>
        <w:pStyle w:val="Heading1"/>
      </w:pPr>
      <w:r>
        <w:t>297. Martingale problem Струка–Варадхана</w:t>
      </w:r>
    </w:p>
    <w:p>
      <w:pPr/>
      <w:r>
        <w:t>Для оператора (L,𝒟) закон Q на path space решает martingale problem с начальным законом ν, если X_0∼ν и для каждого f∈𝒟 процесс</w:t>
      </w:r>
    </w:p>
    <w:p>
      <w:pPr>
        <w:pStyle w:val="Quote"/>
        <w:jc w:val="center"/>
      </w:pPr>
      <w:r>
        <w:t>M_t^f = f(X_t)-f(X_0)-∫_0^t Lf(X_s)ds  (22.5)</w:t>
      </w:r>
    </w:p>
    <w:p>
      <w:pPr/>
      <w:r>
        <w:t>является Q-мартингалом относительно канонической фильтрации. Существование означает, что хотя бы один закон удовлетворяет условиям. Единственность означает uniqueness in law. Well-posedness по всем начальным точкам при стандартных гипотезах порождает Markov family и strong Markov property.</w:t>
      </w:r>
    </w:p>
    <w:p>
      <w:pPr/>
      <w:r>
        <w:t>Домен 𝒟 должен быть достаточно богат, чтобы различать законы. Совпадение (22.5) на малом тестовом классе может не идентифицировать процесс.</w:t>
      </w:r>
    </w:p>
    <w:p>
      <w:pPr>
        <w:pStyle w:val="Heading1"/>
      </w:pPr>
      <w:r>
        <w:t>298. Existence, uniqueness и strong Markov firewall</w:t>
      </w:r>
    </w:p>
    <w:p>
      <w:pPr/>
      <w:r>
        <w:t>Строго различаются: existence of a solution, uniqueness in law, pathwise uniqueness, strong existence и strong Markov property. Эти утверждения связаны теоремами только при собственных гипотезах. В частности, единственность martingale problem относится к закону пути, а не к единственности траектории для фиксированного шума.</w:t>
      </w:r>
    </w:p>
    <w:p>
      <w:pPr/>
      <w:r>
        <w:t>Теорема 22.1 (well-posed martingale problem, стандартный вывод). [THM/prior art] Если martingale problem для (L,𝒟) well posed для каждого x и семейство решений измеримо по x, то канонические законы образуют strong Markov family. NAPG-экспорт требует дополнительно сохранения admissible sector, D/Dom и реперного atlas.</w:t>
      </w:r>
    </w:p>
    <w:p>
      <w:pPr>
        <w:pStyle w:val="Heading1"/>
      </w:pPr>
      <w:r>
        <w:t>299. Диффузионный генератор и стохастическое дифференциальное уравнение</w:t>
      </w:r>
    </w:p>
    <w:p>
      <w:pPr/>
      <w:r>
        <w:t>Для SDE в R^d</w:t>
      </w:r>
    </w:p>
    <w:p>
      <w:pPr>
        <w:pStyle w:val="Quote"/>
        <w:jc w:val="center"/>
      </w:pPr>
      <w:r>
        <w:t>dX_t=b(t,X_t)dt+σ(t,X_t)dW_t  (22.6)</w:t>
      </w:r>
    </w:p>
    <w:p>
      <w:pPr/>
      <w:r>
        <w:t>формальный генератор на гладких f имеет вид</w:t>
      </w:r>
    </w:p>
    <w:p>
      <w:pPr>
        <w:pStyle w:val="Quote"/>
        <w:jc w:val="center"/>
      </w:pPr>
      <w:r>
        <w:t>L_t f(x)=b(t,x)·∇f(x)+(1/2)Tr(a(t,x)∇²f(x)),    a=σσᵀ.  (22.7)</w:t>
      </w:r>
    </w:p>
    <w:p>
      <w:pPr/>
      <w:r>
        <w:t>Формула (22.7) становится генератором только после доказательства существования процесса и спецификации области. Разные квадратные корни σ одной матрицы a дают один diffusion generator, но могут различаться как strong representations на фиксированном Wiener space.</w:t>
      </w:r>
    </w:p>
    <w:p>
      <w:pPr>
        <w:pStyle w:val="Heading1"/>
      </w:pPr>
      <w:r>
        <w:t>300. Weak/strong solutions и иерархия единственности</w:t>
      </w:r>
    </w:p>
    <w:p>
      <w:pPr/>
      <w:r>
        <w:t>Weak solution допускает выбор вероятностного пространства и Brownian motion; strong solution строится как измеримый функционал заданного шума и начального состояния. Pathwise uniqueness сравнивает решения на одном базисе, uniqueness in law — распределения на path space. Yamada–Watanabe-type implications не переносятся на общую NAPG автоматически.</w:t>
      </w:r>
    </w:p>
    <w:p>
      <w:pPr/>
      <w:r>
        <w:t>Предсказательному методу достаточно uniqueness in law для однозначной прогнозной меры, но алгоритму управляемого воспроизведения может потребоваться strong solution. Эти требования не взаимозаменяемы.</w:t>
      </w:r>
    </w:p>
    <w:p>
      <w:pPr>
        <w:pStyle w:val="Heading1"/>
      </w:pPr>
      <w:r>
        <w:t>301. Girsanov transform и запрет подмены вмешательства</w:t>
      </w:r>
    </w:p>
    <w:p>
      <w:pPr/>
      <w:r>
        <w:t>При выполнении условий интегрируемости экспоненциальная плотность</w:t>
      </w:r>
    </w:p>
    <w:p>
      <w:pPr>
        <w:pStyle w:val="Quote"/>
        <w:jc w:val="center"/>
      </w:pPr>
      <w:r>
        <w:t>Z_t=exp(∫_0^t θ_s·dW_s-(1/2)∫_0^t||θ_s||²ds)  (22.8)</w:t>
      </w:r>
    </w:p>
    <w:p>
      <w:pPr/>
      <w:r>
        <w:t>может задавать эквивалентную замену меры dQ=Z_TdP и сдвиг дрейфа Brownian motion. Novikov/Kazamaki-type conditions и uniform integrability проверяются отдельно.</w:t>
      </w:r>
    </w:p>
    <w:p>
      <w:pPr/>
      <w:r>
        <w:t>Теорема 22.2 (measure-change no-intervention). [THM] Абсолютно непрерывная замена меры сама по себе не задаёт causal intervention. Она переоценивает веса тех же траекторий и сохраняет P-нулевые множества при эквивалентности, тогда как intervention может изменить structural equations, support и допустимые пути.</w:t>
      </w:r>
    </w:p>
    <w:p>
      <w:pPr>
        <w:pStyle w:val="Heading1"/>
      </w:pPr>
      <w:r>
        <w:t>302. Stopping times и остановленный процесс</w:t>
      </w:r>
    </w:p>
    <w:p>
      <w:pPr/>
      <w:r>
        <w:t>Stopping time τ удовлетворяет {τ≤t}∈𝔽_t. Остановленный процесс X_{t∧τ} использует только информацию, раскрытую к моменту t. Hitting time замкнутого или открытого множества требует проверяемых регулярностных условий для измеримости и предсказуемости.</w:t>
      </w:r>
    </w:p>
    <w:p>
      <w:pPr>
        <w:pStyle w:val="Quote"/>
        <w:jc w:val="center"/>
      </w:pPr>
      <w:r>
        <w:t>τ_A = inf{t≥t_0 : X_t∈A}.  (22.9)</w:t>
      </w:r>
    </w:p>
    <w:p>
      <w:pPr/>
      <w:r>
        <w:t>В KLT-RBD stopping rule фиксируется до раскрытия будущих данных. Правило, выбирающее “лучший момент” после просмотра всей траектории, не является stopping time и создаёт постселекционный блокер.</w:t>
      </w:r>
    </w:p>
    <w:p>
      <w:pPr>
        <w:pStyle w:val="Heading1"/>
      </w:pPr>
      <w:r>
        <w:t>303. Optional sampling: точная область применимости</w:t>
      </w:r>
    </w:p>
    <w:p>
      <w:pPr/>
      <w:r>
        <w:t>Для мартингала M и bounded stopping times σ≤τ выполняется E[M_τ|𝔽_σ]=M_σ. Для неограниченных времён нужны дополнительные условия: uniform integrability, bounded increments совместно с интегрируемым временем, либо иная теорема, явно указанная в сертификате.</w:t>
      </w:r>
    </w:p>
    <w:p>
      <w:pPr/>
      <w:r>
        <w:t>Остановка не превращает любой мартингал в unbiased estimator автоматически. Optional sampling-safe inference требует отдельного доказательства интегрируемости и класса stopping rules.</w:t>
      </w:r>
    </w:p>
    <w:p>
      <w:pPr>
        <w:pStyle w:val="Heading1"/>
      </w:pPr>
      <w:r>
        <w:t>304. Контрпример к наивной optional stopping</w:t>
      </w:r>
    </w:p>
    <w:p>
      <w:pPr/>
      <w:r>
        <w:t>Пусть S_n — простой симметричный случайный блуждающий мартингал, S_0=0, и τ=inf{n≥0:S_n=1}. Тогда τ&lt;∞ почти наверное и S_τ=1, поэтому E[S_τ]=1≠0=E[S_0]. Противоречия нет: Eτ=∞ и стандартные условия optional stopping не выполнены.</w:t>
      </w:r>
    </w:p>
    <w:p>
      <w:pPr/>
      <w:r>
        <w:t>Следовательно, формула “мартингал + stopping time = сохранение среднего” ложна без domain assumptions. В предсказательном протоколе это отдельный blocker B_OS.</w:t>
      </w:r>
    </w:p>
    <w:p>
      <w:pPr>
        <w:pStyle w:val="Heading1"/>
      </w:pPr>
      <w:r>
        <w:t>305. Hitting probabilities и first-passage prediction</w:t>
      </w:r>
    </w:p>
    <w:p>
      <w:pPr/>
      <w:r>
        <w:t>Прогноз наступления события A на горизонте T задаётся не одной датой, а величиной</w:t>
      </w:r>
    </w:p>
    <w:p>
      <w:pPr>
        <w:pStyle w:val="Quote"/>
        <w:jc w:val="center"/>
      </w:pPr>
      <w:r>
        <w:t>p_A(T,x)=P_x(τ_A≤T).  (22.10)</w:t>
      </w:r>
    </w:p>
    <w:p>
      <w:pPr/>
      <w:r>
        <w:t>Для регулярных диффузий p_A может удовлетворять backward boundary-value problem. Решение PDE требует boundary conditions, uniqueness class и соответствия martingale problem. Численное значение p_A является вероятностью внутри модели, а не доказательством того, что реальный объект подчиняется этой модели.</w:t>
      </w:r>
    </w:p>
    <w:p>
      <w:pPr>
        <w:pStyle w:val="Heading1"/>
      </w:pPr>
      <w:r>
        <w:t>306. Стохастический барьерный сертификат</w:t>
      </w:r>
    </w:p>
    <w:p>
      <w:pPr/>
      <w:r>
        <w:t>Теорема 22.3 (finite-horizon barrier bound). [THM] Пусть V:[0,T]×E→[0,∞) достаточно регулярно, V(t,x)≥1 на target A, и для остановленного процесса до τ_A выполняется</w:t>
      </w:r>
    </w:p>
    <w:p>
      <w:pPr>
        <w:pStyle w:val="Quote"/>
        <w:jc w:val="center"/>
      </w:pPr>
      <w:r>
        <w:t>(∂_t+L_t)V(t,x)≤0    на [0,T]×(E\A).  (22.11)</w:t>
      </w:r>
    </w:p>
    <w:p>
      <w:pPr/>
      <w:r>
        <w:t>Тогда при допустимости Dynkin/optional sampling</w:t>
      </w:r>
    </w:p>
    <w:p>
      <w:pPr>
        <w:pStyle w:val="Quote"/>
        <w:jc w:val="center"/>
      </w:pPr>
      <w:r>
        <w:t>P_{x_0}(τ_A≤T)≤V(0,x_0).  (22.12)</w:t>
      </w:r>
    </w:p>
    <w:p>
      <w:pPr/>
      <w:r>
        <w:t>Доказательство. Процесс V(t∧τ_A,X_{t∧τ_A}) является супермартингалом; на событии {τ_A≤T} его значение не меньше 1. Применение Markov inequality и optional sampling даёт (22.12).</w:t>
      </w:r>
    </w:p>
    <w:p>
      <w:pPr/>
      <w:r>
        <w:t>Если V(0,x_0)=0, получаем точный вывод NO-HIT-IN-MODEL. Если 0&lt;V(0,x_0)=α&lt;1, получаем только риск-границу p_A≤α.</w:t>
      </w:r>
    </w:p>
    <w:p>
      <w:pPr>
        <w:jc w:val="center"/>
      </w:pPr>
      <w:r>
        <w:drawing>
          <wp:inline xmlns:a="http://schemas.openxmlformats.org/drawingml/2006/main" xmlns:pic="http://schemas.openxmlformats.org/drawingml/2006/picture">
            <wp:extent cx="6126480" cy="3701818"/>
            <wp:docPr id="59" name="Picture 59"/>
            <wp:cNvGraphicFramePr>
              <a:graphicFrameLocks noChangeAspect="1"/>
            </wp:cNvGraphicFramePr>
            <a:graphic>
              <a:graphicData uri="http://schemas.openxmlformats.org/drawingml/2006/picture">
                <pic:pic>
                  <pic:nvPicPr>
                    <pic:cNvPr id="0" name="fig22_2.png"/>
                    <pic:cNvPicPr/>
                  </pic:nvPicPr>
                  <pic:blipFill>
                    <a:blip r:embed="rId96"/>
                    <a:stretch>
                      <a:fillRect/>
                    </a:stretch>
                  </pic:blipFill>
                  <pic:spPr>
                    <a:xfrm>
                      <a:off x="0" y="0"/>
                      <a:ext cx="6126480" cy="3701818"/>
                    </a:xfrm>
                    <a:prstGeom prst="rect"/>
                  </pic:spPr>
                </pic:pic>
              </a:graphicData>
            </a:graphic>
          </wp:inline>
        </w:drawing>
      </w:r>
    </w:p>
    <w:p>
      <w:pPr>
        <w:pStyle w:val="Caption"/>
        <w:jc w:val="center"/>
      </w:pPr>
      <w:r>
        <w:t>Рисунок 22.2. Stopping-time и барьерный сертификат вероятности попадания. Собственная схема Тома II.</w:t>
      </w:r>
    </w:p>
    <w:p>
      <w:pPr>
        <w:pStyle w:val="Heading1"/>
      </w:pPr>
      <w:r>
        <w:t>307. Робастный барьер для всех допустимых управлений</w:t>
      </w:r>
    </w:p>
    <w:p>
      <w:pPr/>
      <w:r>
        <w:t>Пусть admissible control a_t∈A(t,X_t) изменяет генератор на L_t^a. Если</w:t>
      </w:r>
    </w:p>
    <w:p>
      <w:pPr>
        <w:pStyle w:val="Quote"/>
        <w:jc w:val="center"/>
      </w:pPr>
      <w:r>
        <w:t>sup_{a∈A(t,x)} (∂_t+L_t^a)V(t,x)≤0,  (22.13)</w:t>
      </w:r>
    </w:p>
    <w:p>
      <w:pPr/>
      <w:r>
        <w:t>то оценка (22.12) действует равномерно по всем допустимым policies. Это сильный отрицательный прогноз: даже активное управление из заявленного класса не может увеличить вероятность попадания выше V(0,x_0).</w:t>
      </w:r>
    </w:p>
    <w:p>
      <w:pPr/>
      <w:r>
        <w:t>Универсальность относится только к перечисленному классу controls. Неучтённое вмешательство, выход из Dom или изменение state space отменяют сертификат.</w:t>
      </w:r>
    </w:p>
    <w:p>
      <w:pPr>
        <w:pStyle w:val="Heading1"/>
      </w:pPr>
      <w:r>
        <w:t>308. Controlled Markov family и policy law</w:t>
      </w:r>
    </w:p>
    <w:p>
      <w:pPr/>
      <w:r>
        <w:t>Управляемая динамика задаётся controlled kernel K^a, controlled generator L^a или relaxed control. Policy π должна быть measurable/non-anticipative и сохранять admissibility. Ей соответствует собственный закон P^π на path space.</w:t>
      </w:r>
    </w:p>
    <w:p>
      <w:pPr>
        <w:pStyle w:val="Quote"/>
        <w:jc w:val="center"/>
      </w:pPr>
      <w:r>
        <w:t>J(π;x)=E_x^π[∫_0^T c(t,X_t,a_t)dt+g(X_T)].  (22.14)</w:t>
      </w:r>
    </w:p>
    <w:p>
      <w:pPr/>
      <w:r>
        <w:t>Оптимизация J меняет режим закона. Поэтому прогноз P и управляемый прогноз P^π являются разными объектами, даже если используют один state carrier.</w:t>
      </w:r>
    </w:p>
    <w:p>
      <w:pPr>
        <w:pStyle w:val="Heading1"/>
      </w:pPr>
      <w:r>
        <w:t>309. Dynamic programming и HJB-слой</w:t>
      </w:r>
    </w:p>
    <w:p>
      <w:pPr/>
      <w:r>
        <w:t>При выполнении dynamic programming principle value function V^*(t,x)=inf_πJ_{t,x}(π) формально удовлетворяет HJB-уравнению</w:t>
      </w:r>
    </w:p>
    <w:p>
      <w:pPr>
        <w:pStyle w:val="Quote"/>
        <w:jc w:val="center"/>
      </w:pPr>
      <w:r>
        <w:t>∂_tV^*+inf_{a∈A}{L^aV^*+c(t,x,a)}=0,    V^*(T,x)=g(x).  (22.15)</w:t>
      </w:r>
    </w:p>
    <w:p>
      <w:pPr/>
      <w:r>
        <w:t>Классическое, viscosity или weak solution различаются. HJB уравнение не доказывает существование оптимальной policy без measurable selection, compactness/coercivity и verification theorem. Управление минимизирует выбранный критерий, но не устанавливает причинный эффект вне структурной модели.</w:t>
      </w:r>
    </w:p>
    <w:p>
      <w:pPr>
        <w:pStyle w:val="Heading1"/>
      </w:pPr>
      <w:r>
        <w:t>310. Прогноз, управление и вмешательство: три разных закона</w:t>
      </w:r>
    </w:p>
    <w:p>
      <w:pPr/>
      <w:r>
        <w:t>Вводятся три carriers:</w:t>
      </w:r>
    </w:p>
    <w:p>
      <w:pPr>
        <w:pStyle w:val="ListBullet"/>
      </w:pPr>
      <w:r>
        <w:t>наблюдательный прогноз: P(Y_{t+h}∈B | 𝔽_t);</w:t>
      </w:r>
    </w:p>
    <w:p>
      <w:pPr>
        <w:pStyle w:val="ListBullet"/>
      </w:pPr>
      <w:r>
        <w:t>управляемый закон: P^π(Y_{t+h}∈B | 𝔽_t) для допустимой policy π;</w:t>
      </w:r>
    </w:p>
    <w:p>
      <w:pPr>
        <w:pStyle w:val="ListBullet"/>
      </w:pPr>
      <w:r>
        <w:t>интервенционный закон: P(Y_{t+h}∈B | do(A=a)), полученный из структурной модели или рандомизированного дизайна.</w:t>
      </w:r>
    </w:p>
    <w:p>
      <w:pPr/>
      <w:r>
        <w:t>Совпадение этих законов является теоремой только при специально доказанных условиях. В общем случае они различны.</w:t>
      </w:r>
    </w:p>
    <w:p>
      <w:pPr>
        <w:jc w:val="center"/>
      </w:pPr>
      <w:r>
        <w:drawing>
          <wp:inline xmlns:a="http://schemas.openxmlformats.org/drawingml/2006/main" xmlns:pic="http://schemas.openxmlformats.org/drawingml/2006/picture">
            <wp:extent cx="6126480" cy="3950267"/>
            <wp:docPr id="60" name="Picture 60"/>
            <wp:cNvGraphicFramePr>
              <a:graphicFrameLocks noChangeAspect="1"/>
            </wp:cNvGraphicFramePr>
            <a:graphic>
              <a:graphicData uri="http://schemas.openxmlformats.org/drawingml/2006/picture">
                <pic:pic>
                  <pic:nvPicPr>
                    <pic:cNvPr id="0" name="fig22_3.png"/>
                    <pic:cNvPicPr/>
                  </pic:nvPicPr>
                  <pic:blipFill>
                    <a:blip r:embed="rId97"/>
                    <a:stretch>
                      <a:fillRect/>
                    </a:stretch>
                  </pic:blipFill>
                  <pic:spPr>
                    <a:xfrm>
                      <a:off x="0" y="0"/>
                      <a:ext cx="6126480" cy="3950267"/>
                    </a:xfrm>
                    <a:prstGeom prst="rect"/>
                  </pic:spPr>
                </pic:pic>
              </a:graphicData>
            </a:graphic>
          </wp:inline>
        </w:drawing>
      </w:r>
    </w:p>
    <w:p>
      <w:pPr>
        <w:pStyle w:val="Caption"/>
        <w:jc w:val="center"/>
      </w:pPr>
      <w:r>
        <w:t>Рисунок 22.3. Forecast-control-intervention firewall. Собственная схема Тома II.</w:t>
      </w:r>
    </w:p>
    <w:p>
      <w:pPr>
        <w:pStyle w:val="Heading1"/>
      </w:pPr>
      <w:r>
        <w:t>311. Наблюдательный Markov law не идентифицирует intervention law</w:t>
      </w:r>
    </w:p>
    <w:p>
      <w:pPr/>
      <w:r>
        <w:t>Теорема 22.4 (observational-interventional non-identifiability). [THM] Существуют две структурные модели с одинаковым наблюдательным распределением (X,Y), но различными законами Y при do(X=x).</w:t>
      </w:r>
    </w:p>
    <w:p>
      <w:pPr/>
      <w:r>
        <w:t>Модель A: U∼Bernoulli(1/2), X=U, Y=X. Тогда наблюдательно Y=X и do(X=x) даёт Y=x. Модель B: U∼Bernoulli(1/2), X=U, Y=U. Наблюдательно снова Y=X, но do(X=x) не меняет Y, поэтому Y∼Bernoulli(1/2).</w:t>
      </w:r>
    </w:p>
    <w:p>
      <w:pPr/>
      <w:r>
        <w:t>Следовательно, даже точное знание observational transition kernel не определяет causal response без structural assumptions или интервенционных данных.</w:t>
      </w:r>
    </w:p>
    <w:p>
      <w:pPr>
        <w:pStyle w:val="Heading1"/>
      </w:pPr>
      <w:r>
        <w:t>312. Structural causal kernel и do-оператор</w:t>
      </w:r>
    </w:p>
    <w:p>
      <w:pPr/>
      <w:r>
        <w:t>Для динамической структурной модели вводятся механизмы</w:t>
      </w:r>
    </w:p>
    <w:p>
      <w:pPr>
        <w:pStyle w:val="Quote"/>
        <w:jc w:val="center"/>
      </w:pPr>
      <w:r>
        <w:t>X_{t+1}=F_t(X_{≤t},A_t,U_{t+1}),    Y_t=G_t(X_{≤t},U_t).  (22.16)</w:t>
      </w:r>
    </w:p>
    <w:p>
      <w:pPr/>
      <w:r>
        <w:t>Операция do(A_t=a) заменяет механизм, задающий A_t, на константу или новую policy, сохраняя остальные механизмы. Это хирургическая замена уравнения, а не условие A_t=a в наблюдательной мере.</w:t>
      </w:r>
    </w:p>
    <w:p>
      <w:pPr/>
      <w:r>
        <w:t>Intervention kernel должен хранить target mechanism, время, уровень вмешательства, compliance, spillover assumptions и новую Dom. Без этого “управление” остаётся символом.</w:t>
      </w:r>
    </w:p>
    <w:p>
      <w:pPr>
        <w:pStyle w:val="Heading1"/>
      </w:pPr>
      <w:r>
        <w:t>313. g-формула и условия идентификации</w:t>
      </w:r>
    </w:p>
    <w:p>
      <w:pPr/>
      <w:r>
        <w:t>Для последовательных вмешательств g-computation formula идентифицирует interventional distribution из наблюдательных условных законов только при consistency, sequential exchangeability, positivity и корректной temporal ordering. Схематически</w:t>
      </w:r>
    </w:p>
    <w:p>
      <w:pPr>
        <w:pStyle w:val="Quote"/>
        <w:jc w:val="center"/>
      </w:pPr>
      <w:r>
        <w:t>p(y^{a-bar}) = ∫ ∏_t p(l_{t+1}|l-bar_t,a-bar_t) p(y|l-bar_T,a-bar_T) d(l-bar).  (22.17)</w:t>
      </w:r>
    </w:p>
    <w:p>
      <w:pPr/>
      <w:r>
        <w:t>Нарушение positivity или наличие неучтённого time-varying confounding блокирует идентификацию. KLT-RBD обязан хранить эти предпосылки в Evidence-D, а не прятать их в названии алгоритма.</w:t>
      </w:r>
    </w:p>
    <w:p>
      <w:pPr>
        <w:pStyle w:val="Heading1"/>
      </w:pPr>
      <w:r>
        <w:t>314. Контрфактический carrier</w:t>
      </w:r>
    </w:p>
    <w:p>
      <w:pPr/>
      <w:r>
        <w:t>Контрфактическая переменная Y^a задаётся только внутри модели, связывающей возможные миры. Consistency означает Y=Y^a на единицах, фактически получивших a, но не создаёт exchangeability. Joint law нескольких несовместимых counterfactuals часто не идентифицируется из наблюдений.</w:t>
      </w:r>
    </w:p>
    <w:p>
      <w:pPr/>
      <w:r>
        <w:t>Предсказание фактического будущего и сравнение counterfactual worlds имеют разные sample spaces и разные проверочные протоколы.</w:t>
      </w:r>
    </w:p>
    <w:p>
      <w:pPr>
        <w:pStyle w:val="Heading1"/>
      </w:pPr>
      <w:r>
        <w:t>315. Стохастический Reper-path</w:t>
      </w:r>
    </w:p>
    <w:p>
      <w:pPr/>
      <w:r>
        <w:t>Случайный реперный carrier задаётся адаптированным процессом</w:t>
      </w:r>
    </w:p>
    <w:p>
      <w:pPr>
        <w:pStyle w:val="Quote"/>
        <w:jc w:val="center"/>
      </w:pPr>
      <w:r>
        <w:t>Rep_t(ω)=(R_t(ω),I_t(ω),U_t(ω);D_t(ω)).  (22.18)</w:t>
      </w:r>
    </w:p>
    <w:p>
      <w:pPr/>
      <w:r>
        <w:t>При проективной допустимости определяется λ_t(ω)=cr(U_t,I_t;R_t,D_t). Процесс λ_t должен быть измерим, его полюса и collision set исключаются из Dom. Evidence-D может быть предсказуемым процессом версий данных и оснований, а не статической подписью.</w:t>
      </w:r>
    </w:p>
    <w:p>
      <w:pPr/>
      <w:r>
        <w:t>Ожидание Eλ_t, вероятность {|λ_t+1|≤ε} и почти-верное равенство λ_t=-1 являются различными утверждениями.</w:t>
      </w:r>
    </w:p>
    <w:p>
      <w:pPr>
        <w:pStyle w:val="Heading1"/>
      </w:pPr>
      <w:r>
        <w:t>316. Ито-формула для гармонического дефекта</w:t>
      </w:r>
    </w:p>
    <w:p>
      <w:pPr/>
      <w:r>
        <w:t>Пусть φ(x)=λ(x)+1 на допустимой карте, а X_t решает (22.6). Тогда</w:t>
      </w:r>
    </w:p>
    <w:p>
      <w:pPr>
        <w:pStyle w:val="Quote"/>
        <w:jc w:val="center"/>
      </w:pPr>
      <w:r>
        <w:t>dφ(X_t)=Lφ(X_t)dt+∇φ(X_t)σ(X_t)dW_t.  (22.19)</w:t>
      </w:r>
    </w:p>
    <w:p>
      <w:pPr/>
      <w:r>
        <w:t>Для квадратичного дефекта q=φ² генератор даёт</w:t>
      </w:r>
    </w:p>
    <w:p>
      <w:pPr>
        <w:pStyle w:val="Quote"/>
        <w:jc w:val="center"/>
      </w:pPr>
      <w:r>
        <w:t>Lq=2φLφ+||σᵀ∇φ||².  (22.20)</w:t>
      </w:r>
    </w:p>
    <w:p>
      <w:pPr/>
      <w:r>
        <w:t>На точном гармоническом локусе φ=0 остаётся Lq=||σᵀ∇φ||². Следовательно, поперечный шум немедленно создаёт положительный quadratic drift дефекта. Точная гармония не является стохастически инвариантной только из-за равенства λ=-1 в начальный момент.</w:t>
      </w:r>
    </w:p>
    <w:p>
      <w:pPr>
        <w:pStyle w:val="Heading1"/>
      </w:pPr>
      <w:r>
        <w:t>317. Условия стохастической инвариантности гармонического локуса</w:t>
      </w:r>
    </w:p>
    <w:p>
      <w:pPr/>
      <w:r>
        <w:t>Пусть M={x:φ(x)=0}. Достаточный локальный пакет инвариантности для диффузии включает</w:t>
      </w:r>
    </w:p>
    <w:p>
      <w:pPr>
        <w:pStyle w:val="Quote"/>
        <w:jc w:val="center"/>
      </w:pPr>
      <w:r>
        <w:t>σ_j(x)·∇φ(x)=0  для всех j,    Lφ(x)=0,    x∈M.  (22.21)</w:t>
      </w:r>
    </w:p>
    <w:p>
      <w:pPr/>
      <w:r>
        <w:t>Первое условие запрещает поперечный шум, второе запрещает дрейф с M. На многообразии большей коразмерности условия формулируются для набора определяющих функций и tangent cone. Они являются модельными sufficient conditions, а не универсальной теоремой для сингулярной NAPG.</w:t>
      </w:r>
    </w:p>
    <w:p>
      <w:pPr/>
      <w:r>
        <w:t>Следствие 22.1. Если ||σᵀ∇φ||≥c&gt;0 на участке M, то q имеет положительный локальный drift; exact harmonic state не сохраняется в указанной diffusion model.</w:t>
      </w:r>
    </w:p>
    <w:p>
      <w:pPr>
        <w:pStyle w:val="Heading1"/>
      </w:pPr>
      <w:r>
        <w:t>318. Martingale residuals как вычислительные тесты генератора</w:t>
      </w:r>
    </w:p>
    <w:p>
      <w:pPr/>
      <w:r>
        <w:t>Для набора test functions f_k определяется residual</w:t>
      </w:r>
    </w:p>
    <w:p>
      <w:pPr>
        <w:pStyle w:val="Quote"/>
        <w:jc w:val="center"/>
      </w:pPr>
      <w:r>
        <w:t>R_{s,t}^{f_k}=f_k(X_t)-f_k(X_s)-∫_s^t Lf_k(X_r)dr.  (22.22)</w:t>
      </w:r>
    </w:p>
    <w:p>
      <w:pPr/>
      <w:r>
        <w:t>Martingale restriction требует E[R_{s,t}^{f_k}G_s]=0 для ограниченных 𝔽_s-измеримых instruments G_s. На данных проверяется конечный набор моментов с поправками на множественный выбор, зависимость и оценку параметров. Нулевая выборочная средняя не доказывает well-posedness полного martingale problem.</w:t>
      </w:r>
    </w:p>
    <w:p>
      <w:pPr>
        <w:pStyle w:val="Heading1"/>
      </w:pPr>
      <w:r>
        <w:t>319. Sequential evidence и остановочно-безопасный слой</w:t>
      </w:r>
    </w:p>
    <w:p>
      <w:pPr/>
      <w:r>
        <w:t>Для последовательной проверки допускаются nonnegative supermartingales или e-processes E_t с E_0≤1. Неравенство Вилля даёт</w:t>
      </w:r>
    </w:p>
    <w:p>
      <w:pPr>
        <w:pStyle w:val="Quote"/>
        <w:jc w:val="center"/>
      </w:pPr>
      <w:r>
        <w:t>P(sup_t E_t ≥ 1/α)≤α.  (22.23)</w:t>
      </w:r>
    </w:p>
    <w:p>
      <w:pPr/>
      <w:r>
        <w:t>Это контролирует type-I error при optional stopping в заявленном null model. Оно не идентифицирует causal effect и не делает выбранный generator истинным. Данный слой наследует дисциплину Тома I и добавляется к martingale residuals, а не заменяет их.</w:t>
      </w:r>
    </w:p>
    <w:p>
      <w:pPr>
        <w:pStyle w:val="Heading1"/>
      </w:pPr>
      <w:r>
        <w:t>320. Стохастический переходный горизонт</w:t>
      </w:r>
    </w:p>
    <w:p>
      <w:pPr/>
      <w:r>
        <w:t>Определены компоненты</w:t>
      </w:r>
    </w:p>
    <w:p>
      <w:pPr>
        <w:pStyle w:val="Quote"/>
        <w:jc w:val="center"/>
      </w:pPr>
      <w:r>
        <w:t>Δ_stoch = Δ_MP ∪ Δ_Feller ∪ Δ_gen ∪ Δ_stop ∪ Δ_hit ∪ Δ_bar ∪ Δ_ctrl ∪ Δ_HJB ∪ Δ_do ∪ Δ_id ∪ Δ_λ ∪ Δ_cal ∪ Δ_ext.  (22.24)</w:t>
      </w:r>
    </w:p>
    <w:p>
      <w:pPr>
        <w:pStyle w:val="ListBullet"/>
      </w:pPr>
      <w:r>
        <w:t>Δ_MP: потеря existence/uniqueness martingale problem;</w:t>
      </w:r>
    </w:p>
    <w:p>
      <w:pPr>
        <w:pStyle w:val="ListBullet"/>
      </w:pPr>
      <w:r>
        <w:t>Δ_Feller и Δ_gen: смена semigroup class, core или generator domain;</w:t>
      </w:r>
    </w:p>
    <w:p>
      <w:pPr>
        <w:pStyle w:val="ListBullet"/>
      </w:pPr>
      <w:r>
        <w:t>Δ_stop: нарушение stopping-time/optional-sampling assumptions;</w:t>
      </w:r>
    </w:p>
    <w:p>
      <w:pPr>
        <w:pStyle w:val="ListBullet"/>
      </w:pPr>
      <w:r>
        <w:t>Δ_hit и Δ_bar: изменение target set, boundary regularity или barrier validity;</w:t>
      </w:r>
    </w:p>
    <w:p>
      <w:pPr>
        <w:pStyle w:val="ListBullet"/>
      </w:pPr>
      <w:r>
        <w:t>Δ_ctrl и Δ_HJB: смена admissible policies, cost или verification regime;</w:t>
      </w:r>
    </w:p>
    <w:p>
      <w:pPr>
        <w:pStyle w:val="ListBullet"/>
      </w:pPr>
      <w:r>
        <w:t>Δ_do и Δ_id: смена structural intervention или идентифицирующих гипотез;</w:t>
      </w:r>
    </w:p>
    <w:p>
      <w:pPr>
        <w:pStyle w:val="ListBullet"/>
      </w:pPr>
      <w:r>
        <w:t>Δ_λ: полюса, collision set и потеря stochastic invariance harmonic locus;</w:t>
      </w:r>
    </w:p>
    <w:p>
      <w:pPr>
        <w:pStyle w:val="ListBullet"/>
      </w:pPr>
      <w:r>
        <w:t>Δ_cal и Δ_ext: потеря калибровки или независимой проверки.</w:t>
      </w:r>
    </w:p>
    <w:p>
      <w:pPr>
        <w:pStyle w:val="Quote"/>
        <w:jc w:val="center"/>
      </w:pPr>
      <w:r>
        <w:t>Δ_safe^{v0.19}=Δ_safe^{v0.18}∪Δ_stoch.  (22.25)</w:t>
      </w:r>
    </w:p>
    <w:p>
      <w:pPr>
        <w:pStyle w:val="Heading1"/>
      </w:pPr>
      <w:r>
        <w:t>321. Главная условная теорема v0.19</w:t>
      </w:r>
    </w:p>
    <w:p>
      <w:pPr/>
      <w:r>
        <w:t>Теорема 22.5 (stochastic prediction-control-causality safe theorem). [COND] Пусть на интервале параметров задана well-posed Markov family с общим сертифицированным core, Feller/regularity package, admissible stopping rules, валидный barrier V, controlled family {L^a}, structural intervention model и доказанные идентифицирующие условия. Пусть D/Dom, λ-atlas, calibration и EXT-RUN не меняются и путь параметров не пересекает Δ_safe^{v0.19}. Тогда:</w:t>
      </w:r>
    </w:p>
    <w:p>
      <w:pPr>
        <w:pStyle w:val="ListNumber"/>
      </w:pPr>
      <w:r>
        <w:t>наблюдательный semigroup/martingale profile локально устойчив в заявленном классе;</w:t>
      </w:r>
    </w:p>
    <w:p>
      <w:pPr>
        <w:pStyle w:val="ListNumber"/>
      </w:pPr>
      <w:r>
        <w:t>оценка P(τ_A≤T)≤V(0,x) сохраняется с сертифицированным запасом;</w:t>
      </w:r>
    </w:p>
    <w:p>
      <w:pPr>
        <w:pStyle w:val="ListNumber"/>
      </w:pPr>
      <w:r>
        <w:t>при uniform condition (22.13) та же граница действует для всех admissible policies;</w:t>
      </w:r>
    </w:p>
    <w:p>
      <w:pPr>
        <w:pStyle w:val="ListNumber"/>
      </w:pPr>
      <w:r>
        <w:t>interventional conclusion разрешён только внутри отдельно идентифицированной structural model;</w:t>
      </w:r>
    </w:p>
    <w:p>
      <w:pPr>
        <w:pStyle w:val="ListNumber"/>
      </w:pPr>
      <w:r>
        <w:t>если V(0,x)=0, событие попадания невозможно в модели на данном горизонте; если V(0,x)=α&gt;0, допустим только вывод RISK-BOUND≤α.</w:t>
      </w:r>
    </w:p>
    <w:p>
      <w:pPr>
        <w:pStyle w:val="Quote"/>
        <w:jc w:val="center"/>
      </w:pPr>
      <w:r>
        <w:t>V(0,x)=0  =&gt;  NO-HIT-IN-MODEL;    0&lt;V(0,x)≤α  =&gt;  RISK-BOUND≤α.  (22.26)</w:t>
      </w:r>
    </w:p>
    <w:p>
      <w:pPr/>
      <w:r>
        <w:t>Теорема не утверждает истинность модели, причинную полноту, физическую неизбежность или переносимость на другой домен.</w:t>
      </w:r>
    </w:p>
    <w:p>
      <w:pPr>
        <w:pStyle w:val="Heading1"/>
      </w:pPr>
      <w:r>
        <w:t>322. Blocker-safe verdict</w:t>
      </w:r>
    </w:p>
    <w:p>
      <w:pPr/>
      <w:r>
        <w:t>Набор блокеров имеет вид</w:t>
      </w:r>
    </w:p>
    <w:p>
      <w:pPr>
        <w:pStyle w:val="Quote"/>
        <w:jc w:val="center"/>
      </w:pPr>
      <w:r>
        <w:t>Block_stoch=B_basis∪B_MP∪B_gen∪B_stop∪B_bar∪B_ctrl∪B_do∪B_id∪B_λ∪B_cal∪B_ext.  (22.27)</w:t>
      </w:r>
    </w:p>
    <w:p>
      <w:pPr>
        <w:pStyle w:val="ListBullet"/>
      </w:pPr>
      <w:r>
        <w:t>NO-HIT-IN-MODEL — только при точном нулевом сертифицированном барьерном запасе;</w:t>
      </w:r>
    </w:p>
    <w:p>
      <w:pPr>
        <w:pStyle w:val="ListBullet"/>
      </w:pPr>
      <w:r>
        <w:t>RISK-BOUND≤α — при доказанной верхней границе 0&lt;α&lt;1;</w:t>
      </w:r>
    </w:p>
    <w:p>
      <w:pPr>
        <w:pStyle w:val="ListBullet"/>
      </w:pPr>
      <w:r>
        <w:t>CANDIDATE-STOCHASTIC-TRANSITION — когда граница не исключает попадание и блокеры закрыты;</w:t>
      </w:r>
    </w:p>
    <w:p>
      <w:pPr>
        <w:pStyle w:val="ListBullet"/>
      </w:pPr>
      <w:r>
        <w:t>ABSTAIN — при незакрытом martingale, stopping, intervention, identification, D/Dom или external-validation блокере.</w:t>
      </w:r>
    </w:p>
    <w:p>
      <w:pPr>
        <w:pStyle w:val="Heading1"/>
      </w:pPr>
      <w:r>
        <w:t>323. Разделяющие контрмодели</w:t>
      </w:r>
    </w:p>
    <w:p>
      <w:pPr>
        <w:pStyle w:val="ListBullet"/>
      </w:pPr>
      <w:r>
        <w:t>Один формальный генератор с разными boundary domains порождает разные процессы.</w:t>
      </w:r>
    </w:p>
    <w:p>
      <w:pPr>
        <w:pStyle w:val="ListBullet"/>
      </w:pPr>
      <w:r>
        <w:t>Одинаковые одномоментные маргиналы не определяют martingale problem и path law.</w:t>
      </w:r>
    </w:p>
    <w:p>
      <w:pPr>
        <w:pStyle w:val="ListBullet"/>
      </w:pPr>
      <w:r>
        <w:t>Эквивалентный Girsanov measure change не равен хирургическому do-вмешательству.</w:t>
      </w:r>
    </w:p>
    <w:p>
      <w:pPr>
        <w:pStyle w:val="ListBullet"/>
      </w:pPr>
      <w:r>
        <w:t>Unbounded stopping time без uniform integrability разрушает optional sampling identity.</w:t>
      </w:r>
    </w:p>
    <w:p>
      <w:pPr>
        <w:pStyle w:val="ListBullet"/>
      </w:pPr>
      <w:r>
        <w:t>Малый hitting probability не равен невозможности события.</w:t>
      </w:r>
    </w:p>
    <w:p>
      <w:pPr>
        <w:pStyle w:val="ListBullet"/>
      </w:pPr>
      <w:r>
        <w:t>Оптимальная policy по ошибочному cost functional может ухудшать внешний критерий.</w:t>
      </w:r>
    </w:p>
    <w:p>
      <w:pPr>
        <w:pStyle w:val="ListBullet"/>
      </w:pPr>
      <w:r>
        <w:t>Одинаковый observational law допускает разные intervention laws.</w:t>
      </w:r>
    </w:p>
    <w:p>
      <w:pPr>
        <w:pStyle w:val="ListBullet"/>
      </w:pPr>
      <w:r>
        <w:t>λ_0=-1 не сохраняется при поперечном diffusion noise.</w:t>
      </w:r>
    </w:p>
    <w:p>
      <w:pPr>
        <w:pStyle w:val="ListBullet"/>
      </w:pPr>
      <w:r>
        <w:t>Нулевые конечные martingale residuals на выбранной сетке не доказывают полный generator.</w:t>
      </w:r>
    </w:p>
    <w:p>
      <w:pPr>
        <w:pStyle w:val="ListBullet"/>
      </w:pPr>
      <w:r>
        <w:t>Рандомизированное вмешательство в одном домене не гарантирует transportability в другом.</w:t>
      </w:r>
    </w:p>
    <w:p>
      <w:pPr>
        <w:pStyle w:val="Heading1"/>
      </w:pPr>
      <w:r>
        <w:t>324. Вычислительный сертификат STOCH-CAUSAL v0.19</w:t>
      </w:r>
    </w:p>
    <w:p>
      <w:pPr>
        <w:pStyle w:val="ListBullet"/>
      </w:pPr>
      <w:r>
        <w:t>STOCH-01 stochastic basis; 02 filtration/usual conditions; 03 path carrier; 04 state/admissible domain;</w:t>
      </w:r>
    </w:p>
    <w:p>
      <w:pPr>
        <w:pStyle w:val="ListBullet"/>
      </w:pPr>
      <w:r>
        <w:t>05 transition kernel; 06 semigroup identity; 07 Feller property; 08 conservativity/sub-Markov status;</w:t>
      </w:r>
    </w:p>
    <w:p>
      <w:pPr>
        <w:pStyle w:val="ListBullet"/>
      </w:pPr>
      <w:r>
        <w:t>09 generator graph; 10 core test; 11 positive maximum principle; 12 resolvent identities;</w:t>
      </w:r>
    </w:p>
    <w:p>
      <w:pPr>
        <w:pStyle w:val="ListBullet"/>
      </w:pPr>
      <w:r>
        <w:t>13 martingale residual construction; 14 conditional-moment tests; 15 existence evidence; 16 uniqueness/well-posedness evidence;</w:t>
      </w:r>
    </w:p>
    <w:p>
      <w:pPr>
        <w:pStyle w:val="ListBullet"/>
      </w:pPr>
      <w:r>
        <w:t>17 SDE coefficients; 18 diffusion matrix; 19 weak/strong-solution ledger; 20 Girsanov density and integrability;</w:t>
      </w:r>
    </w:p>
    <w:p>
      <w:pPr>
        <w:pStyle w:val="ListBullet"/>
      </w:pPr>
      <w:r>
        <w:t>21 stopping-time audit; 22 optional-sampling conditions; 23 hitting-time measurability; 24 first-passage estimator;</w:t>
      </w:r>
    </w:p>
    <w:p>
      <w:pPr>
        <w:pStyle w:val="ListBullet"/>
      </w:pPr>
      <w:r>
        <w:t>25 barrier inequalities; 26 interval/SOS/PDE verification; 27 robust controlled barrier; 28 policy admissibility;</w:t>
      </w:r>
    </w:p>
    <w:p>
      <w:pPr>
        <w:pStyle w:val="ListBullet"/>
      </w:pPr>
      <w:r>
        <w:t>29 controlled generator; 30 dynamic programming/HJB verification; 31 observational forecast law; 32 intervention kernel;</w:t>
      </w:r>
    </w:p>
    <w:p>
      <w:pPr>
        <w:pStyle w:val="ListBullet"/>
      </w:pPr>
      <w:r>
        <w:t>33 identification assumptions; 34 g-formula/do-calculus audit; 35 stochastic Reper path; 36 λ pole/invariance tests;</w:t>
      </w:r>
    </w:p>
    <w:p>
      <w:pPr>
        <w:pStyle w:val="ListBullet"/>
      </w:pPr>
      <w:r>
        <w:t>37 martingale/e-process sequential layer; 38 calibration and domain-shift audit; 39 blocker-safe verdict; 40 source/code/data/environment hashes.</w:t>
      </w:r>
    </w:p>
    <w:p>
      <w:pPr>
        <w:pStyle w:val="Heading2"/>
      </w:pPr>
      <w:r>
        <w:t>Псевдокод</w:t>
      </w:r>
    </w:p>
    <w:p>
      <w:pPr>
        <w:pStyle w:val="Quote"/>
        <w:jc w:val="center"/>
      </w:pPr>
      <w:r>
        <w:t>INPUT stochastic basis, transition law/generator, target A, controls, structural model, Rep_t, D, Dom</w:t>
        <w:br/>
        <w:t>CHECK filtration, Feller/generator/core, martingale problem, stopping assumptions</w:t>
        <w:br/>
        <w:t>BUILD hitting-time and barrier certificate; verify optional sampling</w:t>
        <w:br/>
        <w:t>IF controls exist CHECK controlled generators, admissibility and robust barrier/HJB</w:t>
        <w:br/>
        <w:t>SEPARATE observational forecast, policy law and do-law; verify identification assumptions</w:t>
        <w:br/>
        <w:t>CHECK λ_t poles and stochastic invariance conditions</w:t>
        <w:br/>
        <w:t>IF any blocker THEN ABSTAIN</w:t>
        <w:br/>
        <w:t>ELSE IF exact barrier value=0 THEN NO-HIT-IN-MODEL</w:t>
        <w:br/>
        <w:t>ELSE REPORT RISK-BOUND and only then candidate status</w:t>
        <w:br/>
        <w:t>RECORD hashes; truth_layer_promotion=0.</w:t>
      </w:r>
    </w:p>
    <w:p>
      <w:pPr>
        <w:pStyle w:val="Heading1"/>
      </w:pPr>
      <w:r>
        <w:t>325. Доказательные обязательства T2-PO-349–T2-PO-386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c>
          <w:tcPr>
            <w:tcW w:type="dxa" w:w="1512"/>
            <w:tcMar>
              <w:top w:w="90" w:type="dxa"/>
              <w:start w:w="100" w:type="dxa"/>
              <w:bottom w:w="90" w:type="dxa"/>
              <w:end w:w="100" w:type="dxa"/>
            </w:tcMar>
            <w:vAlign w:val="center"/>
          </w:tcPr>
          <w:p>
            <w:r>
              <w:t>T2-PO-349</w:t>
            </w:r>
          </w:p>
        </w:tc>
        <w:tc>
          <w:tcPr>
            <w:tcW w:type="dxa" w:w="5112"/>
            <w:tcMar>
              <w:top w:w="90" w:type="dxa"/>
              <w:start w:w="100" w:type="dxa"/>
              <w:bottom w:w="90" w:type="dxa"/>
              <w:end w:w="100" w:type="dxa"/>
            </w:tcMar>
            <w:vAlign w:val="center"/>
          </w:tcPr>
          <w:p>
            <w:r>
              <w:t>Стохастический базис и usual conditions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22.1</w:t>
            </w:r>
          </w:p>
        </w:tc>
      </w:tr>
      <w:tr>
        <w:tc>
          <w:tcPr>
            <w:tcW w:type="dxa" w:w="1512"/>
            <w:tcMar>
              <w:top w:w="90" w:type="dxa"/>
              <w:start w:w="100" w:type="dxa"/>
              <w:bottom w:w="90" w:type="dxa"/>
              <w:end w:w="100" w:type="dxa"/>
            </w:tcMar>
            <w:vAlign w:val="center"/>
          </w:tcPr>
          <w:p>
            <w:r>
              <w:t>T2-PO-350</w:t>
            </w:r>
          </w:p>
        </w:tc>
        <w:tc>
          <w:tcPr>
            <w:tcW w:type="dxa" w:w="5112"/>
            <w:tcMar>
              <w:top w:w="90" w:type="dxa"/>
              <w:start w:w="100" w:type="dxa"/>
              <w:bottom w:w="90" w:type="dxa"/>
              <w:end w:w="100" w:type="dxa"/>
            </w:tcMar>
            <w:vAlign w:val="center"/>
          </w:tcPr>
          <w:p>
            <w:r>
              <w:t>Markov kernel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State/domain specific</w:t>
            </w:r>
          </w:p>
        </w:tc>
      </w:tr>
      <w:tr>
        <w:tc>
          <w:tcPr>
            <w:tcW w:type="dxa" w:w="1512"/>
            <w:tcMar>
              <w:top w:w="90" w:type="dxa"/>
              <w:start w:w="100" w:type="dxa"/>
              <w:bottom w:w="90" w:type="dxa"/>
              <w:end w:w="100" w:type="dxa"/>
            </w:tcMar>
            <w:vAlign w:val="center"/>
          </w:tcPr>
          <w:p>
            <w:r>
              <w:t>T2-PO-351</w:t>
            </w:r>
          </w:p>
        </w:tc>
        <w:tc>
          <w:tcPr>
            <w:tcW w:type="dxa" w:w="5112"/>
            <w:tcMar>
              <w:top w:w="90" w:type="dxa"/>
              <w:start w:w="100" w:type="dxa"/>
              <w:bottom w:w="90" w:type="dxa"/>
              <w:end w:w="100" w:type="dxa"/>
            </w:tcMar>
            <w:vAlign w:val="center"/>
          </w:tcPr>
          <w:p>
            <w:r>
              <w:t>Semigroup and conservativity tests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STOCH-05–08</w:t>
            </w:r>
          </w:p>
        </w:tc>
      </w:tr>
      <w:tr>
        <w:tc>
          <w:tcPr>
            <w:tcW w:type="dxa" w:w="1512"/>
            <w:tcMar>
              <w:top w:w="90" w:type="dxa"/>
              <w:start w:w="100" w:type="dxa"/>
              <w:bottom w:w="90" w:type="dxa"/>
              <w:end w:w="100" w:type="dxa"/>
            </w:tcMar>
            <w:vAlign w:val="center"/>
          </w:tcPr>
          <w:p>
            <w:r>
              <w:t>T2-PO-352</w:t>
            </w:r>
          </w:p>
        </w:tc>
        <w:tc>
          <w:tcPr>
            <w:tcW w:type="dxa" w:w="5112"/>
            <w:tcMar>
              <w:top w:w="90" w:type="dxa"/>
              <w:start w:w="100" w:type="dxa"/>
              <w:bottom w:w="90" w:type="dxa"/>
              <w:end w:w="100" w:type="dxa"/>
            </w:tcMar>
            <w:vAlign w:val="center"/>
          </w:tcPr>
          <w:p>
            <w:r>
              <w:t>Feller strong continuity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Конкретная модель</w:t>
            </w:r>
          </w:p>
        </w:tc>
      </w:tr>
      <w:tr>
        <w:tc>
          <w:tcPr>
            <w:tcW w:type="dxa" w:w="1512"/>
            <w:tcMar>
              <w:top w:w="90" w:type="dxa"/>
              <w:start w:w="100" w:type="dxa"/>
              <w:bottom w:w="90" w:type="dxa"/>
              <w:end w:w="100" w:type="dxa"/>
            </w:tcMar>
            <w:vAlign w:val="center"/>
          </w:tcPr>
          <w:p>
            <w:r>
              <w:t>T2-PO-353</w:t>
            </w:r>
          </w:p>
        </w:tc>
        <w:tc>
          <w:tcPr>
            <w:tcW w:type="dxa" w:w="5112"/>
            <w:tcMar>
              <w:top w:w="90" w:type="dxa"/>
              <w:start w:w="100" w:type="dxa"/>
              <w:bottom w:w="90" w:type="dxa"/>
              <w:end w:w="100" w:type="dxa"/>
            </w:tcMar>
            <w:vAlign w:val="center"/>
          </w:tcPr>
          <w:p>
            <w:r>
              <w:t>Generator domain and core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T2-PO-354</w:t>
            </w:r>
          </w:p>
        </w:tc>
        <w:tc>
          <w:tcPr>
            <w:tcW w:type="dxa" w:w="5112"/>
            <w:tcMar>
              <w:top w:w="90" w:type="dxa"/>
              <w:start w:w="100" w:type="dxa"/>
              <w:bottom w:w="90" w:type="dxa"/>
              <w:end w:w="100" w:type="dxa"/>
            </w:tcMar>
            <w:vAlign w:val="center"/>
          </w:tcPr>
          <w:p>
            <w:r>
              <w:t>Positive maximum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T2-PO-355</w:t>
            </w:r>
          </w:p>
        </w:tc>
        <w:tc>
          <w:tcPr>
            <w:tcW w:type="dxa" w:w="5112"/>
            <w:tcMar>
              <w:top w:w="90" w:type="dxa"/>
              <w:start w:w="100" w:type="dxa"/>
              <w:bottom w:w="90" w:type="dxa"/>
              <w:end w:w="100" w:type="dxa"/>
            </w:tcMar>
            <w:vAlign w:val="center"/>
          </w:tcPr>
          <w:p>
            <w:r>
              <w:t>Resolvent identities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PO-353</w:t>
            </w:r>
          </w:p>
        </w:tc>
      </w:tr>
      <w:tr>
        <w:tc>
          <w:tcPr>
            <w:tcW w:type="dxa" w:w="1512"/>
            <w:tcMar>
              <w:top w:w="90" w:type="dxa"/>
              <w:start w:w="100" w:type="dxa"/>
              <w:bottom w:w="90" w:type="dxa"/>
              <w:end w:w="100" w:type="dxa"/>
            </w:tcMar>
            <w:vAlign w:val="center"/>
          </w:tcPr>
          <w:p>
            <w:r>
              <w:t>T2-PO-356</w:t>
            </w:r>
          </w:p>
        </w:tc>
        <w:tc>
          <w:tcPr>
            <w:tcW w:type="dxa" w:w="5112"/>
            <w:tcMar>
              <w:top w:w="90" w:type="dxa"/>
              <w:start w:w="100" w:type="dxa"/>
              <w:bottom w:w="90" w:type="dxa"/>
              <w:end w:w="100" w:type="dxa"/>
            </w:tcMar>
            <w:vAlign w:val="center"/>
          </w:tcPr>
          <w:p>
            <w:r>
              <w:t>Martingale problem formulation</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(22.5)</w:t>
            </w:r>
          </w:p>
        </w:tc>
      </w:tr>
      <w:tr>
        <w:tc>
          <w:tcPr>
            <w:tcW w:type="dxa" w:w="1512"/>
            <w:tcMar>
              <w:top w:w="90" w:type="dxa"/>
              <w:start w:w="100" w:type="dxa"/>
              <w:bottom w:w="90" w:type="dxa"/>
              <w:end w:w="100" w:type="dxa"/>
            </w:tcMar>
            <w:vAlign w:val="center"/>
          </w:tcPr>
          <w:p>
            <w:r>
              <w:t>T2-PO-357</w:t>
            </w:r>
          </w:p>
        </w:tc>
        <w:tc>
          <w:tcPr>
            <w:tcW w:type="dxa" w:w="5112"/>
            <w:tcMar>
              <w:top w:w="90" w:type="dxa"/>
              <w:start w:w="100" w:type="dxa"/>
              <w:bottom w:w="90" w:type="dxa"/>
              <w:end w:w="100" w:type="dxa"/>
            </w:tcMar>
            <w:vAlign w:val="center"/>
          </w:tcPr>
          <w:p>
            <w:r>
              <w:t>Existence martingale problem</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T2-PO-358</w:t>
            </w:r>
          </w:p>
        </w:tc>
        <w:tc>
          <w:tcPr>
            <w:tcW w:type="dxa" w:w="5112"/>
            <w:tcMar>
              <w:top w:w="90" w:type="dxa"/>
              <w:start w:w="100" w:type="dxa"/>
              <w:bottom w:w="90" w:type="dxa"/>
              <w:end w:w="100" w:type="dxa"/>
            </w:tcMar>
            <w:vAlign w:val="center"/>
          </w:tcPr>
          <w:p>
            <w:r>
              <w:t>Uniqueness/well-posedness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T2-PO-359</w:t>
            </w:r>
          </w:p>
        </w:tc>
        <w:tc>
          <w:tcPr>
            <w:tcW w:type="dxa" w:w="5112"/>
            <w:tcMar>
              <w:top w:w="90" w:type="dxa"/>
              <w:start w:w="100" w:type="dxa"/>
              <w:bottom w:w="90" w:type="dxa"/>
              <w:end w:w="100" w:type="dxa"/>
            </w:tcMar>
            <w:vAlign w:val="center"/>
          </w:tcPr>
          <w:p>
            <w:r>
              <w:t>Strong Markov consequence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PO-357–358</w:t>
            </w:r>
          </w:p>
        </w:tc>
      </w:tr>
      <w:tr>
        <w:tc>
          <w:tcPr>
            <w:tcW w:type="dxa" w:w="1512"/>
            <w:tcMar>
              <w:top w:w="90" w:type="dxa"/>
              <w:start w:w="100" w:type="dxa"/>
              <w:bottom w:w="90" w:type="dxa"/>
              <w:end w:w="100" w:type="dxa"/>
            </w:tcMar>
            <w:vAlign w:val="center"/>
          </w:tcPr>
          <w:p>
            <w:r>
              <w:t>T2-PO-360</w:t>
            </w:r>
          </w:p>
        </w:tc>
        <w:tc>
          <w:tcPr>
            <w:tcW w:type="dxa" w:w="5112"/>
            <w:tcMar>
              <w:top w:w="90" w:type="dxa"/>
              <w:start w:w="100" w:type="dxa"/>
              <w:bottom w:w="90" w:type="dxa"/>
              <w:end w:w="100" w:type="dxa"/>
            </w:tcMar>
            <w:vAlign w:val="center"/>
          </w:tcPr>
          <w:p>
            <w:r>
              <w:t>SDE-to-generator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Regular diffusion sector</w:t>
            </w:r>
          </w:p>
        </w:tc>
      </w:tr>
      <w:tr>
        <w:tc>
          <w:tcPr>
            <w:tcW w:type="dxa" w:w="1512"/>
            <w:tcMar>
              <w:top w:w="90" w:type="dxa"/>
              <w:start w:w="100" w:type="dxa"/>
              <w:bottom w:w="90" w:type="dxa"/>
              <w:end w:w="100" w:type="dxa"/>
            </w:tcMar>
            <w:vAlign w:val="center"/>
          </w:tcPr>
          <w:p>
            <w:r>
              <w:t>T2-PO-361</w:t>
            </w:r>
          </w:p>
        </w:tc>
        <w:tc>
          <w:tcPr>
            <w:tcW w:type="dxa" w:w="5112"/>
            <w:tcMar>
              <w:top w:w="90" w:type="dxa"/>
              <w:start w:w="100" w:type="dxa"/>
              <w:bottom w:w="90" w:type="dxa"/>
              <w:end w:w="100" w:type="dxa"/>
            </w:tcMar>
            <w:vAlign w:val="center"/>
          </w:tcPr>
          <w:p>
            <w:r>
              <w:t>Weak/strong solution hierarchy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Типовая спецификация</w:t>
            </w:r>
          </w:p>
        </w:tc>
      </w:tr>
      <w:tr>
        <w:tc>
          <w:tcPr>
            <w:tcW w:type="dxa" w:w="1512"/>
            <w:tcMar>
              <w:top w:w="90" w:type="dxa"/>
              <w:start w:w="100" w:type="dxa"/>
              <w:bottom w:w="90" w:type="dxa"/>
              <w:end w:w="100" w:type="dxa"/>
            </w:tcMar>
            <w:vAlign w:val="center"/>
          </w:tcPr>
          <w:p>
            <w:r>
              <w:t>T2-PO-362</w:t>
            </w:r>
          </w:p>
        </w:tc>
        <w:tc>
          <w:tcPr>
            <w:tcW w:type="dxa" w:w="5112"/>
            <w:tcMar>
              <w:top w:w="90" w:type="dxa"/>
              <w:start w:w="100" w:type="dxa"/>
              <w:bottom w:w="90" w:type="dxa"/>
              <w:end w:w="100" w:type="dxa"/>
            </w:tcMar>
            <w:vAlign w:val="center"/>
          </w:tcPr>
          <w:p>
            <w:r>
              <w:t>Girsanov integrability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T2-PO-363</w:t>
            </w:r>
          </w:p>
        </w:tc>
        <w:tc>
          <w:tcPr>
            <w:tcW w:type="dxa" w:w="5112"/>
            <w:tcMar>
              <w:top w:w="90" w:type="dxa"/>
              <w:start w:w="100" w:type="dxa"/>
              <w:bottom w:w="90" w:type="dxa"/>
              <w:end w:w="100" w:type="dxa"/>
            </w:tcMar>
            <w:vAlign w:val="center"/>
          </w:tcPr>
          <w:p>
            <w:r>
              <w:t>Measure-change no-intervention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22.2</w:t>
            </w:r>
          </w:p>
        </w:tc>
      </w:tr>
      <w:tr>
        <w:tc>
          <w:tcPr>
            <w:tcW w:type="dxa" w:w="1512"/>
            <w:tcMar>
              <w:top w:w="90" w:type="dxa"/>
              <w:start w:w="100" w:type="dxa"/>
              <w:bottom w:w="90" w:type="dxa"/>
              <w:end w:w="100" w:type="dxa"/>
            </w:tcMar>
            <w:vAlign w:val="center"/>
          </w:tcPr>
          <w:p>
            <w:r>
              <w:t>T2-PO-364</w:t>
            </w:r>
          </w:p>
        </w:tc>
        <w:tc>
          <w:tcPr>
            <w:tcW w:type="dxa" w:w="5112"/>
            <w:tcMar>
              <w:top w:w="90" w:type="dxa"/>
              <w:start w:w="100" w:type="dxa"/>
              <w:bottom w:w="90" w:type="dxa"/>
              <w:end w:w="100" w:type="dxa"/>
            </w:tcMar>
            <w:vAlign w:val="center"/>
          </w:tcPr>
          <w:p>
            <w:r>
              <w:t>Stopping-time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Target/path regularity</w:t>
            </w:r>
          </w:p>
        </w:tc>
      </w:tr>
      <w:tr>
        <w:tc>
          <w:tcPr>
            <w:tcW w:type="dxa" w:w="1512"/>
            <w:tcMar>
              <w:top w:w="90" w:type="dxa"/>
              <w:start w:w="100" w:type="dxa"/>
              <w:bottom w:w="90" w:type="dxa"/>
              <w:end w:w="100" w:type="dxa"/>
            </w:tcMar>
            <w:vAlign w:val="center"/>
          </w:tcPr>
          <w:p>
            <w:r>
              <w:t>T2-PO-365</w:t>
            </w:r>
          </w:p>
        </w:tc>
        <w:tc>
          <w:tcPr>
            <w:tcW w:type="dxa" w:w="5112"/>
            <w:tcMar>
              <w:top w:w="90" w:type="dxa"/>
              <w:start w:w="100" w:type="dxa"/>
              <w:bottom w:w="90" w:type="dxa"/>
              <w:end w:w="100" w:type="dxa"/>
            </w:tcMar>
            <w:vAlign w:val="center"/>
          </w:tcPr>
          <w:p>
            <w:r>
              <w:t>Optional sampling assumptions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Stopping rule specific</w:t>
            </w:r>
          </w:p>
        </w:tc>
      </w:tr>
      <w:tr>
        <w:tc>
          <w:tcPr>
            <w:tcW w:type="dxa" w:w="1512"/>
            <w:tcMar>
              <w:top w:w="90" w:type="dxa"/>
              <w:start w:w="100" w:type="dxa"/>
              <w:bottom w:w="90" w:type="dxa"/>
              <w:end w:w="100" w:type="dxa"/>
            </w:tcMar>
            <w:vAlign w:val="center"/>
          </w:tcPr>
          <w:p>
            <w:r>
              <w:t>T2-PO-366</w:t>
            </w:r>
          </w:p>
        </w:tc>
        <w:tc>
          <w:tcPr>
            <w:tcW w:type="dxa" w:w="5112"/>
            <w:tcMar>
              <w:top w:w="90" w:type="dxa"/>
              <w:start w:w="100" w:type="dxa"/>
              <w:bottom w:w="90" w:type="dxa"/>
              <w:end w:w="100" w:type="dxa"/>
            </w:tcMar>
            <w:vAlign w:val="center"/>
          </w:tcPr>
          <w:p>
            <w:r>
              <w:t>Naive optional-stopping counterexample</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303</w:t>
            </w:r>
          </w:p>
        </w:tc>
      </w:tr>
      <w:tr>
        <w:tc>
          <w:tcPr>
            <w:tcW w:type="dxa" w:w="1512"/>
            <w:tcMar>
              <w:top w:w="90" w:type="dxa"/>
              <w:start w:w="100" w:type="dxa"/>
              <w:bottom w:w="90" w:type="dxa"/>
              <w:end w:w="100" w:type="dxa"/>
            </w:tcMar>
            <w:vAlign w:val="center"/>
          </w:tcPr>
          <w:p>
            <w:r>
              <w:t>T2-PO-367</w:t>
            </w:r>
          </w:p>
        </w:tc>
        <w:tc>
          <w:tcPr>
            <w:tcW w:type="dxa" w:w="5112"/>
            <w:tcMar>
              <w:top w:w="90" w:type="dxa"/>
              <w:start w:w="100" w:type="dxa"/>
              <w:bottom w:w="90" w:type="dxa"/>
              <w:end w:w="100" w:type="dxa"/>
            </w:tcMar>
            <w:vAlign w:val="center"/>
          </w:tcPr>
          <w:p>
            <w:r>
              <w:t>Hitting probability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Boundary problem</w:t>
            </w:r>
          </w:p>
        </w:tc>
      </w:tr>
      <w:tr>
        <w:tc>
          <w:tcPr>
            <w:tcW w:type="dxa" w:w="1512"/>
            <w:tcMar>
              <w:top w:w="90" w:type="dxa"/>
              <w:start w:w="100" w:type="dxa"/>
              <w:bottom w:w="90" w:type="dxa"/>
              <w:end w:w="100" w:type="dxa"/>
            </w:tcMar>
            <w:vAlign w:val="center"/>
          </w:tcPr>
          <w:p>
            <w:r>
              <w:t>T2-PO-368</w:t>
            </w:r>
          </w:p>
        </w:tc>
        <w:tc>
          <w:tcPr>
            <w:tcW w:type="dxa" w:w="5112"/>
            <w:tcMar>
              <w:top w:w="90" w:type="dxa"/>
              <w:start w:w="100" w:type="dxa"/>
              <w:bottom w:w="90" w:type="dxa"/>
              <w:end w:w="100" w:type="dxa"/>
            </w:tcMar>
            <w:vAlign w:val="center"/>
          </w:tcPr>
          <w:p>
            <w:r>
              <w:t>Barrier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22.3</w:t>
            </w:r>
          </w:p>
        </w:tc>
      </w:tr>
      <w:tr>
        <w:tc>
          <w:tcPr>
            <w:tcW w:type="dxa" w:w="1512"/>
            <w:tcMar>
              <w:top w:w="90" w:type="dxa"/>
              <w:start w:w="100" w:type="dxa"/>
              <w:bottom w:w="90" w:type="dxa"/>
              <w:end w:w="100" w:type="dxa"/>
            </w:tcMar>
            <w:vAlign w:val="center"/>
          </w:tcPr>
          <w:p>
            <w:r>
              <w:t>T2-PO-369</w:t>
            </w:r>
          </w:p>
        </w:tc>
        <w:tc>
          <w:tcPr>
            <w:tcW w:type="dxa" w:w="5112"/>
            <w:tcMar>
              <w:top w:w="90" w:type="dxa"/>
              <w:start w:w="100" w:type="dxa"/>
              <w:bottom w:w="90" w:type="dxa"/>
              <w:end w:w="100" w:type="dxa"/>
            </w:tcMar>
            <w:vAlign w:val="center"/>
          </w:tcPr>
          <w:p>
            <w:r>
              <w:t>Computable barrier construction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SOS/PDE/interval method</w:t>
            </w:r>
          </w:p>
        </w:tc>
      </w:tr>
      <w:tr>
        <w:tc>
          <w:tcPr>
            <w:tcW w:type="dxa" w:w="1512"/>
            <w:tcMar>
              <w:top w:w="90" w:type="dxa"/>
              <w:start w:w="100" w:type="dxa"/>
              <w:bottom w:w="90" w:type="dxa"/>
              <w:end w:w="100" w:type="dxa"/>
            </w:tcMar>
            <w:vAlign w:val="center"/>
          </w:tcPr>
          <w:p>
            <w:r>
              <w:t>T2-PO-370</w:t>
            </w:r>
          </w:p>
        </w:tc>
        <w:tc>
          <w:tcPr>
            <w:tcW w:type="dxa" w:w="5112"/>
            <w:tcMar>
              <w:top w:w="90" w:type="dxa"/>
              <w:start w:w="100" w:type="dxa"/>
              <w:bottom w:w="90" w:type="dxa"/>
              <w:end w:w="100" w:type="dxa"/>
            </w:tcMar>
            <w:vAlign w:val="center"/>
          </w:tcPr>
          <w:p>
            <w:r>
              <w:t>Robust controlled barrier</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(22.13)</w:t>
            </w:r>
          </w:p>
        </w:tc>
      </w:tr>
      <w:tr>
        <w:tc>
          <w:tcPr>
            <w:tcW w:type="dxa" w:w="1512"/>
            <w:tcMar>
              <w:top w:w="90" w:type="dxa"/>
              <w:start w:w="100" w:type="dxa"/>
              <w:bottom w:w="90" w:type="dxa"/>
              <w:end w:w="100" w:type="dxa"/>
            </w:tcMar>
            <w:vAlign w:val="center"/>
          </w:tcPr>
          <w:p>
            <w:r>
              <w:t>T2-PO-371</w:t>
            </w:r>
          </w:p>
        </w:tc>
        <w:tc>
          <w:tcPr>
            <w:tcW w:type="dxa" w:w="5112"/>
            <w:tcMar>
              <w:top w:w="90" w:type="dxa"/>
              <w:start w:w="100" w:type="dxa"/>
              <w:bottom w:w="90" w:type="dxa"/>
              <w:end w:w="100" w:type="dxa"/>
            </w:tcMar>
            <w:vAlign w:val="center"/>
          </w:tcPr>
          <w:p>
            <w:r>
              <w:t>Controlled Markov family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Control model</w:t>
            </w:r>
          </w:p>
        </w:tc>
      </w:tr>
      <w:tr>
        <w:tc>
          <w:tcPr>
            <w:tcW w:type="dxa" w:w="1512"/>
            <w:tcMar>
              <w:top w:w="90" w:type="dxa"/>
              <w:start w:w="100" w:type="dxa"/>
              <w:bottom w:w="90" w:type="dxa"/>
              <w:end w:w="100" w:type="dxa"/>
            </w:tcMar>
            <w:vAlign w:val="center"/>
          </w:tcPr>
          <w:p>
            <w:r>
              <w:t>T2-PO-372</w:t>
            </w:r>
          </w:p>
        </w:tc>
        <w:tc>
          <w:tcPr>
            <w:tcW w:type="dxa" w:w="5112"/>
            <w:tcMar>
              <w:top w:w="90" w:type="dxa"/>
              <w:start w:w="100" w:type="dxa"/>
              <w:bottom w:w="90" w:type="dxa"/>
              <w:end w:w="100" w:type="dxa"/>
            </w:tcMar>
            <w:vAlign w:val="center"/>
          </w:tcPr>
          <w:p>
            <w:r>
              <w:t>Dynamic programming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Policy/compactness package</w:t>
            </w:r>
          </w:p>
        </w:tc>
      </w:tr>
      <w:tr>
        <w:tc>
          <w:tcPr>
            <w:tcW w:type="dxa" w:w="1512"/>
            <w:tcMar>
              <w:top w:w="90" w:type="dxa"/>
              <w:start w:w="100" w:type="dxa"/>
              <w:bottom w:w="90" w:type="dxa"/>
              <w:end w:w="100" w:type="dxa"/>
            </w:tcMar>
            <w:vAlign w:val="center"/>
          </w:tcPr>
          <w:p>
            <w:r>
              <w:t>T2-PO-373</w:t>
            </w:r>
          </w:p>
        </w:tc>
        <w:tc>
          <w:tcPr>
            <w:tcW w:type="dxa" w:w="5112"/>
            <w:tcMar>
              <w:top w:w="90" w:type="dxa"/>
              <w:start w:w="100" w:type="dxa"/>
              <w:bottom w:w="90" w:type="dxa"/>
              <w:end w:w="100" w:type="dxa"/>
            </w:tcMar>
            <w:vAlign w:val="center"/>
          </w:tcPr>
          <w:p>
            <w:r>
              <w:t>HJB solution and verification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T2-PO-374</w:t>
            </w:r>
          </w:p>
        </w:tc>
        <w:tc>
          <w:tcPr>
            <w:tcW w:type="dxa" w:w="5112"/>
            <w:tcMar>
              <w:top w:w="90" w:type="dxa"/>
              <w:start w:w="100" w:type="dxa"/>
              <w:bottom w:w="90" w:type="dxa"/>
              <w:end w:w="100" w:type="dxa"/>
            </w:tcMar>
            <w:vAlign w:val="center"/>
          </w:tcPr>
          <w:p>
            <w:r>
              <w:t>Forecast/control/intervention typing</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310</w:t>
            </w:r>
          </w:p>
        </w:tc>
      </w:tr>
      <w:tr>
        <w:tc>
          <w:tcPr>
            <w:tcW w:type="dxa" w:w="1512"/>
            <w:tcMar>
              <w:top w:w="90" w:type="dxa"/>
              <w:start w:w="100" w:type="dxa"/>
              <w:bottom w:w="90" w:type="dxa"/>
              <w:end w:w="100" w:type="dxa"/>
            </w:tcMar>
            <w:vAlign w:val="center"/>
          </w:tcPr>
          <w:p>
            <w:r>
              <w:t>T2-PO-375</w:t>
            </w:r>
          </w:p>
        </w:tc>
        <w:tc>
          <w:tcPr>
            <w:tcW w:type="dxa" w:w="5112"/>
            <w:tcMar>
              <w:top w:w="90" w:type="dxa"/>
              <w:start w:w="100" w:type="dxa"/>
              <w:bottom w:w="90" w:type="dxa"/>
              <w:end w:w="100" w:type="dxa"/>
            </w:tcMar>
            <w:vAlign w:val="center"/>
          </w:tcPr>
          <w:p>
            <w:r>
              <w:t>Observational-interventional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22.4</w:t>
            </w:r>
          </w:p>
        </w:tc>
      </w:tr>
      <w:tr>
        <w:tc>
          <w:tcPr>
            <w:tcW w:type="dxa" w:w="1512"/>
            <w:tcMar>
              <w:top w:w="90" w:type="dxa"/>
              <w:start w:w="100" w:type="dxa"/>
              <w:bottom w:w="90" w:type="dxa"/>
              <w:end w:w="100" w:type="dxa"/>
            </w:tcMar>
            <w:vAlign w:val="center"/>
          </w:tcPr>
          <w:p>
            <w:r>
              <w:t>T2-PO-376</w:t>
            </w:r>
          </w:p>
        </w:tc>
        <w:tc>
          <w:tcPr>
            <w:tcW w:type="dxa" w:w="5112"/>
            <w:tcMar>
              <w:top w:w="90" w:type="dxa"/>
              <w:start w:w="100" w:type="dxa"/>
              <w:bottom w:w="90" w:type="dxa"/>
              <w:end w:w="100" w:type="dxa"/>
            </w:tcMar>
            <w:vAlign w:val="center"/>
          </w:tcPr>
          <w:p>
            <w:r>
              <w:t>Structural intervention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SCM/domain specific</w:t>
            </w:r>
          </w:p>
        </w:tc>
      </w:tr>
      <w:tr>
        <w:tc>
          <w:tcPr>
            <w:tcW w:type="dxa" w:w="1512"/>
            <w:tcMar>
              <w:top w:w="90" w:type="dxa"/>
              <w:start w:w="100" w:type="dxa"/>
              <w:bottom w:w="90" w:type="dxa"/>
              <w:end w:w="100" w:type="dxa"/>
            </w:tcMar>
            <w:vAlign w:val="center"/>
          </w:tcPr>
          <w:p>
            <w:r>
              <w:t>T2-PO-377</w:t>
            </w:r>
          </w:p>
        </w:tc>
        <w:tc>
          <w:tcPr>
            <w:tcW w:type="dxa" w:w="5112"/>
            <w:tcMar>
              <w:top w:w="90" w:type="dxa"/>
              <w:start w:w="100" w:type="dxa"/>
              <w:bottom w:w="90" w:type="dxa"/>
              <w:end w:w="100" w:type="dxa"/>
            </w:tcMar>
            <w:vAlign w:val="center"/>
          </w:tcPr>
          <w:p>
            <w:r>
              <w:t>Sequential exchangeability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T2-PO-378</w:t>
            </w:r>
          </w:p>
        </w:tc>
        <w:tc>
          <w:tcPr>
            <w:tcW w:type="dxa" w:w="5112"/>
            <w:tcMar>
              <w:top w:w="90" w:type="dxa"/>
              <w:start w:w="100" w:type="dxa"/>
              <w:bottom w:w="90" w:type="dxa"/>
              <w:end w:w="100" w:type="dxa"/>
            </w:tcMar>
            <w:vAlign w:val="center"/>
          </w:tcPr>
          <w:p>
            <w:r>
              <w:t>Positivity and consistency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T2-PO-379</w:t>
            </w:r>
          </w:p>
        </w:tc>
        <w:tc>
          <w:tcPr>
            <w:tcW w:type="dxa" w:w="5112"/>
            <w:tcMar>
              <w:top w:w="90" w:type="dxa"/>
              <w:start w:w="100" w:type="dxa"/>
              <w:bottom w:w="90" w:type="dxa"/>
              <w:end w:w="100" w:type="dxa"/>
            </w:tcMar>
            <w:vAlign w:val="center"/>
          </w:tcPr>
          <w:p>
            <w:r>
              <w:t>g-formula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PO-377–378</w:t>
            </w:r>
          </w:p>
        </w:tc>
      </w:tr>
      <w:tr>
        <w:tc>
          <w:tcPr>
            <w:tcW w:type="dxa" w:w="1512"/>
            <w:tcMar>
              <w:top w:w="90" w:type="dxa"/>
              <w:start w:w="100" w:type="dxa"/>
              <w:bottom w:w="90" w:type="dxa"/>
              <w:end w:w="100" w:type="dxa"/>
            </w:tcMar>
            <w:vAlign w:val="center"/>
          </w:tcPr>
          <w:p>
            <w:r>
              <w:t>T2-PO-380</w:t>
            </w:r>
          </w:p>
        </w:tc>
        <w:tc>
          <w:tcPr>
            <w:tcW w:type="dxa" w:w="5112"/>
            <w:tcMar>
              <w:top w:w="90" w:type="dxa"/>
              <w:start w:w="100" w:type="dxa"/>
              <w:bottom w:w="90" w:type="dxa"/>
              <w:end w:w="100" w:type="dxa"/>
            </w:tcMar>
            <w:vAlign w:val="center"/>
          </w:tcPr>
          <w:p>
            <w:r>
              <w:t>Counterfactual carrier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Structural model</w:t>
            </w:r>
          </w:p>
        </w:tc>
      </w:tr>
      <w:tr>
        <w:tc>
          <w:tcPr>
            <w:tcW w:type="dxa" w:w="1512"/>
            <w:tcMar>
              <w:top w:w="90" w:type="dxa"/>
              <w:start w:w="100" w:type="dxa"/>
              <w:bottom w:w="90" w:type="dxa"/>
              <w:end w:w="100" w:type="dxa"/>
            </w:tcMar>
            <w:vAlign w:val="center"/>
          </w:tcPr>
          <w:p>
            <w:r>
              <w:t>T2-PO-381</w:t>
            </w:r>
          </w:p>
        </w:tc>
        <w:tc>
          <w:tcPr>
            <w:tcW w:type="dxa" w:w="5112"/>
            <w:tcMar>
              <w:top w:w="90" w:type="dxa"/>
              <w:start w:w="100" w:type="dxa"/>
              <w:bottom w:w="90" w:type="dxa"/>
              <w:end w:w="100" w:type="dxa"/>
            </w:tcMar>
            <w:vAlign w:val="center"/>
          </w:tcPr>
          <w:p>
            <w:r>
              <w:t>Stochastic Reper adaptedness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c>
          <w:tcPr>
            <w:tcW w:type="dxa" w:w="1512"/>
            <w:tcMar>
              <w:top w:w="90" w:type="dxa"/>
              <w:start w:w="100" w:type="dxa"/>
              <w:bottom w:w="90" w:type="dxa"/>
              <w:end w:w="100" w:type="dxa"/>
            </w:tcMar>
            <w:vAlign w:val="center"/>
          </w:tcPr>
          <w:p>
            <w:r>
              <w:t>T2-PO-382</w:t>
            </w:r>
          </w:p>
        </w:tc>
        <w:tc>
          <w:tcPr>
            <w:tcW w:type="dxa" w:w="5112"/>
            <w:tcMar>
              <w:top w:w="90" w:type="dxa"/>
              <w:start w:w="100" w:type="dxa"/>
              <w:bottom w:w="90" w:type="dxa"/>
              <w:end w:w="100" w:type="dxa"/>
            </w:tcMar>
            <w:vAlign w:val="center"/>
          </w:tcPr>
          <w:p>
            <w:r>
              <w:t>λ Itô formula and pole control</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Smooth chart sector</w:t>
            </w:r>
          </w:p>
        </w:tc>
      </w:tr>
      <w:tr>
        <w:tc>
          <w:tcPr>
            <w:tcW w:type="dxa" w:w="1512"/>
            <w:tcMar>
              <w:top w:w="90" w:type="dxa"/>
              <w:start w:w="100" w:type="dxa"/>
              <w:bottom w:w="90" w:type="dxa"/>
              <w:end w:w="100" w:type="dxa"/>
            </w:tcMar>
            <w:vAlign w:val="center"/>
          </w:tcPr>
          <w:p>
            <w:r>
              <w:t>T2-PO-383</w:t>
            </w:r>
          </w:p>
        </w:tc>
        <w:tc>
          <w:tcPr>
            <w:tcW w:type="dxa" w:w="5112"/>
            <w:tcMar>
              <w:top w:w="90" w:type="dxa"/>
              <w:start w:w="100" w:type="dxa"/>
              <w:bottom w:w="90" w:type="dxa"/>
              <w:end w:w="100" w:type="dxa"/>
            </w:tcMar>
            <w:vAlign w:val="center"/>
          </w:tcPr>
          <w:p>
            <w:r>
              <w:t>Harmonic-locus stochastic invariance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(22.21)</w:t>
            </w:r>
          </w:p>
        </w:tc>
      </w:tr>
      <w:tr>
        <w:tc>
          <w:tcPr>
            <w:tcW w:type="dxa" w:w="1512"/>
            <w:tcMar>
              <w:top w:w="90" w:type="dxa"/>
              <w:start w:w="100" w:type="dxa"/>
              <w:bottom w:w="90" w:type="dxa"/>
              <w:end w:w="100" w:type="dxa"/>
            </w:tcMar>
            <w:vAlign w:val="center"/>
          </w:tcPr>
          <w:p>
            <w:r>
              <w:t>T2-PO-384</w:t>
            </w:r>
          </w:p>
        </w:tc>
        <w:tc>
          <w:tcPr>
            <w:tcW w:type="dxa" w:w="5112"/>
            <w:tcMar>
              <w:top w:w="90" w:type="dxa"/>
              <w:start w:w="100" w:type="dxa"/>
              <w:bottom w:w="90" w:type="dxa"/>
              <w:end w:w="100" w:type="dxa"/>
            </w:tcMar>
            <w:vAlign w:val="center"/>
          </w:tcPr>
          <w:p>
            <w:r>
              <w:t>Martingale residual external test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c>
          <w:tcPr>
            <w:tcW w:type="dxa" w:w="1512"/>
            <w:tcMar>
              <w:top w:w="90" w:type="dxa"/>
              <w:start w:w="100" w:type="dxa"/>
              <w:bottom w:w="90" w:type="dxa"/>
              <w:end w:w="100" w:type="dxa"/>
            </w:tcMar>
            <w:vAlign w:val="center"/>
          </w:tcPr>
          <w:p>
            <w:r>
              <w:t>T2-PO-385</w:t>
            </w:r>
          </w:p>
        </w:tc>
        <w:tc>
          <w:tcPr>
            <w:tcW w:type="dxa" w:w="5112"/>
            <w:tcMar>
              <w:top w:w="90" w:type="dxa"/>
              <w:start w:w="100" w:type="dxa"/>
              <w:bottom w:w="90" w:type="dxa"/>
              <w:end w:w="100" w:type="dxa"/>
            </w:tcMar>
            <w:vAlign w:val="center"/>
          </w:tcPr>
          <w:p>
            <w:r>
              <w:t>Main safe theorem v0.19</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Все H1–H12</w:t>
            </w:r>
          </w:p>
        </w:tc>
      </w:tr>
      <w:tr>
        <w:tc>
          <w:tcPr>
            <w:tcW w:type="dxa" w:w="1512"/>
            <w:tcMar>
              <w:top w:w="90" w:type="dxa"/>
              <w:start w:w="100" w:type="dxa"/>
              <w:bottom w:w="90" w:type="dxa"/>
              <w:end w:w="100" w:type="dxa"/>
            </w:tcMar>
            <w:vAlign w:val="center"/>
          </w:tcPr>
          <w:p>
            <w:r>
              <w:t>T2-PO-386</w:t>
            </w:r>
          </w:p>
        </w:tc>
        <w:tc>
          <w:tcPr>
            <w:tcW w:type="dxa" w:w="5112"/>
            <w:tcMar>
              <w:top w:w="90" w:type="dxa"/>
              <w:start w:w="100" w:type="dxa"/>
              <w:bottom w:w="90" w:type="dxa"/>
              <w:end w:w="100" w:type="dxa"/>
            </w:tcMar>
            <w:vAlign w:val="center"/>
          </w:tcPr>
          <w:p>
            <w:r>
              <w:t>Physical/causal export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bridge</w:t>
            </w:r>
          </w:p>
        </w:tc>
      </w:tr>
    </w:tbl>
    <w:p>
      <w:pPr>
        <w:pStyle w:val="Heading1"/>
      </w:pPr>
      <w:r>
        <w:t>326. Prior art и граница авторского вклада</w:t>
      </w:r>
    </w:p>
    <w:p>
      <w:pPr/>
      <w:r>
        <w:t>Классический prior art главы включает Feller/Dynkin semigroup theory, diffusion martingale problems Струка–Варадхана, stochastic calculus Ито, change of measure Гирсанова, stopping-time/martingale theory Дуба, controlled Markov processes и dynamic programming, а также структурные интервенции и g-computation. Авторский слой Тома II состоит в их типизированном соединении с NAPG/KLT-RBD, Reper-path, λ/CGI, Evidence-D, transition horizons, вычислительными сертификатами и многоступенчатым verdict, не смешивающим прогноз, управление и причинность.</w:t>
      </w:r>
    </w:p>
    <w:p>
      <w:pPr/>
      <w:r>
        <w:t>[V0.19-1] Feller, W. Semi-groups of transformations in general weak topologies. Annals of Mathematics 57 (1953), 287–308. [первичный источник]</w:t>
      </w:r>
    </w:p>
    <w:p>
      <w:pPr/>
      <w:r>
        <w:t>[V0.19-2] Dynkin, E. B. Markov processes and semigroups of operators. Theory of Probability and Its Applications 1 (1956), 22–33. DOI 10.1137/1101003. [первичный источник]</w:t>
      </w:r>
    </w:p>
    <w:p>
      <w:pPr/>
      <w:r>
        <w:t>[V0.19-3] Stroock, D. W.; Varadhan, S. R. S. Diffusion processes with continuous coefficients I–II. Communications on Pure and Applied Mathematics 22 (1969), 345–400, 479–530. DOI 10.1002/cpa.3160220304; 10.1002/cpa.3160220404. [первичный источник]</w:t>
      </w:r>
    </w:p>
    <w:p>
      <w:pPr/>
      <w:r>
        <w:t>[V0.19-4] Itô, K. On stochastic differential equations. Memoirs, American Mathematical Society 4 (1951). [первичный источник]</w:t>
      </w:r>
    </w:p>
    <w:p>
      <w:pPr/>
      <w:r>
        <w:t>[V0.19-5] Girsanov, I. V. On transforming a certain class of stochastic processes by absolutely continuous substitution of measures. Theory of Probability and Its Applications 5 (1960), 285–301. [первичный источник]</w:t>
      </w:r>
    </w:p>
    <w:p>
      <w:pPr/>
      <w:r>
        <w:t>[V0.19-6] Doob, J. L. Stochastic Processes. Wiley, 1953. [первичная монография]</w:t>
      </w:r>
    </w:p>
    <w:p>
      <w:pPr/>
      <w:r>
        <w:t>[V0.19-7] Bellman, R. Dynamic Programming. Princeton University Press, 1957. [первичная монография]</w:t>
      </w:r>
    </w:p>
    <w:p>
      <w:pPr/>
      <w:r>
        <w:t>[V0.19-8] Robins, J. M. The role of model selection in causal inference from nonexperimental data. American Journal of Epidemiology 123 (1986), 392–402. DOI 10.1093/oxfordjournals.aje.a114254. [первичный источник]</w:t>
      </w:r>
    </w:p>
    <w:p>
      <w:pPr/>
      <w:r>
        <w:t>[V0.19-9] Pearl, J. Causal diagrams for empirical research. Biometrika 82 (1995), 669–688. [первичный источник]</w:t>
      </w:r>
    </w:p>
    <w:p>
      <w:pPr/>
      <w:r>
        <w:t>[V0.19-10] Kurpishev, I. B. Том I v197 RU; Том II T2-RP-v0.1–v0.18. [внутренний авторский корпус]</w:t>
      </w:r>
    </w:p>
    <w:p>
      <w:pPr>
        <w:pStyle w:val="Small"/>
      </w:pPr>
      <w:r>
        <w:t>Замороженный Том I v197 RU уже фиксирует независимую проверку, sequential validity и causal-limit discipline; настоящая глава добавляет stochastic generator, stopping/control и intervention carriers, не повышая статусов.</w:t>
      </w:r>
    </w:p>
    <w:p>
      <w:pPr>
        <w:pStyle w:val="Heading1"/>
      </w:pPr>
      <w:r>
        <w:t>327. Контрольная точка и граница вывода</w:t>
      </w:r>
    </w:p>
    <w:p>
      <w:pPr>
        <w:pStyle w:val="Quote"/>
        <w:jc w:val="center"/>
      </w:pPr>
      <w:r>
        <w:t>truth_layer_promotion=0; checkpoint=T2-RP-v0.19; next=T2-RP-v0.20.  (22.28)</w:t>
      </w:r>
    </w:p>
    <w:p>
      <w:pPr/>
      <w:r>
        <w:t>Глава 22 построила стохастический предсказательный интерфейс: Markov/Feller semigroup задаёт наблюдательную эволюцию закона; generator и martingale problem дают аналитико-вероятностную спецификацию; stopping/barrier layer даёт строгие границы first-passage risk; controlled family задаёт policy-dependent laws; structural intervention model отдельно задаёт causal law.</w:t>
      </w:r>
    </w:p>
    <w:p>
      <w:pPr>
        <w:pStyle w:val="Lead"/>
      </w:pPr>
      <w:r>
        <w:t>Ключевой итог: точный отрицательный прогноз возможен при нулевом сертифицированном hitting bound. Положительная малая вероятность остаётся вероятностью, а не невозможностью. Наблюдательный закон не определяет intervention law без идентифицирующих предпосылок.</w:t>
      </w:r>
    </w:p>
    <w:p>
      <w:pPr>
        <w:pStyle w:val="Small"/>
      </w:pPr>
      <w:r>
        <w:t>Следующая сборка tom2_v0_20 развивает large deviations, risk-sensitive semigroups, rare-event geometry, robust ambiguity sets, distributionally robust barriers и finite-sample certification редких переходов.</w:t>
      </w:r>
    </w:p>
    <w:p>
      <w:pPr>
        <w:pStyle w:val="Small"/>
      </w:pPr>
      <w:r>
        <w:t>checkpoint=T2-RP-v0.19; source=T2-RP-v0.18; truth_layer_promotion=0; next=T2-RP-v0.20.</w:t>
      </w:r>
    </w:p>
    <w:p>
      <w:r>
        <w:br w:type="page"/>
      </w:r>
    </w:p>
    <w:p>
      <w:pPr>
        <w:pStyle w:val="Heading1"/>
      </w:pPr>
      <w:r>
        <w:t>Глава 23. Large deviations, risk-sensitive semigroups, геометрия редких событий и конечновыборочная сертификация</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Редкое событие не является “почти несуществующим” объектом. Оно является измеримым множеством путей, конфигураций или реперных состояний, вероятность которого изучается в определённом масштабе и топологии.</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Large-deviation principle сообщает экспоненциальный порядок вероятности, но не точную вероятность при конечном объёме данных. Risk-sensitive functional сообщает экспоненциально взвешенную стоимость, но не частоту события.</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Редкий переход проявляется как траектория, преодолевающая action barrier. Наиболее вероятный путь редкого события является вариационным кандидатом, а не зарегистрированным будущим.</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Асимптотика, собственное значение, квазипотенциал, отсутствие наблюдённых событий и λ-близость не разрешают вывод “событие невозможно”. Требуются finite-n bound, coverage, D/Dom и внешний тест.</w:t>
            </w:r>
          </w:p>
        </w:tc>
      </w:tr>
    </w:tbl>
    <w:p>
      <w:pPr>
        <w:pStyle w:val="Lead"/>
      </w:pPr>
      <w:r>
        <w:t>Статус главы: theorem/conditional/computational package. Глава строит редкособытийный слой над stochastic carrier v0.19 и сохраняет раздельность математического, вероятностного, причинного и физического статусов.</w:t>
      </w:r>
    </w:p>
    <w:p>
      <w:pPr>
        <w:pStyle w:val="Quote"/>
        <w:jc w:val="center"/>
      </w:pPr>
      <w:r>
        <w:t>truth_layer_promotion=0; source=T2-RP-v0.19; checkpoint=T2-RP-v0.20.  (23.1)</w:t>
      </w:r>
    </w:p>
    <w:p>
      <w:pPr>
        <w:pStyle w:val="Heading1"/>
      </w:pPr>
      <w:r>
        <w:t>329. Четыре уровня редкособытийного вывода</w:t>
      </w:r>
    </w:p>
    <w:p>
      <w:pPr>
        <w:pStyle w:val="Heading2"/>
      </w:pPr>
      <w:r>
        <w:t>Типизированная лестница</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L0: support impossibility</w:t>
            </w:r>
          </w:p>
        </w:tc>
        <w:tc>
          <w:tcPr>
            <w:tcW w:type="dxa" w:w="6480"/>
            <w:tcMar>
              <w:top w:w="90" w:type="dxa"/>
              <w:start w:w="100" w:type="dxa"/>
              <w:bottom w:w="90" w:type="dxa"/>
              <w:end w:w="100" w:type="dxa"/>
            </w:tcMar>
            <w:vAlign w:val="center"/>
          </w:tcPr>
          <w:p>
            <w:r>
              <w:t>Целевое множество не пересекает допустимый support или достижимое множество. Только здесь возможна точная вероятность 0 внутри модели.</w:t>
            </w:r>
          </w:p>
        </w:tc>
      </w:tr>
      <w:tr>
        <w:tc>
          <w:tcPr>
            <w:tcW w:type="dxa" w:w="3168"/>
            <w:tcMar>
              <w:top w:w="90" w:type="dxa"/>
              <w:start w:w="100" w:type="dxa"/>
              <w:bottom w:w="90" w:type="dxa"/>
              <w:end w:w="100" w:type="dxa"/>
            </w:tcMar>
            <w:vAlign w:val="center"/>
          </w:tcPr>
          <w:p>
            <w:r>
              <w:t>L1: finite-sample risk bound</w:t>
            </w:r>
          </w:p>
        </w:tc>
        <w:tc>
          <w:tcPr>
            <w:tcW w:type="dxa" w:w="6480"/>
            <w:tcMar>
              <w:top w:w="90" w:type="dxa"/>
              <w:start w:w="100" w:type="dxa"/>
              <w:bottom w:w="90" w:type="dxa"/>
              <w:end w:w="100" w:type="dxa"/>
            </w:tcMar>
            <w:vAlign w:val="center"/>
          </w:tcPr>
          <w:p>
            <w:r>
              <w:t>С вероятностью не ниже 1-β по данным доказано P(A)≤α. Это конечновыборочная граница, а не асимптотика.</w:t>
            </w:r>
          </w:p>
        </w:tc>
      </w:tr>
      <w:tr>
        <w:tc>
          <w:tcPr>
            <w:tcW w:type="dxa" w:w="3168"/>
            <w:tcMar>
              <w:top w:w="90" w:type="dxa"/>
              <w:start w:w="100" w:type="dxa"/>
              <w:bottom w:w="90" w:type="dxa"/>
              <w:end w:w="100" w:type="dxa"/>
            </w:tcMar>
            <w:vAlign w:val="center"/>
          </w:tcPr>
          <w:p>
            <w:r>
              <w:t>L2: exponential suppression</w:t>
            </w:r>
          </w:p>
        </w:tc>
        <w:tc>
          <w:tcPr>
            <w:tcW w:type="dxa" w:w="6480"/>
            <w:tcMar>
              <w:top w:w="90" w:type="dxa"/>
              <w:start w:w="100" w:type="dxa"/>
              <w:bottom w:w="90" w:type="dxa"/>
              <w:end w:w="100" w:type="dxa"/>
            </w:tcMar>
            <w:vAlign w:val="center"/>
          </w:tcPr>
          <w:p>
            <w:r>
              <w:t>Доказан LDP и положительный rate barrier c_A. Получается логарифмическая асимптотика или eventual bound.</w:t>
            </w:r>
          </w:p>
        </w:tc>
      </w:tr>
      <w:tr>
        <w:tc>
          <w:tcPr>
            <w:tcW w:type="dxa" w:w="3168"/>
            <w:tcMar>
              <w:top w:w="90" w:type="dxa"/>
              <w:start w:w="100" w:type="dxa"/>
              <w:bottom w:w="90" w:type="dxa"/>
              <w:end w:w="100" w:type="dxa"/>
            </w:tcMar>
            <w:vAlign w:val="center"/>
          </w:tcPr>
          <w:p>
            <w:r>
              <w:t>L3: low-action candidate</w:t>
            </w:r>
          </w:p>
        </w:tc>
        <w:tc>
          <w:tcPr>
            <w:tcW w:type="dxa" w:w="6480"/>
            <w:tcMar>
              <w:top w:w="90" w:type="dxa"/>
              <w:start w:w="100" w:type="dxa"/>
              <w:bottom w:w="90" w:type="dxa"/>
              <w:end w:w="100" w:type="dxa"/>
            </w:tcMar>
            <w:vAlign w:val="center"/>
          </w:tcPr>
          <w:p>
            <w:r>
              <w:t>Найден минимально-действующий путь или малый rate. Это кандидат редкого перехода, не его наступление.</w:t>
            </w:r>
          </w:p>
        </w:tc>
      </w:tr>
      <w:tr>
        <w:tc>
          <w:tcPr>
            <w:tcW w:type="dxa" w:w="3168"/>
            <w:tcMar>
              <w:top w:w="90" w:type="dxa"/>
              <w:start w:w="100" w:type="dxa"/>
              <w:bottom w:w="90" w:type="dxa"/>
              <w:end w:w="100" w:type="dxa"/>
            </w:tcMar>
            <w:vAlign w:val="center"/>
          </w:tcPr>
          <w:p>
            <w:r>
              <w:t>L4: empirical event</w:t>
            </w:r>
          </w:p>
        </w:tc>
        <w:tc>
          <w:tcPr>
            <w:tcW w:type="dxa" w:w="6480"/>
            <w:tcMar>
              <w:top w:w="90" w:type="dxa"/>
              <w:start w:w="100" w:type="dxa"/>
              <w:bottom w:w="90" w:type="dxa"/>
              <w:end w:w="100" w:type="dxa"/>
            </w:tcMar>
            <w:vAlign w:val="center"/>
          </w:tcPr>
          <w:p>
            <w:r>
              <w:t>Событие зарегистрировано независимым наблюдением. Только этот слой сообщает фактическое наступление.</w:t>
            </w:r>
          </w:p>
        </w:tc>
      </w:tr>
    </w:tbl>
    <w:p>
      <w:pPr/>
      <w:r>
        <w:t>Основной firewall главы: L2 не подменяет L1, а L3 не подменяет L4. Человеческая любовь к одному числу на все случаи вновь подвергнута ограничению области определения.</w:t>
      </w:r>
    </w:p>
    <w:p>
      <w:pPr>
        <w:pStyle w:val="Heading1"/>
      </w:pPr>
      <w:r>
        <w:t>330. Определение large-deviation principle</w:t>
      </w:r>
    </w:p>
    <w:p>
      <w:pPr/>
      <w:r>
        <w:t>Пусть Z_n принимает значения в хаусдорфовом топологическом пространстве 𝒳, а a_n→∞ является скоростью. Функция I:𝒳→[0,∞] называется rate function, если она полунепрерывна снизу; good rate function имеет компактные подуровни {I≤c}. Семейство удовлетворяет LDP, если для всякого борелевского A</w:t>
      </w:r>
    </w:p>
    <w:p>
      <w:pPr>
        <w:pStyle w:val="Quote"/>
        <w:jc w:val="center"/>
      </w:pPr>
      <w:r>
        <w:t>-inf_{x∈A°} I(x) ≤ liminf_n a_n^{-1}log P(Z_n∈A) ≤ limsup_n a_n^{-1}log P(Z_n∈A) ≤ -inf_{x∈cl A}I(x).  (23.2)</w:t>
      </w:r>
    </w:p>
    <w:p>
      <w:pPr/>
      <w:r>
        <w:t>Верхняя и нижняя оценки используют разные регуляризации множества. Равенство экспоненты получается только для I-continuity sets, где inf по внутренности и замыканию совпадает.</w:t>
      </w:r>
    </w:p>
    <w:p>
      <w:pPr>
        <w:pStyle w:val="Heading1"/>
      </w:pPr>
      <w:r>
        <w:t>331. Экспоненциальная tightness и good rate</w:t>
      </w:r>
    </w:p>
    <w:p>
      <w:pPr/>
      <w:r>
        <w:t>Экспоненциальная tightness означает: для каждого M существует компакт K_M, для которого</w:t>
      </w:r>
    </w:p>
    <w:p>
      <w:pPr>
        <w:pStyle w:val="Quote"/>
        <w:jc w:val="center"/>
      </w:pPr>
      <w:r>
        <w:t>limsup_n a_n^{-1}log P(Z_n∉K_M) ≤ -M.  (23.3)</w:t>
      </w:r>
    </w:p>
    <w:p>
      <w:pPr/>
      <w:r>
        <w:t>Она позволяет усиливать weak LDP на компактах до полной верхней оценки на замкнутых множествах при стандартных условиях. В бесконечномерных path spaces compactness является отдельным доказательным обязательством; ограниченность нормы обычно недостаточна.</w:t>
      </w:r>
    </w:p>
    <w:p>
      <w:pPr>
        <w:pStyle w:val="Heading1"/>
      </w:pPr>
      <w:r>
        <w:t>332. Contraction principle</w:t>
      </w:r>
    </w:p>
    <w:p>
      <w:pPr/>
      <w:r>
        <w:t>Теорема 23.1 (contraction principle). [THM/prior art] Если Z_n удовлетворяет LDP на 𝒳 с good rate I и F:𝒳→𝒴 непрерывно, то Y_n=F(Z_n) удовлетворяет LDP с rate</w:t>
      </w:r>
    </w:p>
    <w:p>
      <w:pPr>
        <w:pStyle w:val="Quote"/>
        <w:jc w:val="center"/>
      </w:pPr>
      <w:r>
        <w:t>J(y)=inf{I(x):F(x)=y},    inf∅=∞.  (23.4)</w:t>
      </w:r>
    </w:p>
    <w:p>
      <w:pPr/>
      <w:r>
        <w:t>Для KLT-RBD отображением F может быть λ-координата, obstruction profile, hitting functional или projection к конечному реперному графу. Непрерывность проверяется в выбранной топологии; у полюсов кросс-соотношения contraction principle напрямую неприменим.</w:t>
      </w:r>
    </w:p>
    <w:p>
      <w:pPr>
        <w:jc w:val="center"/>
      </w:pPr>
      <w:r>
        <w:drawing>
          <wp:inline xmlns:a="http://schemas.openxmlformats.org/drawingml/2006/main" xmlns:pic="http://schemas.openxmlformats.org/drawingml/2006/picture">
            <wp:extent cx="6126480" cy="4034006"/>
            <wp:docPr id="61" name="Picture 61"/>
            <wp:cNvGraphicFramePr>
              <a:graphicFrameLocks noChangeAspect="1"/>
            </wp:cNvGraphicFramePr>
            <a:graphic>
              <a:graphicData uri="http://schemas.openxmlformats.org/drawingml/2006/picture">
                <pic:pic>
                  <pic:nvPicPr>
                    <pic:cNvPr id="0" name="fig23_1.png"/>
                    <pic:cNvPicPr/>
                  </pic:nvPicPr>
                  <pic:blipFill>
                    <a:blip r:embed="rId98"/>
                    <a:stretch>
                      <a:fillRect/>
                    </a:stretch>
                  </pic:blipFill>
                  <pic:spPr>
                    <a:xfrm>
                      <a:off x="0" y="0"/>
                      <a:ext cx="6126480" cy="4034006"/>
                    </a:xfrm>
                    <a:prstGeom prst="rect"/>
                  </pic:spPr>
                </pic:pic>
              </a:graphicData>
            </a:graphic>
          </wp:inline>
        </w:drawing>
      </w:r>
    </w:p>
    <w:p>
      <w:pPr>
        <w:pStyle w:val="Caption"/>
        <w:jc w:val="center"/>
      </w:pPr>
      <w:r>
        <w:t>Рисунок 23.1. Large-deviation pipeline и доказательный firewall. Собственная схема Тома II.</w:t>
      </w:r>
    </w:p>
    <w:p>
      <w:pPr>
        <w:pStyle w:val="Heading1"/>
      </w:pPr>
      <w:r>
        <w:t>333. Laplace principle и лемма Варадана</w:t>
      </w:r>
    </w:p>
    <w:p>
      <w:pPr/>
      <w:r>
        <w:t>Laplace principle утверждает для подходящих ограниченных непрерывных F:</w:t>
      </w:r>
    </w:p>
    <w:p>
      <w:pPr>
        <w:pStyle w:val="Quote"/>
        <w:jc w:val="center"/>
      </w:pPr>
      <w:r>
        <w:t>lim_n a_n^{-1}log E exp(a_n F(Z_n)) = sup_{x∈𝒳}{F(x)-I(x)}.  (23.5)</w:t>
      </w:r>
    </w:p>
    <w:p>
      <w:pPr/>
      <w:r>
        <w:t>На польских пространствах при стандартных условиях Laplace principle эквивалентен LDP. Неограниченные F требуют exponential integrability или tail condition. Формула (23.5) является вариационным пределом, а не точным равенством для конечного n.</w:t>
      </w:r>
    </w:p>
    <w:p>
      <w:pPr>
        <w:pStyle w:val="Heading1"/>
      </w:pPr>
      <w:r>
        <w:t>334. Gärtner-Ellis theorem и границы применимости</w:t>
      </w:r>
    </w:p>
    <w:p>
      <w:pPr/>
      <w:r>
        <w:t>Пусть для θ в двойственном пространстве существует scaled cumulant generating function</w:t>
      </w:r>
    </w:p>
    <w:p>
      <w:pPr>
        <w:pStyle w:val="Quote"/>
        <w:jc w:val="center"/>
      </w:pPr>
      <w:r>
        <w:t>Λ(θ)=lim_n a_n^{-1}log E exp(a_n⟨θ,Z_n⟩).  (23.6)</w:t>
      </w:r>
    </w:p>
    <w:p>
      <w:pPr/>
      <w:r>
        <w:t>Кандидат rate задаётся Legendre-Fenchel transform I(x)=sup_θ{⟨θ,x⟩-Λ(θ)}. Полная нижняя оценка требует условий вроде essential smoothness/steepness или экспонированных точек. Простое существование Λ не гарантирует полный LDP, особенно на границе effective domain.</w:t>
      </w:r>
    </w:p>
    <w:p>
      <w:pPr/>
      <w:r>
        <w:t>Контрпредупреждение: недифференцируемость Λ может отражать сосуществование фаз или потерю единственности оптимального tilt. Она является structural signal, но не автоматически физическим фазовым переходом.</w:t>
      </w:r>
    </w:p>
    <w:p>
      <w:pPr>
        <w:pStyle w:val="Heading1"/>
      </w:pPr>
      <w:r>
        <w:t>335. Sanov layer: эмпирическая мера и относительная энтропия</w:t>
      </w:r>
    </w:p>
    <w:p>
      <w:pPr/>
      <w:r>
        <w:t>Для i.i.d. выборки X_1,…,X_n с законом P эмпирическая мера L_n=n^{-1}Σδ_{X_i} при стандартных условиях удовлетворяет LDP со скоростью n и rate</w:t>
      </w:r>
    </w:p>
    <w:p>
      <w:pPr>
        <w:pStyle w:val="Quote"/>
        <w:jc w:val="center"/>
      </w:pPr>
      <w:r>
        <w:t>I(Q)=D(Q||P),  (23.7)</w:t>
      </w:r>
    </w:p>
    <w:p>
      <w:pPr/>
      <w:r>
        <w:t>где D(Q||P) - относительная энтропия, равная ∞ при Q не абсолютно непрерывной относительно P. Sanov layer связывает отклонение эмпирического распределения с информационной стоимостью, но не делает KL-divergence физической энергией без отдельного моста.</w:t>
      </w:r>
    </w:p>
    <w:p>
      <w:pPr>
        <w:pStyle w:val="Heading1"/>
      </w:pPr>
      <w:r>
        <w:t>336. Path-space LDP и topology ledger</w:t>
      </w:r>
    </w:p>
    <w:p>
      <w:pPr/>
      <w:r>
        <w:t>Для процессов объектом LDP является закон на C([0,T],E), D([0,T],E) или иной path space. Сертификат обязан фиксировать topology: uniform, Skorokhod J1/M1, weak topology мер или projective topology. Один и тот же набор путей может иметь разные compactness и continuity properties в разных топологиях.</w:t>
      </w:r>
    </w:p>
    <w:p>
      <w:pPr/>
      <w:r>
        <w:t>В KLT-RBD topology ledger хранит: state metric, path topology, admissible discontinuities, boundary conditions, measurable target sets и continuity status всех реперных отображений.</w:t>
      </w:r>
    </w:p>
    <w:p>
      <w:pPr>
        <w:pStyle w:val="Heading1"/>
      </w:pPr>
      <w:r>
        <w:t>337. Freidlin-Wentzell action для малошумных диффузий</w:t>
      </w:r>
    </w:p>
    <w:p>
      <w:pPr/>
      <w:r>
        <w:t>Для семейства</w:t>
      </w:r>
    </w:p>
    <w:p>
      <w:pPr>
        <w:pStyle w:val="Quote"/>
        <w:jc w:val="center"/>
      </w:pPr>
      <w:r>
        <w:t>dX_t^ε=b(X_t^ε)dt+√ε σ(X_t^ε)dW_t  (23.8)</w:t>
      </w:r>
    </w:p>
    <w:p>
      <w:pPr/>
      <w:r>
        <w:t>при невырожденной a=σσᵀ и стандартных условиях path rate для абсолютно непрерывной φ с φ(0)=x_0 имеет вид</w:t>
      </w:r>
    </w:p>
    <w:p>
      <w:pPr>
        <w:pStyle w:val="Quote"/>
        <w:jc w:val="center"/>
      </w:pPr>
      <w:r>
        <w:t>S_{0T}(φ)=1/2 ∫_0^T ⟨φ_dot-b(φ), a(φ)^{-1}(φ_dot-b(φ))⟩ dt,  (23.9)</w:t>
      </w:r>
    </w:p>
    <w:p>
      <w:pPr/>
      <w:r>
        <w:t>а для остальных путей S=∞. В вырожденном случае требуется control representation и проверка достижимости; формула с a^{-1} может быть бессмысленной.</w:t>
      </w:r>
    </w:p>
    <w:p>
      <w:pPr>
        <w:pStyle w:val="Heading1"/>
      </w:pPr>
      <w:r>
        <w:t>338. Quasipotential и геометрия метастабильных переходов</w:t>
      </w:r>
    </w:p>
    <w:p>
      <w:pPr/>
      <w:r>
        <w:t>Квазипотенциал между x и y определяется</w:t>
      </w:r>
    </w:p>
    <w:p>
      <w:pPr>
        <w:pStyle w:val="Quote"/>
        <w:jc w:val="center"/>
      </w:pPr>
      <w:r>
        <w:t>V(x,y)=inf_{T&gt;0} inf_{φ(0)=x, φ(T)=y} S_{0T}(φ).  (23.10)</w:t>
      </w:r>
    </w:p>
    <w:p>
      <w:pPr/>
      <w:r>
        <w:t>Для множеств A,B используется inf по начальным и конечным точкам. Минимизатор, если он существует, является most probable transition path на логарифмическом масштабе. Он не является детерминированной будущей траекторией и может быть неединственным.</w:t>
      </w:r>
    </w:p>
    <w:p>
      <w:pPr>
        <w:jc w:val="center"/>
      </w:pPr>
      <w:r>
        <w:drawing>
          <wp:inline xmlns:a="http://schemas.openxmlformats.org/drawingml/2006/main" xmlns:pic="http://schemas.openxmlformats.org/drawingml/2006/picture">
            <wp:extent cx="6126480" cy="3689686"/>
            <wp:docPr id="62" name="Picture 62"/>
            <wp:cNvGraphicFramePr>
              <a:graphicFrameLocks noChangeAspect="1"/>
            </wp:cNvGraphicFramePr>
            <a:graphic>
              <a:graphicData uri="http://schemas.openxmlformats.org/drawingml/2006/picture">
                <pic:pic>
                  <pic:nvPicPr>
                    <pic:cNvPr id="0" name="fig23_2.png"/>
                    <pic:cNvPicPr/>
                  </pic:nvPicPr>
                  <pic:blipFill>
                    <a:blip r:embed="rId99"/>
                    <a:stretch>
                      <a:fillRect/>
                    </a:stretch>
                  </pic:blipFill>
                  <pic:spPr>
                    <a:xfrm>
                      <a:off x="0" y="0"/>
                      <a:ext cx="6126480" cy="3689686"/>
                    </a:xfrm>
                    <a:prstGeom prst="rect"/>
                  </pic:spPr>
                </pic:pic>
              </a:graphicData>
            </a:graphic>
          </wp:inline>
        </w:drawing>
      </w:r>
    </w:p>
    <w:p>
      <w:pPr>
        <w:pStyle w:val="Caption"/>
        <w:jc w:val="center"/>
      </w:pPr>
      <w:r>
        <w:t>Рисунок 23.2. Quasipotential barrier и минимально-действующая траектория. Собственная схема Тома II.</w:t>
      </w:r>
    </w:p>
    <w:p>
      <w:pPr>
        <w:pStyle w:val="Heading1"/>
      </w:pPr>
      <w:r>
        <w:t>339. Редкособытийная геометрия Reper-path</w:t>
      </w:r>
    </w:p>
    <w:p>
      <w:pPr/>
      <w:r>
        <w:t>Пусть структурное состояние z включает</w:t>
      </w:r>
    </w:p>
    <w:p>
      <w:pPr>
        <w:pStyle w:val="Quote"/>
        <w:jc w:val="center"/>
      </w:pPr>
      <w:r>
        <w:t>z=(Rep, μ, Ass, o, λ, D, Dom).  (23.11)</w:t>
      </w:r>
    </w:p>
    <w:p>
      <w:pPr/>
      <w:r>
        <w:t>Для path z(·) вводится target rare-event set</w:t>
      </w:r>
    </w:p>
    <w:p>
      <w:pPr>
        <w:pStyle w:val="Quote"/>
        <w:jc w:val="center"/>
      </w:pPr>
      <w:r>
        <w:t>A_{ε,η}={z(·): inf_t |λ_t+1|≤ε, ||o_t||≤η, Valid(D_t)=1, Block_t=∅}.  (23.12)</w:t>
      </w:r>
    </w:p>
    <w:p>
      <w:pPr/>
      <w:r>
        <w:t>Rate barrier</w:t>
      </w:r>
    </w:p>
    <w:p>
      <w:pPr>
        <w:pStyle w:val="Quote"/>
        <w:jc w:val="center"/>
      </w:pPr>
      <w:r>
        <w:t>c_{ε,η}=inf_{z(·)∈cl A_{ε,η}} I_path(z).  (23.13)</w:t>
      </w:r>
    </w:p>
    <w:p>
      <w:pPr/>
      <w:r>
        <w:t>имеет смысл только после доказательства LDP полного структурного carrier и измеримости A_{ε,η}. В текущем Томе эта конструкция является typed interface, а не доказанным универсальным LDP для всей NAPG.</w:t>
      </w:r>
    </w:p>
    <w:p>
      <w:pPr>
        <w:pStyle w:val="Heading1"/>
      </w:pPr>
      <w:r>
        <w:t>340. Полюса λ и расширенный contraction firewall</w:t>
      </w:r>
    </w:p>
    <w:p>
      <w:pPr/>
      <w:r>
        <w:t>Кросс-соотношение λ=(U-R)(I-D)/((U-D)(I-R)) не непрерывно на pole set {(U-D)(I-R)=0}. Если rare-event target касается полюса, обычный contraction principle не применим.</w:t>
      </w:r>
    </w:p>
    <w:p>
      <w:pPr/>
      <w:r>
        <w:t>Допустимы три ремонта:</w:t>
      </w:r>
    </w:p>
    <w:p>
      <w:pPr>
        <w:pStyle w:val="ListBullet"/>
      </w:pPr>
      <w:r>
        <w:t>доказать exponential negligibility окрестности pole set;</w:t>
      </w:r>
    </w:p>
    <w:p>
      <w:pPr>
        <w:pStyle w:val="ListBullet"/>
      </w:pPr>
      <w:r>
        <w:t>расширить state carrier однородными координатами и использовать projective graph closure;</w:t>
      </w:r>
    </w:p>
    <w:p>
      <w:pPr>
        <w:pStyle w:val="ListBullet"/>
      </w:pPr>
      <w:r>
        <w:t>разбить Dom на карты и доказать exponential equivalence локальных представлений.</w:t>
      </w:r>
    </w:p>
    <w:p>
      <w:pPr/>
      <w:r>
        <w:t>При отсутствии ремонта вывод обязан быть ABSTAIN, даже если численный λ выглядит внушительно. Особенно если выглядит внушительно.</w:t>
      </w:r>
    </w:p>
    <w:p>
      <w:pPr>
        <w:pStyle w:val="Heading1"/>
      </w:pPr>
      <w:r>
        <w:t>341. Donsker-Varadhan layer для эмпирических мер Markov-процесса</w:t>
      </w:r>
    </w:p>
    <w:p>
      <w:pPr/>
      <w:r>
        <w:t>Для эргодического Markov-процесса time-empirical measure</w:t>
      </w:r>
    </w:p>
    <w:p>
      <w:pPr>
        <w:pStyle w:val="Quote"/>
        <w:jc w:val="center"/>
      </w:pPr>
      <w:r>
        <w:t>L_T=(1/T)∫_0^T δ_{X_t}dt  (23.14)</w:t>
      </w:r>
    </w:p>
    <w:p>
      <w:pPr/>
      <w:r>
        <w:t>может удовлетворять LDP со скоростью T и Donsker-Varadhan rate functional. Общая вариационная форма зависит от генератора и domain; в подходящем секторе</w:t>
      </w:r>
    </w:p>
    <w:p>
      <w:pPr>
        <w:pStyle w:val="Quote"/>
        <w:jc w:val="center"/>
      </w:pPr>
      <w:r>
        <w:t>I_DV(μ)= -inf_{u&gt;0} ∫ (Lu/u)dμ.  (23.15)</w:t>
      </w:r>
    </w:p>
    <w:p>
      <w:pPr/>
      <w:r>
        <w:t>Требуются irreducibility/recurrence и аналитические условия. Формула не переносится на произвольный partial NAPG-generator без доказательства.</w:t>
      </w:r>
    </w:p>
    <w:p>
      <w:pPr>
        <w:pStyle w:val="Heading1"/>
      </w:pPr>
      <w:r>
        <w:t>342. Feynman-Kac semigroup</w:t>
      </w:r>
    </w:p>
    <w:p>
      <w:pPr/>
      <w:r>
        <w:t>Для потенциала V и Markov process X_t определяется положительный semigroup</w:t>
      </w:r>
    </w:p>
    <w:p>
      <w:pPr>
        <w:pStyle w:val="Quote"/>
        <w:jc w:val="center"/>
      </w:pPr>
      <w:r>
        <w:t>(Q_t^V f)(x)=E_x[exp(∫_0^t V(X_s)ds) f(X_t)].  (23.16)</w:t>
      </w:r>
    </w:p>
    <w:p>
      <w:pPr/>
      <w:r>
        <w:t>В отличие от Markov semigroup, Q_t^V обычно не сохраняет единицу. Его long-time growth связан с principal eigenvalue или spectral bound при дополнительных compactness/irreducibility assumptions.</w:t>
      </w:r>
    </w:p>
    <w:p>
      <w:pPr>
        <w:pStyle w:val="Heading1"/>
      </w:pPr>
      <w:r>
        <w:t>343. Risk-sensitive логарифмический semigroup</w:t>
      </w:r>
    </w:p>
    <w:p>
      <w:pPr/>
      <w:r>
        <w:t>Для θ≠0 и terminal cost g вводится</w:t>
      </w:r>
    </w:p>
    <w:p>
      <w:pPr>
        <w:pStyle w:val="Quote"/>
        <w:jc w:val="center"/>
      </w:pPr>
      <w:r>
        <w:t>(S_t^{θ,V}g)(x)=θ^{-1} log E_x exp(θ[g(X_t)+∫_0^t V(X_s)ds]).  (23.17)</w:t>
      </w:r>
    </w:p>
    <w:p>
      <w:pPr/>
      <w:r>
        <w:t>Markov property и additive cost дают нелинейное semigroup property. Параметр θ&gt;0 усиливает верхние хвосты стоимости; θ&lt;0 меняет ориентацию риска. Значение θ является частью модели, а не универсальной константой осторожности.</w:t>
      </w:r>
    </w:p>
    <w:p>
      <w:pPr>
        <w:jc w:val="center"/>
      </w:pPr>
      <w:r>
        <w:drawing>
          <wp:inline xmlns:a="http://schemas.openxmlformats.org/drawingml/2006/main" xmlns:pic="http://schemas.openxmlformats.org/drawingml/2006/picture">
            <wp:extent cx="6126480" cy="3957532"/>
            <wp:docPr id="63" name="Picture 63"/>
            <wp:cNvGraphicFramePr>
              <a:graphicFrameLocks noChangeAspect="1"/>
            </wp:cNvGraphicFramePr>
            <a:graphic>
              <a:graphicData uri="http://schemas.openxmlformats.org/drawingml/2006/picture">
                <pic:pic>
                  <pic:nvPicPr>
                    <pic:cNvPr id="0" name="fig23_3.png"/>
                    <pic:cNvPicPr/>
                  </pic:nvPicPr>
                  <pic:blipFill>
                    <a:blip r:embed="rId100"/>
                    <a:stretch>
                      <a:fillRect/>
                    </a:stretch>
                  </pic:blipFill>
                  <pic:spPr>
                    <a:xfrm>
                      <a:off x="0" y="0"/>
                      <a:ext cx="6126480" cy="3957532"/>
                    </a:xfrm>
                    <a:prstGeom prst="rect"/>
                  </pic:spPr>
                </pic:pic>
              </a:graphicData>
            </a:graphic>
          </wp:inline>
        </w:drawing>
      </w:r>
    </w:p>
    <w:p>
      <w:pPr>
        <w:pStyle w:val="Caption"/>
        <w:jc w:val="center"/>
      </w:pPr>
      <w:r>
        <w:t>Рисунок 23.3. Feynman-Kac и risk-sensitive semigroup. Собственная схема Тома II.</w:t>
      </w:r>
    </w:p>
    <w:p>
      <w:pPr>
        <w:pStyle w:val="Heading1"/>
      </w:pPr>
      <w:r>
        <w:t>344. Нелинейный генератор risk-sensitive слоя</w:t>
      </w:r>
    </w:p>
    <w:p>
      <w:pPr/>
      <w:r>
        <w:t>Для гладкого f формальный логарифмический генератор имеет вид</w:t>
      </w:r>
    </w:p>
    <w:p>
      <w:pPr>
        <w:pStyle w:val="Quote"/>
        <w:jc w:val="center"/>
      </w:pPr>
      <w:r>
        <w:t>H_θ f = θ^{-1}e^{-θf}L(e^{θf})+V.  (23.18)</w:t>
      </w:r>
    </w:p>
    <w:p>
      <w:pPr/>
      <w:r>
        <w:t>Для диффузионного L получается</w:t>
      </w:r>
    </w:p>
    <w:p>
      <w:pPr>
        <w:pStyle w:val="Quote"/>
        <w:jc w:val="center"/>
      </w:pPr>
      <w:r>
        <w:t>H_θ f = Lf +(θ/2)||σᵀ∇f||²+V.  (23.19)</w:t>
      </w:r>
    </w:p>
    <w:p>
      <w:pPr/>
      <w:r>
        <w:t>Квадратичный gradient term кодирует экспоненциальную чувствительность. Формулы (23.18)-(23.19) требуют Dom(e^{θf}) и интегрируемости; формальный расчёт не гарантирует semigroup realization.</w:t>
      </w:r>
    </w:p>
    <w:p>
      <w:pPr>
        <w:pStyle w:val="Heading1"/>
      </w:pPr>
      <w:r>
        <w:t>345. Long-time eigenvalue и multiplicative ergodic limit</w:t>
      </w:r>
    </w:p>
    <w:p>
      <w:pPr/>
      <w:r>
        <w:t>Risk-sensitive growth rate определяется, когда предел существует:</w:t>
      </w:r>
    </w:p>
    <w:p>
      <w:pPr>
        <w:pStyle w:val="Quote"/>
        <w:jc w:val="center"/>
      </w:pPr>
      <w:r>
        <w:t>ρ(θ)=lim_{t→∞}(1/t)log E_x exp(θ∫_0^t V(X_s)ds).  (23.20)</w:t>
      </w:r>
    </w:p>
    <w:p>
      <w:pPr/>
      <w:r>
        <w:t>При подходящих условиях ρ связан с principal eigenvalue L+θV и может не зависеть от x. Он является asymptotic cumulant rate, но не probability. Даже ρ&lt;0 не означает, что событие запрещено.</w:t>
      </w:r>
    </w:p>
    <w:p>
      <w:pPr>
        <w:pStyle w:val="Heading1"/>
      </w:pPr>
      <w:r>
        <w:t>346. Энтропийная вариационная формула</w:t>
      </w:r>
    </w:p>
    <w:p>
      <w:pPr/>
      <w:r>
        <w:t>Для измеримого F с конечной экспоненциальной нормировкой действует Gibbs-Donsker-Varadhan variational identity</w:t>
      </w:r>
    </w:p>
    <w:p>
      <w:pPr>
        <w:pStyle w:val="Quote"/>
        <w:jc w:val="center"/>
      </w:pPr>
      <w:r>
        <w:t>log E_P e^F = sup_{Q&lt;&lt;P}{E_Q F-D(Q||P)}.  (23.21)</w:t>
      </w:r>
    </w:p>
    <w:p>
      <w:pPr/>
      <w:r>
        <w:t>Она связывает exponential tilting и KL-штраф. Оптимальный Q, когда существует, пропорционален e^F P. Эта формула лежит в основе risk-sensitive и KL-robust duality, но не утверждает, что природа выбирает худший Q.</w:t>
      </w:r>
    </w:p>
    <w:p>
      <w:pPr>
        <w:pStyle w:val="Heading1"/>
      </w:pPr>
      <w:r>
        <w:t>347. Risk-sensitive control и HJB eigenproblem</w:t>
      </w:r>
    </w:p>
    <w:p>
      <w:pPr/>
      <w:r>
        <w:t>Для controlled generator L^a и running cost c(x,a) long-run criterion</w:t>
      </w:r>
    </w:p>
    <w:p>
      <w:pPr>
        <w:pStyle w:val="Quote"/>
        <w:jc w:val="center"/>
      </w:pPr>
      <w:r>
        <w:t>J_θ(a)=limsup_{T→∞}(1/(θT))log E^a exp(θ∫_0^T c(X_t,a_t)dt)  (23.22)</w:t>
      </w:r>
    </w:p>
    <w:p>
      <w:pPr/>
      <w:r>
        <w:t>приводит при достаточных условиях к nonlinear HJB/eigenvalue problem</w:t>
      </w:r>
    </w:p>
    <w:p>
      <w:pPr>
        <w:pStyle w:val="Quote"/>
        <w:jc w:val="center"/>
      </w:pPr>
      <w:r>
        <w:t>ρ+inf_a{L^a v+c(x,a)+(θ/2)||σ_aᵀ∇v||²}=0.  (23.23)</w:t>
      </w:r>
    </w:p>
    <w:p>
      <w:pPr/>
      <w:r>
        <w:t>Existence of eigenpair, verification theorem и optimal stationary control являются отдельными обязательствами. Risk-sensitive optimum не равен causal optimum без корректной intervention model и utility specification.</w:t>
      </w:r>
    </w:p>
    <w:p>
      <w:pPr>
        <w:pStyle w:val="Heading1"/>
      </w:pPr>
      <w:r>
        <w:t>348. Асимптотический exponent не является finite-n probability</w:t>
      </w:r>
    </w:p>
    <w:p>
      <w:pPr/>
      <w:r>
        <w:t>Теорема 23.2 (asymptotic-probability firewall). [THM] Из равенства</w:t>
      </w:r>
    </w:p>
    <w:p>
      <w:pPr>
        <w:pStyle w:val="Quote"/>
        <w:jc w:val="center"/>
      </w:pPr>
      <w:r>
        <w:t>lim_n a_n^{-1}log p_n=-c,    c&gt;0  (23.24)</w:t>
      </w:r>
    </w:p>
    <w:p>
      <w:pPr/>
      <w:r>
        <w:t>не следует универсальная формула p_n=e^{-a_nc} и не следует конкретная верхняя граница при заданном n. Для любого subexponential множителя r_n с log r_n/a_n→0 последовательность p_n=r_ne^{-a_nc} имеет тот же exponent.</w:t>
      </w:r>
    </w:p>
    <w:p>
      <w:pPr/>
      <w:r>
        <w:t>Следствие: LDP без remainder estimate допускает только eventual exponential statement: для каждого δ&gt;0 существует n_0(δ), после которого p_n≤exp[-a_n(c-δ)]. Значение n_0 не известно без дополнительного анализа.</w:t>
      </w:r>
    </w:p>
    <w:p>
      <w:pPr>
        <w:pStyle w:val="Heading1"/>
      </w:pPr>
      <w:r>
        <w:t>349. Importance sampling и unbiased rare-event estimator</w:t>
      </w:r>
    </w:p>
    <w:p>
      <w:pPr/>
      <w:r>
        <w:t>Для события A и proposal law Q, доминирующего P на A, likelihood ratio L=dP/dQ даёт</w:t>
      </w:r>
    </w:p>
    <w:p>
      <w:pPr>
        <w:pStyle w:val="Quote"/>
        <w:jc w:val="center"/>
      </w:pPr>
      <w:r>
        <w:t>p=P(A)=E_Q[1_A L].  (23.25)</w:t>
      </w:r>
    </w:p>
    <w:p>
      <w:pPr/>
      <w:r>
        <w:t>Estimator p_hat_N=N^{-1}Σ1_{A_i}L_i является несмещённым при корректном ratio. Ошибка определяется вторым моментом E_Q[1_A L²], а не только числом попаданий. Proposal, пропускающий часть A, создаёт скрытое смещение.</w:t>
      </w:r>
    </w:p>
    <w:p>
      <w:pPr>
        <w:pStyle w:val="Heading1"/>
      </w:pPr>
      <w:r>
        <w:t>350. Логарифмическая и bounded-relative-error эффективность</w:t>
      </w:r>
    </w:p>
    <w:p>
      <w:pPr/>
      <w:r>
        <w:t>В rare-event sequence p_n→0 importance scheme называется logarithmically efficient, если второй момент имеет оптимальный exponent; bounded relative error требует sup_n Var(p_hat_n)/p_n²&lt;∞. Эти свойства различны.</w:t>
      </w:r>
    </w:p>
    <w:p>
      <w:pPr/>
      <w:r>
        <w:t>Минимально-действующий путь может подсказывать exponential tilting, но его использование в sampling scheme требует доказать абсолютную непрерывность, weight stability и отсутствие mode collapse между несколькими instantons.</w:t>
      </w:r>
    </w:p>
    <w:p>
      <w:pPr>
        <w:pStyle w:val="Heading1"/>
      </w:pPr>
      <w:r>
        <w:t>351. Splitting и адаптивные уровни</w:t>
      </w:r>
    </w:p>
    <w:p>
      <w:pPr/>
      <w:r>
        <w:t>Multilevel splitting оценивает редкое попадание через вложенные множества A_0⊃A_1⊃…⊃A_m=A и произведение условных вероятностей. Уровни, resampling и dependence между потомками входят в сертификат. Адаптивный выбор уровней по тем же данным меняет закон estimator и требует собственного доказательства.</w:t>
      </w:r>
    </w:p>
    <w:p>
      <w:pPr/>
      <w:r>
        <w:t>В Reper-режиме уровни могут задаваться δ_truth, obstruction norm и action score, но scalar ordering обязана быть совместима с D/Dom; иначе алгоритм сортирует математически несопоставимые сценарии.</w:t>
      </w:r>
    </w:p>
    <w:p>
      <w:pPr>
        <w:pStyle w:val="Heading1"/>
      </w:pPr>
      <w:r>
        <w:t>352. Ambiguity sets: робастный слой</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Ambiguity set - это множество вероятностных законов, совместимых с данными и выбранной метрикой. Оно не является множеством “всех возможных миров”.</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Робастная граница истинна только при coverage theorem для включения реального закона в ambiguity set. Радиус без покрытия является параметром осторожности, а не сертификатом.</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Худший закон концентрирует массу там, где функционал наиболее неблагоприятен, в пределах разрешённой геометрии расстояния.</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Worst-case risk может быть консервативным, а может быть ложным при misspecified metric, dependence или tail class. Робастность к одному виду сдвига не означает универсальную переносимость.</w:t>
            </w:r>
          </w:p>
        </w:tc>
      </w:tr>
    </w:tbl>
    <w:p>
      <w:pPr/>
      <w:r>
        <w:t>Пусть P_hat_N - empirical law. Ambiguity set имеет общий вид</w:t>
      </w:r>
    </w:p>
    <w:p>
      <w:pPr>
        <w:pStyle w:val="Quote"/>
        <w:jc w:val="center"/>
      </w:pPr>
      <w:r>
        <w:t>U_N(ρ)={Q: d(Q,P_hat_N)≤ρ, Q∈𝒫_adm}.  (23.26)</w:t>
      </w:r>
    </w:p>
    <w:p>
      <w:pPr/>
      <w:r>
        <w:t>Предсказательная граница задаётся sup_{Q∈U_N}Q(A) или sup E_Qℓ. Метрика d и класс 𝒫_adm обязаны отражать реально допустимый distribution shift.</w:t>
      </w:r>
    </w:p>
    <w:p>
      <w:pPr>
        <w:pStyle w:val="Heading1"/>
      </w:pPr>
      <w:r>
        <w:t>353. KL и f-divergence ambiguity</w:t>
      </w:r>
    </w:p>
    <w:p>
      <w:pPr/>
      <w:r>
        <w:t>Для KL-ball D(Q||P_hat)≤ρ энтропийная duality даёт при подходящих условиях</w:t>
      </w:r>
    </w:p>
    <w:p>
      <w:pPr>
        <w:pStyle w:val="Quote"/>
        <w:jc w:val="center"/>
      </w:pPr>
      <w:r>
        <w:t>sup_{D(Q||P_hat)≤ρ} E_Qℓ ≤ inf_{η&gt;0}{ηρ+η log E_{P_hat} exp(ℓ/η)}.  (23.27)</w:t>
      </w:r>
    </w:p>
    <w:p>
      <w:pPr/>
      <w:r>
        <w:t>KL-ball не допускает массу вне support P_hat, если divergence ориентирована как D(Q||P_hat). Для редких ещё не наблюдавшихся областей это может быть фатальной слепотой. Обратная ориентация divergence имеет другие свойства и другую duality.</w:t>
      </w:r>
    </w:p>
    <w:p>
      <w:pPr>
        <w:pStyle w:val="Heading1"/>
      </w:pPr>
      <w:r>
        <w:t>354. Wasserstein ambiguity и геометрия новых состояний</w:t>
      </w:r>
    </w:p>
    <w:p>
      <w:pPr/>
      <w:r>
        <w:t>Wasserstein ball допускает перенос массы в близкие ненаблюдавшиеся состояния. Для transport cost c и достаточно регулярной ℓ типовая dual form имеет вид</w:t>
      </w:r>
    </w:p>
    <w:p>
      <w:pPr>
        <w:pStyle w:val="Quote"/>
        <w:jc w:val="center"/>
      </w:pPr>
      <w:r>
        <w:t>sup_{W_c(Q,P_hat)≤ρ}E_Qℓ = inf_{η≥0}{ηρ+E_{P_hat}[sup_z(ℓ(z)-ηc(z,ξ))]}.  (23.28)</w:t>
      </w:r>
    </w:p>
    <w:p>
      <w:pPr/>
      <w:r>
        <w:t>Точное равенство требует lower semicontinuity, growth и duality assumptions. Для indicator 1_A worst-case probability чувствительна к расстоянию наблюдений до A; при нулевом margin оценка может быть резко консервативной.</w:t>
      </w:r>
    </w:p>
    <w:p>
      <w:pPr>
        <w:pStyle w:val="Heading1"/>
      </w:pPr>
      <w:r>
        <w:t>355. Finite-sample coverage ambiguity set</w:t>
      </w:r>
    </w:p>
    <w:p>
      <w:pPr/>
      <w:r>
        <w:t>Радиус ρ_N(β) выбирается из доказанного concentration theorem так, чтобы</w:t>
      </w:r>
    </w:p>
    <w:p>
      <w:pPr>
        <w:pStyle w:val="Quote"/>
        <w:jc w:val="center"/>
      </w:pPr>
      <w:r>
        <w:t>P_data(P_*∈U_N(ρ_N(β)))≥1-β.  (23.29)</w:t>
      </w:r>
    </w:p>
    <w:p>
      <w:pPr/>
      <w:r>
        <w:t>Тогда одновременно с вероятностью не ниже 1-β</w:t>
      </w:r>
    </w:p>
    <w:p>
      <w:pPr>
        <w:pStyle w:val="Quote"/>
        <w:jc w:val="center"/>
      </w:pPr>
      <w:r>
        <w:t>P_*(A)≤sup_{Q∈U_N}Q(A).  (23.30)</w:t>
      </w:r>
    </w:p>
    <w:p>
      <w:pPr/>
      <w:r>
        <w:t>Скорость уменьшения ρ_N зависит от размерности, хвостов, метрики и dependence. Универсального dimension-free радиуса для произвольного распределения нет.</w:t>
      </w:r>
    </w:p>
    <w:p>
      <w:pPr>
        <w:pStyle w:val="Heading1"/>
      </w:pPr>
      <w:r>
        <w:t>356. Distributionally robust chance certificate</w:t>
      </w:r>
    </w:p>
    <w:p>
      <w:pPr/>
      <w:r>
        <w:t>Теорема 23.3 (coverage-to-risk). [THM] Если (23.29) выполнено и вычислено B_N(A)=sup_{Q∈U_N}Q(A), то</w:t>
      </w:r>
    </w:p>
    <w:p>
      <w:pPr>
        <w:pStyle w:val="Quote"/>
        <w:jc w:val="center"/>
      </w:pPr>
      <w:r>
        <w:t>P_data(P_*(A)≤B_N(A))≥1-β.  (23.31)</w:t>
      </w:r>
    </w:p>
    <w:p>
      <w:pPr/>
      <w:r>
        <w:t>Доказательство следует из включения P_*∈U_N. Этот результат конечновыборочный и не требует LDP. Однако его содержательность зависит от размера B_N и корректности ambiguity geometry.</w:t>
      </w:r>
    </w:p>
    <w:p>
      <w:pPr>
        <w:pStyle w:val="Heading1"/>
      </w:pPr>
      <w:r>
        <w:t>357. Точный биномиальный сертификат редкого события</w:t>
      </w:r>
    </w:p>
    <w:p>
      <w:pPr/>
      <w:r>
        <w:t>Пусть N независимых испытаний дают K попаданий в A при неизвестной вероятности p. Односторонняя Clopper-Pearson upper bound определяется beta-квантилем. При K=0 она упрощается:</w:t>
      </w:r>
    </w:p>
    <w:p>
      <w:pPr>
        <w:pStyle w:val="Quote"/>
        <w:jc w:val="center"/>
      </w:pPr>
      <w:r>
        <w:t>p_U=1-α^{1/N},    coverage ≥1-α.  (23.32)</w:t>
      </w:r>
    </w:p>
    <w:p>
      <w:pPr/>
      <w:r>
        <w:t>Доказательство: P_p(K=0)=(1-p)^N. Для p&gt;p_U эта вероятность меньше α. Поэтому отсутствие попаданий не означает p=0; оно даёт верхнюю границу порядка -log α/N.</w:t>
      </w:r>
    </w:p>
    <w:p>
      <w:pPr/>
      <w:r>
        <w:t>При dependence, adaptive stopping или importance weights биномиальная формула неприменима без ремонта.</w:t>
      </w:r>
    </w:p>
    <w:p>
      <w:pPr>
        <w:pStyle w:val="Heading1"/>
      </w:pPr>
      <w:r>
        <w:t>358. Bounded-loss concentration и empirical risk</w:t>
      </w:r>
    </w:p>
    <w:p>
      <w:pPr/>
      <w:r>
        <w:t>Для i.i.d. X_i∈[0,1] Hoeffding bound даёт с вероятностью не ниже 1-β</w:t>
      </w:r>
    </w:p>
    <w:p>
      <w:pPr>
        <w:pStyle w:val="Quote"/>
        <w:jc w:val="center"/>
      </w:pPr>
      <w:r>
        <w:t>E[X]≤X_bar_N+sqrt(log(1/β)/(2N)).  (23.33)</w:t>
      </w:r>
    </w:p>
    <w:p>
      <w:pPr/>
      <w:r>
        <w:t>Для очень редкого Bernoulli event exact binomial bound обычно информативнее. Variance-adaptive и PAC-Bayes bounds требуют собственных условий и prior/data separation; выбор bound после просмотра результата входит в multiple-selection ledger.</w:t>
      </w:r>
    </w:p>
    <w:p>
      <w:pPr>
        <w:pStyle w:val="Heading1"/>
      </w:pPr>
      <w:r>
        <w:t>359. Anytime-valid и последовательная сертификация</w:t>
      </w:r>
    </w:p>
    <w:p>
      <w:pPr/>
      <w:r>
        <w:t>Наследуя главу 22, e-process E_t позволяет контролировать ложный вывод при optional stopping. Для rare-event probability строятся confidence sequences [L_t,U_t], валидные одновременно по времени. Но adaptive intervention, changing target A_t и reuse данных могут разрушить supermartingale property.</w:t>
      </w:r>
    </w:p>
    <w:p>
      <w:pPr/>
      <w:r>
        <w:t>Sequential certificate обязан хранить filtration, betting strategy, update rule, alpha-spending/e-value calibration и все моменты изменения цели.</w:t>
      </w:r>
    </w:p>
    <w:p>
      <w:pPr>
        <w:pStyle w:val="Heading1"/>
      </w:pPr>
      <w:r>
        <w:t>360. Слияние asymptotic и finite-sample слоёв</w:t>
      </w:r>
    </w:p>
    <w:p>
      <w:pPr/>
      <w:r>
        <w:t>Полный сертификат может сочетать</w:t>
      </w:r>
    </w:p>
    <w:p>
      <w:pPr>
        <w:pStyle w:val="Quote"/>
        <w:jc w:val="center"/>
      </w:pPr>
      <w:r>
        <w:t>p_n(A) ≤ min{B_N^{rob}(A), C_n exp[-a_n(c_A-δ)]},  (23.34)</w:t>
      </w:r>
    </w:p>
    <w:p>
      <w:pPr/>
      <w:r>
        <w:t>где B_N^{rob} имеет coverage 1-β, а C_n и δ получены из доказанного nonasymptotic remainder. Без C_n или явного n_0 LDP-часть не является конечновыборочной границей.</w:t>
      </w:r>
    </w:p>
    <w:p>
      <w:pPr>
        <w:jc w:val="center"/>
      </w:pPr>
      <w:r>
        <w:drawing>
          <wp:inline xmlns:a="http://schemas.openxmlformats.org/drawingml/2006/main" xmlns:pic="http://schemas.openxmlformats.org/drawingml/2006/picture">
            <wp:extent cx="6126480" cy="3844664"/>
            <wp:docPr id="64" name="Picture 64"/>
            <wp:cNvGraphicFramePr>
              <a:graphicFrameLocks noChangeAspect="1"/>
            </wp:cNvGraphicFramePr>
            <a:graphic>
              <a:graphicData uri="http://schemas.openxmlformats.org/drawingml/2006/picture">
                <pic:pic>
                  <pic:nvPicPr>
                    <pic:cNvPr id="0" name="fig23_4.png"/>
                    <pic:cNvPicPr/>
                  </pic:nvPicPr>
                  <pic:blipFill>
                    <a:blip r:embed="rId101"/>
                    <a:stretch>
                      <a:fillRect/>
                    </a:stretch>
                  </pic:blipFill>
                  <pic:spPr>
                    <a:xfrm>
                      <a:off x="0" y="0"/>
                      <a:ext cx="6126480" cy="3844664"/>
                    </a:xfrm>
                    <a:prstGeom prst="rect"/>
                  </pic:spPr>
                </pic:pic>
              </a:graphicData>
            </a:graphic>
          </wp:inline>
        </w:drawing>
      </w:r>
    </w:p>
    <w:p>
      <w:pPr>
        <w:pStyle w:val="Caption"/>
        <w:jc w:val="center"/>
      </w:pPr>
      <w:r>
        <w:t>Рисунок 23.4. Finite-sample robust certificate редкого риска. Собственная схема Тома II.</w:t>
      </w:r>
    </w:p>
    <w:p>
      <w:pPr>
        <w:pStyle w:val="Heading1"/>
      </w:pPr>
      <w:r>
        <w:t>361. Неидентифицируемость хвоста по конечной выборке</w:t>
      </w:r>
    </w:p>
    <w:p>
      <w:pPr/>
      <w:r>
        <w:t>Теорема 23.4 (finite-sample tail no-go). [THM] Для любой конечной выборки, лежащей в ограниченном наблюдённом множестве B, существуют два распределения P_0 и P_1, совпадающие на B с точностью, достаточной для одинакового likelihood наблюдений, но имеющие произвольно разные вероятности далёкого события A.</w:t>
      </w:r>
    </w:p>
    <w:p>
      <w:pPr/>
      <w:r>
        <w:t>Следовательно, tail risk не идентифицируется без tail class, smoothness, moment, parametric или transport assumptions. Экстраполяция редкого события всегда несёт D-пакет модельных оснований.</w:t>
      </w:r>
    </w:p>
    <w:p>
      <w:pPr>
        <w:pStyle w:val="Heading1"/>
      </w:pPr>
      <w:r>
        <w:t>362. Rate-function estimation и epistemic uncertainty</w:t>
      </w:r>
    </w:p>
    <w:p>
      <w:pPr/>
      <w:r>
        <w:t>Rate function I может вычисляться аналитически, через control representation, spectral problem или numerical minimum action method. Оценённый I_hat имеет discretization, optimization, parameter и model-selection errors. Реперный объект должен хранить</w:t>
      </w:r>
    </w:p>
    <w:p>
      <w:pPr>
        <w:pStyle w:val="Quote"/>
        <w:jc w:val="center"/>
      </w:pPr>
      <w:r>
        <w:t>Rep_rate=(I_hat, topology, speed, solver, residuals; D_rate).  (23.35)</w:t>
      </w:r>
    </w:p>
    <w:p>
      <w:pPr/>
      <w:r>
        <w:t>Confidence interval для параметров не автоматически превращается в uniform confidence band для I. Near bifurcation или nonunique instantons sensitivity может быть неограниченной.</w:t>
      </w:r>
    </w:p>
    <w:p>
      <w:pPr>
        <w:pStyle w:val="Heading1"/>
      </w:pPr>
      <w:r>
        <w:t>363. Robust rare-event Reper certificate</w:t>
      </w:r>
    </w:p>
    <w:p>
      <w:pPr/>
      <w:r>
        <w:t>Определён сертификат</w:t>
      </w:r>
    </w:p>
    <w:p>
      <w:pPr>
        <w:pStyle w:val="Quote"/>
        <w:jc w:val="center"/>
      </w:pPr>
      <w:r>
        <w:t>Cert_LD=(𝒳,τ,a_n,P_n,I,A,c_A,R_n,U_N,B_N,IS,λ,D,Dom,src,code,hash).  (23.36)</w:t>
      </w:r>
    </w:p>
    <w:p>
      <w:pPr>
        <w:pStyle w:val="ListBullet"/>
      </w:pPr>
      <w:r>
        <w:t>𝒳,τ: state/path carrier и topology;</w:t>
      </w:r>
    </w:p>
    <w:p>
      <w:pPr>
        <w:pStyle w:val="ListBullet"/>
      </w:pPr>
      <w:r>
        <w:t>a_n,P_n,I: speed, laws и rate function;</w:t>
      </w:r>
    </w:p>
    <w:p>
      <w:pPr>
        <w:pStyle w:val="ListBullet"/>
      </w:pPr>
      <w:r>
        <w:t>A,c_A: target и action barrier;</w:t>
      </w:r>
    </w:p>
    <w:p>
      <w:pPr>
        <w:pStyle w:val="ListBullet"/>
      </w:pPr>
      <w:r>
        <w:t>R_n: nonasymptotic remainder/effective n_0;</w:t>
      </w:r>
    </w:p>
    <w:p>
      <w:pPr>
        <w:pStyle w:val="ListBullet"/>
      </w:pPr>
      <w:r>
        <w:t>U_N,B_N: ambiguity coverage и robust finite-sample bound;</w:t>
      </w:r>
    </w:p>
    <w:p>
      <w:pPr>
        <w:pStyle w:val="ListBullet"/>
      </w:pPr>
      <w:r>
        <w:t>IS: importance-sampling/splitting certificate, если использован;</w:t>
      </w:r>
    </w:p>
    <w:p>
      <w:pPr>
        <w:pStyle w:val="ListBullet"/>
      </w:pPr>
      <w:r>
        <w:t>λ,D,Dom: projective-harmonic coordinate, sufficient foundation и admissible domain;</w:t>
      </w:r>
    </w:p>
    <w:p>
      <w:pPr>
        <w:pStyle w:val="ListBullet"/>
      </w:pPr>
      <w:r>
        <w:t>src,code,hash: воспроизводимость.</w:t>
      </w:r>
    </w:p>
    <w:p>
      <w:pPr/>
      <w:r>
        <w:t>Verdict допускает пять значений: IMPOSSIBLE-IN-MODEL, FINITE-SAMPLE-RISK-BOUND, EXPONENTIALLY-SUPPRESSED-IN-MODEL, CANDIDATE-RARE-TRANSITION, ABSTAIN.</w:t>
      </w:r>
    </w:p>
    <w:p>
      <w:pPr>
        <w:pStyle w:val="Heading1"/>
      </w:pPr>
      <w:r>
        <w:t>364. Large-deviation и finite-sample горизонты</w:t>
      </w:r>
    </w:p>
    <w:p>
      <w:pPr/>
      <w:r>
        <w:t>Введены</w:t>
      </w:r>
    </w:p>
    <w:p>
      <w:pPr>
        <w:pStyle w:val="Quote"/>
        <w:jc w:val="center"/>
      </w:pPr>
      <w:r>
        <w:t>Δ_LD=Δ_speed∪Δ_top∪Δ_tight∪Δ_rate∪Δ_contract∪Δ_pole∪Δ_action∪Δ_inst.  (23.37)</w:t>
      </w:r>
    </w:p>
    <w:p>
      <w:pPr>
        <w:pStyle w:val="Quote"/>
        <w:jc w:val="center"/>
      </w:pPr>
      <w:r>
        <w:t>Δ_RS=Δ_FK∪Δ_expint∪Δ_eig∪Δ_HJB∪Δ_tilt∪Δ_IS.  (23.38)</w:t>
      </w:r>
    </w:p>
    <w:p>
      <w:pPr>
        <w:pStyle w:val="Quote"/>
        <w:jc w:val="center"/>
      </w:pPr>
      <w:r>
        <w:t>Δ_FS=Δ_iid∪Δ_dep∪Δ_tail∪Δ_amb∪Δ_cov∪Δ_sel∪Δ_stop∪Δ_shift∪Δ_ext.  (23.39)</w:t>
      </w:r>
    </w:p>
    <w:p>
      <w:pPr>
        <w:pStyle w:val="Quote"/>
        <w:jc w:val="center"/>
      </w:pPr>
      <w:r>
        <w:t>Δ_safe^{v0.20}=Δ_safe^{v0.19}∪Δ_LD∪Δ_RS∪Δ_FS.  (23.40)</w:t>
      </w:r>
    </w:p>
    <w:p>
      <w:pPr/>
      <w:r>
        <w:t>Горизонт фиксирует не событие, а потерю класса теоремы или сертификата. Его пересечение требует пересборки, а не оптимистического продолжения вычислений.</w:t>
      </w:r>
    </w:p>
    <w:p>
      <w:pPr>
        <w:pStyle w:val="Heading1"/>
      </w:pPr>
      <w:r>
        <w:t>365. Главная условная теорема v0.20</w:t>
      </w:r>
    </w:p>
    <w:p>
      <w:pPr/>
      <w:r>
        <w:t>Теорема 23.5 (rare-event predictive safety theorem). [COND] Пусть H1-H14 выполнены:</w:t>
      </w:r>
    </w:p>
    <w:p>
      <w:pPr>
        <w:pStyle w:val="ListNumber"/>
      </w:pPr>
      <w:r>
        <w:t>семейство законов и speed определены на фиксированном path carrier;</w:t>
      </w:r>
    </w:p>
    <w:p>
      <w:pPr>
        <w:pStyle w:val="ListNumber"/>
      </w:pPr>
      <w:r>
        <w:t>LDP или Laplace principle доказан с good rate I;</w:t>
      </w:r>
    </w:p>
    <w:p>
      <w:pPr>
        <w:pStyle w:val="ListNumber"/>
      </w:pPr>
      <w:r>
        <w:t>exponential tightness и target measurability закрыты;</w:t>
      </w:r>
    </w:p>
    <w:p>
      <w:pPr>
        <w:pStyle w:val="ListNumber"/>
      </w:pPr>
      <w:r>
        <w:t>contraction maps к Reper/λ непрерывны вне сертифицированного pole set;</w:t>
      </w:r>
    </w:p>
    <w:p>
      <w:pPr>
        <w:pStyle w:val="ListNumber"/>
      </w:pPr>
      <w:r>
        <w:t>action barrier c_A вычислен с certified optimization residual;</w:t>
      </w:r>
    </w:p>
    <w:p>
      <w:pPr>
        <w:pStyle w:val="ListNumber"/>
      </w:pPr>
      <w:r>
        <w:t>для finite-n вывода дан remainder либо отдельный concentration bound;</w:t>
      </w:r>
    </w:p>
    <w:p>
      <w:pPr>
        <w:pStyle w:val="ListNumber"/>
      </w:pPr>
      <w:r>
        <w:t>ambiguity set имеет coverage 1-β;</w:t>
      </w:r>
    </w:p>
    <w:p>
      <w:pPr>
        <w:pStyle w:val="ListNumber"/>
      </w:pPr>
      <w:r>
        <w:t>robust risk B_N вычислен с certified duality gap;</w:t>
      </w:r>
    </w:p>
    <w:p>
      <w:pPr>
        <w:pStyle w:val="ListNumber"/>
      </w:pPr>
      <w:r>
        <w:t>importance-sampling weights корректны и интегрируемы;</w:t>
      </w:r>
    </w:p>
    <w:p>
      <w:pPr>
        <w:pStyle w:val="ListNumber"/>
      </w:pPr>
      <w:r>
        <w:t>D/Dom, provenance и selection ledger валидны;</w:t>
      </w:r>
    </w:p>
    <w:p>
      <w:pPr>
        <w:pStyle w:val="ListNumber"/>
      </w:pPr>
      <w:r>
        <w:t>optional stopping и dependence учтены;</w:t>
      </w:r>
    </w:p>
    <w:p>
      <w:pPr>
        <w:pStyle w:val="ListNumber"/>
      </w:pPr>
      <w:r>
        <w:t>domain shift ограничен заявленным классом;</w:t>
      </w:r>
    </w:p>
    <w:p>
      <w:pPr>
        <w:pStyle w:val="ListNumber"/>
      </w:pPr>
      <w:r>
        <w:t>внешний тест не использован для настройки;</w:t>
      </w:r>
    </w:p>
    <w:p>
      <w:pPr>
        <w:pStyle w:val="ListNumber"/>
      </w:pPr>
      <w:r>
        <w:t>путь параметров не пересекает Δ_safe^{v0.20}.</w:t>
      </w:r>
    </w:p>
    <w:p>
      <w:pPr/>
      <w:r>
        <w:t>Тогда:</w:t>
      </w:r>
    </w:p>
    <w:p>
      <w:pPr>
        <w:pStyle w:val="ListBullet"/>
      </w:pPr>
      <w:r>
        <w:t>если A не пересекает admissible support, P(A)=0 внутри модели и разрешён IMPOSSIBLE-IN-MODEL;</w:t>
      </w:r>
    </w:p>
    <w:p>
      <w:pPr>
        <w:pStyle w:val="ListBullet"/>
      </w:pPr>
      <w:r>
        <w:t>если B_N≤α, то с confidence 1-β разрешён FINITE-SAMPLE-RISK-BOUND α;</w:t>
      </w:r>
    </w:p>
    <w:p>
      <w:pPr>
        <w:pStyle w:val="ListBullet"/>
      </w:pPr>
      <w:r>
        <w:t>если c_A&gt;0, но finite-n remainder отсутствует, разрешён только EXPONENTIALLY-SUPPRESSED-IN-MODEL;</w:t>
      </w:r>
    </w:p>
    <w:p>
      <w:pPr>
        <w:pStyle w:val="ListBullet"/>
      </w:pPr>
      <w:r>
        <w:t>если найден low-action path без upper certificate, разрешён только CANDIDATE-RARE-TRANSITION;</w:t>
      </w:r>
    </w:p>
    <w:p>
      <w:pPr>
        <w:pStyle w:val="ListBullet"/>
      </w:pPr>
      <w:r>
        <w:t>при любом незакрытом H_i выдаётся ABSTAIN.</w:t>
      </w:r>
    </w:p>
    <w:p>
      <w:pPr/>
      <w:r>
        <w:t>Теорема не утверждает наступление события, причинность, физическую реализацию или универсальность NAPG-динамики.</w:t>
      </w:r>
    </w:p>
    <w:p>
      <w:pPr>
        <w:pStyle w:val="Heading1"/>
      </w:pPr>
      <w:r>
        <w:t>366. Контрпримеры и запреты</w:t>
      </w:r>
    </w:p>
    <w:p>
      <w:pPr>
        <w:pStyle w:val="ListBullet"/>
      </w:pPr>
      <w:r>
        <w:t>Одинаковый LDP exponent допускает разные finite-n probabilities из-за subexponential prefactors.</w:t>
      </w:r>
    </w:p>
    <w:p>
      <w:pPr>
        <w:pStyle w:val="ListBullet"/>
      </w:pPr>
      <w:r>
        <w:t>Положительный quasipotential barrier не делает вероятность нулевой.</w:t>
      </w:r>
    </w:p>
    <w:p>
      <w:pPr>
        <w:pStyle w:val="ListBullet"/>
      </w:pPr>
      <w:r>
        <w:t>Нулевой observed count не означает p=0; точная upper bound дана (23.32).</w:t>
      </w:r>
    </w:p>
    <w:p>
      <w:pPr>
        <w:pStyle w:val="ListBullet"/>
      </w:pPr>
      <w:r>
        <w:t>KL-ball вокруг empirical law может не видеть новый support и дать ложное чувство безопасности.</w:t>
      </w:r>
    </w:p>
    <w:p>
      <w:pPr>
        <w:pStyle w:val="ListBullet"/>
      </w:pPr>
      <w:r>
        <w:t>Wasserstein ball с произвольным радиусом не имеет coverage status.</w:t>
      </w:r>
    </w:p>
    <w:p>
      <w:pPr>
        <w:pStyle w:val="ListBullet"/>
      </w:pPr>
      <w:r>
        <w:t>Недифференцируемая Λ не всегда означает физический phase transition.</w:t>
      </w:r>
    </w:p>
    <w:p>
      <w:pPr>
        <w:pStyle w:val="ListBullet"/>
      </w:pPr>
      <w:r>
        <w:t>Один minimum-action path не покрывает несколько competing instantons.</w:t>
      </w:r>
    </w:p>
    <w:p>
      <w:pPr>
        <w:pStyle w:val="ListBullet"/>
      </w:pPr>
      <w:r>
        <w:t>Importance proposal без absolute continuity даёт смещённый estimator.</w:t>
      </w:r>
    </w:p>
    <w:p>
      <w:pPr>
        <w:pStyle w:val="ListBullet"/>
      </w:pPr>
      <w:r>
        <w:t>Risk-sensitive eigenvalue не является event probability.</w:t>
      </w:r>
    </w:p>
    <w:p>
      <w:pPr>
        <w:pStyle w:val="ListBullet"/>
      </w:pPr>
      <w:r>
        <w:t>λ-проекция через pole set может разрушить contraction principle.</w:t>
      </w:r>
    </w:p>
    <w:p>
      <w:pPr>
        <w:pStyle w:val="ListBullet"/>
      </w:pPr>
      <w:r>
        <w:t>Finite sample не идентифицирует дальний tail без структурного класса.</w:t>
      </w:r>
    </w:p>
    <w:p>
      <w:pPr>
        <w:pStyle w:val="ListBullet"/>
      </w:pPr>
      <w:r>
        <w:t>Asymptotic optimality sampling scheme не гарантирует малую ошибку при данном n.</w:t>
      </w:r>
    </w:p>
    <w:p>
      <w:pPr>
        <w:pStyle w:val="Heading1"/>
      </w:pPr>
      <w:r>
        <w:t>367. Вычислительный сертификат LD-RISK v0.20</w:t>
      </w:r>
    </w:p>
    <w:p>
      <w:pPr>
        <w:pStyle w:val="ListBullet"/>
      </w:pPr>
      <w:r>
        <w:t>LD-01 state carrier; 02 topology; 03 law family; 04 speed; 05 measurable target; 06 exponential tightness;</w:t>
      </w:r>
    </w:p>
    <w:p>
      <w:pPr>
        <w:pStyle w:val="ListBullet"/>
      </w:pPr>
      <w:r>
        <w:t>07 lower bound; 08 upper bound; 09 good-rate test; 10 contraction map; 11 pole/singularity audit; 12 Laplace principle;</w:t>
      </w:r>
    </w:p>
    <w:p>
      <w:pPr>
        <w:pStyle w:val="ListBullet"/>
      </w:pPr>
      <w:r>
        <w:t>13 SCGF; 14 Legendre-Fenchel transform; 15 Gärtner-Ellis regularity; 16 empirical-measure/Sanov channel;</w:t>
      </w:r>
    </w:p>
    <w:p>
      <w:pPr>
        <w:pStyle w:val="ListBullet"/>
      </w:pPr>
      <w:r>
        <w:t>17 path action; 18 control representation; 19 quasipotential; 20 instanton multiplicity; 21 optimization residual; 22 action sensitivity;</w:t>
      </w:r>
    </w:p>
    <w:p>
      <w:pPr>
        <w:pStyle w:val="ListBullet"/>
      </w:pPr>
      <w:r>
        <w:t>23 Donsker-Varadhan functional; 24 Feynman-Kac semigroup; 25 risk-sensitive transform; 26 eigenvalue/HJB verification;</w:t>
      </w:r>
    </w:p>
    <w:p>
      <w:pPr>
        <w:pStyle w:val="ListBullet"/>
      </w:pPr>
      <w:r>
        <w:t>27 importance proposal; 28 likelihood ratios; 29 second-moment efficiency; 30 splitting dependence; 31 unbiasedness tests;</w:t>
      </w:r>
    </w:p>
    <w:p>
      <w:pPr>
        <w:pStyle w:val="ListBullet"/>
      </w:pPr>
      <w:r>
        <w:t>32 ambiguity metric; 33 radius/coverage theorem; 34 KL duality; 35 Wasserstein duality; 36 robust chance bound;</w:t>
      </w:r>
    </w:p>
    <w:p>
      <w:pPr>
        <w:pStyle w:val="ListBullet"/>
      </w:pPr>
      <w:r>
        <w:t>37 exact binomial bound; 38 bounded-loss concentration; 39 sequential validity; 40 selection/dependence ledger;</w:t>
      </w:r>
    </w:p>
    <w:p>
      <w:pPr>
        <w:pStyle w:val="ListBullet"/>
      </w:pPr>
      <w:r>
        <w:t>41 Reper/λ rare-event target; 42 D/Dom and provenance; 43 blocker-safe verdict; 44 source/code/data/environment hashes.</w:t>
      </w:r>
    </w:p>
    <w:p>
      <w:pPr>
        <w:pStyle w:val="Heading2"/>
      </w:pPr>
      <w:r>
        <w:t>Псевдокод</w:t>
      </w:r>
    </w:p>
    <w:p>
      <w:pPr>
        <w:pStyle w:val="Quote"/>
        <w:jc w:val="center"/>
      </w:pPr>
      <w:r>
        <w:t>INPUT law family P_n/P^ε, speed, topology, target A, Reper map, data, D, Dom</w:t>
        <w:br/>
        <w:t>CHECK LDP/Laplace assumptions, exponential tightness, contraction continuity and pole set</w:t>
        <w:br/>
        <w:t>COMPUTE rate I, action barrier c_A, instantons and certified residuals</w:t>
        <w:br/>
        <w:t>IF finite-n claim requested REQUIRE remainder or concentration/ambiguity coverage</w:t>
        <w:br/>
        <w:t>BUILD robust bound B_N and exact rare-event confidence layer</w:t>
        <w:br/>
        <w:t>AUDIT importance weights, dependence, selection, stopping and domain shift</w:t>
        <w:br/>
        <w:t>IF support(A)=empty THEN IMPOSSIBLE-IN-MODEL</w:t>
        <w:br/>
        <w:t>ELSE IF B_N&lt;=alpha THEN FINITE-SAMPLE-RISK-BOUND</w:t>
        <w:br/>
        <w:t>ELSE IF c_A&gt;0 THEN EXPONENTIALLY-SUPPRESSED-IN-MODEL</w:t>
        <w:br/>
        <w:t>ELSE IF low-action path exists THEN CANDIDATE-RARE-TRANSITION</w:t>
        <w:br/>
        <w:t>ELSE ABSTAIN</w:t>
        <w:br/>
        <w:t>RECORD hashes; truth_layer_promotion=0.</w:t>
      </w:r>
    </w:p>
    <w:p>
      <w:pPr>
        <w:pStyle w:val="Heading1"/>
      </w:pPr>
      <w:r>
        <w:t>368. Доказательные обязательства T2-PO-387-T2-PO-426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512"/>
            <w:shd w:fill="1f426b"/>
            <w:tcMar>
              <w:top w:w="35" w:type="dxa"/>
              <w:start w:w="65" w:type="dxa"/>
              <w:bottom w:w="35" w:type="dxa"/>
              <w:end w:w="65" w:type="dxa"/>
            </w:tcMar>
          </w:tcPr>
          <w:p>
            <w:pPr>
              <w:spacing w:before="0" w:after="0" w:line="240" w:lineRule="auto"/>
            </w:pPr>
            <w:r>
              <w:rPr>
                <w:b/>
                <w:color w:val="FFFFFF"/>
                <w:sz w:val="15"/>
              </w:rPr>
              <w:t>PO</w:t>
            </w:r>
          </w:p>
        </w:tc>
        <w:tc>
          <w:tcPr>
            <w:tcW w:type="dxa" w:w="5112"/>
            <w:shd w:fill="1f426b"/>
            <w:tcMar>
              <w:top w:w="35" w:type="dxa"/>
              <w:start w:w="65" w:type="dxa"/>
              <w:bottom w:w="35" w:type="dxa"/>
              <w:end w:w="65" w:type="dxa"/>
            </w:tcMar>
          </w:tcPr>
          <w:p>
            <w:pPr>
              <w:spacing w:before="0" w:after="0" w:line="240" w:lineRule="auto"/>
            </w:pPr>
            <w:r>
              <w:rPr>
                <w:b/>
                <w:color w:val="FFFFFF"/>
                <w:sz w:val="15"/>
              </w:rPr>
              <w:t>Обязательство</w:t>
            </w:r>
          </w:p>
        </w:tc>
        <w:tc>
          <w:tcPr>
            <w:tcW w:type="dxa" w:w="1224"/>
            <w:shd w:fill="1f426b"/>
            <w:tcMar>
              <w:top w:w="35" w:type="dxa"/>
              <w:start w:w="65" w:type="dxa"/>
              <w:bottom w:w="35" w:type="dxa"/>
              <w:end w:w="65" w:type="dxa"/>
            </w:tcMar>
          </w:tcPr>
          <w:p>
            <w:pPr>
              <w:spacing w:before="0" w:after="0" w:line="240" w:lineRule="auto"/>
            </w:pPr>
            <w:r>
              <w:rPr>
                <w:b/>
                <w:color w:val="FFFFFF"/>
                <w:sz w:val="15"/>
              </w:rPr>
              <w:t>Статус</w:t>
            </w:r>
          </w:p>
        </w:tc>
        <w:tc>
          <w:tcPr>
            <w:tcW w:type="dxa" w:w="1944"/>
            <w:shd w:fill="1f426b"/>
            <w:tcMar>
              <w:top w:w="35" w:type="dxa"/>
              <w:start w:w="65" w:type="dxa"/>
              <w:bottom w:w="35" w:type="dxa"/>
              <w:end w:w="65" w:type="dxa"/>
            </w:tcMar>
          </w:tcPr>
          <w:p>
            <w:pPr>
              <w:spacing w:before="0" w:after="0" w:line="240" w:lineRule="auto"/>
            </w:pPr>
            <w:r>
              <w:rPr>
                <w:b/>
                <w:color w:val="FFFFFF"/>
                <w:sz w:val="15"/>
              </w:rPr>
              <w:t>Основание / следующий шаг</w:t>
            </w:r>
          </w:p>
        </w:tc>
      </w:tr>
      <w:tr>
        <w:tc>
          <w:tcPr>
            <w:tcW w:type="dxa" w:w="1512"/>
            <w:tcMar>
              <w:top w:w="35" w:type="dxa"/>
              <w:start w:w="65" w:type="dxa"/>
              <w:bottom w:w="35" w:type="dxa"/>
              <w:end w:w="65" w:type="dxa"/>
            </w:tcMar>
            <w:vAlign w:val="center"/>
          </w:tcPr>
          <w:p>
            <w:pPr>
              <w:spacing w:before="0" w:after="0" w:line="240" w:lineRule="auto"/>
            </w:pPr>
            <w:r>
              <w:rPr>
                <w:sz w:val="15"/>
              </w:rPr>
              <w:t>T2-PO-387</w:t>
            </w:r>
          </w:p>
        </w:tc>
        <w:tc>
          <w:tcPr>
            <w:tcW w:type="dxa" w:w="5112"/>
            <w:tcMar>
              <w:top w:w="35" w:type="dxa"/>
              <w:start w:w="65" w:type="dxa"/>
              <w:bottom w:w="35" w:type="dxa"/>
              <w:end w:w="65" w:type="dxa"/>
            </w:tcMar>
            <w:vAlign w:val="center"/>
          </w:tcPr>
          <w:p>
            <w:pPr>
              <w:spacing w:before="0" w:after="0" w:line="240" w:lineRule="auto"/>
            </w:pPr>
            <w:r>
              <w:rPr>
                <w:sz w:val="15"/>
              </w:rPr>
              <w:t>State/path carrier and topology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Domain-specific</w:t>
            </w:r>
          </w:p>
        </w:tc>
      </w:tr>
      <w:tr>
        <w:tc>
          <w:tcPr>
            <w:tcW w:type="dxa" w:w="1512"/>
            <w:tcMar>
              <w:top w:w="35" w:type="dxa"/>
              <w:start w:w="65" w:type="dxa"/>
              <w:bottom w:w="35" w:type="dxa"/>
              <w:end w:w="65" w:type="dxa"/>
            </w:tcMar>
            <w:vAlign w:val="center"/>
          </w:tcPr>
          <w:p>
            <w:pPr>
              <w:spacing w:before="0" w:after="0" w:line="240" w:lineRule="auto"/>
            </w:pPr>
            <w:r>
              <w:rPr>
                <w:sz w:val="15"/>
              </w:rPr>
              <w:t>T2-PO-388</w:t>
            </w:r>
          </w:p>
        </w:tc>
        <w:tc>
          <w:tcPr>
            <w:tcW w:type="dxa" w:w="5112"/>
            <w:tcMar>
              <w:top w:w="35" w:type="dxa"/>
              <w:start w:w="65" w:type="dxa"/>
              <w:bottom w:w="35" w:type="dxa"/>
              <w:end w:w="65" w:type="dxa"/>
            </w:tcMar>
            <w:vAlign w:val="center"/>
          </w:tcPr>
          <w:p>
            <w:pPr>
              <w:spacing w:before="0" w:after="0" w:line="240" w:lineRule="auto"/>
            </w:pPr>
            <w:r>
              <w:rPr>
                <w:sz w:val="15"/>
              </w:rPr>
              <w:t>Speed a_n and law family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Model-specific</w:t>
            </w:r>
          </w:p>
        </w:tc>
      </w:tr>
      <w:tr>
        <w:tc>
          <w:tcPr>
            <w:tcW w:type="dxa" w:w="1512"/>
            <w:tcMar>
              <w:top w:w="35" w:type="dxa"/>
              <w:start w:w="65" w:type="dxa"/>
              <w:bottom w:w="35" w:type="dxa"/>
              <w:end w:w="65" w:type="dxa"/>
            </w:tcMar>
            <w:vAlign w:val="center"/>
          </w:tcPr>
          <w:p>
            <w:pPr>
              <w:spacing w:before="0" w:after="0" w:line="240" w:lineRule="auto"/>
            </w:pPr>
            <w:r>
              <w:rPr>
                <w:sz w:val="15"/>
              </w:rPr>
              <w:t>T2-PO-389</w:t>
            </w:r>
          </w:p>
        </w:tc>
        <w:tc>
          <w:tcPr>
            <w:tcW w:type="dxa" w:w="5112"/>
            <w:tcMar>
              <w:top w:w="35" w:type="dxa"/>
              <w:start w:w="65" w:type="dxa"/>
              <w:bottom w:w="35" w:type="dxa"/>
              <w:end w:w="65" w:type="dxa"/>
            </w:tcMar>
            <w:vAlign w:val="center"/>
          </w:tcPr>
          <w:p>
            <w:pPr>
              <w:spacing w:before="0" w:after="0" w:line="240" w:lineRule="auto"/>
            </w:pPr>
            <w:r>
              <w:rPr>
                <w:sz w:val="15"/>
              </w:rPr>
              <w:t>LDP lower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c>
          <w:tcPr>
            <w:tcW w:type="dxa" w:w="1512"/>
            <w:tcMar>
              <w:top w:w="35" w:type="dxa"/>
              <w:start w:w="65" w:type="dxa"/>
              <w:bottom w:w="35" w:type="dxa"/>
              <w:end w:w="65" w:type="dxa"/>
            </w:tcMar>
            <w:vAlign w:val="center"/>
          </w:tcPr>
          <w:p>
            <w:pPr>
              <w:spacing w:before="0" w:after="0" w:line="240" w:lineRule="auto"/>
            </w:pPr>
            <w:r>
              <w:rPr>
                <w:sz w:val="15"/>
              </w:rPr>
              <w:t>T2-PO-390</w:t>
            </w:r>
          </w:p>
        </w:tc>
        <w:tc>
          <w:tcPr>
            <w:tcW w:type="dxa" w:w="5112"/>
            <w:tcMar>
              <w:top w:w="35" w:type="dxa"/>
              <w:start w:w="65" w:type="dxa"/>
              <w:bottom w:w="35" w:type="dxa"/>
              <w:end w:w="65" w:type="dxa"/>
            </w:tcMar>
            <w:vAlign w:val="center"/>
          </w:tcPr>
          <w:p>
            <w:pPr>
              <w:spacing w:before="0" w:after="0" w:line="240" w:lineRule="auto"/>
            </w:pPr>
            <w:r>
              <w:rPr>
                <w:sz w:val="15"/>
              </w:rPr>
              <w:t>LDP upper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c>
          <w:tcPr>
            <w:tcW w:type="dxa" w:w="1512"/>
            <w:tcMar>
              <w:top w:w="35" w:type="dxa"/>
              <w:start w:w="65" w:type="dxa"/>
              <w:bottom w:w="35" w:type="dxa"/>
              <w:end w:w="65" w:type="dxa"/>
            </w:tcMar>
            <w:vAlign w:val="center"/>
          </w:tcPr>
          <w:p>
            <w:pPr>
              <w:spacing w:before="0" w:after="0" w:line="240" w:lineRule="auto"/>
            </w:pPr>
            <w:r>
              <w:rPr>
                <w:sz w:val="15"/>
              </w:rPr>
              <w:t>T2-PO-391</w:t>
            </w:r>
          </w:p>
        </w:tc>
        <w:tc>
          <w:tcPr>
            <w:tcW w:type="dxa" w:w="5112"/>
            <w:tcMar>
              <w:top w:w="35" w:type="dxa"/>
              <w:start w:w="65" w:type="dxa"/>
              <w:bottom w:w="35" w:type="dxa"/>
              <w:end w:w="65" w:type="dxa"/>
            </w:tcMar>
            <w:vAlign w:val="center"/>
          </w:tcPr>
          <w:p>
            <w:pPr>
              <w:spacing w:before="0" w:after="0" w:line="240" w:lineRule="auto"/>
            </w:pPr>
            <w:r>
              <w:rPr>
                <w:sz w:val="15"/>
              </w:rPr>
              <w:t>Exponential tightness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Path-space compactness</w:t>
            </w:r>
          </w:p>
        </w:tc>
      </w:tr>
      <w:tr>
        <w:tc>
          <w:tcPr>
            <w:tcW w:type="dxa" w:w="1512"/>
            <w:tcMar>
              <w:top w:w="35" w:type="dxa"/>
              <w:start w:w="65" w:type="dxa"/>
              <w:bottom w:w="35" w:type="dxa"/>
              <w:end w:w="65" w:type="dxa"/>
            </w:tcMar>
            <w:vAlign w:val="center"/>
          </w:tcPr>
          <w:p>
            <w:pPr>
              <w:spacing w:before="0" w:after="0" w:line="240" w:lineRule="auto"/>
            </w:pPr>
            <w:r>
              <w:rPr>
                <w:sz w:val="15"/>
              </w:rPr>
              <w:t>T2-PO-392</w:t>
            </w:r>
          </w:p>
        </w:tc>
        <w:tc>
          <w:tcPr>
            <w:tcW w:type="dxa" w:w="5112"/>
            <w:tcMar>
              <w:top w:w="35" w:type="dxa"/>
              <w:start w:w="65" w:type="dxa"/>
              <w:bottom w:w="35" w:type="dxa"/>
              <w:end w:w="65" w:type="dxa"/>
            </w:tcMar>
            <w:vAlign w:val="center"/>
          </w:tcPr>
          <w:p>
            <w:pPr>
              <w:spacing w:before="0" w:after="0" w:line="240" w:lineRule="auto"/>
            </w:pPr>
            <w:r>
              <w:rPr>
                <w:sz w:val="15"/>
              </w:rPr>
              <w:t>Good rate function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Level-set compactness</w:t>
            </w:r>
          </w:p>
        </w:tc>
      </w:tr>
      <w:tr>
        <w:tc>
          <w:tcPr>
            <w:tcW w:type="dxa" w:w="1512"/>
            <w:tcMar>
              <w:top w:w="35" w:type="dxa"/>
              <w:start w:w="65" w:type="dxa"/>
              <w:bottom w:w="35" w:type="dxa"/>
              <w:end w:w="65" w:type="dxa"/>
            </w:tcMar>
            <w:vAlign w:val="center"/>
          </w:tcPr>
          <w:p>
            <w:pPr>
              <w:spacing w:before="0" w:after="0" w:line="240" w:lineRule="auto"/>
            </w:pPr>
            <w:r>
              <w:rPr>
                <w:sz w:val="15"/>
              </w:rPr>
              <w:t>T2-PO-393</w:t>
            </w:r>
          </w:p>
        </w:tc>
        <w:tc>
          <w:tcPr>
            <w:tcW w:type="dxa" w:w="5112"/>
            <w:tcMar>
              <w:top w:w="35" w:type="dxa"/>
              <w:start w:w="65" w:type="dxa"/>
              <w:bottom w:w="35" w:type="dxa"/>
              <w:end w:w="65" w:type="dxa"/>
            </w:tcMar>
            <w:vAlign w:val="center"/>
          </w:tcPr>
          <w:p>
            <w:pPr>
              <w:spacing w:before="0" w:after="0" w:line="240" w:lineRule="auto"/>
            </w:pPr>
            <w:r>
              <w:rPr>
                <w:sz w:val="15"/>
              </w:rPr>
              <w:t>Contraction map continuity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Away from poles</w:t>
            </w:r>
          </w:p>
        </w:tc>
      </w:tr>
      <w:tr>
        <w:tc>
          <w:tcPr>
            <w:tcW w:type="dxa" w:w="1512"/>
            <w:tcMar>
              <w:top w:w="35" w:type="dxa"/>
              <w:start w:w="65" w:type="dxa"/>
              <w:bottom w:w="35" w:type="dxa"/>
              <w:end w:w="65" w:type="dxa"/>
            </w:tcMar>
            <w:vAlign w:val="center"/>
          </w:tcPr>
          <w:p>
            <w:pPr>
              <w:spacing w:before="0" w:after="0" w:line="240" w:lineRule="auto"/>
            </w:pPr>
            <w:r>
              <w:rPr>
                <w:sz w:val="15"/>
              </w:rPr>
              <w:t>T2-PO-394</w:t>
            </w:r>
          </w:p>
        </w:tc>
        <w:tc>
          <w:tcPr>
            <w:tcW w:type="dxa" w:w="5112"/>
            <w:tcMar>
              <w:top w:w="35" w:type="dxa"/>
              <w:start w:w="65" w:type="dxa"/>
              <w:bottom w:w="35" w:type="dxa"/>
              <w:end w:w="65" w:type="dxa"/>
            </w:tcMar>
            <w:vAlign w:val="center"/>
          </w:tcPr>
          <w:p>
            <w:pPr>
              <w:spacing w:before="0" w:after="0" w:line="240" w:lineRule="auto"/>
            </w:pPr>
            <w:r>
              <w:rPr>
                <w:sz w:val="15"/>
              </w:rPr>
              <w:t>λ pole-set repair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Projective graph/exponential negligibility</w:t>
            </w:r>
          </w:p>
        </w:tc>
      </w:tr>
      <w:tr>
        <w:tc>
          <w:tcPr>
            <w:tcW w:type="dxa" w:w="1512"/>
            <w:tcMar>
              <w:top w:w="35" w:type="dxa"/>
              <w:start w:w="65" w:type="dxa"/>
              <w:bottom w:w="35" w:type="dxa"/>
              <w:end w:w="65" w:type="dxa"/>
            </w:tcMar>
            <w:vAlign w:val="center"/>
          </w:tcPr>
          <w:p>
            <w:pPr>
              <w:spacing w:before="0" w:after="0" w:line="240" w:lineRule="auto"/>
            </w:pPr>
            <w:r>
              <w:rPr>
                <w:sz w:val="15"/>
              </w:rPr>
              <w:t>T2-PO-395</w:t>
            </w:r>
          </w:p>
        </w:tc>
        <w:tc>
          <w:tcPr>
            <w:tcW w:type="dxa" w:w="5112"/>
            <w:tcMar>
              <w:top w:w="35" w:type="dxa"/>
              <w:start w:w="65" w:type="dxa"/>
              <w:bottom w:w="35" w:type="dxa"/>
              <w:end w:w="65" w:type="dxa"/>
            </w:tcMar>
            <w:vAlign w:val="center"/>
          </w:tcPr>
          <w:p>
            <w:pPr>
              <w:spacing w:before="0" w:after="0" w:line="240" w:lineRule="auto"/>
            </w:pPr>
            <w:r>
              <w:rPr>
                <w:sz w:val="15"/>
              </w:rPr>
              <w:t>Laplace principle equivalence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Polish-space package</w:t>
            </w:r>
          </w:p>
        </w:tc>
      </w:tr>
      <w:tr>
        <w:tc>
          <w:tcPr>
            <w:tcW w:type="dxa" w:w="1512"/>
            <w:tcMar>
              <w:top w:w="35" w:type="dxa"/>
              <w:start w:w="65" w:type="dxa"/>
              <w:bottom w:w="35" w:type="dxa"/>
              <w:end w:w="65" w:type="dxa"/>
            </w:tcMar>
            <w:vAlign w:val="center"/>
          </w:tcPr>
          <w:p>
            <w:pPr>
              <w:spacing w:before="0" w:after="0" w:line="240" w:lineRule="auto"/>
            </w:pPr>
            <w:r>
              <w:rPr>
                <w:sz w:val="15"/>
              </w:rPr>
              <w:t>T2-PO-396</w:t>
            </w:r>
          </w:p>
        </w:tc>
        <w:tc>
          <w:tcPr>
            <w:tcW w:type="dxa" w:w="5112"/>
            <w:tcMar>
              <w:top w:w="35" w:type="dxa"/>
              <w:start w:w="65" w:type="dxa"/>
              <w:bottom w:w="35" w:type="dxa"/>
              <w:end w:w="65" w:type="dxa"/>
            </w:tcMar>
            <w:vAlign w:val="center"/>
          </w:tcPr>
          <w:p>
            <w:pPr>
              <w:spacing w:before="0" w:after="0" w:line="240" w:lineRule="auto"/>
            </w:pPr>
            <w:r>
              <w:rPr>
                <w:sz w:val="15"/>
              </w:rPr>
              <w:t>Gärtner-Ellis differentiability/steepness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SCGF-specific</w:t>
            </w:r>
          </w:p>
        </w:tc>
      </w:tr>
      <w:tr>
        <w:tc>
          <w:tcPr>
            <w:tcW w:type="dxa" w:w="1512"/>
            <w:tcMar>
              <w:top w:w="35" w:type="dxa"/>
              <w:start w:w="65" w:type="dxa"/>
              <w:bottom w:w="35" w:type="dxa"/>
              <w:end w:w="65" w:type="dxa"/>
            </w:tcMar>
            <w:vAlign w:val="center"/>
          </w:tcPr>
          <w:p>
            <w:pPr>
              <w:spacing w:before="0" w:after="0" w:line="240" w:lineRule="auto"/>
            </w:pPr>
            <w:r>
              <w:rPr>
                <w:sz w:val="15"/>
              </w:rPr>
              <w:t>T2-PO-397</w:t>
            </w:r>
          </w:p>
        </w:tc>
        <w:tc>
          <w:tcPr>
            <w:tcW w:type="dxa" w:w="5112"/>
            <w:tcMar>
              <w:top w:w="35" w:type="dxa"/>
              <w:start w:w="65" w:type="dxa"/>
              <w:bottom w:w="35" w:type="dxa"/>
              <w:end w:w="65" w:type="dxa"/>
            </w:tcMar>
            <w:vAlign w:val="center"/>
          </w:tcPr>
          <w:p>
            <w:pPr>
              <w:spacing w:before="0" w:after="0" w:line="240" w:lineRule="auto"/>
            </w:pPr>
            <w:r>
              <w:rPr>
                <w:sz w:val="15"/>
              </w:rPr>
              <w:t>Sanov empirical-measure layer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IID sector</w:t>
            </w:r>
          </w:p>
        </w:tc>
      </w:tr>
      <w:tr>
        <w:tc>
          <w:tcPr>
            <w:tcW w:type="dxa" w:w="1512"/>
            <w:tcMar>
              <w:top w:w="35" w:type="dxa"/>
              <w:start w:w="65" w:type="dxa"/>
              <w:bottom w:w="35" w:type="dxa"/>
              <w:end w:w="65" w:type="dxa"/>
            </w:tcMar>
            <w:vAlign w:val="center"/>
          </w:tcPr>
          <w:p>
            <w:pPr>
              <w:spacing w:before="0" w:after="0" w:line="240" w:lineRule="auto"/>
            </w:pPr>
            <w:r>
              <w:rPr>
                <w:sz w:val="15"/>
              </w:rPr>
              <w:t>T2-PO-398</w:t>
            </w:r>
          </w:p>
        </w:tc>
        <w:tc>
          <w:tcPr>
            <w:tcW w:type="dxa" w:w="5112"/>
            <w:tcMar>
              <w:top w:w="35" w:type="dxa"/>
              <w:start w:w="65" w:type="dxa"/>
              <w:bottom w:w="35" w:type="dxa"/>
              <w:end w:w="65" w:type="dxa"/>
            </w:tcMar>
            <w:vAlign w:val="center"/>
          </w:tcPr>
          <w:p>
            <w:pPr>
              <w:spacing w:before="0" w:after="0" w:line="240" w:lineRule="auto"/>
            </w:pPr>
            <w:r>
              <w:rPr>
                <w:sz w:val="15"/>
              </w:rPr>
              <w:t>Freidlin-Wentzell action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diffusion</w:t>
            </w:r>
          </w:p>
        </w:tc>
      </w:tr>
      <w:tr>
        <w:tc>
          <w:tcPr>
            <w:tcW w:type="dxa" w:w="1512"/>
            <w:tcMar>
              <w:top w:w="35" w:type="dxa"/>
              <w:start w:w="65" w:type="dxa"/>
              <w:bottom w:w="35" w:type="dxa"/>
              <w:end w:w="65" w:type="dxa"/>
            </w:tcMar>
            <w:vAlign w:val="center"/>
          </w:tcPr>
          <w:p>
            <w:pPr>
              <w:spacing w:before="0" w:after="0" w:line="240" w:lineRule="auto"/>
            </w:pPr>
            <w:r>
              <w:rPr>
                <w:sz w:val="15"/>
              </w:rPr>
              <w:t>T2-PO-399</w:t>
            </w:r>
          </w:p>
        </w:tc>
        <w:tc>
          <w:tcPr>
            <w:tcW w:type="dxa" w:w="5112"/>
            <w:tcMar>
              <w:top w:w="35" w:type="dxa"/>
              <w:start w:w="65" w:type="dxa"/>
              <w:bottom w:w="35" w:type="dxa"/>
              <w:end w:w="65" w:type="dxa"/>
            </w:tcMar>
            <w:vAlign w:val="center"/>
          </w:tcPr>
          <w:p>
            <w:pPr>
              <w:spacing w:before="0" w:after="0" w:line="240" w:lineRule="auto"/>
            </w:pPr>
            <w:r>
              <w:rPr>
                <w:sz w:val="15"/>
              </w:rPr>
              <w:t>Degenerate action/control representation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Controllability</w:t>
            </w:r>
          </w:p>
        </w:tc>
      </w:tr>
      <w:tr>
        <w:tc>
          <w:tcPr>
            <w:tcW w:type="dxa" w:w="1512"/>
            <w:tcMar>
              <w:top w:w="35" w:type="dxa"/>
              <w:start w:w="65" w:type="dxa"/>
              <w:bottom w:w="35" w:type="dxa"/>
              <w:end w:w="65" w:type="dxa"/>
            </w:tcMar>
            <w:vAlign w:val="center"/>
          </w:tcPr>
          <w:p>
            <w:pPr>
              <w:spacing w:before="0" w:after="0" w:line="240" w:lineRule="auto"/>
            </w:pPr>
            <w:r>
              <w:rPr>
                <w:sz w:val="15"/>
              </w:rPr>
              <w:t>T2-PO-400</w:t>
            </w:r>
          </w:p>
        </w:tc>
        <w:tc>
          <w:tcPr>
            <w:tcW w:type="dxa" w:w="5112"/>
            <w:tcMar>
              <w:top w:w="35" w:type="dxa"/>
              <w:start w:w="65" w:type="dxa"/>
              <w:bottom w:w="35" w:type="dxa"/>
              <w:end w:w="65" w:type="dxa"/>
            </w:tcMar>
            <w:vAlign w:val="center"/>
          </w:tcPr>
          <w:p>
            <w:pPr>
              <w:spacing w:before="0" w:after="0" w:line="240" w:lineRule="auto"/>
            </w:pPr>
            <w:r>
              <w:rPr>
                <w:sz w:val="15"/>
              </w:rPr>
              <w:t>Quasipotential existence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Compactness/minimizer</w:t>
            </w:r>
          </w:p>
        </w:tc>
      </w:tr>
      <w:tr>
        <w:tc>
          <w:tcPr>
            <w:tcW w:type="dxa" w:w="1512"/>
            <w:tcMar>
              <w:top w:w="35" w:type="dxa"/>
              <w:start w:w="65" w:type="dxa"/>
              <w:bottom w:w="35" w:type="dxa"/>
              <w:end w:w="65" w:type="dxa"/>
            </w:tcMar>
            <w:vAlign w:val="center"/>
          </w:tcPr>
          <w:p>
            <w:pPr>
              <w:spacing w:before="0" w:after="0" w:line="240" w:lineRule="auto"/>
            </w:pPr>
            <w:r>
              <w:rPr>
                <w:sz w:val="15"/>
              </w:rPr>
              <w:t>T2-PO-401</w:t>
            </w:r>
          </w:p>
        </w:tc>
        <w:tc>
          <w:tcPr>
            <w:tcW w:type="dxa" w:w="5112"/>
            <w:tcMar>
              <w:top w:w="35" w:type="dxa"/>
              <w:start w:w="65" w:type="dxa"/>
              <w:bottom w:w="35" w:type="dxa"/>
              <w:end w:w="65" w:type="dxa"/>
            </w:tcMar>
            <w:vAlign w:val="center"/>
          </w:tcPr>
          <w:p>
            <w:pPr>
              <w:spacing w:before="0" w:after="0" w:line="240" w:lineRule="auto"/>
            </w:pPr>
            <w:r>
              <w:rPr>
                <w:sz w:val="15"/>
              </w:rPr>
              <w:t>Instanton uniqueness or multiplicity ledger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Numerical/analytic</w:t>
            </w:r>
          </w:p>
        </w:tc>
      </w:tr>
      <w:tr>
        <w:tc>
          <w:tcPr>
            <w:tcW w:type="dxa" w:w="1512"/>
            <w:tcMar>
              <w:top w:w="35" w:type="dxa"/>
              <w:start w:w="65" w:type="dxa"/>
              <w:bottom w:w="35" w:type="dxa"/>
              <w:end w:w="65" w:type="dxa"/>
            </w:tcMar>
            <w:vAlign w:val="center"/>
          </w:tcPr>
          <w:p>
            <w:pPr>
              <w:spacing w:before="0" w:after="0" w:line="240" w:lineRule="auto"/>
            </w:pPr>
            <w:r>
              <w:rPr>
                <w:sz w:val="15"/>
              </w:rPr>
              <w:t>T2-PO-402</w:t>
            </w:r>
          </w:p>
        </w:tc>
        <w:tc>
          <w:tcPr>
            <w:tcW w:type="dxa" w:w="5112"/>
            <w:tcMar>
              <w:top w:w="35" w:type="dxa"/>
              <w:start w:w="65" w:type="dxa"/>
              <w:bottom w:w="35" w:type="dxa"/>
              <w:end w:w="65" w:type="dxa"/>
            </w:tcMar>
            <w:vAlign w:val="center"/>
          </w:tcPr>
          <w:p>
            <w:pPr>
              <w:spacing w:before="0" w:after="0" w:line="240" w:lineRule="auto"/>
            </w:pPr>
            <w:r>
              <w:rPr>
                <w:sz w:val="15"/>
              </w:rPr>
              <w:t>Donsker-Varadhan functional</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Ergodic Markov model</w:t>
            </w:r>
          </w:p>
        </w:tc>
      </w:tr>
      <w:tr>
        <w:tc>
          <w:tcPr>
            <w:tcW w:type="dxa" w:w="1512"/>
            <w:tcMar>
              <w:top w:w="35" w:type="dxa"/>
              <w:start w:w="65" w:type="dxa"/>
              <w:bottom w:w="35" w:type="dxa"/>
              <w:end w:w="65" w:type="dxa"/>
            </w:tcMar>
            <w:vAlign w:val="center"/>
          </w:tcPr>
          <w:p>
            <w:pPr>
              <w:spacing w:before="0" w:after="0" w:line="240" w:lineRule="auto"/>
            </w:pPr>
            <w:r>
              <w:rPr>
                <w:sz w:val="15"/>
              </w:rPr>
              <w:t>T2-PO-403</w:t>
            </w:r>
          </w:p>
        </w:tc>
        <w:tc>
          <w:tcPr>
            <w:tcW w:type="dxa" w:w="5112"/>
            <w:tcMar>
              <w:top w:w="35" w:type="dxa"/>
              <w:start w:w="65" w:type="dxa"/>
              <w:bottom w:w="35" w:type="dxa"/>
              <w:end w:w="65" w:type="dxa"/>
            </w:tcMar>
            <w:vAlign w:val="center"/>
          </w:tcPr>
          <w:p>
            <w:pPr>
              <w:spacing w:before="0" w:after="0" w:line="240" w:lineRule="auto"/>
            </w:pPr>
            <w:r>
              <w:rPr>
                <w:sz w:val="15"/>
              </w:rPr>
              <w:t>Feynman-Kac semigroup realization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Exponential integrability</w:t>
            </w:r>
          </w:p>
        </w:tc>
      </w:tr>
      <w:tr>
        <w:tc>
          <w:tcPr>
            <w:tcW w:type="dxa" w:w="1512"/>
            <w:tcMar>
              <w:top w:w="35" w:type="dxa"/>
              <w:start w:w="65" w:type="dxa"/>
              <w:bottom w:w="35" w:type="dxa"/>
              <w:end w:w="65" w:type="dxa"/>
            </w:tcMar>
            <w:vAlign w:val="center"/>
          </w:tcPr>
          <w:p>
            <w:pPr>
              <w:spacing w:before="0" w:after="0" w:line="240" w:lineRule="auto"/>
            </w:pPr>
            <w:r>
              <w:rPr>
                <w:sz w:val="15"/>
              </w:rPr>
              <w:t>T2-PO-404</w:t>
            </w:r>
          </w:p>
        </w:tc>
        <w:tc>
          <w:tcPr>
            <w:tcW w:type="dxa" w:w="5112"/>
            <w:tcMar>
              <w:top w:w="35" w:type="dxa"/>
              <w:start w:w="65" w:type="dxa"/>
              <w:bottom w:w="35" w:type="dxa"/>
              <w:end w:w="65" w:type="dxa"/>
            </w:tcMar>
            <w:vAlign w:val="center"/>
          </w:tcPr>
          <w:p>
            <w:pPr>
              <w:spacing w:before="0" w:after="0" w:line="240" w:lineRule="auto"/>
            </w:pPr>
            <w:r>
              <w:rPr>
                <w:sz w:val="15"/>
              </w:rPr>
              <w:t>Risk-sensitive nonlinear generator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 of exponential transform</w:t>
            </w:r>
          </w:p>
        </w:tc>
      </w:tr>
      <w:tr>
        <w:tc>
          <w:tcPr>
            <w:tcW w:type="dxa" w:w="1512"/>
            <w:tcMar>
              <w:top w:w="35" w:type="dxa"/>
              <w:start w:w="65" w:type="dxa"/>
              <w:bottom w:w="35" w:type="dxa"/>
              <w:end w:w="65" w:type="dxa"/>
            </w:tcMar>
            <w:vAlign w:val="center"/>
          </w:tcPr>
          <w:p>
            <w:pPr>
              <w:spacing w:before="0" w:after="0" w:line="240" w:lineRule="auto"/>
            </w:pPr>
            <w:r>
              <w:rPr>
                <w:sz w:val="15"/>
              </w:rPr>
              <w:t>T2-PO-405</w:t>
            </w:r>
          </w:p>
        </w:tc>
        <w:tc>
          <w:tcPr>
            <w:tcW w:type="dxa" w:w="5112"/>
            <w:tcMar>
              <w:top w:w="35" w:type="dxa"/>
              <w:start w:w="65" w:type="dxa"/>
              <w:bottom w:w="35" w:type="dxa"/>
              <w:end w:w="65" w:type="dxa"/>
            </w:tcMar>
            <w:vAlign w:val="center"/>
          </w:tcPr>
          <w:p>
            <w:pPr>
              <w:spacing w:before="0" w:after="0" w:line="240" w:lineRule="auto"/>
            </w:pPr>
            <w:r>
              <w:rPr>
                <w:sz w:val="15"/>
              </w:rPr>
              <w:t>Principal eigenvalue limit</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Spectral/ergodic package</w:t>
            </w:r>
          </w:p>
        </w:tc>
      </w:tr>
      <w:tr>
        <w:tc>
          <w:tcPr>
            <w:tcW w:type="dxa" w:w="1512"/>
            <w:tcMar>
              <w:top w:w="35" w:type="dxa"/>
              <w:start w:w="65" w:type="dxa"/>
              <w:bottom w:w="35" w:type="dxa"/>
              <w:end w:w="65" w:type="dxa"/>
            </w:tcMar>
            <w:vAlign w:val="center"/>
          </w:tcPr>
          <w:p>
            <w:pPr>
              <w:spacing w:before="0" w:after="0" w:line="240" w:lineRule="auto"/>
            </w:pPr>
            <w:r>
              <w:rPr>
                <w:sz w:val="15"/>
              </w:rPr>
              <w:t>T2-PO-406</w:t>
            </w:r>
          </w:p>
        </w:tc>
        <w:tc>
          <w:tcPr>
            <w:tcW w:type="dxa" w:w="5112"/>
            <w:tcMar>
              <w:top w:w="35" w:type="dxa"/>
              <w:start w:w="65" w:type="dxa"/>
              <w:bottom w:w="35" w:type="dxa"/>
              <w:end w:w="65" w:type="dxa"/>
            </w:tcMar>
            <w:vAlign w:val="center"/>
          </w:tcPr>
          <w:p>
            <w:pPr>
              <w:spacing w:before="0" w:after="0" w:line="240" w:lineRule="auto"/>
            </w:pPr>
            <w:r>
              <w:rPr>
                <w:sz w:val="15"/>
              </w:rPr>
              <w:t>Risk-sensitive HJB verification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Controlled model</w:t>
            </w:r>
          </w:p>
        </w:tc>
      </w:tr>
      <w:tr>
        <w:tc>
          <w:tcPr>
            <w:tcW w:type="dxa" w:w="1512"/>
            <w:tcMar>
              <w:top w:w="35" w:type="dxa"/>
              <w:start w:w="65" w:type="dxa"/>
              <w:bottom w:w="35" w:type="dxa"/>
              <w:end w:w="65" w:type="dxa"/>
            </w:tcMar>
            <w:vAlign w:val="center"/>
          </w:tcPr>
          <w:p>
            <w:pPr>
              <w:spacing w:before="0" w:after="0" w:line="240" w:lineRule="auto"/>
            </w:pPr>
            <w:r>
              <w:rPr>
                <w:sz w:val="15"/>
              </w:rPr>
              <w:t>T2-PO-407</w:t>
            </w:r>
          </w:p>
        </w:tc>
        <w:tc>
          <w:tcPr>
            <w:tcW w:type="dxa" w:w="5112"/>
            <w:tcMar>
              <w:top w:w="35" w:type="dxa"/>
              <w:start w:w="65" w:type="dxa"/>
              <w:bottom w:w="35" w:type="dxa"/>
              <w:end w:w="65" w:type="dxa"/>
            </w:tcMar>
            <w:vAlign w:val="center"/>
          </w:tcPr>
          <w:p>
            <w:pPr>
              <w:spacing w:before="0" w:after="0" w:line="240" w:lineRule="auto"/>
            </w:pPr>
            <w:r>
              <w:rPr>
                <w:sz w:val="15"/>
              </w:rPr>
              <w:t>Asymptotic-probability firewall</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23.2</w:t>
            </w:r>
          </w:p>
        </w:tc>
      </w:tr>
      <w:tr>
        <w:tc>
          <w:tcPr>
            <w:tcW w:type="dxa" w:w="1512"/>
            <w:tcMar>
              <w:top w:w="35" w:type="dxa"/>
              <w:start w:w="65" w:type="dxa"/>
              <w:bottom w:w="35" w:type="dxa"/>
              <w:end w:w="65" w:type="dxa"/>
            </w:tcMar>
            <w:vAlign w:val="center"/>
          </w:tcPr>
          <w:p>
            <w:pPr>
              <w:spacing w:before="0" w:after="0" w:line="240" w:lineRule="auto"/>
            </w:pPr>
            <w:r>
              <w:rPr>
                <w:sz w:val="15"/>
              </w:rPr>
              <w:t>T2-PO-408</w:t>
            </w:r>
          </w:p>
        </w:tc>
        <w:tc>
          <w:tcPr>
            <w:tcW w:type="dxa" w:w="5112"/>
            <w:tcMar>
              <w:top w:w="35" w:type="dxa"/>
              <w:start w:w="65" w:type="dxa"/>
              <w:bottom w:w="35" w:type="dxa"/>
              <w:end w:w="65" w:type="dxa"/>
            </w:tcMar>
            <w:vAlign w:val="center"/>
          </w:tcPr>
          <w:p>
            <w:pPr>
              <w:spacing w:before="0" w:after="0" w:line="240" w:lineRule="auto"/>
            </w:pPr>
            <w:r>
              <w:rPr>
                <w:sz w:val="15"/>
              </w:rPr>
              <w:t>Importance-sampling unbiasedness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Proposal and likelihood ratio</w:t>
            </w:r>
          </w:p>
        </w:tc>
      </w:tr>
      <w:tr>
        <w:tc>
          <w:tcPr>
            <w:tcW w:type="dxa" w:w="1512"/>
            <w:tcMar>
              <w:top w:w="35" w:type="dxa"/>
              <w:start w:w="65" w:type="dxa"/>
              <w:bottom w:w="35" w:type="dxa"/>
              <w:end w:w="65" w:type="dxa"/>
            </w:tcMar>
            <w:vAlign w:val="center"/>
          </w:tcPr>
          <w:p>
            <w:pPr>
              <w:spacing w:before="0" w:after="0" w:line="240" w:lineRule="auto"/>
            </w:pPr>
            <w:r>
              <w:rPr>
                <w:sz w:val="15"/>
              </w:rPr>
              <w:t>T2-PO-409</w:t>
            </w:r>
          </w:p>
        </w:tc>
        <w:tc>
          <w:tcPr>
            <w:tcW w:type="dxa" w:w="5112"/>
            <w:tcMar>
              <w:top w:w="35" w:type="dxa"/>
              <w:start w:w="65" w:type="dxa"/>
              <w:bottom w:w="35" w:type="dxa"/>
              <w:end w:w="65" w:type="dxa"/>
            </w:tcMar>
            <w:vAlign w:val="center"/>
          </w:tcPr>
          <w:p>
            <w:pPr>
              <w:spacing w:before="0" w:after="0" w:line="240" w:lineRule="auto"/>
            </w:pPr>
            <w:r>
              <w:rPr>
                <w:sz w:val="15"/>
              </w:rPr>
              <w:t>Importance-sampling efficiency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Second-moment bound</w:t>
            </w:r>
          </w:p>
        </w:tc>
      </w:tr>
      <w:tr>
        <w:tc>
          <w:tcPr>
            <w:tcW w:type="dxa" w:w="1512"/>
            <w:tcMar>
              <w:top w:w="35" w:type="dxa"/>
              <w:start w:w="65" w:type="dxa"/>
              <w:bottom w:w="35" w:type="dxa"/>
              <w:end w:w="65" w:type="dxa"/>
            </w:tcMar>
            <w:vAlign w:val="center"/>
          </w:tcPr>
          <w:p>
            <w:pPr>
              <w:spacing w:before="0" w:after="0" w:line="240" w:lineRule="auto"/>
            </w:pPr>
            <w:r>
              <w:rPr>
                <w:sz w:val="15"/>
              </w:rPr>
              <w:t>T2-PO-410</w:t>
            </w:r>
          </w:p>
        </w:tc>
        <w:tc>
          <w:tcPr>
            <w:tcW w:type="dxa" w:w="5112"/>
            <w:tcMar>
              <w:top w:w="35" w:type="dxa"/>
              <w:start w:w="65" w:type="dxa"/>
              <w:bottom w:w="35" w:type="dxa"/>
              <w:end w:w="65" w:type="dxa"/>
            </w:tcMar>
            <w:vAlign w:val="center"/>
          </w:tcPr>
          <w:p>
            <w:pPr>
              <w:spacing w:before="0" w:after="0" w:line="240" w:lineRule="auto"/>
            </w:pPr>
            <w:r>
              <w:rPr>
                <w:sz w:val="15"/>
              </w:rPr>
              <w:t>Splitting estimator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Level/adaptation model</w:t>
            </w:r>
          </w:p>
        </w:tc>
      </w:tr>
      <w:tr>
        <w:tc>
          <w:tcPr>
            <w:tcW w:type="dxa" w:w="1512"/>
            <w:tcMar>
              <w:top w:w="35" w:type="dxa"/>
              <w:start w:w="65" w:type="dxa"/>
              <w:bottom w:w="35" w:type="dxa"/>
              <w:end w:w="65" w:type="dxa"/>
            </w:tcMar>
            <w:vAlign w:val="center"/>
          </w:tcPr>
          <w:p>
            <w:pPr>
              <w:spacing w:before="0" w:after="0" w:line="240" w:lineRule="auto"/>
            </w:pPr>
            <w:r>
              <w:rPr>
                <w:sz w:val="15"/>
              </w:rPr>
              <w:t>T2-PO-411</w:t>
            </w:r>
          </w:p>
        </w:tc>
        <w:tc>
          <w:tcPr>
            <w:tcW w:type="dxa" w:w="5112"/>
            <w:tcMar>
              <w:top w:w="35" w:type="dxa"/>
              <w:start w:w="65" w:type="dxa"/>
              <w:bottom w:w="35" w:type="dxa"/>
              <w:end w:w="65" w:type="dxa"/>
            </w:tcMar>
            <w:vAlign w:val="center"/>
          </w:tcPr>
          <w:p>
            <w:pPr>
              <w:spacing w:before="0" w:after="0" w:line="240" w:lineRule="auto"/>
            </w:pPr>
            <w:r>
              <w:rPr>
                <w:sz w:val="15"/>
              </w:rPr>
              <w:t>KL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Orientation/support assumptions</w:t>
            </w:r>
          </w:p>
        </w:tc>
      </w:tr>
      <w:tr>
        <w:tc>
          <w:tcPr>
            <w:tcW w:type="dxa" w:w="1512"/>
            <w:tcMar>
              <w:top w:w="35" w:type="dxa"/>
              <w:start w:w="65" w:type="dxa"/>
              <w:bottom w:w="35" w:type="dxa"/>
              <w:end w:w="65" w:type="dxa"/>
            </w:tcMar>
            <w:vAlign w:val="center"/>
          </w:tcPr>
          <w:p>
            <w:pPr>
              <w:spacing w:before="0" w:after="0" w:line="240" w:lineRule="auto"/>
            </w:pPr>
            <w:r>
              <w:rPr>
                <w:sz w:val="15"/>
              </w:rPr>
              <w:t>T2-PO-412</w:t>
            </w:r>
          </w:p>
        </w:tc>
        <w:tc>
          <w:tcPr>
            <w:tcW w:type="dxa" w:w="5112"/>
            <w:tcMar>
              <w:top w:w="35" w:type="dxa"/>
              <w:start w:w="65" w:type="dxa"/>
              <w:bottom w:w="35" w:type="dxa"/>
              <w:end w:w="65" w:type="dxa"/>
            </w:tcMar>
            <w:vAlign w:val="center"/>
          </w:tcPr>
          <w:p>
            <w:pPr>
              <w:spacing w:before="0" w:after="0" w:line="240" w:lineRule="auto"/>
            </w:pPr>
            <w:r>
              <w:rPr>
                <w:sz w:val="15"/>
              </w:rPr>
              <w:t>Wasserstein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Growth/duality assumptions</w:t>
            </w:r>
          </w:p>
        </w:tc>
      </w:tr>
      <w:tr>
        <w:tc>
          <w:tcPr>
            <w:tcW w:type="dxa" w:w="1512"/>
            <w:tcMar>
              <w:top w:w="35" w:type="dxa"/>
              <w:start w:w="65" w:type="dxa"/>
              <w:bottom w:w="35" w:type="dxa"/>
              <w:end w:w="65" w:type="dxa"/>
            </w:tcMar>
            <w:vAlign w:val="center"/>
          </w:tcPr>
          <w:p>
            <w:pPr>
              <w:spacing w:before="0" w:after="0" w:line="240" w:lineRule="auto"/>
            </w:pPr>
            <w:r>
              <w:rPr>
                <w:sz w:val="15"/>
              </w:rPr>
              <w:t>T2-PO-413</w:t>
            </w:r>
          </w:p>
        </w:tc>
        <w:tc>
          <w:tcPr>
            <w:tcW w:type="dxa" w:w="5112"/>
            <w:tcMar>
              <w:top w:w="35" w:type="dxa"/>
              <w:start w:w="65" w:type="dxa"/>
              <w:bottom w:w="35" w:type="dxa"/>
              <w:end w:w="65" w:type="dxa"/>
            </w:tcMar>
            <w:vAlign w:val="center"/>
          </w:tcPr>
          <w:p>
            <w:pPr>
              <w:spacing w:before="0" w:after="0" w:line="240" w:lineRule="auto"/>
            </w:pPr>
            <w:r>
              <w:rPr>
                <w:sz w:val="15"/>
              </w:rPr>
              <w:t>Finite-sample ambiguity coverage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Concentration theorem</w:t>
            </w:r>
          </w:p>
        </w:tc>
      </w:tr>
      <w:tr>
        <w:tc>
          <w:tcPr>
            <w:tcW w:type="dxa" w:w="1512"/>
            <w:tcMar>
              <w:top w:w="35" w:type="dxa"/>
              <w:start w:w="65" w:type="dxa"/>
              <w:bottom w:w="35" w:type="dxa"/>
              <w:end w:w="65" w:type="dxa"/>
            </w:tcMar>
            <w:vAlign w:val="center"/>
          </w:tcPr>
          <w:p>
            <w:pPr>
              <w:spacing w:before="0" w:after="0" w:line="240" w:lineRule="auto"/>
            </w:pPr>
            <w:r>
              <w:rPr>
                <w:sz w:val="15"/>
              </w:rPr>
              <w:t>T2-PO-414</w:t>
            </w:r>
          </w:p>
        </w:tc>
        <w:tc>
          <w:tcPr>
            <w:tcW w:type="dxa" w:w="5112"/>
            <w:tcMar>
              <w:top w:w="35" w:type="dxa"/>
              <w:start w:w="65" w:type="dxa"/>
              <w:bottom w:w="35" w:type="dxa"/>
              <w:end w:w="65" w:type="dxa"/>
            </w:tcMar>
            <w:vAlign w:val="center"/>
          </w:tcPr>
          <w:p>
            <w:pPr>
              <w:spacing w:before="0" w:after="0" w:line="240" w:lineRule="auto"/>
            </w:pPr>
            <w:r>
              <w:rPr>
                <w:sz w:val="15"/>
              </w:rPr>
              <w:t>Coverage-to-risk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23.3</w:t>
            </w:r>
          </w:p>
        </w:tc>
      </w:tr>
      <w:tr>
        <w:tc>
          <w:tcPr>
            <w:tcW w:type="dxa" w:w="1512"/>
            <w:tcMar>
              <w:top w:w="35" w:type="dxa"/>
              <w:start w:w="65" w:type="dxa"/>
              <w:bottom w:w="35" w:type="dxa"/>
              <w:end w:w="65" w:type="dxa"/>
            </w:tcMar>
            <w:vAlign w:val="center"/>
          </w:tcPr>
          <w:p>
            <w:pPr>
              <w:spacing w:before="0" w:after="0" w:line="240" w:lineRule="auto"/>
            </w:pPr>
            <w:r>
              <w:rPr>
                <w:sz w:val="15"/>
              </w:rPr>
              <w:t>T2-PO-415</w:t>
            </w:r>
          </w:p>
        </w:tc>
        <w:tc>
          <w:tcPr>
            <w:tcW w:type="dxa" w:w="5112"/>
            <w:tcMar>
              <w:top w:w="35" w:type="dxa"/>
              <w:start w:w="65" w:type="dxa"/>
              <w:bottom w:w="35" w:type="dxa"/>
              <w:end w:w="65" w:type="dxa"/>
            </w:tcMar>
            <w:vAlign w:val="center"/>
          </w:tcPr>
          <w:p>
            <w:pPr>
              <w:spacing w:before="0" w:after="0" w:line="240" w:lineRule="auto"/>
            </w:pPr>
            <w:r>
              <w:rPr>
                <w:sz w:val="15"/>
              </w:rPr>
              <w:t>Exact zero-count binomial bound</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Formula (23.32)</w:t>
            </w:r>
          </w:p>
        </w:tc>
      </w:tr>
      <w:tr>
        <w:tc>
          <w:tcPr>
            <w:tcW w:type="dxa" w:w="1512"/>
            <w:tcMar>
              <w:top w:w="35" w:type="dxa"/>
              <w:start w:w="65" w:type="dxa"/>
              <w:bottom w:w="35" w:type="dxa"/>
              <w:end w:w="65" w:type="dxa"/>
            </w:tcMar>
            <w:vAlign w:val="center"/>
          </w:tcPr>
          <w:p>
            <w:pPr>
              <w:spacing w:before="0" w:after="0" w:line="240" w:lineRule="auto"/>
            </w:pPr>
            <w:r>
              <w:rPr>
                <w:sz w:val="15"/>
              </w:rPr>
              <w:t>T2-PO-416</w:t>
            </w:r>
          </w:p>
        </w:tc>
        <w:tc>
          <w:tcPr>
            <w:tcW w:type="dxa" w:w="5112"/>
            <w:tcMar>
              <w:top w:w="35" w:type="dxa"/>
              <w:start w:w="65" w:type="dxa"/>
              <w:bottom w:w="35" w:type="dxa"/>
              <w:end w:w="65" w:type="dxa"/>
            </w:tcMar>
            <w:vAlign w:val="center"/>
          </w:tcPr>
          <w:p>
            <w:pPr>
              <w:spacing w:before="0" w:after="0" w:line="240" w:lineRule="auto"/>
            </w:pPr>
            <w:r>
              <w:rPr>
                <w:sz w:val="15"/>
              </w:rPr>
              <w:t>Dependence correction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Cluster/mixing/effective sample size</w:t>
            </w:r>
          </w:p>
        </w:tc>
      </w:tr>
      <w:tr>
        <w:tc>
          <w:tcPr>
            <w:tcW w:type="dxa" w:w="1512"/>
            <w:tcMar>
              <w:top w:w="35" w:type="dxa"/>
              <w:start w:w="65" w:type="dxa"/>
              <w:bottom w:w="35" w:type="dxa"/>
              <w:end w:w="65" w:type="dxa"/>
            </w:tcMar>
            <w:vAlign w:val="center"/>
          </w:tcPr>
          <w:p>
            <w:pPr>
              <w:spacing w:before="0" w:after="0" w:line="240" w:lineRule="auto"/>
            </w:pPr>
            <w:r>
              <w:rPr>
                <w:sz w:val="15"/>
              </w:rPr>
              <w:t>T2-PO-417</w:t>
            </w:r>
          </w:p>
        </w:tc>
        <w:tc>
          <w:tcPr>
            <w:tcW w:type="dxa" w:w="5112"/>
            <w:tcMar>
              <w:top w:w="35" w:type="dxa"/>
              <w:start w:w="65" w:type="dxa"/>
              <w:bottom w:w="35" w:type="dxa"/>
              <w:end w:w="65" w:type="dxa"/>
            </w:tcMar>
            <w:vAlign w:val="center"/>
          </w:tcPr>
          <w:p>
            <w:pPr>
              <w:spacing w:before="0" w:after="0" w:line="240" w:lineRule="auto"/>
            </w:pPr>
            <w:r>
              <w:rPr>
                <w:sz w:val="15"/>
              </w:rPr>
              <w:t>Sequential rare-event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E-process/confidence sequence</w:t>
            </w:r>
          </w:p>
        </w:tc>
      </w:tr>
      <w:tr>
        <w:tc>
          <w:tcPr>
            <w:tcW w:type="dxa" w:w="1512"/>
            <w:tcMar>
              <w:top w:w="35" w:type="dxa"/>
              <w:start w:w="65" w:type="dxa"/>
              <w:bottom w:w="35" w:type="dxa"/>
              <w:end w:w="65" w:type="dxa"/>
            </w:tcMar>
            <w:vAlign w:val="center"/>
          </w:tcPr>
          <w:p>
            <w:pPr>
              <w:spacing w:before="0" w:after="0" w:line="240" w:lineRule="auto"/>
            </w:pPr>
            <w:r>
              <w:rPr>
                <w:sz w:val="15"/>
              </w:rPr>
              <w:t>T2-PO-418</w:t>
            </w:r>
          </w:p>
        </w:tc>
        <w:tc>
          <w:tcPr>
            <w:tcW w:type="dxa" w:w="5112"/>
            <w:tcMar>
              <w:top w:w="35" w:type="dxa"/>
              <w:start w:w="65" w:type="dxa"/>
              <w:bottom w:w="35" w:type="dxa"/>
              <w:end w:w="65" w:type="dxa"/>
            </w:tcMar>
            <w:vAlign w:val="center"/>
          </w:tcPr>
          <w:p>
            <w:pPr>
              <w:spacing w:before="0" w:after="0" w:line="240" w:lineRule="auto"/>
            </w:pPr>
            <w:r>
              <w:rPr>
                <w:sz w:val="15"/>
              </w:rPr>
              <w:t>Finite-n LDP remainder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Model-specific sharp asymptotics</w:t>
            </w:r>
          </w:p>
        </w:tc>
      </w:tr>
      <w:tr>
        <w:tc>
          <w:tcPr>
            <w:tcW w:type="dxa" w:w="1512"/>
            <w:tcMar>
              <w:top w:w="35" w:type="dxa"/>
              <w:start w:w="65" w:type="dxa"/>
              <w:bottom w:w="35" w:type="dxa"/>
              <w:end w:w="65" w:type="dxa"/>
            </w:tcMar>
            <w:vAlign w:val="center"/>
          </w:tcPr>
          <w:p>
            <w:pPr>
              <w:spacing w:before="0" w:after="0" w:line="240" w:lineRule="auto"/>
            </w:pPr>
            <w:r>
              <w:rPr>
                <w:sz w:val="15"/>
              </w:rPr>
              <w:t>T2-PO-419</w:t>
            </w:r>
          </w:p>
        </w:tc>
        <w:tc>
          <w:tcPr>
            <w:tcW w:type="dxa" w:w="5112"/>
            <w:tcMar>
              <w:top w:w="35" w:type="dxa"/>
              <w:start w:w="65" w:type="dxa"/>
              <w:bottom w:w="35" w:type="dxa"/>
              <w:end w:w="65" w:type="dxa"/>
            </w:tcMar>
            <w:vAlign w:val="center"/>
          </w:tcPr>
          <w:p>
            <w:pPr>
              <w:spacing w:before="0" w:after="0" w:line="240" w:lineRule="auto"/>
            </w:pPr>
            <w:r>
              <w:rPr>
                <w:sz w:val="15"/>
              </w:rPr>
              <w:t>Tail non-identifiability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23.4</w:t>
            </w:r>
          </w:p>
        </w:tc>
      </w:tr>
      <w:tr>
        <w:tc>
          <w:tcPr>
            <w:tcW w:type="dxa" w:w="1512"/>
            <w:tcMar>
              <w:top w:w="35" w:type="dxa"/>
              <w:start w:w="65" w:type="dxa"/>
              <w:bottom w:w="35" w:type="dxa"/>
              <w:end w:w="65" w:type="dxa"/>
            </w:tcMar>
            <w:vAlign w:val="center"/>
          </w:tcPr>
          <w:p>
            <w:pPr>
              <w:spacing w:before="0" w:after="0" w:line="240" w:lineRule="auto"/>
            </w:pPr>
            <w:r>
              <w:rPr>
                <w:sz w:val="15"/>
              </w:rPr>
              <w:t>T2-PO-420</w:t>
            </w:r>
          </w:p>
        </w:tc>
        <w:tc>
          <w:tcPr>
            <w:tcW w:type="dxa" w:w="5112"/>
            <w:tcMar>
              <w:top w:w="35" w:type="dxa"/>
              <w:start w:w="65" w:type="dxa"/>
              <w:bottom w:w="35" w:type="dxa"/>
              <w:end w:w="65" w:type="dxa"/>
            </w:tcMar>
            <w:vAlign w:val="center"/>
          </w:tcPr>
          <w:p>
            <w:pPr>
              <w:spacing w:before="0" w:after="0" w:line="240" w:lineRule="auto"/>
            </w:pPr>
            <w:r>
              <w:rPr>
                <w:sz w:val="15"/>
              </w:rPr>
              <w:t>Rate-function numerical certificate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Interval/optimization solver</w:t>
            </w:r>
          </w:p>
        </w:tc>
      </w:tr>
      <w:tr>
        <w:tc>
          <w:tcPr>
            <w:tcW w:type="dxa" w:w="1512"/>
            <w:tcMar>
              <w:top w:w="35" w:type="dxa"/>
              <w:start w:w="65" w:type="dxa"/>
              <w:bottom w:w="35" w:type="dxa"/>
              <w:end w:w="65" w:type="dxa"/>
            </w:tcMar>
            <w:vAlign w:val="center"/>
          </w:tcPr>
          <w:p>
            <w:pPr>
              <w:spacing w:before="0" w:after="0" w:line="240" w:lineRule="auto"/>
            </w:pPr>
            <w:r>
              <w:rPr>
                <w:sz w:val="15"/>
              </w:rPr>
              <w:t>T2-PO-421</w:t>
            </w:r>
          </w:p>
        </w:tc>
        <w:tc>
          <w:tcPr>
            <w:tcW w:type="dxa" w:w="5112"/>
            <w:tcMar>
              <w:top w:w="35" w:type="dxa"/>
              <w:start w:w="65" w:type="dxa"/>
              <w:bottom w:w="35" w:type="dxa"/>
              <w:end w:w="65" w:type="dxa"/>
            </w:tcMar>
            <w:vAlign w:val="center"/>
          </w:tcPr>
          <w:p>
            <w:pPr>
              <w:spacing w:before="0" w:after="0" w:line="240" w:lineRule="auto"/>
            </w:pPr>
            <w:r>
              <w:rPr>
                <w:sz w:val="15"/>
              </w:rPr>
              <w:t>Robust rare-event Reper certificate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Cert_LD schema</w:t>
            </w:r>
          </w:p>
        </w:tc>
      </w:tr>
      <w:tr>
        <w:tc>
          <w:tcPr>
            <w:tcW w:type="dxa" w:w="1512"/>
            <w:tcMar>
              <w:top w:w="35" w:type="dxa"/>
              <w:start w:w="65" w:type="dxa"/>
              <w:bottom w:w="35" w:type="dxa"/>
              <w:end w:w="65" w:type="dxa"/>
            </w:tcMar>
            <w:vAlign w:val="center"/>
          </w:tcPr>
          <w:p>
            <w:pPr>
              <w:spacing w:before="0" w:after="0" w:line="240" w:lineRule="auto"/>
            </w:pPr>
            <w:r>
              <w:rPr>
                <w:sz w:val="15"/>
              </w:rPr>
              <w:t>T2-PO-422</w:t>
            </w:r>
          </w:p>
        </w:tc>
        <w:tc>
          <w:tcPr>
            <w:tcW w:type="dxa" w:w="5112"/>
            <w:tcMar>
              <w:top w:w="35" w:type="dxa"/>
              <w:start w:w="65" w:type="dxa"/>
              <w:bottom w:w="35" w:type="dxa"/>
              <w:end w:w="65" w:type="dxa"/>
            </w:tcMar>
            <w:vAlign w:val="center"/>
          </w:tcPr>
          <w:p>
            <w:pPr>
              <w:spacing w:before="0" w:after="0" w:line="240" w:lineRule="auto"/>
            </w:pPr>
            <w:r>
              <w:rPr>
                <w:sz w:val="15"/>
              </w:rPr>
              <w:t>Large-deviation horizons</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Definitions (23.37)-(23.40)</w:t>
            </w:r>
          </w:p>
        </w:tc>
      </w:tr>
      <w:tr>
        <w:tc>
          <w:tcPr>
            <w:tcW w:type="dxa" w:w="1512"/>
            <w:tcMar>
              <w:top w:w="35" w:type="dxa"/>
              <w:start w:w="65" w:type="dxa"/>
              <w:bottom w:w="35" w:type="dxa"/>
              <w:end w:w="65" w:type="dxa"/>
            </w:tcMar>
            <w:vAlign w:val="center"/>
          </w:tcPr>
          <w:p>
            <w:pPr>
              <w:spacing w:before="0" w:after="0" w:line="240" w:lineRule="auto"/>
            </w:pPr>
            <w:r>
              <w:rPr>
                <w:sz w:val="15"/>
              </w:rPr>
              <w:t>T2-PO-423</w:t>
            </w:r>
          </w:p>
        </w:tc>
        <w:tc>
          <w:tcPr>
            <w:tcW w:type="dxa" w:w="5112"/>
            <w:tcMar>
              <w:top w:w="35" w:type="dxa"/>
              <w:start w:w="65" w:type="dxa"/>
              <w:bottom w:w="35" w:type="dxa"/>
              <w:end w:w="65" w:type="dxa"/>
            </w:tcMar>
            <w:vAlign w:val="center"/>
          </w:tcPr>
          <w:p>
            <w:pPr>
              <w:spacing w:before="0" w:after="0" w:line="240" w:lineRule="auto"/>
            </w:pPr>
            <w:r>
              <w:rPr>
                <w:sz w:val="15"/>
              </w:rPr>
              <w:t>Main safety theorem v0.20</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H1-H14</w:t>
            </w:r>
          </w:p>
        </w:tc>
      </w:tr>
      <w:tr>
        <w:tc>
          <w:tcPr>
            <w:tcW w:type="dxa" w:w="1512"/>
            <w:tcMar>
              <w:top w:w="35" w:type="dxa"/>
              <w:start w:w="65" w:type="dxa"/>
              <w:bottom w:w="35" w:type="dxa"/>
              <w:end w:w="65" w:type="dxa"/>
            </w:tcMar>
            <w:vAlign w:val="center"/>
          </w:tcPr>
          <w:p>
            <w:pPr>
              <w:spacing w:before="0" w:after="0" w:line="240" w:lineRule="auto"/>
            </w:pPr>
            <w:r>
              <w:rPr>
                <w:sz w:val="15"/>
              </w:rPr>
              <w:t>T2-PO-424</w:t>
            </w:r>
          </w:p>
        </w:tc>
        <w:tc>
          <w:tcPr>
            <w:tcW w:type="dxa" w:w="5112"/>
            <w:tcMar>
              <w:top w:w="35" w:type="dxa"/>
              <w:start w:w="65" w:type="dxa"/>
              <w:bottom w:w="35" w:type="dxa"/>
              <w:end w:w="65" w:type="dxa"/>
            </w:tcMar>
            <w:vAlign w:val="center"/>
          </w:tcPr>
          <w:p>
            <w:pPr>
              <w:spacing w:before="0" w:after="0" w:line="240" w:lineRule="auto"/>
            </w:pPr>
            <w:r>
              <w:rPr>
                <w:sz w:val="15"/>
              </w:rPr>
              <w:t>Physical interpretation bridge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Separate reduction</w:t>
            </w:r>
          </w:p>
        </w:tc>
      </w:tr>
      <w:tr>
        <w:tc>
          <w:tcPr>
            <w:tcW w:type="dxa" w:w="1512"/>
            <w:tcMar>
              <w:top w:w="35" w:type="dxa"/>
              <w:start w:w="65" w:type="dxa"/>
              <w:bottom w:w="35" w:type="dxa"/>
              <w:end w:w="65" w:type="dxa"/>
            </w:tcMar>
            <w:vAlign w:val="center"/>
          </w:tcPr>
          <w:p>
            <w:pPr>
              <w:spacing w:before="0" w:after="0" w:line="240" w:lineRule="auto"/>
            </w:pPr>
            <w:r>
              <w:rPr>
                <w:sz w:val="15"/>
              </w:rPr>
              <w:t>T2-PO-425</w:t>
            </w:r>
          </w:p>
        </w:tc>
        <w:tc>
          <w:tcPr>
            <w:tcW w:type="dxa" w:w="5112"/>
            <w:tcMar>
              <w:top w:w="35" w:type="dxa"/>
              <w:start w:w="65" w:type="dxa"/>
              <w:bottom w:w="35" w:type="dxa"/>
              <w:end w:w="65" w:type="dxa"/>
            </w:tcMar>
            <w:vAlign w:val="center"/>
          </w:tcPr>
          <w:p>
            <w:pPr>
              <w:spacing w:before="0" w:after="0" w:line="240" w:lineRule="auto"/>
            </w:pPr>
            <w:r>
              <w:rPr>
                <w:sz w:val="15"/>
              </w:rPr>
              <w:t>Independent rare-event EXT-RUN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Preregistered external data</w:t>
            </w:r>
          </w:p>
        </w:tc>
      </w:tr>
      <w:tr>
        <w:tc>
          <w:tcPr>
            <w:tcW w:type="dxa" w:w="1512"/>
            <w:tcMar>
              <w:top w:w="35" w:type="dxa"/>
              <w:start w:w="65" w:type="dxa"/>
              <w:bottom w:w="35" w:type="dxa"/>
              <w:end w:w="65" w:type="dxa"/>
            </w:tcMar>
            <w:vAlign w:val="center"/>
          </w:tcPr>
          <w:p>
            <w:pPr>
              <w:spacing w:before="0" w:after="0" w:line="240" w:lineRule="auto"/>
            </w:pPr>
            <w:r>
              <w:rPr>
                <w:sz w:val="15"/>
              </w:rPr>
              <w:t>T2-PO-426</w:t>
            </w:r>
          </w:p>
        </w:tc>
        <w:tc>
          <w:tcPr>
            <w:tcW w:type="dxa" w:w="5112"/>
            <w:tcMar>
              <w:top w:w="35" w:type="dxa"/>
              <w:start w:w="65" w:type="dxa"/>
              <w:bottom w:w="35" w:type="dxa"/>
              <w:end w:w="65" w:type="dxa"/>
            </w:tcMar>
            <w:vAlign w:val="center"/>
          </w:tcPr>
          <w:p>
            <w:pPr>
              <w:spacing w:before="0" w:after="0" w:line="240" w:lineRule="auto"/>
            </w:pPr>
            <w:r>
              <w:rPr>
                <w:sz w:val="15"/>
              </w:rPr>
              <w:t>Cross-domain transportability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Domain adapters and evidence</w:t>
            </w:r>
          </w:p>
        </w:tc>
      </w:tr>
    </w:tbl>
    <w:p>
      <w:pPr>
        <w:pStyle w:val="Heading1"/>
      </w:pPr>
      <w:r>
        <w:t>369. Prior art и граница авторского вклада</w:t>
      </w:r>
    </w:p>
    <w:p>
      <w:pPr/>
      <w:r>
        <w:t>Классический prior art главы включает Cramér-Sanov large deviations, Varadhan/Laplace principle, Donsker-Varadhan theory, Gärtner-Ellis convex duality, Freidlin-Wentzell action geometry, weak-convergence method Dupuis-Ellis, Feynman-Kac semigroups, risk-sensitive control, importance sampling и distributionally robust optimization. Авторский слой Тома II состоит в их типизированной интеграции с NAPG/KLT-RBD, Reper-path, λ/D/Dom, obstruction carriers, transition horizons, finite-sample firewall и пятизначным verdict.</w:t>
      </w:r>
    </w:p>
    <w:p>
      <w:pPr/>
      <w:r>
        <w:t>[V0.20-1] Sanov, I. N. On the probability of large deviations of random magnitudes. Mat. Sb. (N.S.) 42(84):1 (1957), 11-44. [первичный источник]</w:t>
      </w:r>
    </w:p>
    <w:p>
      <w:pPr/>
      <w:r>
        <w:t>[V0.20-2] Varadhan, S. R. S. Asymptotic probabilities and differential equations. Comm. Pure Appl. Math. 19 (1966), 261-286. DOI 10.1002/cpa.3160190303. [первичный источник]</w:t>
      </w:r>
    </w:p>
    <w:p>
      <w:pPr/>
      <w:r>
        <w:t>[V0.20-3] Donsker, M. D.; Varadhan, S. R. S. Asymptotic evaluation of certain Markov process expectations for large time I-IV. Comm. Pure Appl. Math. 28-36 (1975-1983). [первичный цикл]</w:t>
      </w:r>
    </w:p>
    <w:p>
      <w:pPr/>
      <w:r>
        <w:t>[V0.20-4] Gärtner, J. On large deviations from the invariant measure. Theory Probab. Appl. 22 (1977), 24-39. DOI 10.1137/1122003. [первичный источник]</w:t>
      </w:r>
    </w:p>
    <w:p>
      <w:pPr/>
      <w:r>
        <w:t>[V0.20-5] Ellis, R. S. Large deviations for a general class of random vectors. Ann. Probab. 12 (1984), 1-12. DOI 10.1214/aop/1176993370. [первичный источник]</w:t>
      </w:r>
    </w:p>
    <w:p>
      <w:pPr/>
      <w:r>
        <w:t>[V0.20-6] Freidlin, M. I.; Wentzell, A. D. Random Perturbations of Dynamical Systems. Springer, 1984/1998/2012. [основная монография]</w:t>
      </w:r>
    </w:p>
    <w:p>
      <w:pPr/>
      <w:r>
        <w:t>[V0.20-7] Dupuis, P.; Ellis, R. S. A Weak Convergence Approach to the Theory of Large Deviations. Wiley, 1997. DOI 10.1002/9781118165904.</w:t>
      </w:r>
    </w:p>
    <w:p>
      <w:pPr/>
      <w:r>
        <w:t>[V0.20-8] Fleming, W. H.; Sheu, S. J. Risk-Sensitive Control and an Optimal Investment Model. Mathematical Finance 10 (2000), 197-213. DOI 10.1111/1467-9965.00089.</w:t>
      </w:r>
    </w:p>
    <w:p>
      <w:pPr/>
      <w:r>
        <w:t>[V0.20-9] Mohajerin Esfahani, P.; Kuhn, D. Data-driven distributionally robust optimization using the Wasserstein metric. Math. Programming 171 (2018), 115-166; arXiv:1505.05116.</w:t>
      </w:r>
    </w:p>
    <w:p>
      <w:pPr/>
      <w:r>
        <w:t>[V0.20-10] Kurpishev, I. B. Том I v197 RU; Том II T2-RP-v0.1-v0.19. [внутренний авторский корпус]</w:t>
      </w:r>
    </w:p>
    <w:p>
      <w:pPr>
        <w:pStyle w:val="Small"/>
      </w:pPr>
      <w:r>
        <w:t>Замороженный Том I v197 RU фиксирует blocker-safe прогнозные коридоры, e-processes, finite-sample power и causal-limit discipline. Настоящая глава добавляет large-deviation action, risk-sensitive и robust rare-event carriers без изменения статуса ПН.2 или F-1-F-14.</w:t>
      </w:r>
    </w:p>
    <w:p>
      <w:pPr>
        <w:pStyle w:val="Heading1"/>
      </w:pPr>
      <w:r>
        <w:t>370. Контрольная точка и граница вывода</w:t>
      </w:r>
    </w:p>
    <w:p>
      <w:pPr>
        <w:pStyle w:val="Quote"/>
        <w:jc w:val="center"/>
      </w:pPr>
      <w:r>
        <w:t>truth_layer_promotion=0; checkpoint=T2-RP-v0.20; next=T2-RP-v0.21.  (23.41)</w:t>
      </w:r>
    </w:p>
    <w:p>
      <w:pPr/>
      <w:r>
        <w:t>Глава 23 построила строгий интерфейс редких событий: LDP задаёт экспоненциальную геометрию, Freidlin-Wentzell action и quasipotential локализуют минимально-действующие пути, Donsker-Varadhan/Feynman-Kac и risk-sensitive semigroups задают спектрально-вариационный слой, а ambiguity sets и точные confidence bounds превращают часть выводов в конечновыборочные сертификаты.</w:t>
      </w:r>
    </w:p>
    <w:p>
      <w:pPr>
        <w:pStyle w:val="Lead"/>
      </w:pPr>
      <w:r>
        <w:t>Ключевой итог: “экспоненциально подавлено”, “вероятность не выше α с confidence 1-β”, “невозможно внутри support” и “событие наступило” являются четырьмя разными утверждениями. Тому II запрещено превращать первое во второе, второе в третье, а третье в физический закон без дополнительных мостов.</w:t>
      </w:r>
    </w:p>
    <w:p>
      <w:pPr>
        <w:pStyle w:val="Small"/>
      </w:pPr>
      <w:r>
        <w:t>Следующая сборка tom2_v0_21 развивает главу 24: синтез всех слоёв в end-to-end предсказательный оператор KLT-RBD, полную композицию бюджетов ошибок, общий theorem schema, алгоритмический контракт и итоговую матрицу фальсифицируемости Тома II.</w:t>
      </w:r>
    </w:p>
    <w:p>
      <w:pPr>
        <w:pStyle w:val="Small"/>
      </w:pPr>
      <w:r>
        <w:t>checkpoint=T2-RP-v0.20; source=T2-RP-v0.19; truth_layer_promotion=0; next=T2-RP-v0.21.</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v0.20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v0.20</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v0.20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 Id="rId89" Type="http://schemas.openxmlformats.org/officeDocument/2006/relationships/image" Target="media/image51.png"/><Relationship Id="rId90" Type="http://schemas.openxmlformats.org/officeDocument/2006/relationships/image" Target="media/image52.png"/><Relationship Id="rId91" Type="http://schemas.openxmlformats.org/officeDocument/2006/relationships/image" Target="media/image53.png"/><Relationship Id="rId92" Type="http://schemas.openxmlformats.org/officeDocument/2006/relationships/image" Target="media/image54.png"/><Relationship Id="rId93" Type="http://schemas.openxmlformats.org/officeDocument/2006/relationships/image" Target="media/image55.png"/><Relationship Id="rId94" Type="http://schemas.openxmlformats.org/officeDocument/2006/relationships/image" Target="media/image56.png"/><Relationship Id="rId95" Type="http://schemas.openxmlformats.org/officeDocument/2006/relationships/image" Target="media/image57.png"/><Relationship Id="rId96" Type="http://schemas.openxmlformats.org/officeDocument/2006/relationships/image" Target="media/image58.png"/><Relationship Id="rId97" Type="http://schemas.openxmlformats.org/officeDocument/2006/relationships/image" Target="media/image59.png"/><Relationship Id="rId98" Type="http://schemas.openxmlformats.org/officeDocument/2006/relationships/image" Target="media/image60.png"/><Relationship Id="rId99" Type="http://schemas.openxmlformats.org/officeDocument/2006/relationships/image" Target="media/image61.png"/><Relationship Id="rId100" Type="http://schemas.openxmlformats.org/officeDocument/2006/relationships/image" Target="media/image62.png"/><Relationship Id="rId101"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tom2_v0_20</dc:title>
  <dc:subject>T2-RP-v0.20: large deviations, risk-sensitive semigroups, rare-event geometry and finite-sample certification</dc:subject>
  <dc:creator>Курпишев Иван Борисович</dc:creator>
  <cp:keywords>KLT-RBD, NAPG 3.0, large deviations, risk-sensitive semigroups, rare events, robust ambiguity, finite-sample certification</cp:keywords>
  <dc:description>Кумулятивная редакция v0.17; truth_layer_promotion=0.</dc:description>
  <cp:lastModifiedBy>OpenAI editorial build for Иван Борисович Курпишев</cp:lastModifiedBy>
  <cp:revision>1</cp:revision>
  <dcterms:created xsi:type="dcterms:W3CDTF">2013-12-23T23:15:00Z</dcterms:created>
  <dcterms:modified xsi:type="dcterms:W3CDTF">2026-07-24T14:37:03Z</dcterms:modified>
  <cp:category/>
</cp:coreProperties>
</file>