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100" w:before="80"/>
        <w:widowControl/>
        <w:jc w:val="center"/>
      </w:pPr>
      <w:r>
        <w:drawing>
          <wp:inline xmlns:a="http://schemas.openxmlformats.org/drawingml/2006/main" xmlns:pic="http://schemas.openxmlformats.org/drawingml/2006/picture">
            <wp:extent cx="1261872" cy="1261872"/>
            <wp:docPr id="45" name="Picture 45" descr="Утверждённая фотография автора Курпишева Ивана Борисовича" title="Фотография автора"/>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1261872" cy="1261872"/>
                    </a:xfrm>
                    <a:prstGeom prst="rect"/>
                  </pic:spPr>
                </pic:pic>
              </a:graphicData>
            </a:graphic>
          </wp:inline>
        </w:drawing>
      </w:r>
    </w:p>
    <w:p>
      <w:pPr>
        <w:jc w:val="center"/>
        <w:widowControl/>
      </w:pPr>
      <w:r>
        <w:t>Контрольная точка T2-RP-v0.15 · выпуск tom2_v0_15</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r>
    </w:p>
    <w:p>
      <w:pPr>
        <w:pStyle w:val="Heading1"/>
        <w:widowControl/>
        <w:keepNext/>
      </w:pPr>
      <w:r>
        <w:t>Паспорт выпуска tom2_v0_15</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Контрольная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
              <w:t>T2-RP-v0.15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
              <w:t>Кумулятивная рабочая редакция: v0.1-v0.14 сохранены; глава 18 углублена до global derived/stacky-moduli и descent-obstruction package v0.15.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Каноническая нулевая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tom1_v197.docx + tom1_v197_ru.pdf; Том I не редактируется и не пересобирается.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Обязательный регламент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tom2_chat_guide_v1.docx, SHA-256 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Состав выпуска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
              <w:t>Карта источников и правовое досье; master-skeleton 24 глав; слои v0.2-v0.14; глобальные Kuranishi/derived atlases, descent obstruction theories, virtual tangent complexes и глобальный predictive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Форматы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Нативно редактируемый DOCX и поисковый PDF. ZIP/CSV/JSON/HTML не формируются.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Статус-замок</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COND, MODEL, COMP, CONJ и PHY-HYP не повышаются без нового доказательства или независимого свидетельства.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Следующая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
              <w:t>tom2_v0_16: виртуальные циклы, интегрирование по moduli carrier, intersection-theoretic invariants и границы enumerative prediction.</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t>Выпуск tom2_v0_15 является кумулятивным продолжением v0.14 и развивает главу 18 Тома II: глобальные derived/stacky-пространства модулей, склейку локальных карт Кураниши, homotopy-coherent descent, perfect obstruction theories, виртуальные касательные комплексы и условия существования глобального предсказательного носителя KLT-RBD. Локальная разрешимость отделена от глобального существования; coarse moduli отделён от stacky и derived data. ПН.2, F-1-F-14 и физические мосты статуса не меняют.</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t>8. Контрольная точка T2-RP-v0.1; 9-17. Математическое углубление v0.2; 18-23. Ассоциаторная геометрия v0.3; 24-34. Алгебро-геометрическая двойственность v0.4; 35-45. Атласы и глобализация v0.5; 46-57. Касательные объекты v0.6; 58-69. Связности и голономия v0.7; 70-82. Дифференциальные формы v0.8; 83-99. Минимальный комплекс v0.9; 100-115. Внешний E-мост v0.10; 116-131. Проективизация препятствий v0.11; 132-148. Hodge-Fredholm слой v0.12; 149-166. Деформационные функторы и Кураниши v0.13; 167-193. Wall-crossing и монодромия v0.14; 194-215. Глобальные derived/stacky moduli и predictive carrier v0.15.</w:t>
      </w:r>
    </w:p>
    <w:p>
      <w:pPr>
        <w:pStyle w:val="Small"/>
        <w:widowControl/>
      </w:pPr>
      <w:r>
        <w:t>Примечание: выпуск v0.15 является кумулятивным. Материалы v0.1-v0.14 сохранены как точки отката. Новый строгий текст не считает набор локальных карт глобальным пространством модулей без effective descent, не отождествляет coarse moduli с stack и не использует virtual class как свидетельство физического события.</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r>
    </w:p>
    <w:p>
      <w:pPr>
        <w:pStyle w:val="Caption"/>
        <w:jc w:val="center"/>
        <w:keepNext/>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keepNext/>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keepNext/>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headerReference w:type="default" r:id="rId63"/>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keepNext/>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keepNext/>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keepNext/>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keepNext/>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keepNext/>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keepNext/>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keepNext/>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keepNext/>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keepNext/>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keepNext/>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keepNext/>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keepNext/>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pPr>
        <w:pStyle w:val="Heading1"/>
        <w:keepNext/>
      </w:pPr>
      <w:r>
        <w:t>100. Глава 13. Внешний E-комплекс и условный мост Π_E</w:t>
      </w:r>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pPr>
        <w:pStyle w:val="Heading1"/>
        <w:keepNext/>
      </w:pPr>
      <w:r>
        <w:t>101. Definition Core внешней реализации</w:t>
      </w:r>
    </w:p>
    <w:p>
      <w:pPr>
        <w:pStyle w:val="Heading2"/>
        <w:keepNext/>
      </w:pPr>
      <w:r>
        <w:t>101.1. Внешний комплекс</w:t>
      </w:r>
    </w:p>
    <w:p>
      <w:pPr/>
      <w:r>
        <w:t>Определение 13.1 (внешняя реализация). [DEF-A] Для объекта N∈NAPG_q внешней реализацией называется набор</w:t>
      </w:r>
    </w:p>
    <w:p>
      <w:pPr>
        <w:keepLines/>
        <w:spacing w:before="80" w:after="80"/>
        <w:jc w:val="center"/>
      </w:pPr>
      <w:r>
        <w:rPr>
          <w:rFonts w:ascii="Liberation Serif" w:hAnsi="Liberation Serif"/>
          <w:i/>
          <w:sz w:val="23"/>
        </w:rPr>
        <w:t>E(N)=(E^•(N), d_E, Dom_E, G_E),</w:t>
      </w:r>
      <w:r>
        <w:rPr>
          <w:sz w:val="21"/>
        </w:rPr>
        <w:t xml:space="preserve">     (13.1)</w:t>
      </w:r>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pPr>
        <w:keepLines/>
        <w:spacing w:before="80" w:after="80"/>
        <w:jc w:val="center"/>
      </w:pPr>
      <w:r>
        <w:rPr>
          <w:rFonts w:ascii="Liberation Serif" w:hAnsi="Liberation Serif"/>
          <w:i/>
          <w:sz w:val="23"/>
        </w:rPr>
        <w:t>d_E^{n+1} ∘ d_E^n = 0  для всех n.</w:t>
      </w:r>
      <w:r>
        <w:rPr>
          <w:sz w:val="21"/>
        </w:rPr>
        <w:t xml:space="preserve">     (13.2)</w:t>
      </w:r>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p>
    <w:p>
      <w:pPr>
        <w:keepLines/>
        <w:spacing w:before="80" w:after="80"/>
        <w:jc w:val="center"/>
      </w:pPr>
      <w:r>
        <w:rPr>
          <w:rFonts w:ascii="Liberation Serif" w:hAnsi="Liberation Serif"/>
          <w:i/>
          <w:sz w:val="23"/>
        </w:rPr>
        <w:t>J²_N:F²_N-&gt;E²(N),     J³_N:X²_N-&gt;E³(N),</w:t>
      </w:r>
      <w:r>
        <w:rPr>
          <w:sz w:val="21"/>
        </w:rPr>
        <w:t xml:space="preserve">     (13.3)</w:t>
      </w:r>
    </w:p>
    <w:p>
      <w:pPr>
        <w:keepLines/>
        <w:spacing w:before="80" w:after="80"/>
        <w:jc w:val="center"/>
      </w:pPr>
      <w:r>
        <w:rPr>
          <w:rFonts w:ascii="Liberation Serif" w:hAnsi="Liberation Serif"/>
          <w:i/>
          <w:sz w:val="23"/>
        </w:rPr>
        <w:t>d_E² J²_N = J³_N Ψ²_N,     d_E³ J³_N = 0.</w:t>
      </w:r>
      <w:r>
        <w:rPr>
          <w:sz w:val="21"/>
        </w:rPr>
        <w:t xml:space="preserve">     (13.4)</w:t>
      </w:r>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wp:cNvGraphicFramePr>
              <a:graphicFrameLocks noChangeAspect="1"/>
            </wp:cNvGraphicFramePr>
            <a:graphic>
              <a:graphicData uri="http://schemas.openxmlformats.org/drawingml/2006/picture">
                <pic:pic>
                  <pic:nvPicPr>
                    <pic:cNvPr id="0" name="fig26_e_bridge.png"/>
                    <pic:cNvPicPr/>
                  </pic:nvPicPr>
                  <pic:blipFill>
                    <a:blip r:embed="rId57"/>
                    <a:stretch>
                      <a:fillRect/>
                    </a:stretch>
                  </pic:blipFill>
                  <pic:spPr>
                    <a:xfrm>
                      <a:off x="0" y="0"/>
                      <a:ext cx="5760000" cy="2635554"/>
                    </a:xfrm>
                    <a:prstGeom prst="rect"/>
                  </pic:spPr>
                </pic:pic>
              </a:graphicData>
            </a:graphic>
          </wp:inline>
        </w:drawing>
      </w:r>
    </w:p>
    <w:p>
      <w:pPr>
        <w:pStyle w:val="Caption"/>
        <w:keepNext/>
        <w:jc w:val="center"/>
      </w:pPr>
      <w:r>
        <w:t>Рисунок 26. Цепной мост J и индуцированное отображение Π_E. Собственная схема Тома II.</w:t>
      </w:r>
    </w:p>
    <w:p>
      <w:pPr>
        <w:pStyle w:val="Heading1"/>
        <w:keepNext/>
      </w:pPr>
      <w:r>
        <w:t>102. Существование и корректность индуцированной карты</w:t>
      </w:r>
    </w:p>
    <w:p>
      <w:pPr>
        <w:pStyle w:val="Heading2"/>
        <w:keepNext/>
      </w:pPr>
      <w:r>
        <w:t>102.1. Критерий спуска на фактор</w:t>
      </w:r>
    </w:p>
    <w:p>
      <w:pPr/>
      <w:r>
        <w:t>Теорема 13.1 (well-definedness criterion). [THM] Пусть d_E³J³=0. Формула</w:t>
      </w:r>
    </w:p>
    <w:p>
      <w:pPr>
        <w:keepLines/>
        <w:spacing w:before="80" w:after="80"/>
        <w:jc w:val="center"/>
      </w:pPr>
      <w:r>
        <w:rPr>
          <w:rFonts w:ascii="Liberation Serif" w:hAnsi="Liberation Serif"/>
          <w:i/>
          <w:sz w:val="23"/>
        </w:rPr>
        <w:t>[x] ↦ [J³_N x]</w:t>
      </w:r>
      <w:r>
        <w:rPr>
          <w:sz w:val="21"/>
        </w:rPr>
        <w:t xml:space="preserve">     (13.5)</w:t>
      </w:r>
    </w:p>
    <w:p>
      <w:pPr/>
      <w:r>
        <w:t>задаёт линейное отображение coker Ψ²_N-&gt;H³(E^•(N)) тогда и только тогда, когда</w:t>
      </w:r>
    </w:p>
    <w:p>
      <w:pPr>
        <w:keepLines/>
        <w:spacing w:before="80" w:after="80"/>
        <w:jc w:val="center"/>
      </w:pPr>
      <w:r>
        <w:rPr>
          <w:rFonts w:ascii="Liberation Serif" w:hAnsi="Liberation Serif"/>
          <w:i/>
          <w:sz w:val="23"/>
        </w:rPr>
        <w:t>J³_N(Im Ψ²_N) ⊆ Im d_E².</w:t>
      </w:r>
      <w:r>
        <w:rPr>
          <w:sz w:val="21"/>
        </w:rPr>
        <w:t xml:space="preserve">     (13.6)</w:t>
      </w:r>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pPr/>
      <w:r>
        <w:t>Следствие 13.1.1. [THM] Цепное равенство d_E²J²=J³Ψ² автоматически влечёт (13.6).</w:t>
      </w:r>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pPr/>
      <w:r>
        <w:t>Определение 13.3 (внешняя карта препятствий). [COND/THM при B1-B5]</w:t>
      </w:r>
    </w:p>
    <w:p>
      <w:pPr>
        <w:keepLines/>
        <w:spacing w:before="80" w:after="80"/>
        <w:jc w:val="center"/>
      </w:pPr>
      <w:r>
        <w:rPr>
          <w:rFonts w:ascii="Liberation Serif" w:hAnsi="Liberation Serif"/>
          <w:i/>
          <w:sz w:val="23"/>
        </w:rPr>
        <w:t>Π_E,N := H³(J_N) ∘ κ_N : O_B(N) -&gt; H³(E^•(N)),</w:t>
      </w:r>
      <w:r>
        <w:rPr>
          <w:sz w:val="21"/>
        </w:rPr>
        <w:t xml:space="preserve">     (13.7)</w:t>
      </w:r>
    </w:p>
    <w:p>
      <w:pPr>
        <w:keepLines/>
        <w:spacing w:before="80" w:after="80"/>
        <w:jc w:val="center"/>
      </w:pPr>
      <w:r>
        <w:rPr>
          <w:rFonts w:ascii="Liberation Serif" w:hAnsi="Liberation Serif"/>
          <w:i/>
          <w:sz w:val="23"/>
        </w:rPr>
        <w:t>Π_E,N([x]) = [J³_N x].</w:t>
      </w:r>
      <w:r>
        <w:rPr>
          <w:sz w:val="21"/>
        </w:rPr>
        <w:t xml:space="preserve">     (13.8)</w:t>
      </w:r>
    </w:p>
    <w:p>
      <w:pPr/>
      <w:r>
        <w:t>Теорема 13.2 (естественность Π_E). [THM при B3-B5] Для морфизма f:N-&gt;N′ коммутирует квадрат</w:t>
      </w:r>
    </w:p>
    <w:p>
      <w:pPr>
        <w:keepLines/>
        <w:spacing w:before="80" w:after="80"/>
        <w:jc w:val="center"/>
      </w:pPr>
      <w:r>
        <w:rPr>
          <w:rFonts w:ascii="Liberation Serif" w:hAnsi="Liberation Serif"/>
          <w:i/>
          <w:sz w:val="23"/>
        </w:rPr>
        <w:t>H³(E(f)) Π_E,N = Π_E,N′ O_B(f).</w:t>
      </w:r>
      <w:r>
        <w:rPr>
          <w:sz w:val="21"/>
        </w:rPr>
        <w:t xml:space="preserve">     (13.9)</w:t>
      </w:r>
    </w:p>
    <w:p>
      <w:pPr/>
      <w:r>
        <w:t>Это равенство является точным критерием независимости внешней детекции от допустимого изоморфного представления.</w:t>
      </w:r>
    </w:p>
    <w:p>
      <w:pPr>
        <w:pStyle w:val="Heading1"/>
        <w:keepNext/>
      </w:pPr>
      <w:r>
        <w:t>103. Односторонняя, обратная и полная детекция</w:t>
      </w:r>
    </w:p>
    <w:p>
      <w:pPr/>
      <w:r>
        <w:t>Теорема 13.3 (односторонняя детекция). [THM] Для любого корректного Π_E</w:t>
      </w:r>
    </w:p>
    <w:p>
      <w:pPr>
        <w:keepLines/>
        <w:spacing w:before="80" w:after="80"/>
        <w:jc w:val="center"/>
      </w:pPr>
      <w:r>
        <w:rPr>
          <w:rFonts w:ascii="Liberation Serif" w:hAnsi="Liberation Serif"/>
          <w:i/>
          <w:sz w:val="23"/>
        </w:rPr>
        <w:t>Π_E(o) ≠ 0  =&gt;  o ≠ 0.</w:t>
      </w:r>
      <w:r>
        <w:rPr>
          <w:sz w:val="21"/>
        </w:rPr>
        <w:t xml:space="preserve">     (13.10)</w:t>
      </w:r>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pPr/>
      <w:r>
        <w:t>Теорема 13.4 (критерий обратной детекции). [THM] Следующие условия эквивалентны:</w:t>
      </w:r>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pPr/>
      <w:r>
        <w:t>Определение 13.4 (качество моста). [DEF-A] Мост называется:</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pPr>
        <w:pStyle w:val="Heading1"/>
        <w:keepNext/>
      </w:pPr>
      <w:r>
        <w:t>104. Mapping cone и измерение потери информации</w:t>
      </w:r>
    </w:p>
    <w:p>
      <w:pPr>
        <w:pStyle w:val="Heading2"/>
        <w:keepNext/>
      </w:pPr>
      <w:r>
        <w:t>104.1. Конус цепного моста</w:t>
      </w:r>
    </w:p>
    <w:p>
      <w:pPr/>
      <w:r>
        <w:t>Определение 13.5 (mapping cone). [CL] Для цепной карты J:C_min^•-&gt;E^• положим</w:t>
      </w:r>
    </w:p>
    <w:p>
      <w:pPr>
        <w:keepLines/>
        <w:spacing w:before="80" w:after="80"/>
        <w:jc w:val="center"/>
      </w:pPr>
      <w:r>
        <w:rPr>
          <w:rFonts w:ascii="Liberation Serif" w:hAnsi="Liberation Serif"/>
          <w:i/>
          <w:sz w:val="23"/>
        </w:rPr>
        <w:t>Cone(J)^n = E^n ⊕ C_min^{n+1},</w:t>
      </w:r>
      <w:r>
        <w:rPr>
          <w:sz w:val="21"/>
        </w:rPr>
        <w:t xml:space="preserve">     (13.11)</w:t>
      </w:r>
    </w:p>
    <w:p>
      <w:pPr>
        <w:keepLines/>
        <w:spacing w:before="80" w:after="80"/>
        <w:jc w:val="center"/>
      </w:pPr>
      <w:r>
        <w:rPr>
          <w:rFonts w:ascii="Liberation Serif" w:hAnsi="Liberation Serif"/>
          <w:i/>
          <w:sz w:val="23"/>
        </w:rPr>
        <w:t>D_J(e,c) = (d_E e + Jc, -δ_min c).</w:t>
      </w:r>
      <w:r>
        <w:rPr>
          <w:sz w:val="21"/>
        </w:rPr>
        <w:t xml:space="preserve">     (13.12)</w:t>
      </w:r>
    </w:p>
    <w:p>
      <w:pPr/>
      <w:r>
        <w:t>Стандартное вычисление даёт D_J²=0 именно благодаря тому, что J является цепной картой.</w:t>
      </w:r>
    </w:p>
    <w:p>
      <w:pPr/>
      <w:r>
        <w:t>Теорема 13.5 (точная последовательность детекции). [THM] Конус порождает длинную точную последовательность, фрагмент которой имеет вид</w:t>
      </w:r>
    </w:p>
    <w:p>
      <w:pPr>
        <w:keepLines/>
        <w:spacing w:before="80" w:after="80"/>
        <w:jc w:val="center"/>
      </w:pPr>
      <w:r>
        <w:rPr>
          <w:rFonts w:ascii="Liberation Serif" w:hAnsi="Liberation Serif"/>
          <w:i/>
          <w:sz w:val="23"/>
        </w:rPr>
        <w:t>H²(C_min)-&gt;H²(E)-&gt;H²(Cone J)-&gt;O_B --Π_E--&gt; H³(E)-&gt;H³(Cone J)-&gt;0.</w:t>
      </w:r>
      <w:r>
        <w:rPr>
          <w:sz w:val="21"/>
        </w:rPr>
        <w:t xml:space="preserve">     (13.13)</w:t>
      </w:r>
    </w:p>
    <w:p>
      <w:pPr/>
      <w:r>
        <w:t>Последний ноль возникает из H⁴(C_min)=0.</w:t>
      </w:r>
    </w:p>
    <w:p>
      <w:pPr>
        <w:pStyle w:val="Heading2"/>
        <w:keepNext/>
      </w:pPr>
      <w:r>
        <w:t>104.2. Blind и Excess defects</w:t>
      </w:r>
    </w:p>
    <w:p>
      <w:pPr>
        <w:keepLines/>
        <w:spacing w:before="80" w:after="80"/>
        <w:jc w:val="center"/>
      </w:pPr>
      <w:r>
        <w:rPr>
          <w:rFonts w:ascii="Liberation Serif" w:hAnsi="Liberation Serif"/>
          <w:i/>
          <w:sz w:val="23"/>
        </w:rPr>
        <w:t>Blind_E(N) := Ker Π_E,N,</w:t>
      </w:r>
      <w:r>
        <w:rPr>
          <w:sz w:val="21"/>
        </w:rPr>
        <w:t xml:space="preserve">     (13.14)</w:t>
      </w:r>
    </w:p>
    <w:p>
      <w:pPr>
        <w:keepLines/>
        <w:spacing w:before="80" w:after="80"/>
        <w:jc w:val="center"/>
      </w:pPr>
      <w:r>
        <w:rPr>
          <w:rFonts w:ascii="Liberation Serif" w:hAnsi="Liberation Serif"/>
          <w:i/>
          <w:sz w:val="23"/>
        </w:rPr>
        <w:t>Excess_E(N) := Coker Π_E,N.</w:t>
      </w:r>
      <w:r>
        <w:rPr>
          <w:sz w:val="21"/>
        </w:rPr>
        <w:t xml:space="preserve">     (13.15)</w:t>
      </w:r>
    </w:p>
    <w:p>
      <w:pPr/>
      <w:r>
        <w:t>Из точности (13.13) следуют</w:t>
      </w:r>
    </w:p>
    <w:p>
      <w:pPr>
        <w:keepLines/>
        <w:spacing w:before="80" w:after="80"/>
        <w:jc w:val="center"/>
      </w:pPr>
      <w:r>
        <w:rPr>
          <w:rFonts w:ascii="Liberation Serif" w:hAnsi="Liberation Serif"/>
          <w:i/>
          <w:sz w:val="23"/>
        </w:rPr>
        <w:t>Blind_E = Im(H²(Cone J)-&gt;O_B),</w:t>
      </w:r>
      <w:r>
        <w:rPr>
          <w:sz w:val="21"/>
        </w:rPr>
        <w:t xml:space="preserve">     (13.16)</w:t>
      </w:r>
    </w:p>
    <w:p>
      <w:pPr>
        <w:keepLines/>
        <w:spacing w:before="80" w:after="80"/>
        <w:jc w:val="center"/>
      </w:pPr>
      <w:r>
        <w:rPr>
          <w:rFonts w:ascii="Liberation Serif" w:hAnsi="Liberation Serif"/>
          <w:i/>
          <w:sz w:val="23"/>
        </w:rPr>
        <w:t>Excess_E ≅ H³(Cone J).</w:t>
      </w:r>
      <w:r>
        <w:rPr>
          <w:sz w:val="21"/>
        </w:rPr>
        <w:t xml:space="preserve">     (13.17)</w:t>
      </w:r>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wp:cNvGraphicFramePr>
              <a:graphicFrameLocks noChangeAspect="1"/>
            </wp:cNvGraphicFramePr>
            <a:graphic>
              <a:graphicData uri="http://schemas.openxmlformats.org/drawingml/2006/picture">
                <pic:pic>
                  <pic:nvPicPr>
                    <pic:cNvPr id="0" name="fig27_cone_defects.png"/>
                    <pic:cNvPicPr/>
                  </pic:nvPicPr>
                  <pic:blipFill>
                    <a:blip r:embed="rId58"/>
                    <a:stretch>
                      <a:fillRect/>
                    </a:stretch>
                  </pic:blipFill>
                  <pic:spPr>
                    <a:xfrm>
                      <a:off x="0" y="0"/>
                      <a:ext cx="5760000" cy="2635554"/>
                    </a:xfrm>
                    <a:prstGeom prst="rect"/>
                  </pic:spPr>
                </pic:pic>
              </a:graphicData>
            </a:graphic>
          </wp:inline>
        </w:drawing>
      </w:r>
    </w:p>
    <w:p>
      <w:pPr>
        <w:pStyle w:val="Caption"/>
        <w:keepNext/>
        <w:jc w:val="center"/>
      </w:pPr>
      <w:r>
        <w:t>Рисунок 27. Mapping cone и два дефекта внешней детекции. Собственная схема Тома II.</w:t>
      </w:r>
    </w:p>
    <w:p>
      <w:pPr>
        <w:pStyle w:val="Heading1"/>
        <w:keepNext/>
      </w:pPr>
      <w:r>
        <w:t>105. Зависимость от выбора внешней реализации</w:t>
      </w:r>
    </w:p>
    <w:p>
      <w:pPr>
        <w:pStyle w:val="Heading2"/>
        <w:keepNext/>
      </w:pPr>
      <w:r>
        <w:t>105.1. Гомотопическая инвариантность</w:t>
      </w:r>
    </w:p>
    <w:p>
      <w:pPr/>
      <w:r>
        <w:t>Теорема 13.6 (chain-homotopy invariance). [CL/THM] Если цепные карты J,K:C_min^•-&gt;E^• гомотопны, то</w:t>
      </w:r>
    </w:p>
    <w:p>
      <w:pPr>
        <w:keepLines/>
        <w:spacing w:before="80" w:after="80"/>
        <w:jc w:val="center"/>
      </w:pPr>
      <w:r>
        <w:rPr>
          <w:rFonts w:ascii="Liberation Serif" w:hAnsi="Liberation Serif"/>
          <w:i/>
          <w:sz w:val="23"/>
        </w:rPr>
        <w:t>H^n(J)=H^n(K)  для всех n;  следовательно Π_E^J=Π_E^K.</w:t>
      </w:r>
      <w:r>
        <w:rPr>
          <w:sz w:val="21"/>
        </w:rPr>
        <w:t xml:space="preserve">     (13.18)</w:t>
      </w:r>
    </w:p>
    <w:p>
      <w:pPr/>
      <w:r>
        <w:t>В двухчленном секторе достаточно предъявить операторы h²:F²_N-&gt;E¹ и h³:X²_N-&gt;E², для которых</w:t>
      </w:r>
    </w:p>
    <w:p>
      <w:pPr>
        <w:keepLines/>
        <w:spacing w:before="80" w:after="80"/>
        <w:jc w:val="center"/>
      </w:pPr>
      <w:r>
        <w:rPr>
          <w:rFonts w:ascii="Liberation Serif" w:hAnsi="Liberation Serif"/>
          <w:i/>
          <w:sz w:val="23"/>
        </w:rPr>
        <w:t>J²-K² = d_E¹ h² + h³ Ψ²,     J³-K³ = d_E² h³.</w:t>
      </w:r>
      <w:r>
        <w:rPr>
          <w:sz w:val="21"/>
        </w:rPr>
        <w:t xml:space="preserve">     (13.19)</w:t>
      </w:r>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pPr>
        <w:keepLines/>
        <w:spacing w:before="80" w:after="80"/>
        <w:jc w:val="center"/>
      </w:pPr>
      <w:r>
        <w:rPr>
          <w:rFonts w:ascii="Liberation Serif" w:hAnsi="Liberation Serif"/>
          <w:i/>
          <w:sz w:val="23"/>
        </w:rPr>
        <w:t>Π_F = H³(Q) Π_E.</w:t>
      </w:r>
      <w:r>
        <w:rPr>
          <w:sz w:val="21"/>
        </w:rPr>
        <w:t xml:space="preserve">     (13.20)</w:t>
      </w:r>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pPr>
        <w:pStyle w:val="Heading1"/>
        <w:keepNext/>
      </w:pPr>
      <w:r>
        <w:t>106. Функториальная внешняя теория</w:t>
      </w:r>
    </w:p>
    <w:p>
      <w:pPr/>
      <w:r>
        <w:t>Определение 13.6 (категория внешних реализаций). [DEF-A] Объектом ExtReal(N) является пара (E,J), удовлетворяющая B1-B2. Морфизмом (E,J)-&gt;(F,K) является цепная карта Q:E-&gt;F с QJ=K.</w:t>
      </w:r>
    </w:p>
    <w:p>
      <w:pPr/>
      <w:r>
        <w:t>Теорема 13.7. [THM] Назначение</w:t>
      </w:r>
    </w:p>
    <w:p>
      <w:pPr>
        <w:keepLines/>
        <w:spacing w:before="80" w:after="80"/>
        <w:jc w:val="center"/>
      </w:pPr>
      <w:r>
        <w:rPr>
          <w:rFonts w:ascii="Liberation Serif" w:hAnsi="Liberation Serif"/>
          <w:i/>
          <w:sz w:val="23"/>
        </w:rPr>
        <w:t>(E,J) ↦ Π_E:O_B(N)-&gt;H³(E)</w:t>
      </w:r>
      <w:r>
        <w:rPr>
          <w:sz w:val="21"/>
        </w:rPr>
        <w:t xml:space="preserve">     (13.21)</w:t>
      </w:r>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p>
    <w:p>
      <w:pPr/>
      <w:r>
        <w:t>Без такого контракта выражение «внешний класс препятствия» зависит от выбора E и не обладает абсолютным смыслом.</w:t>
      </w:r>
    </w:p>
    <w:p>
      <w:pPr>
        <w:pStyle w:val="Heading1"/>
        <w:keepNext/>
      </w:pPr>
      <w:r>
        <w:t>107. Конечномерная численная реализация</w:t>
      </w:r>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pPr>
        <w:keepLines/>
        <w:spacing w:before="80" w:after="80"/>
        <w:jc w:val="center"/>
      </w:pPr>
      <w:r>
        <w:rPr>
          <w:rFonts w:ascii="Liberation Serif" w:hAnsi="Liberation Serif"/>
          <w:i/>
          <w:sz w:val="23"/>
        </w:rPr>
        <w:t>X²_N = Im Ψ²_N ⊕ O_N,     Ker d_E³ = Im d_E² ⊕ H_E³.</w:t>
      </w:r>
      <w:r>
        <w:rPr>
          <w:sz w:val="21"/>
        </w:rPr>
        <w:t xml:space="preserve">     (13.22)</w:t>
      </w:r>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pPr>
        <w:keepLines/>
        <w:spacing w:before="80" w:after="80"/>
        <w:jc w:val="center"/>
      </w:pPr>
      <w:r>
        <w:rPr>
          <w:rFonts w:ascii="Liberation Serif" w:hAnsi="Liberation Serif"/>
          <w:i/>
          <w:sz w:val="23"/>
        </w:rPr>
        <w:t>P_E := P_{H_E³} J³_N |_{O_N}.</w:t>
      </w:r>
      <w:r>
        <w:rPr>
          <w:sz w:val="21"/>
        </w:rPr>
        <w:t xml:space="preserve">     (13.23)</w:t>
      </w:r>
    </w:p>
    <w:p>
      <w:pPr/>
      <w:r>
        <w:t>Теорема 13.8 (стабильная обратная детекция). [THM/COMP] P_E инъективно тогда и только тогда, когда его наименьшее сингулярное число положительно. Если</w:t>
      </w:r>
    </w:p>
    <w:p>
      <w:pPr>
        <w:keepLines/>
        <w:spacing w:before="80" w:after="80"/>
        <w:jc w:val="center"/>
      </w:pPr>
      <w:r>
        <w:rPr>
          <w:rFonts w:ascii="Liberation Serif" w:hAnsi="Liberation Serif"/>
          <w:i/>
          <w:sz w:val="23"/>
        </w:rPr>
        <w:t>σ_min(P_E) ≥ s_0 &gt; 0,</w:t>
      </w:r>
      <w:r>
        <w:rPr>
          <w:sz w:val="21"/>
        </w:rPr>
        <w:t xml:space="preserve">     (13.24)</w:t>
      </w:r>
    </w:p>
    <w:p>
      <w:pPr/>
      <w:r>
        <w:t>то для каждого внутреннего класса o</w:t>
      </w:r>
    </w:p>
    <w:p>
      <w:pPr>
        <w:keepLines/>
        <w:spacing w:before="80" w:after="80"/>
        <w:jc w:val="center"/>
      </w:pPr>
      <w:r>
        <w:rPr>
          <w:rFonts w:ascii="Liberation Serif" w:hAnsi="Liberation Serif"/>
          <w:i/>
          <w:sz w:val="23"/>
        </w:rPr>
        <w:t>||Π_E(o)|| ≥ s_0 ||o||.</w:t>
      </w:r>
      <w:r>
        <w:rPr>
          <w:sz w:val="21"/>
        </w:rPr>
        <w:t xml:space="preserve">     (13.25)</w:t>
      </w:r>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pPr>
        <w:keepLines/>
        <w:spacing w:before="80" w:after="80"/>
        <w:jc w:val="center"/>
      </w:pPr>
      <w:r>
        <w:rPr>
          <w:rFonts w:ascii="Liberation Serif" w:hAnsi="Liberation Serif"/>
          <w:i/>
          <w:sz w:val="23"/>
        </w:rPr>
        <w:t>η_E([x]) := ||P_{H_E³} J³_N x_min||,</w:t>
      </w:r>
      <w:r>
        <w:rPr>
          <w:sz w:val="21"/>
        </w:rPr>
        <w:t xml:space="preserve">     (13.26)</w:t>
      </w:r>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pPr>
        <w:pStyle w:val="Heading1"/>
        <w:keepNext/>
      </w:pPr>
      <w:r>
        <w:t>108. Параметрические семейства и внешний горизонт</w:t>
      </w:r>
    </w:p>
    <w:p>
      <w:pPr/>
      <w:r>
        <w:t>Для семейства (N_t,E_t,J_t) вводится расширенный горизонт</w:t>
      </w:r>
    </w:p>
    <w:p>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p>
    <w:p>
      <w:pPr>
        <w:pStyle w:val="Heading1"/>
        <w:keepNext/>
      </w:pPr>
      <w:r>
        <w:t>109. Предсказательный внешний мост</w:t>
      </w:r>
    </w:p>
    <w:p>
      <w:pPr>
        <w:pStyle w:val="Heading2"/>
        <w:keepNext/>
      </w:pPr>
      <w:r>
        <w:t>109.1. Теорема устойчивого внешнего препятствия</w:t>
      </w:r>
    </w:p>
    <w:p>
      <w:pPr/>
      <w:r>
        <w:t>Теорема 13.10. [THM/COMP] Пусть на компактном интервале I выполнены B1-B5, семейства непрерывны и существует ε_E&gt;0 такое, что</w:t>
      </w:r>
    </w:p>
    <w:p>
      <w:pPr>
        <w:keepLines/>
        <w:spacing w:before="80" w:after="80"/>
        <w:jc w:val="center"/>
      </w:pPr>
      <w:r>
        <w:rPr>
          <w:rFonts w:ascii="Liberation Serif" w:hAnsi="Liberation Serif"/>
          <w:i/>
          <w:sz w:val="23"/>
        </w:rPr>
        <w:t>||Π_{E,t}(o_t)|| ≥ ε_E  для всех t∈I.</w:t>
      </w:r>
      <w:r>
        <w:rPr>
          <w:sz w:val="21"/>
        </w:rPr>
        <w:t xml:space="preserve">     (13.28)</w:t>
      </w:r>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pPr/>
      <w:r>
        <w:t>Теорема 13.11 (external-detection-safe predictive theorem). [COND] Пусть:</w:t>
      </w:r>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wp:cNvGraphicFramePr>
              <a:graphicFrameLocks noChangeAspect="1"/>
            </wp:cNvGraphicFramePr>
            <a:graphic>
              <a:graphicData uri="http://schemas.openxmlformats.org/drawingml/2006/picture">
                <pic:pic>
                  <pic:nvPicPr>
                    <pic:cNvPr id="0" name="fig28_external_gate.png"/>
                    <pic:cNvPicPr/>
                  </pic:nvPicPr>
                  <pic:blipFill>
                    <a:blip r:embed="rId59"/>
                    <a:stretch>
                      <a:fillRect/>
                    </a:stretch>
                  </pic:blipFill>
                  <pic:spPr>
                    <a:xfrm>
                      <a:off x="0" y="0"/>
                      <a:ext cx="5760000" cy="2724894"/>
                    </a:xfrm>
                    <a:prstGeom prst="rect"/>
                  </pic:spPr>
                </pic:pic>
              </a:graphicData>
            </a:graphic>
          </wp:inline>
        </w:drawing>
      </w:r>
    </w:p>
    <w:p>
      <w:pPr>
        <w:pStyle w:val="Caption"/>
        <w:keepNext/>
        <w:jc w:val="center"/>
      </w:pPr>
      <w:r>
        <w:t>Рисунок 28. Blocker-safe шлюз внешней детекции. Собственная схема Тома II.</w:t>
      </w:r>
    </w:p>
    <w:p>
      <w:pPr>
        <w:pStyle w:val="Heading1"/>
        <w:keepNext/>
      </w:pPr>
      <w:r>
        <w:t>110. Отдельный ассоциаторный канал β_Ass</w:t>
      </w:r>
    </w:p>
    <w:p>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p>
    <w:p>
      <w:pPr>
        <w:keepLines/>
        <w:spacing w:before="80" w:after="80"/>
        <w:jc w:val="center"/>
      </w:pPr>
      <w:r>
        <w:rPr>
          <w:rFonts w:ascii="Liberation Serif" w:hAnsi="Liberation Serif"/>
          <w:i/>
          <w:sz w:val="23"/>
        </w:rPr>
        <w:t>β_Ass,N:T_Ass(N)-&gt;H³(A_Ass^•(N)).</w:t>
      </w:r>
      <w:r>
        <w:rPr>
          <w:sz w:val="21"/>
        </w:rPr>
        <w:t xml:space="preserve">     (13.30)</w:t>
      </w:r>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pPr>
        <w:keepLines/>
        <w:spacing w:before="80" w:after="80"/>
        <w:jc w:val="center"/>
      </w:pPr>
      <w:r>
        <w:rPr>
          <w:rFonts w:ascii="Liberation Serif" w:hAnsi="Liberation Serif"/>
          <w:i/>
          <w:sz w:val="23"/>
        </w:rPr>
        <w:t>β_Ass ∘ S = H³(Q) ∘ Π_E.</w:t>
      </w:r>
      <w:r>
        <w:rPr>
          <w:sz w:val="21"/>
        </w:rPr>
        <w:t xml:space="preserve">     (13.31)</w:t>
      </w:r>
    </w:p>
    <w:p>
      <w:pPr/>
      <w:r>
        <w:t>До доказательства (13.31) квадратичный obstruction class, ассоциатор, ассоциаторная кривизна и Hol_D остаются различными объектами.</w:t>
      </w:r>
    </w:p>
    <w:p>
      <w:pPr>
        <w:pStyle w:val="Heading1"/>
        <w:keepNext/>
      </w:pPr>
      <w:r>
        <w:t>111. Контрпримеры к сильным внешним выводам</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pPr/>
      <w:r>
        <w:t>Контртеорема 13.12. [THM] Без дополнительных гипотез неверны импликации</w:t>
      </w:r>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pPr>
        <w:pStyle w:val="Heading1"/>
        <w:keepNext/>
      </w:pPr>
      <w:r>
        <w:t>112. Вычислительный сертификат EXT-E v0.10</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pPr>
        <w:pStyle w:val="Heading1"/>
        <w:keepNext/>
      </w:pPr>
      <w:r>
        <w:t>113. Доказательные обязательства T2-RP-v0.10</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pPr>
        <w:pStyle w:val="Heading1"/>
        <w:keepNext/>
      </w:pPr>
      <w:r>
        <w:t>114. Prior art и граница авторского вклада</w:t>
      </w:r>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pPr>
        <w:pStyle w:val="Heading1"/>
        <w:keepNext/>
      </w:pPr>
      <w:r>
        <w:t>115. Итог главы и контрольная точка T2-RP-v0.10</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pPr>
        <w:keepLines/>
        <w:spacing w:before="80" w:after="80"/>
        <w:jc w:val="center"/>
      </w:pPr>
      <w:r>
        <w:rPr>
          <w:rFonts w:ascii="Liberation Serif" w:hAnsi="Liberation Serif"/>
          <w:i/>
          <w:sz w:val="23"/>
        </w:rPr>
        <w:t>truth_layer_promotion=0;  checkpoint=T2-RP-v0.10;  next=T2-RP-v0.11.</w:t>
      </w:r>
      <w:r>
        <w:rPr>
          <w:sz w:val="21"/>
        </w:rPr>
        <w:t xml:space="preserve">     (13.32)</w:t>
      </w:r>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p>
      <w:r>
        <w:br w:type="page"/>
      </w:r>
    </w:p>
    <w:p>
      <w:pPr>
        <w:pStyle w:val="Heading1"/>
        <w:keepNext/>
      </w:pPr>
      <w:r>
        <w:t>116. Глава 14. Пространства препятствий и проективные носители</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ОНТОЛОГИЧЕСКИЙ БЛОК</w:t>
            </w:r>
          </w:p>
          <w:p>
            <w:pPr>
              <w:spacing w:after="0"/>
            </w:pPr>
            <w:r>
              <w:rPr>
                <w:sz w:val="19"/>
              </w:rPr>
              <w:t>Препятствие существует прежде своей проективной тени. Вектор o∈O_B несёт нулевой статус, масштаб, знак, направление и происхождение; точка [o]∈P(O_B) сохраняет только одномерное направление ненулевого класса. Проективизация полезна как геометрия типов, но она не является полным онтологическим описанием препятствия.</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ГНОСЕОЛОГИЧЕСКИЙ БЛОК</w:t>
            </w:r>
          </w:p>
          <w:p>
            <w:pPr>
              <w:spacing w:after="0"/>
            </w:pPr>
            <w:r>
              <w:rPr>
                <w:sz w:val="19"/>
              </w:rPr>
              <w:t>Переход к P(O_B) является контролируемым забыванием. Поэтому каждый результат обязан сопровождаться журналом утраченных данных: ZERO, SCALE, SIGN, NORM, PROVENANCE, LIFT и DOMAIN. Иначе красивый проективный рисунок начинает изображать знание, которого в нём уже нет.</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E2F0D9"/>
          </w:tcPr>
          <w:p>
            <w:r>
              <w:rPr>
                <w:b/>
                <w:color w:val="1F4E79"/>
                <w:sz w:val="21"/>
              </w:rPr>
              <w:t>ФЕНОМЕНОЛОГИЧЕСКИЙ БЛОК</w:t>
            </w:r>
          </w:p>
          <w:p>
            <w:pPr>
              <w:spacing w:after="0"/>
            </w:pPr>
            <w:r>
              <w:rPr>
                <w:sz w:val="19"/>
              </w:rPr>
              <w:t>Наблюдателю часто важнее направление структурного конфликта, чем его абсолютная величина. Именно это оправдывает projective carrier. Но близость направлений не равна близости величин и не гарантирует одинаковой реализуемости сценариев.</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ОГРАНИЧИТЕЛЬНЫЙ БЛОК</w:t>
            </w:r>
          </w:p>
          <w:p>
            <w:pPr>
              <w:spacing w:after="0"/>
            </w:pPr>
            <w:r>
              <w:rPr>
                <w:sz w:val="19"/>
              </w:rPr>
              <w:t>Ни P(O_B), ни его страта, ни пересечение projective horizon не означают физическое событие. Они задают внутренний класс, тип потери информации или кандидата структурного перехода в пределах модели. truth_layer_promotion=0.</w:t>
            </w:r>
          </w:p>
        </w:tc>
      </w:tr>
    </w:tbl>
    <w:p/>
    <w:p>
      <w:pPr>
        <w:pStyle w:val="Heading2"/>
        <w:keepNext/>
      </w:pPr>
      <w:r>
        <w:t>116.1. Векторный носитель препятствий</w:t>
      </w:r>
    </w:p>
    <w:p>
      <w:r>
        <w:t>Пусть для NAPG-кадра N внутренний минимальный комплекс даёт векторное пространство препятствий</w:t>
      </w:r>
    </w:p>
    <w:p>
      <w:pPr>
        <w:pStyle w:val="Quote"/>
        <w:jc w:val="center"/>
      </w:pPr>
      <w:r>
        <w:rPr>
          <w:rFonts w:ascii="Cambria Math" w:hAnsi="Cambria Math"/>
          <w:sz w:val="22"/>
        </w:rPr>
        <w:t>O_B(N) = H³(C_min(N)) = X_N² / Im Ψ_N².</w:t>
      </w:r>
      <w:r>
        <w:t xml:space="preserve">    (14.1)</w:t>
      </w:r>
    </w:p>
    <w:p>
      <w:r>
        <w:t>Носитель препятствий понимается как пятикомпонентный объект, а не как голое множество классов:</w:t>
      </w:r>
    </w:p>
    <w:p>
      <w:pPr>
        <w:pStyle w:val="Quote"/>
        <w:jc w:val="center"/>
      </w:pPr>
      <w:r>
        <w:rPr>
          <w:rFonts w:ascii="Cambria Math" w:hAnsi="Cambria Math"/>
          <w:sz w:val="22"/>
        </w:rPr>
        <w:t>Car_B(N) = (O_B, 0_B, Fil_B, Prov_B, Dom_B).</w:t>
      </w:r>
      <w:r>
        <w:t xml:space="preserve">    (14.2)</w:t>
      </w:r>
    </w:p>
    <w:p>
      <w:r>
        <w:t>Здесь 0_B отмечает нулевой класс; Fil_B является выбранной фильтрацией или стратификацией; Prov_B хранит происхождение представителя и цепочку источников; Dom_B фиксирует область допустимости. Последние два слоя не выводятся из структуры векторного пространства и должны передаваться отдельно.</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656"/>
            <w:shd w:fill="1F4E78"/>
            <w:vAlign w:val="center"/>
            <w:tcMar>
              <w:top w:w="100" w:type="dxa"/>
              <w:start w:w="120" w:type="dxa"/>
              <w:bottom w:w="100" w:type="dxa"/>
              <w:end w:w="120" w:type="dxa"/>
            </w:tcMar>
          </w:tcPr>
          <w:p>
            <w:r>
              <w:rPr>
                <w:b/>
                <w:color w:val="FFFFFF"/>
                <w:sz w:val="18"/>
              </w:rPr>
              <w:t>Компонент</w:t>
            </w:r>
          </w:p>
        </w:tc>
        <w:tc>
          <w:tcPr>
            <w:tcW w:type="dxa" w:w="1800"/>
            <w:shd w:fill="1F4E78"/>
            <w:vAlign w:val="center"/>
            <w:tcMar>
              <w:top w:w="100" w:type="dxa"/>
              <w:start w:w="120" w:type="dxa"/>
              <w:bottom w:w="100" w:type="dxa"/>
              <w:end w:w="120" w:type="dxa"/>
            </w:tcMar>
          </w:tcPr>
          <w:p>
            <w:r>
              <w:rPr>
                <w:b/>
                <w:color w:val="FFFFFF"/>
                <w:sz w:val="18"/>
              </w:rPr>
              <w:t>Тип</w:t>
            </w:r>
          </w:p>
        </w:tc>
        <w:tc>
          <w:tcPr>
            <w:tcW w:type="dxa" w:w="3672"/>
            <w:shd w:fill="1F4E78"/>
            <w:vAlign w:val="center"/>
            <w:tcMar>
              <w:top w:w="100" w:type="dxa"/>
              <w:start w:w="120" w:type="dxa"/>
              <w:bottom w:w="100" w:type="dxa"/>
              <w:end w:w="120" w:type="dxa"/>
            </w:tcMar>
          </w:tcPr>
          <w:p>
            <w:r>
              <w:rPr>
                <w:b/>
                <w:color w:val="FFFFFF"/>
                <w:sz w:val="18"/>
              </w:rPr>
              <w:t>Сохраняемое содержание</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O_B</w:t>
            </w:r>
          </w:p>
        </w:tc>
        <w:tc>
          <w:tcPr>
            <w:tcW w:type="dxa" w:w="1800"/>
            <w:vAlign w:val="center"/>
            <w:tcMar>
              <w:top w:w="100" w:type="dxa"/>
              <w:start w:w="120" w:type="dxa"/>
              <w:bottom w:w="100" w:type="dxa"/>
              <w:end w:w="120" w:type="dxa"/>
            </w:tcMar>
          </w:tcPr>
          <w:p>
            <w:r>
              <w:rPr>
                <w:sz w:val="17"/>
              </w:rPr>
              <w:t>векторное пространство</w:t>
            </w:r>
          </w:p>
        </w:tc>
        <w:tc>
          <w:tcPr>
            <w:tcW w:type="dxa" w:w="3672"/>
            <w:vAlign w:val="center"/>
            <w:tcMar>
              <w:top w:w="100" w:type="dxa"/>
              <w:start w:w="120" w:type="dxa"/>
              <w:bottom w:w="100" w:type="dxa"/>
              <w:end w:w="120" w:type="dxa"/>
            </w:tcMar>
          </w:tcPr>
          <w:p>
            <w:r>
              <w:rPr>
                <w:sz w:val="17"/>
              </w:rPr>
              <w:t>линейные комбинации и классы препятствий</w:t>
            </w:r>
          </w:p>
        </w:tc>
        <w:tc>
          <w:tcPr>
            <w:tcW w:type="dxa" w:w="1800"/>
            <w:vAlign w:val="center"/>
            <w:tcMar>
              <w:top w:w="100" w:type="dxa"/>
              <w:start w:w="120" w:type="dxa"/>
              <w:bottom w:w="100" w:type="dxa"/>
              <w:end w:w="120" w:type="dxa"/>
            </w:tcMar>
          </w:tcPr>
          <w:p>
            <w:r>
              <w:rPr>
                <w:sz w:val="17"/>
              </w:rPr>
              <w:t>THM в C_min</w:t>
            </w:r>
          </w:p>
        </w:tc>
      </w:tr>
      <w:tr>
        <w:tc>
          <w:tcPr>
            <w:tcW w:type="dxa" w:w="1656"/>
            <w:vAlign w:val="center"/>
            <w:tcMar>
              <w:top w:w="100" w:type="dxa"/>
              <w:start w:w="120" w:type="dxa"/>
              <w:bottom w:w="100" w:type="dxa"/>
              <w:end w:w="120" w:type="dxa"/>
            </w:tcMar>
            <w:shd w:fill="EAF1F8"/>
          </w:tcPr>
          <w:p>
            <w:r>
              <w:rPr>
                <w:sz w:val="17"/>
              </w:rPr>
              <w:t>0_B</w:t>
            </w:r>
          </w:p>
        </w:tc>
        <w:tc>
          <w:tcPr>
            <w:tcW w:type="dxa" w:w="1800"/>
            <w:vAlign w:val="center"/>
            <w:tcMar>
              <w:top w:w="100" w:type="dxa"/>
              <w:start w:w="120" w:type="dxa"/>
              <w:bottom w:w="100" w:type="dxa"/>
              <w:end w:w="120" w:type="dxa"/>
            </w:tcMar>
            <w:shd w:fill="EAF1F8"/>
          </w:tcPr>
          <w:p>
            <w:r>
              <w:rPr>
                <w:sz w:val="17"/>
              </w:rPr>
              <w:t>выделенная точка</w:t>
            </w:r>
          </w:p>
        </w:tc>
        <w:tc>
          <w:tcPr>
            <w:tcW w:type="dxa" w:w="3672"/>
            <w:vAlign w:val="center"/>
            <w:tcMar>
              <w:top w:w="100" w:type="dxa"/>
              <w:start w:w="120" w:type="dxa"/>
              <w:bottom w:w="100" w:type="dxa"/>
              <w:end w:w="120" w:type="dxa"/>
            </w:tcMar>
            <w:shd w:fill="EAF1F8"/>
          </w:tcPr>
          <w:p>
            <w:r>
              <w:rPr>
                <w:sz w:val="17"/>
              </w:rPr>
              <w:t>отсутствие внутреннего препятствия</w:t>
            </w:r>
          </w:p>
        </w:tc>
        <w:tc>
          <w:tcPr>
            <w:tcW w:type="dxa" w:w="1800"/>
            <w:vAlign w:val="center"/>
            <w:tcMar>
              <w:top w:w="100" w:type="dxa"/>
              <w:start w:w="120" w:type="dxa"/>
              <w:bottom w:w="100" w:type="dxa"/>
              <w:end w:w="120" w:type="dxa"/>
            </w:tcMar>
            <w:shd w:fill="EAF1F8"/>
          </w:tcPr>
          <w:p>
            <w:r>
              <w:rPr>
                <w:sz w:val="17"/>
              </w:rPr>
              <w:t>THM</w:t>
            </w:r>
          </w:p>
        </w:tc>
      </w:tr>
      <w:tr>
        <w:tc>
          <w:tcPr>
            <w:tcW w:type="dxa" w:w="1656"/>
            <w:vAlign w:val="center"/>
            <w:tcMar>
              <w:top w:w="100" w:type="dxa"/>
              <w:start w:w="120" w:type="dxa"/>
              <w:bottom w:w="100" w:type="dxa"/>
              <w:end w:w="120" w:type="dxa"/>
            </w:tcMar>
          </w:tcPr>
          <w:p>
            <w:r>
              <w:rPr>
                <w:sz w:val="17"/>
              </w:rPr>
              <w:t>Fil_B</w:t>
            </w:r>
          </w:p>
        </w:tc>
        <w:tc>
          <w:tcPr>
            <w:tcW w:type="dxa" w:w="1800"/>
            <w:vAlign w:val="center"/>
            <w:tcMar>
              <w:top w:w="100" w:type="dxa"/>
              <w:start w:w="120" w:type="dxa"/>
              <w:bottom w:w="100" w:type="dxa"/>
              <w:end w:w="120" w:type="dxa"/>
            </w:tcMar>
          </w:tcPr>
          <w:p>
            <w:r>
              <w:rPr>
                <w:sz w:val="17"/>
              </w:rPr>
              <w:t>фильтрация/стратификация</w:t>
            </w:r>
          </w:p>
        </w:tc>
        <w:tc>
          <w:tcPr>
            <w:tcW w:type="dxa" w:w="3672"/>
            <w:vAlign w:val="center"/>
            <w:tcMar>
              <w:top w:w="100" w:type="dxa"/>
              <w:start w:w="120" w:type="dxa"/>
              <w:bottom w:w="100" w:type="dxa"/>
              <w:end w:w="120" w:type="dxa"/>
            </w:tcMar>
          </w:tcPr>
          <w:p>
            <w:r>
              <w:rPr>
                <w:sz w:val="17"/>
              </w:rPr>
              <w:t>сложность, ранг, порядок или тип</w:t>
            </w:r>
          </w:p>
        </w:tc>
        <w:tc>
          <w:tcPr>
            <w:tcW w:type="dxa" w:w="1800"/>
            <w:vAlign w:val="center"/>
            <w:tcMar>
              <w:top w:w="100" w:type="dxa"/>
              <w:start w:w="120" w:type="dxa"/>
              <w:bottom w:w="100" w:type="dxa"/>
              <w:end w:w="120" w:type="dxa"/>
            </w:tcMar>
          </w:tcPr>
          <w:p>
            <w:r>
              <w:rPr>
                <w:sz w:val="17"/>
              </w:rPr>
              <w:t>MODEL/COND</w:t>
            </w:r>
          </w:p>
        </w:tc>
      </w:tr>
      <w:tr>
        <w:tc>
          <w:tcPr>
            <w:tcW w:type="dxa" w:w="1656"/>
            <w:vAlign w:val="center"/>
            <w:tcMar>
              <w:top w:w="100" w:type="dxa"/>
              <w:start w:w="120" w:type="dxa"/>
              <w:bottom w:w="100" w:type="dxa"/>
              <w:end w:w="120" w:type="dxa"/>
            </w:tcMar>
            <w:shd w:fill="EAF1F8"/>
          </w:tcPr>
          <w:p>
            <w:r>
              <w:rPr>
                <w:sz w:val="17"/>
              </w:rPr>
              <w:t>Prov_B</w:t>
            </w:r>
          </w:p>
        </w:tc>
        <w:tc>
          <w:tcPr>
            <w:tcW w:type="dxa" w:w="1800"/>
            <w:vAlign w:val="center"/>
            <w:tcMar>
              <w:top w:w="100" w:type="dxa"/>
              <w:start w:w="120" w:type="dxa"/>
              <w:bottom w:w="100" w:type="dxa"/>
              <w:end w:w="120" w:type="dxa"/>
            </w:tcMar>
            <w:shd w:fill="EAF1F8"/>
          </w:tcPr>
          <w:p>
            <w:r>
              <w:rPr>
                <w:sz w:val="17"/>
              </w:rPr>
              <w:t>provenance functor</w:t>
            </w:r>
          </w:p>
        </w:tc>
        <w:tc>
          <w:tcPr>
            <w:tcW w:type="dxa" w:w="3672"/>
            <w:vAlign w:val="center"/>
            <w:tcMar>
              <w:top w:w="100" w:type="dxa"/>
              <w:start w:w="120" w:type="dxa"/>
              <w:bottom w:w="100" w:type="dxa"/>
              <w:end w:w="120" w:type="dxa"/>
            </w:tcMar>
            <w:shd w:fill="EAF1F8"/>
          </w:tcPr>
          <w:p>
            <w:r>
              <w:rPr>
                <w:sz w:val="17"/>
              </w:rPr>
              <w:t>источник, вычисление, представитель</w:t>
            </w:r>
          </w:p>
        </w:tc>
        <w:tc>
          <w:tcPr>
            <w:tcW w:type="dxa" w:w="1800"/>
            <w:vAlign w:val="center"/>
            <w:tcMar>
              <w:top w:w="100" w:type="dxa"/>
              <w:start w:w="120" w:type="dxa"/>
              <w:bottom w:w="100" w:type="dxa"/>
              <w:end w:w="120" w:type="dxa"/>
            </w:tcMar>
            <w:shd w:fill="EAF1F8"/>
          </w:tcPr>
          <w:p>
            <w:r>
              <w:rPr>
                <w:sz w:val="17"/>
              </w:rPr>
              <w:t>OPEN implementation</w:t>
            </w:r>
          </w:p>
        </w:tc>
      </w:tr>
      <w:tr>
        <w:tc>
          <w:tcPr>
            <w:tcW w:type="dxa" w:w="1656"/>
            <w:vAlign w:val="center"/>
            <w:tcMar>
              <w:top w:w="100" w:type="dxa"/>
              <w:start w:w="120" w:type="dxa"/>
              <w:bottom w:w="100" w:type="dxa"/>
              <w:end w:w="120" w:type="dxa"/>
            </w:tcMar>
          </w:tcPr>
          <w:p>
            <w:r>
              <w:rPr>
                <w:sz w:val="17"/>
              </w:rPr>
              <w:t>Dom_B</w:t>
            </w:r>
          </w:p>
        </w:tc>
        <w:tc>
          <w:tcPr>
            <w:tcW w:type="dxa" w:w="1800"/>
            <w:vAlign w:val="center"/>
            <w:tcMar>
              <w:top w:w="100" w:type="dxa"/>
              <w:start w:w="120" w:type="dxa"/>
              <w:bottom w:w="100" w:type="dxa"/>
              <w:end w:w="120" w:type="dxa"/>
            </w:tcMar>
          </w:tcPr>
          <w:p>
            <w:r>
              <w:rPr>
                <w:sz w:val="17"/>
              </w:rPr>
              <w:t>доменный слой</w:t>
            </w:r>
          </w:p>
        </w:tc>
        <w:tc>
          <w:tcPr>
            <w:tcW w:type="dxa" w:w="3672"/>
            <w:vAlign w:val="center"/>
            <w:tcMar>
              <w:top w:w="100" w:type="dxa"/>
              <w:start w:w="120" w:type="dxa"/>
              <w:bottom w:w="100" w:type="dxa"/>
              <w:end w:w="120" w:type="dxa"/>
            </w:tcMar>
          </w:tcPr>
          <w:p>
            <w:r>
              <w:rPr>
                <w:sz w:val="17"/>
              </w:rPr>
              <w:t>условия существования и применимости</w:t>
            </w:r>
          </w:p>
        </w:tc>
        <w:tc>
          <w:tcPr>
            <w:tcW w:type="dxa" w:w="1800"/>
            <w:vAlign w:val="center"/>
            <w:tcMar>
              <w:top w:w="100" w:type="dxa"/>
              <w:start w:w="120" w:type="dxa"/>
              <w:bottom w:w="100" w:type="dxa"/>
              <w:end w:w="120" w:type="dxa"/>
            </w:tcMar>
          </w:tcPr>
          <w:p>
            <w:r>
              <w:rPr>
                <w:sz w:val="17"/>
              </w:rPr>
              <w:t>обязательный barrier</w:t>
            </w:r>
          </w:p>
        </w:tc>
      </w:tr>
    </w:tbl>
    <w:p/>
    <w:p>
      <w:pPr>
        <w:pStyle w:val="Heading2"/>
        <w:keepNext/>
      </w:pPr>
      <w:r>
        <w:t>116.2. Нулевая секция и ненулевая часть</w:t>
      </w:r>
    </w:p>
    <w:p>
      <w:pPr>
        <w:pStyle w:val="Quote"/>
        <w:jc w:val="center"/>
      </w:pPr>
      <w:r>
        <w:rPr>
          <w:rFonts w:ascii="Cambria Math" w:hAnsi="Cambria Math"/>
          <w:sz w:val="22"/>
        </w:rPr>
        <w:t>O_B^× = O_B \ {0_B}.</w:t>
      </w:r>
      <w:r>
        <w:t xml:space="preserve">    (14.3)</w:t>
      </w:r>
    </w:p>
    <w:p>
      <w:r>
        <w:t>Проективизация определена только на ненулевой части. Поэтому нулевой класс не является одной из точек P(O_B), не является пределом, выбранным без топологии, и не может быть восстановлен из одной projective coordinate.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14.1. ZERO-LOSS NO-GO</w:t>
            </w:r>
          </w:p>
          <w:p>
            <w:pPr>
              <w:spacing w:after="0"/>
            </w:pPr>
            <w:r>
              <w:rPr>
                <w:sz w:val="19"/>
              </w:rPr>
              <w:t>Не существует отображения z:P(O_B)→O_B, которое одновременно было бы естественным по всем линейным изоморфизмам, выбирало ненулевого представителя каждой projective point и восстанавливало нулевой класс. Нуль удалён из области факторизации, а естественный выбор масштаба противоречит действию скаляров.</w:t>
            </w:r>
          </w:p>
        </w:tc>
      </w:tr>
    </w:tbl>
    <w:p/>
    <w:p>
      <w:pPr>
        <w:pStyle w:val="Heading1"/>
        <w:keepNext/>
      </w:pPr>
      <w:r>
        <w:t>117. Проективизация пространства препятствий</w:t>
      </w:r>
    </w:p>
    <w:p>
      <w:pPr>
        <w:pStyle w:val="Heading2"/>
        <w:keepNext/>
      </w:pPr>
      <w:r>
        <w:t>117.1. Определение и эквивалентность</w:t>
      </w:r>
    </w:p>
    <w:p>
      <w:pPr>
        <w:pStyle w:val="Quote"/>
        <w:jc w:val="center"/>
      </w:pPr>
      <w:r>
        <w:rPr>
          <w:rFonts w:ascii="Cambria Math" w:hAnsi="Cambria Math"/>
          <w:sz w:val="22"/>
        </w:rPr>
        <w:t>P(O_B) = O_B^× / K^×,    o ~ o′ ⇔ ∃a∈K^×: o′=ao.</w:t>
      </w:r>
      <w:r>
        <w:t xml:space="preserve">    (14.4)</w:t>
      </w:r>
    </w:p>
    <w:p>
      <w:r>
        <w:t>Точка [o] есть одномерное подпространство K·o. Если dim_K O_B=n+1, то после выбора базиса P(O_B)≅P^n(K). Выбор базиса не является частью канонического объекта и должен быть отмечен в вычислительном сертификате.</w:t>
      </w:r>
    </w:p>
    <w:p>
      <w:pPr>
        <w:jc w:val="center"/>
      </w:pPr>
      <w:r>
        <w:drawing>
          <wp:inline xmlns:a="http://schemas.openxmlformats.org/drawingml/2006/main" xmlns:pic="http://schemas.openxmlformats.org/drawingml/2006/picture">
            <wp:extent cx="5943600" cy="3593044"/>
            <wp:docPr id="33" name="Picture 33"/>
            <wp:cNvGraphicFramePr>
              <a:graphicFrameLocks noChangeAspect="1"/>
            </wp:cNvGraphicFramePr>
            <a:graphic>
              <a:graphicData uri="http://schemas.openxmlformats.org/drawingml/2006/picture">
                <pic:pic>
                  <pic:nvPicPr>
                    <pic:cNvPr id="0" name="carrier_gates.png"/>
                    <pic:cNvPicPr/>
                  </pic:nvPicPr>
                  <pic:blipFill>
                    <a:blip r:embed="rId60"/>
                    <a:stretch>
                      <a:fillRect/>
                    </a:stretch>
                  </pic:blipFill>
                  <pic:spPr>
                    <a:xfrm>
                      <a:off x="0" y="0"/>
                      <a:ext cx="5943600" cy="3593044"/>
                    </a:xfrm>
                    <a:prstGeom prst="rect"/>
                  </pic:spPr>
                </pic:pic>
              </a:graphicData>
            </a:graphic>
          </wp:inline>
        </w:drawing>
      </w:r>
    </w:p>
    <w:p>
      <w:pPr>
        <w:pStyle w:val="Caption"/>
        <w:keepNext/>
        <w:jc w:val="center"/>
      </w:pPr>
      <w:r>
        <w:t>Рисунок 14.1. Векторный носитель, projectivization и обязательный аудит потери информации.</w:t>
      </w:r>
    </w:p>
    <w:p>
      <w:pPr>
        <w:pStyle w:val="Heading2"/>
        <w:keepNext/>
      </w:pPr>
      <w:r>
        <w:t>117.2. Функториальность и частичность</w:t>
      </w:r>
    </w:p>
    <w:p>
      <w:r>
        <w:t>Линейная карта f:O→O′ индуцирует projective map только на тех направлениях, которые не попадают в ker f:</w:t>
      </w:r>
    </w:p>
    <w:p>
      <w:pPr>
        <w:pStyle w:val="Quote"/>
        <w:jc w:val="center"/>
      </w:pPr>
      <w:r>
        <w:rPr>
          <w:rFonts w:ascii="Cambria Math" w:hAnsi="Cambria Math"/>
          <w:sz w:val="22"/>
        </w:rPr>
        <w:t>P(f): P(O) \ P(ker f) → P(O′),    [o] ↦ [f(o)].</w:t>
      </w:r>
      <w:r>
        <w:t xml:space="preserve">    (14.5)</w:t>
      </w:r>
    </w:p>
    <w:p>
      <w:r>
        <w:t>Следовательно, projectivization является функториальной для линейных изоморфизмов и инъекций, но для произвольных линейных карт естественно возникает рациональная, то есть частично определённая, карта.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14.2. PROJECTIVE DOMAIN THEOREM</w:t>
            </w:r>
          </w:p>
          <w:p>
            <w:pPr>
              <w:spacing w:after="0"/>
            </w:pPr>
            <w:r>
              <w:rPr>
                <w:sz w:val="19"/>
              </w:rPr>
              <w:t>Область определения P(f) равна P(O)\P(ker f). Если f инъективно, P(f) определено всюду. Если f имеет ненулевое ядро, направления ядра превращаются не в нулевую projective point, а в точки неопределённости.</w:t>
            </w:r>
          </w:p>
        </w:tc>
      </w:tr>
    </w:tbl>
    <w:p/>
    <w:p>
      <w:pPr>
        <w:pStyle w:val="Heading2"/>
        <w:keepNext/>
      </w:pPr>
      <w:r>
        <w:t>117.3. Точная потеря информации</w:t>
      </w:r>
    </w:p>
    <w:tbl>
      <w:tblPr>
        <w:tblStyle w:val="TableGrid"/>
        <w:tblW w:type="auto" w:w="0"/>
        <w:jc w:val="center"/>
        <w:tblLook w:firstColumn="1" w:firstRow="1" w:lastColumn="0" w:lastRow="0" w:noHBand="0" w:noVBand="1" w:val="04A0"/>
      </w:tblPr>
      <w:tblGrid>
        <w:gridCol w:w="3251"/>
        <w:gridCol w:w="3251"/>
        <w:gridCol w:w="3251"/>
      </w:tblGrid>
      <w:tr>
        <w:tc>
          <w:tcPr>
            <w:tcW w:type="dxa" w:w="2232"/>
            <w:shd w:fill="1F4E78"/>
            <w:vAlign w:val="center"/>
            <w:tcMar>
              <w:top w:w="100" w:type="dxa"/>
              <w:start w:w="120" w:type="dxa"/>
              <w:bottom w:w="100" w:type="dxa"/>
              <w:end w:w="120" w:type="dxa"/>
            </w:tcMar>
          </w:tcPr>
          <w:p>
            <w:r>
              <w:rPr>
                <w:b/>
                <w:color w:val="FFFFFF"/>
                <w:sz w:val="18"/>
              </w:rPr>
              <w:t>Данные в O_B</w:t>
            </w:r>
          </w:p>
        </w:tc>
        <w:tc>
          <w:tcPr>
            <w:tcW w:type="dxa" w:w="2088"/>
            <w:shd w:fill="1F4E78"/>
            <w:vAlign w:val="center"/>
            <w:tcMar>
              <w:top w:w="100" w:type="dxa"/>
              <w:start w:w="120" w:type="dxa"/>
              <w:bottom w:w="100" w:type="dxa"/>
              <w:end w:w="120" w:type="dxa"/>
            </w:tcMar>
          </w:tcPr>
          <w:p>
            <w:r>
              <w:rPr>
                <w:b/>
                <w:color w:val="FFFFFF"/>
                <w:sz w:val="18"/>
              </w:rPr>
              <w:t>Сохраняются в P(O_B)?</w:t>
            </w:r>
          </w:p>
        </w:tc>
        <w:tc>
          <w:tcPr>
            <w:tcW w:type="dxa" w:w="4608"/>
            <w:shd w:fill="1F4E78"/>
            <w:vAlign w:val="center"/>
            <w:tcMar>
              <w:top w:w="100" w:type="dxa"/>
              <w:start w:w="120" w:type="dxa"/>
              <w:bottom w:w="100" w:type="dxa"/>
              <w:end w:w="120" w:type="dxa"/>
            </w:tcMar>
          </w:tcPr>
          <w:p>
            <w:r>
              <w:rPr>
                <w:b/>
                <w:color w:val="FFFFFF"/>
                <w:sz w:val="18"/>
              </w:rPr>
              <w:t>Что требуется для восстановления</w:t>
            </w:r>
          </w:p>
        </w:tc>
      </w:tr>
      <w:tr>
        <w:tc>
          <w:tcPr>
            <w:tcW w:type="dxa" w:w="2232"/>
            <w:vAlign w:val="center"/>
            <w:tcMar>
              <w:top w:w="100" w:type="dxa"/>
              <w:start w:w="120" w:type="dxa"/>
              <w:bottom w:w="100" w:type="dxa"/>
              <w:end w:w="120" w:type="dxa"/>
            </w:tcMar>
          </w:tcPr>
          <w:p>
            <w:r>
              <w:rPr>
                <w:sz w:val="17"/>
              </w:rPr>
              <w:t>нулевой/ненулевой статус</w:t>
            </w:r>
          </w:p>
        </w:tc>
        <w:tc>
          <w:tcPr>
            <w:tcW w:type="dxa" w:w="2088"/>
            <w:vAlign w:val="center"/>
            <w:tcMar>
              <w:top w:w="100" w:type="dxa"/>
              <w:start w:w="120" w:type="dxa"/>
              <w:bottom w:w="100" w:type="dxa"/>
              <w:end w:w="120" w:type="dxa"/>
            </w:tcMar>
          </w:tcPr>
          <w:p>
            <w:r>
              <w:rPr>
                <w:sz w:val="17"/>
              </w:rPr>
              <w:t>нет для нулевого класса</w:t>
            </w:r>
          </w:p>
        </w:tc>
        <w:tc>
          <w:tcPr>
            <w:tcW w:type="dxa" w:w="4608"/>
            <w:vAlign w:val="center"/>
            <w:tcMar>
              <w:top w:w="100" w:type="dxa"/>
              <w:start w:w="120" w:type="dxa"/>
              <w:bottom w:w="100" w:type="dxa"/>
              <w:end w:w="120" w:type="dxa"/>
            </w:tcMar>
          </w:tcPr>
          <w:p>
            <w:r>
              <w:rPr>
                <w:sz w:val="17"/>
              </w:rPr>
              <w:t>отдельный ZERO-флаг</w:t>
            </w:r>
          </w:p>
        </w:tc>
      </w:tr>
      <w:tr>
        <w:tc>
          <w:tcPr>
            <w:tcW w:type="dxa" w:w="2232"/>
            <w:vAlign w:val="center"/>
            <w:tcMar>
              <w:top w:w="100" w:type="dxa"/>
              <w:start w:w="120" w:type="dxa"/>
              <w:bottom w:w="100" w:type="dxa"/>
              <w:end w:w="120" w:type="dxa"/>
            </w:tcMar>
            <w:shd w:fill="EAF1F8"/>
          </w:tcPr>
          <w:p>
            <w:r>
              <w:rPr>
                <w:sz w:val="17"/>
              </w:rPr>
              <w:t>направление K·o</w:t>
            </w:r>
          </w:p>
        </w:tc>
        <w:tc>
          <w:tcPr>
            <w:tcW w:type="dxa" w:w="2088"/>
            <w:vAlign w:val="center"/>
            <w:tcMar>
              <w:top w:w="100" w:type="dxa"/>
              <w:start w:w="120" w:type="dxa"/>
              <w:bottom w:w="100" w:type="dxa"/>
              <w:end w:w="120" w:type="dxa"/>
            </w:tcMar>
            <w:shd w:fill="EAF1F8"/>
          </w:tcPr>
          <w:p>
            <w:r>
              <w:rPr>
                <w:sz w:val="17"/>
              </w:rPr>
              <w:t>да</w:t>
            </w:r>
          </w:p>
        </w:tc>
        <w:tc>
          <w:tcPr>
            <w:tcW w:type="dxa" w:w="4608"/>
            <w:vAlign w:val="center"/>
            <w:tcMar>
              <w:top w:w="100" w:type="dxa"/>
              <w:start w:w="120" w:type="dxa"/>
              <w:bottom w:w="100" w:type="dxa"/>
              <w:end w:w="120" w:type="dxa"/>
            </w:tcMar>
            <w:shd w:fill="EAF1F8"/>
          </w:tcPr>
          <w:p>
            <w:r>
              <w:rPr>
                <w:sz w:val="17"/>
              </w:rPr>
              <w:t>ничего</w:t>
            </w:r>
          </w:p>
        </w:tc>
      </w:tr>
      <w:tr>
        <w:tc>
          <w:tcPr>
            <w:tcW w:type="dxa" w:w="2232"/>
            <w:vAlign w:val="center"/>
            <w:tcMar>
              <w:top w:w="100" w:type="dxa"/>
              <w:start w:w="120" w:type="dxa"/>
              <w:bottom w:w="100" w:type="dxa"/>
              <w:end w:w="120" w:type="dxa"/>
            </w:tcMar>
          </w:tcPr>
          <w:p>
            <w:r>
              <w:rPr>
                <w:sz w:val="17"/>
              </w:rPr>
              <w:t>абсолютный масштаб ||o||</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метрика + нормировка</w:t>
            </w:r>
          </w:p>
        </w:tc>
      </w:tr>
      <w:tr>
        <w:tc>
          <w:tcPr>
            <w:tcW w:type="dxa" w:w="2232"/>
            <w:vAlign w:val="center"/>
            <w:tcMar>
              <w:top w:w="100" w:type="dxa"/>
              <w:start w:w="120" w:type="dxa"/>
              <w:bottom w:w="100" w:type="dxa"/>
              <w:end w:w="120" w:type="dxa"/>
            </w:tcMar>
            <w:shd w:fill="EAF1F8"/>
          </w:tcPr>
          <w:p>
            <w:r>
              <w:rPr>
                <w:sz w:val="17"/>
              </w:rPr>
              <w:t>знак над R</w:t>
            </w:r>
          </w:p>
        </w:tc>
        <w:tc>
          <w:tcPr>
            <w:tcW w:type="dxa" w:w="2088"/>
            <w:vAlign w:val="center"/>
            <w:tcMar>
              <w:top w:w="100" w:type="dxa"/>
              <w:start w:w="120" w:type="dxa"/>
              <w:bottom w:w="100" w:type="dxa"/>
              <w:end w:w="120" w:type="dxa"/>
            </w:tcMar>
            <w:shd w:fill="EAF1F8"/>
          </w:tcPr>
          <w:p>
            <w:r>
              <w:rPr>
                <w:sz w:val="17"/>
              </w:rPr>
              <w:t>нет: [o]=[-o]</w:t>
            </w:r>
          </w:p>
        </w:tc>
        <w:tc>
          <w:tcPr>
            <w:tcW w:type="dxa" w:w="4608"/>
            <w:vAlign w:val="center"/>
            <w:tcMar>
              <w:top w:w="100" w:type="dxa"/>
              <w:start w:w="120" w:type="dxa"/>
              <w:bottom w:w="100" w:type="dxa"/>
              <w:end w:w="120" w:type="dxa"/>
            </w:tcMar>
            <w:shd w:fill="EAF1F8"/>
          </w:tcPr>
          <w:p>
            <w:r>
              <w:rPr>
                <w:sz w:val="17"/>
              </w:rPr>
              <w:t>ориентированная двойная накрывающая</w:t>
            </w:r>
          </w:p>
        </w:tc>
      </w:tr>
      <w:tr>
        <w:tc>
          <w:tcPr>
            <w:tcW w:type="dxa" w:w="2232"/>
            <w:vAlign w:val="center"/>
            <w:tcMar>
              <w:top w:w="100" w:type="dxa"/>
              <w:start w:w="120" w:type="dxa"/>
              <w:bottom w:w="100" w:type="dxa"/>
              <w:end w:w="120" w:type="dxa"/>
            </w:tcMar>
          </w:tcPr>
          <w:p>
            <w:r>
              <w:rPr>
                <w:sz w:val="17"/>
              </w:rPr>
              <w:t>фаза над C</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выбор U(1)-калибровки</w:t>
            </w:r>
          </w:p>
        </w:tc>
      </w:tr>
      <w:tr>
        <w:tc>
          <w:tcPr>
            <w:tcW w:type="dxa" w:w="2232"/>
            <w:vAlign w:val="center"/>
            <w:tcMar>
              <w:top w:w="100" w:type="dxa"/>
              <w:start w:w="120" w:type="dxa"/>
              <w:bottom w:w="100" w:type="dxa"/>
              <w:end w:w="120" w:type="dxa"/>
            </w:tcMar>
            <w:shd w:fill="EAF1F8"/>
          </w:tcPr>
          <w:p>
            <w:r>
              <w:rPr>
                <w:sz w:val="17"/>
              </w:rPr>
              <w:t>provenance представителя</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Evidence-D/Prov_B</w:t>
            </w:r>
          </w:p>
        </w:tc>
      </w:tr>
      <w:tr>
        <w:tc>
          <w:tcPr>
            <w:tcW w:type="dxa" w:w="2232"/>
            <w:vAlign w:val="center"/>
            <w:tcMar>
              <w:top w:w="100" w:type="dxa"/>
              <w:start w:w="120" w:type="dxa"/>
              <w:bottom w:w="100" w:type="dxa"/>
              <w:end w:w="120" w:type="dxa"/>
            </w:tcMar>
          </w:tcPr>
          <w:p>
            <w:r>
              <w:rPr>
                <w:sz w:val="17"/>
              </w:rPr>
              <w:t>конкретный lift</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торсор подъёмов H²(C_min)</w:t>
            </w:r>
          </w:p>
        </w:tc>
      </w:tr>
      <w:tr>
        <w:tc>
          <w:tcPr>
            <w:tcW w:type="dxa" w:w="2232"/>
            <w:vAlign w:val="center"/>
            <w:tcMar>
              <w:top w:w="100" w:type="dxa"/>
              <w:start w:w="120" w:type="dxa"/>
              <w:bottom w:w="100" w:type="dxa"/>
              <w:end w:w="120" w:type="dxa"/>
            </w:tcMar>
            <w:shd w:fill="EAF1F8"/>
          </w:tcPr>
          <w:p>
            <w:r>
              <w:rPr>
                <w:sz w:val="17"/>
              </w:rPr>
              <w:t>домен применимости</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Dom-сертификат</w:t>
            </w:r>
          </w:p>
        </w:tc>
      </w:tr>
    </w:tbl>
    <w:p/>
    <w:p>
      <w:pPr>
        <w:pStyle w:val="Heading1"/>
        <w:keepNext/>
      </w:pPr>
      <w:r>
        <w:t>118. Нормированные и ориентированные носители</w:t>
      </w:r>
    </w:p>
    <w:p>
      <w:pPr>
        <w:pStyle w:val="Heading2"/>
        <w:keepNext/>
      </w:pPr>
      <w:r>
        <w:t>118.1. Сферическое представление</w:t>
      </w:r>
    </w:p>
    <w:p>
      <w:r>
        <w:t>После выбора положительно определённого скалярного произведения всякая ненулевая projective point допускает нормированных представителей. Над R получаем двойное накрытие:</w:t>
      </w:r>
    </w:p>
    <w:p>
      <w:pPr>
        <w:pStyle w:val="Quote"/>
        <w:jc w:val="center"/>
      </w:pPr>
      <w:r>
        <w:rPr>
          <w:rFonts w:ascii="Cambria Math" w:hAnsi="Cambria Math"/>
          <w:sz w:val="22"/>
        </w:rPr>
        <w:t>S(O_B) → P(O_B),    u ↦ [u],    fibre={u,-u}.</w:t>
      </w:r>
      <w:r>
        <w:t xml:space="preserve">    (14.6)</w:t>
      </w:r>
    </w:p>
    <w:p>
      <w:r>
        <w:t>Нормировка восстанавливает модуль, но не знак. Над C волокно имеет вид U(1), поэтому требуется фазовая калибровка.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КОНТРПРИМЕР 14.A</w:t>
            </w:r>
          </w:p>
          <w:p>
            <w:pPr>
              <w:spacing w:after="0"/>
            </w:pPr>
            <w:r>
              <w:rPr>
                <w:sz w:val="19"/>
              </w:rPr>
              <w:t>В R² векторы (1,0), (2,0) и (-7,0) задают одну projective point. Их нормы и знаки различны. Следовательно, projective coincidence не равна количественному совпадению препятствий.</w:t>
            </w:r>
          </w:p>
        </w:tc>
      </w:tr>
    </w:tbl>
    <w:p/>
    <w:p>
      <w:pPr>
        <w:pStyle w:val="Heading2"/>
        <w:keepNext/>
      </w:pPr>
      <w:r>
        <w:t>118.2. Projective metric</w:t>
      </w:r>
    </w:p>
    <w:p>
      <w:pPr>
        <w:pStyle w:val="Quote"/>
        <w:jc w:val="center"/>
      </w:pPr>
      <w:r>
        <w:rPr>
          <w:rFonts w:ascii="Cambria Math" w:hAnsi="Cambria Math"/>
          <w:sz w:val="22"/>
        </w:rPr>
        <w:t>d_P([u],[v]) = arccos( |⟨u,v⟩| / (||u||·||v||) ).</w:t>
      </w:r>
      <w:r>
        <w:t xml:space="preserve">    (14.7)</w:t>
      </w:r>
    </w:p>
    <w:p>
      <w:r>
        <w:t>Эта метрика измеряет угол между направлениями и инвариантна относительно ненулевого масштабирования. Она не контролирует расстояние ||u-v|| без дополнительных ограничений на нормы.</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14.3. ANGULAR STABILITY</w:t>
            </w:r>
          </w:p>
          <w:p>
            <w:pPr>
              <w:spacing w:after="0"/>
            </w:pPr>
            <w:r>
              <w:rPr>
                <w:sz w:val="19"/>
              </w:rPr>
              <w:t>Если ||u||,||v||≥m&gt;0 и ||u-v||≤ε&lt;m, то d_P([u],[v])≤2arcsin(ε/(2m)). Обратное утверждение без контроля норм ложно.</w:t>
            </w:r>
          </w:p>
        </w:tc>
      </w:tr>
    </w:tbl>
    <w:p/>
    <w:p>
      <w:pPr>
        <w:pStyle w:val="Heading1"/>
        <w:keepNext/>
      </w:pPr>
      <w:r>
        <w:t>119. Стратификация obstruction carrier</w:t>
      </w:r>
    </w:p>
    <w:p>
      <w:pPr>
        <w:pStyle w:val="Heading2"/>
        <w:keepNext/>
      </w:pPr>
      <w:r>
        <w:t>119.1. Ранговые страты</w:t>
      </w:r>
    </w:p>
    <w:p>
      <w:r>
        <w:t>Пусть препятствие кодируется матрицей A(o) или конечным семейством линейных операторов, определённым выбранной моделью. Для каждого r вводится страта</w:t>
      </w:r>
    </w:p>
    <w:p>
      <w:pPr>
        <w:pStyle w:val="Quote"/>
        <w:jc w:val="center"/>
      </w:pPr>
      <w:r>
        <w:rPr>
          <w:rFonts w:ascii="Cambria Math" w:hAnsi="Cambria Math"/>
          <w:sz w:val="22"/>
        </w:rPr>
        <w:t>S_r = { [o]∈P(O_B) : rank A(o)=r }.</w:t>
      </w:r>
      <w:r>
        <w:t xml:space="preserve">    (14.8)</w:t>
      </w:r>
    </w:p>
    <w:p>
      <w:r>
        <w:t>Ранг является projectively well-defined, если A(ao)=a^mA(o) для некоторой степени m и a≠0. В противном случае ранговая стратификация зависит от представителя и не допускается.</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14.4. HOMOGENEITY CRITERION</w:t>
            </w:r>
          </w:p>
          <w:p>
            <w:pPr>
              <w:spacing w:after="0"/>
            </w:pPr>
            <w:r>
              <w:rPr>
                <w:sz w:val="19"/>
              </w:rPr>
              <w:t>Функция или тип τ(o) спускается на P(O_B) тогда и только тогда, когда τ(ao)=τ(o) для всех a∈K^×. Для числовой функции достаточна однородность степени 0; однородность ненулевой степени требует последующей нормировки.</w:t>
            </w:r>
          </w:p>
        </w:tc>
      </w:tr>
    </w:tbl>
    <w:p/>
    <w:p>
      <w:pPr>
        <w:pStyle w:val="Heading2"/>
        <w:keepNext/>
      </w:pPr>
      <w:r>
        <w:t>119.2. Орбитные типы</w:t>
      </w:r>
    </w:p>
    <w:p>
      <w:r>
        <w:t>Если алгебраическая группа G действует линейно на O_B, то она действует на P(O_B). Для [o] определяется стабилизатор</w:t>
      </w:r>
    </w:p>
    <w:p>
      <w:pPr>
        <w:pStyle w:val="Quote"/>
        <w:jc w:val="center"/>
      </w:pPr>
      <w:r>
        <w:rPr>
          <w:rFonts w:ascii="Cambria Math" w:hAnsi="Cambria Math"/>
          <w:sz w:val="22"/>
        </w:rPr>
        <w:t>G_[o] = { g∈G : g·o ∈ K^×o }.</w:t>
      </w:r>
      <w:r>
        <w:t xml:space="preserve">    (14.9)</w:t>
      </w:r>
    </w:p>
    <w:p>
      <w:r>
        <w:t>Страта орбитного типа объединяет точки с сопряжёнными стабилизаторами. Изменение orbit type является кандидатом структурной бифуркации, но не физическим переходом.</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512"/>
            <w:shd w:fill="1F4E78"/>
            <w:vAlign w:val="center"/>
            <w:tcMar>
              <w:top w:w="100" w:type="dxa"/>
              <w:start w:w="120" w:type="dxa"/>
              <w:bottom w:w="100" w:type="dxa"/>
              <w:end w:w="120" w:type="dxa"/>
            </w:tcMar>
          </w:tcPr>
          <w:p>
            <w:r>
              <w:rPr>
                <w:b/>
                <w:color w:val="FFFFFF"/>
                <w:sz w:val="18"/>
              </w:rPr>
              <w:t>Страта</w:t>
            </w:r>
          </w:p>
        </w:tc>
        <w:tc>
          <w:tcPr>
            <w:tcW w:type="dxa" w:w="2016"/>
            <w:shd w:fill="1F4E78"/>
            <w:vAlign w:val="center"/>
            <w:tcMar>
              <w:top w:w="100" w:type="dxa"/>
              <w:start w:w="120" w:type="dxa"/>
              <w:bottom w:w="100" w:type="dxa"/>
              <w:end w:w="120" w:type="dxa"/>
            </w:tcMar>
          </w:tcPr>
          <w:p>
            <w:r>
              <w:rPr>
                <w:b/>
                <w:color w:val="FFFFFF"/>
                <w:sz w:val="18"/>
              </w:rPr>
              <w:t>Инвариант</w:t>
            </w:r>
          </w:p>
        </w:tc>
        <w:tc>
          <w:tcPr>
            <w:tcW w:type="dxa" w:w="3168"/>
            <w:shd w:fill="1F4E78"/>
            <w:vAlign w:val="center"/>
            <w:tcMar>
              <w:top w:w="100" w:type="dxa"/>
              <w:start w:w="120" w:type="dxa"/>
              <w:bottom w:w="100" w:type="dxa"/>
              <w:end w:w="120" w:type="dxa"/>
            </w:tcMar>
          </w:tcPr>
          <w:p>
            <w:r>
              <w:rPr>
                <w:b/>
                <w:color w:val="FFFFFF"/>
                <w:sz w:val="18"/>
              </w:rPr>
              <w:t>Смысл</w:t>
            </w:r>
          </w:p>
        </w:tc>
        <w:tc>
          <w:tcPr>
            <w:tcW w:type="dxa" w:w="2880"/>
            <w:shd w:fill="1F4E78"/>
            <w:vAlign w:val="center"/>
            <w:tcMar>
              <w:top w:w="100" w:type="dxa"/>
              <w:start w:w="120" w:type="dxa"/>
              <w:bottom w:w="100" w:type="dxa"/>
              <w:end w:w="120" w:type="dxa"/>
            </w:tcMar>
          </w:tcPr>
          <w:p>
            <w:r>
              <w:rPr>
                <w:b/>
                <w:color w:val="FFFFFF"/>
                <w:sz w:val="18"/>
              </w:rPr>
              <w:t>Опасность</w:t>
            </w:r>
          </w:p>
        </w:tc>
      </w:tr>
      <w:tr>
        <w:tc>
          <w:tcPr>
            <w:tcW w:type="dxa" w:w="1512"/>
            <w:vAlign w:val="center"/>
            <w:tcMar>
              <w:top w:w="100" w:type="dxa"/>
              <w:start w:w="120" w:type="dxa"/>
              <w:bottom w:w="100" w:type="dxa"/>
              <w:end w:w="120" w:type="dxa"/>
            </w:tcMar>
          </w:tcPr>
          <w:p>
            <w:r>
              <w:rPr>
                <w:sz w:val="17"/>
              </w:rPr>
              <w:t>S_rank</w:t>
            </w:r>
          </w:p>
        </w:tc>
        <w:tc>
          <w:tcPr>
            <w:tcW w:type="dxa" w:w="2016"/>
            <w:vAlign w:val="center"/>
            <w:tcMar>
              <w:top w:w="100" w:type="dxa"/>
              <w:start w:w="120" w:type="dxa"/>
              <w:bottom w:w="100" w:type="dxa"/>
              <w:end w:w="120" w:type="dxa"/>
            </w:tcMar>
          </w:tcPr>
          <w:p>
            <w:r>
              <w:rPr>
                <w:sz w:val="17"/>
              </w:rPr>
              <w:t>rank A(o)</w:t>
            </w:r>
          </w:p>
        </w:tc>
        <w:tc>
          <w:tcPr>
            <w:tcW w:type="dxa" w:w="3168"/>
            <w:vAlign w:val="center"/>
            <w:tcMar>
              <w:top w:w="100" w:type="dxa"/>
              <w:start w:w="120" w:type="dxa"/>
              <w:bottom w:w="100" w:type="dxa"/>
              <w:end w:w="120" w:type="dxa"/>
            </w:tcMar>
          </w:tcPr>
          <w:p>
            <w:r>
              <w:rPr>
                <w:sz w:val="17"/>
              </w:rPr>
              <w:t>алгебраическая сложность</w:t>
            </w:r>
          </w:p>
        </w:tc>
        <w:tc>
          <w:tcPr>
            <w:tcW w:type="dxa" w:w="2880"/>
            <w:vAlign w:val="center"/>
            <w:tcMar>
              <w:top w:w="100" w:type="dxa"/>
              <w:start w:w="120" w:type="dxa"/>
              <w:bottom w:w="100" w:type="dxa"/>
              <w:end w:w="120" w:type="dxa"/>
            </w:tcMar>
          </w:tcPr>
          <w:p>
            <w:r>
              <w:rPr>
                <w:sz w:val="17"/>
              </w:rPr>
              <w:t>зависимость от неоднородного кодирования</w:t>
            </w:r>
          </w:p>
        </w:tc>
      </w:tr>
      <w:tr>
        <w:tc>
          <w:tcPr>
            <w:tcW w:type="dxa" w:w="1512"/>
            <w:vAlign w:val="center"/>
            <w:tcMar>
              <w:top w:w="100" w:type="dxa"/>
              <w:start w:w="120" w:type="dxa"/>
              <w:bottom w:w="100" w:type="dxa"/>
              <w:end w:w="120" w:type="dxa"/>
            </w:tcMar>
            <w:shd w:fill="EAF1F8"/>
          </w:tcPr>
          <w:p>
            <w:r>
              <w:rPr>
                <w:sz w:val="17"/>
              </w:rPr>
              <w:t>S_orbit</w:t>
            </w:r>
          </w:p>
        </w:tc>
        <w:tc>
          <w:tcPr>
            <w:tcW w:type="dxa" w:w="2016"/>
            <w:vAlign w:val="center"/>
            <w:tcMar>
              <w:top w:w="100" w:type="dxa"/>
              <w:start w:w="120" w:type="dxa"/>
              <w:bottom w:w="100" w:type="dxa"/>
              <w:end w:w="120" w:type="dxa"/>
            </w:tcMar>
            <w:shd w:fill="EAF1F8"/>
          </w:tcPr>
          <w:p>
            <w:r>
              <w:rPr>
                <w:sz w:val="17"/>
              </w:rPr>
              <w:t>[G_[o]]</w:t>
            </w:r>
          </w:p>
        </w:tc>
        <w:tc>
          <w:tcPr>
            <w:tcW w:type="dxa" w:w="3168"/>
            <w:vAlign w:val="center"/>
            <w:tcMar>
              <w:top w:w="100" w:type="dxa"/>
              <w:start w:w="120" w:type="dxa"/>
              <w:bottom w:w="100" w:type="dxa"/>
              <w:end w:w="120" w:type="dxa"/>
            </w:tcMar>
            <w:shd w:fill="EAF1F8"/>
          </w:tcPr>
          <w:p>
            <w:r>
              <w:rPr>
                <w:sz w:val="17"/>
              </w:rPr>
              <w:t>тип симметрии</w:t>
            </w:r>
          </w:p>
        </w:tc>
        <w:tc>
          <w:tcPr>
            <w:tcW w:type="dxa" w:w="2880"/>
            <w:vAlign w:val="center"/>
            <w:tcMar>
              <w:top w:w="100" w:type="dxa"/>
              <w:start w:w="120" w:type="dxa"/>
              <w:bottom w:w="100" w:type="dxa"/>
              <w:end w:w="120" w:type="dxa"/>
            </w:tcMar>
            <w:shd w:fill="EAF1F8"/>
          </w:tcPr>
          <w:p>
            <w:r>
              <w:rPr>
                <w:sz w:val="17"/>
              </w:rPr>
              <w:t>нестабильность на сингулярных орбитах</w:t>
            </w:r>
          </w:p>
        </w:tc>
      </w:tr>
      <w:tr>
        <w:tc>
          <w:tcPr>
            <w:tcW w:type="dxa" w:w="1512"/>
            <w:vAlign w:val="center"/>
            <w:tcMar>
              <w:top w:w="100" w:type="dxa"/>
              <w:start w:w="120" w:type="dxa"/>
              <w:bottom w:w="100" w:type="dxa"/>
              <w:end w:w="120" w:type="dxa"/>
            </w:tcMar>
          </w:tcPr>
          <w:p>
            <w:r>
              <w:rPr>
                <w:sz w:val="17"/>
              </w:rPr>
              <w:t>S_support</w:t>
            </w:r>
          </w:p>
        </w:tc>
        <w:tc>
          <w:tcPr>
            <w:tcW w:type="dxa" w:w="2016"/>
            <w:vAlign w:val="center"/>
            <w:tcMar>
              <w:top w:w="100" w:type="dxa"/>
              <w:start w:w="120" w:type="dxa"/>
              <w:bottom w:w="100" w:type="dxa"/>
              <w:end w:w="120" w:type="dxa"/>
            </w:tcMar>
          </w:tcPr>
          <w:p>
            <w:r>
              <w:rPr>
                <w:sz w:val="17"/>
              </w:rPr>
              <w:t>supp(o)</w:t>
            </w:r>
          </w:p>
        </w:tc>
        <w:tc>
          <w:tcPr>
            <w:tcW w:type="dxa" w:w="3168"/>
            <w:vAlign w:val="center"/>
            <w:tcMar>
              <w:top w:w="100" w:type="dxa"/>
              <w:start w:w="120" w:type="dxa"/>
              <w:bottom w:w="100" w:type="dxa"/>
              <w:end w:w="120" w:type="dxa"/>
            </w:tcMar>
          </w:tcPr>
          <w:p>
            <w:r>
              <w:rPr>
                <w:sz w:val="17"/>
              </w:rPr>
              <w:t>активные компоненты</w:t>
            </w:r>
          </w:p>
        </w:tc>
        <w:tc>
          <w:tcPr>
            <w:tcW w:type="dxa" w:w="2880"/>
            <w:vAlign w:val="center"/>
            <w:tcMar>
              <w:top w:w="100" w:type="dxa"/>
              <w:start w:w="120" w:type="dxa"/>
              <w:bottom w:w="100" w:type="dxa"/>
              <w:end w:w="120" w:type="dxa"/>
            </w:tcMar>
          </w:tcPr>
          <w:p>
            <w:r>
              <w:rPr>
                <w:sz w:val="17"/>
              </w:rPr>
              <w:t>зависимость от базиса</w:t>
            </w:r>
          </w:p>
        </w:tc>
      </w:tr>
      <w:tr>
        <w:tc>
          <w:tcPr>
            <w:tcW w:type="dxa" w:w="1512"/>
            <w:vAlign w:val="center"/>
            <w:tcMar>
              <w:top w:w="100" w:type="dxa"/>
              <w:start w:w="120" w:type="dxa"/>
              <w:bottom w:w="100" w:type="dxa"/>
              <w:end w:w="120" w:type="dxa"/>
            </w:tcMar>
            <w:shd w:fill="EAF1F8"/>
          </w:tcPr>
          <w:p>
            <w:r>
              <w:rPr>
                <w:sz w:val="17"/>
              </w:rPr>
              <w:t>S_prov</w:t>
            </w:r>
          </w:p>
        </w:tc>
        <w:tc>
          <w:tcPr>
            <w:tcW w:type="dxa" w:w="2016"/>
            <w:vAlign w:val="center"/>
            <w:tcMar>
              <w:top w:w="100" w:type="dxa"/>
              <w:start w:w="120" w:type="dxa"/>
              <w:bottom w:w="100" w:type="dxa"/>
              <w:end w:w="120" w:type="dxa"/>
            </w:tcMar>
            <w:shd w:fill="EAF1F8"/>
          </w:tcPr>
          <w:p>
            <w:r>
              <w:rPr>
                <w:sz w:val="17"/>
              </w:rPr>
              <w:t>provenance class</w:t>
            </w:r>
          </w:p>
        </w:tc>
        <w:tc>
          <w:tcPr>
            <w:tcW w:type="dxa" w:w="3168"/>
            <w:vAlign w:val="center"/>
            <w:tcMar>
              <w:top w:w="100" w:type="dxa"/>
              <w:start w:w="120" w:type="dxa"/>
              <w:bottom w:w="100" w:type="dxa"/>
              <w:end w:w="120" w:type="dxa"/>
            </w:tcMar>
            <w:shd w:fill="EAF1F8"/>
          </w:tcPr>
          <w:p>
            <w:r>
              <w:rPr>
                <w:sz w:val="17"/>
              </w:rPr>
              <w:t>источниковый тип</w:t>
            </w:r>
          </w:p>
        </w:tc>
        <w:tc>
          <w:tcPr>
            <w:tcW w:type="dxa" w:w="2880"/>
            <w:vAlign w:val="center"/>
            <w:tcMar>
              <w:top w:w="100" w:type="dxa"/>
              <w:start w:w="120" w:type="dxa"/>
              <w:bottom w:w="100" w:type="dxa"/>
              <w:end w:w="120" w:type="dxa"/>
            </w:tcMar>
            <w:shd w:fill="EAF1F8"/>
          </w:tcPr>
          <w:p>
            <w:r>
              <w:rPr>
                <w:sz w:val="17"/>
              </w:rPr>
              <w:t>не является чисто геометрическим</w:t>
            </w:r>
          </w:p>
        </w:tc>
      </w:tr>
      <w:tr>
        <w:tc>
          <w:tcPr>
            <w:tcW w:type="dxa" w:w="1512"/>
            <w:vAlign w:val="center"/>
            <w:tcMar>
              <w:top w:w="100" w:type="dxa"/>
              <w:start w:w="120" w:type="dxa"/>
              <w:bottom w:w="100" w:type="dxa"/>
              <w:end w:w="120" w:type="dxa"/>
            </w:tcMar>
          </w:tcPr>
          <w:p>
            <w:r>
              <w:rPr>
                <w:sz w:val="17"/>
              </w:rPr>
              <w:t>S_Dom</w:t>
            </w:r>
          </w:p>
        </w:tc>
        <w:tc>
          <w:tcPr>
            <w:tcW w:type="dxa" w:w="2016"/>
            <w:vAlign w:val="center"/>
            <w:tcMar>
              <w:top w:w="100" w:type="dxa"/>
              <w:start w:w="120" w:type="dxa"/>
              <w:bottom w:w="100" w:type="dxa"/>
              <w:end w:w="120" w:type="dxa"/>
            </w:tcMar>
          </w:tcPr>
          <w:p>
            <w:r>
              <w:rPr>
                <w:sz w:val="17"/>
              </w:rPr>
              <w:t>domain signature</w:t>
            </w:r>
          </w:p>
        </w:tc>
        <w:tc>
          <w:tcPr>
            <w:tcW w:type="dxa" w:w="3168"/>
            <w:vAlign w:val="center"/>
            <w:tcMar>
              <w:top w:w="100" w:type="dxa"/>
              <w:start w:w="120" w:type="dxa"/>
              <w:bottom w:w="100" w:type="dxa"/>
              <w:end w:w="120" w:type="dxa"/>
            </w:tcMar>
          </w:tcPr>
          <w:p>
            <w:r>
              <w:rPr>
                <w:sz w:val="17"/>
              </w:rPr>
              <w:t>область допустимости</w:t>
            </w:r>
          </w:p>
        </w:tc>
        <w:tc>
          <w:tcPr>
            <w:tcW w:type="dxa" w:w="2880"/>
            <w:vAlign w:val="center"/>
            <w:tcMar>
              <w:top w:w="100" w:type="dxa"/>
              <w:start w:w="120" w:type="dxa"/>
              <w:bottom w:w="100" w:type="dxa"/>
              <w:end w:w="120" w:type="dxa"/>
            </w:tcMar>
          </w:tcPr>
          <w:p>
            <w:r>
              <w:rPr>
                <w:sz w:val="17"/>
              </w:rPr>
              <w:t>может меняться скачком</w:t>
            </w:r>
          </w:p>
        </w:tc>
      </w:tr>
    </w:tbl>
    <w:p/>
    <w:p>
      <w:pPr>
        <w:pStyle w:val="Heading2"/>
        <w:keepNext/>
      </w:pPr>
      <w:r>
        <w:t>119.3. Whitney-условия как открытое обязательство</w:t>
      </w:r>
    </w:p>
    <w:p>
      <w:r>
        <w:t>Для гладкой или алгебраической стратификации полезно требовать Whitney (a)/(b), локальную конечность и frontier condition. В общей NAPG эти свойства не объявляются автоматически. Они формируют proof obligations T2-PO-133-T2-PO-135.</w:t>
      </w:r>
    </w:p>
    <w:p>
      <w:pPr>
        <w:pStyle w:val="Heading1"/>
        <w:keepNext/>
      </w:pPr>
      <w:r>
        <w:t>120. Проектированный обструкционный конус</w:t>
      </w:r>
    </w:p>
    <w:p>
      <w:pPr>
        <w:pStyle w:val="Heading2"/>
        <w:keepNext/>
      </w:pPr>
      <w:r>
        <w:t>120.1. Конический носитель</w:t>
      </w:r>
    </w:p>
    <w:p>
      <w:r>
        <w:t>Пусть C_B⊆O_B является замкнутым конусом допустимых или достижимых препятствий, то есть aC_B⊆C_B для a∈K. Его проектированный носитель определяется как</w:t>
      </w:r>
    </w:p>
    <w:p>
      <w:pPr>
        <w:pStyle w:val="Quote"/>
        <w:jc w:val="center"/>
      </w:pPr>
      <w:r>
        <w:rPr>
          <w:rFonts w:ascii="Cambria Math" w:hAnsi="Cambria Math"/>
          <w:sz w:val="22"/>
        </w:rPr>
        <w:t>P(C_B) = (C_B \ {0}) / K^× ⊆ P(O_B).</w:t>
      </w:r>
      <w:r>
        <w:t xml:space="preserve">    (14.10)</w:t>
      </w:r>
    </w:p>
    <w:p>
      <w:r>
        <w:t>Если C_B не инвариантен относительно всех ненулевых скаляров, вместо projectivization требуется положительная projectivization или сферическая нормировка. Особенно это важно для упорядоченных конусов над R, где отрицательное масштабирование меняет смысл.</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КОНТРПРИМЕР 14.B</w:t>
            </w:r>
          </w:p>
          <w:p>
            <w:pPr>
              <w:spacing w:after="0"/>
            </w:pPr>
            <w:r>
              <w:rPr>
                <w:sz w:val="19"/>
              </w:rPr>
              <w:t>Положительный ортант R^n_{≥0} не инвариантен относительно отрицательных скаляров. Обычная real projectivization отождествляет положительное и отрицательное направления и уничтожает порядок. Для причинных или вероятностных конусов требуется quotient по R_{&gt;0}, а не по R^×.</w:t>
            </w:r>
          </w:p>
        </w:tc>
      </w:tr>
    </w:tbl>
    <w:p/>
    <w:p>
      <w:pPr>
        <w:pStyle w:val="Heading2"/>
        <w:keepNext/>
      </w:pPr>
      <w:r>
        <w:t>120.2. Полупроективный носитель</w:t>
      </w:r>
    </w:p>
    <w:p>
      <w:pPr>
        <w:pStyle w:val="Quote"/>
        <w:jc w:val="center"/>
      </w:pPr>
      <w:r>
        <w:rPr>
          <w:rFonts w:ascii="Cambria Math" w:hAnsi="Cambria Math"/>
          <w:sz w:val="22"/>
        </w:rPr>
        <w:t>P_+(C_B) = (C_B \ {0}) / R_{&gt;0}.</w:t>
      </w:r>
      <w:r>
        <w:t xml:space="preserve">    (14.11)</w:t>
      </w:r>
    </w:p>
    <w:p>
      <w:r>
        <w:t>Носитель P_+(C_B) сохраняет ориентацию луча и различает o от -o. Он является предпочтительным для знако-чувствительных препятствий, направленных потоков и one-sided domain constraints.</w:t>
      </w:r>
    </w:p>
    <w:p>
      <w:pPr>
        <w:pStyle w:val="Heading1"/>
        <w:keepNext/>
      </w:pPr>
      <w:r>
        <w:t>121. Локальные носители и Fano globalization firewall</w:t>
      </w:r>
    </w:p>
    <w:p>
      <w:r>
        <w:t>PILOT-01 уже различал локальные obstruction carriers и глобальный Fano carrier: семь локальных трёхмерных носителей сначала дают прямую сумму размерности 21, а переход к F₂³ требует явных совместимых карт идентификации. Эта дисциплина переносится в общий NAPG-слой.</w:t>
      </w:r>
    </w:p>
    <w:p>
      <w:pPr>
        <w:pStyle w:val="Quote"/>
        <w:jc w:val="center"/>
      </w:pPr>
      <w:r>
        <w:rPr>
          <w:rFonts w:ascii="Cambria Math" w:hAnsi="Cambria Math"/>
          <w:sz w:val="22"/>
        </w:rPr>
        <w:t>O_pre = ⊕_{L∈Lines(Fano)} O_L.</w:t>
      </w:r>
      <w:r>
        <w:t xml:space="preserve">    (14.12)</w:t>
      </w:r>
    </w:p>
    <w:p>
      <w:pPr>
        <w:pStyle w:val="Quote"/>
        <w:jc w:val="center"/>
      </w:pPr>
      <w:r>
        <w:rPr>
          <w:rFonts w:ascii="Cambria Math" w:hAnsi="Cambria Math"/>
          <w:sz w:val="22"/>
        </w:rPr>
        <w:t>O_glob = colim( O_L, φ_{LL′} ).</w:t>
      </w:r>
      <w:r>
        <w:t xml:space="preserve">    (14.13)</w:t>
      </w:r>
    </w:p>
    <w:p>
      <w:pPr>
        <w:jc w:val="center"/>
      </w:pPr>
      <w:r>
        <w:drawing>
          <wp:inline xmlns:a="http://schemas.openxmlformats.org/drawingml/2006/main" xmlns:pic="http://schemas.openxmlformats.org/drawingml/2006/picture">
            <wp:extent cx="5943600" cy="3595598"/>
            <wp:docPr id="34" name="Picture 34"/>
            <wp:cNvGraphicFramePr>
              <a:graphicFrameLocks noChangeAspect="1"/>
            </wp:cNvGraphicFramePr>
            <a:graphic>
              <a:graphicData uri="http://schemas.openxmlformats.org/drawingml/2006/picture">
                <pic:pic>
                  <pic:nvPicPr>
                    <pic:cNvPr id="0" name="fano_barrier.png"/>
                    <pic:cNvPicPr/>
                  </pic:nvPicPr>
                  <pic:blipFill>
                    <a:blip r:embed="rId61"/>
                    <a:stretch>
                      <a:fillRect/>
                    </a:stretch>
                  </pic:blipFill>
                  <pic:spPr>
                    <a:xfrm>
                      <a:off x="0" y="0"/>
                      <a:ext cx="5943600" cy="3595598"/>
                    </a:xfrm>
                    <a:prstGeom prst="rect"/>
                  </pic:spPr>
                </pic:pic>
              </a:graphicData>
            </a:graphic>
          </wp:inline>
        </w:drawing>
      </w:r>
    </w:p>
    <w:p>
      <w:pPr>
        <w:pStyle w:val="Caption"/>
        <w:keepNext/>
        <w:jc w:val="center"/>
      </w:pPr>
      <w:r>
        <w:t>Рисунок 14.2. Fano globalization firewall: локальные носители не образуют глобальный projective carrier без identification maps.</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14.5. LOCAL-TO-GLOBAL NO-GO</w:t>
            </w:r>
          </w:p>
          <w:p>
            <w:pPr>
              <w:spacing w:after="0"/>
            </w:pPr>
            <w:r>
              <w:rPr>
                <w:sz w:val="19"/>
              </w:rPr>
              <w:t>Из существования семейства projective carriers P(O_i) не следует существование глобального P(O). Необходимы линейные карты склейки, cocycle condition, совместимость нулевых секций, Evidence-D и effective descent.</w:t>
            </w:r>
          </w:p>
        </w:tc>
      </w:tr>
    </w:tbl>
    <w:p/>
    <w:p>
      <w:r>
        <w:t>Это усиливает принцип Fano ontological barrier, сформулированный в PILOT-01: локальная projective картина не перескакивает в глобальную только потому, что число точек выглядит подходящим [V0.11-1].</w:t>
      </w:r>
    </w:p>
    <w:p>
      <w:pPr>
        <w:pStyle w:val="Heading1"/>
        <w:keepNext/>
      </w:pPr>
      <w:r>
        <w:t>122. Проективный переходный горизонт</w:t>
      </w:r>
    </w:p>
    <w:p>
      <w:pPr>
        <w:pStyle w:val="Heading2"/>
        <w:keepNext/>
      </w:pPr>
      <w:r>
        <w:t>122.1. Компоненты горизонта</w:t>
      </w:r>
    </w:p>
    <w:p>
      <w:pPr>
        <w:pStyle w:val="Quote"/>
        <w:jc w:val="center"/>
      </w:pPr>
      <w:r>
        <w:rPr>
          <w:rFonts w:ascii="Cambria Math" w:hAnsi="Cambria Math"/>
          <w:sz w:val="22"/>
        </w:rPr>
        <w:t>Δ_proj = Δ_zero ∪ Δ_rank ∪ Δ_orbit ∪ Δ_chart ∪ Δ_glue ∪ Δ_D ∪ Δ_Dom.</w:t>
      </w:r>
      <w:r>
        <w:t xml:space="preserve">    (14.14)</w:t>
      </w:r>
    </w:p>
    <w:tbl>
      <w:tblPr>
        <w:tblStyle w:val="TableGrid"/>
        <w:tblW w:type="auto" w:w="0"/>
        <w:jc w:val="center"/>
        <w:tblLook w:firstColumn="1" w:firstRow="1" w:lastColumn="0" w:lastRow="0" w:noHBand="0" w:noVBand="1" w:val="04A0"/>
      </w:tblPr>
      <w:tblGrid>
        <w:gridCol w:w="3251"/>
        <w:gridCol w:w="3251"/>
        <w:gridCol w:w="3251"/>
      </w:tblGrid>
      <w:tr>
        <w:tc>
          <w:tcPr>
            <w:tcW w:type="dxa" w:w="1584"/>
            <w:shd w:fill="1F4E78"/>
            <w:vAlign w:val="center"/>
            <w:tcMar>
              <w:top w:w="100" w:type="dxa"/>
              <w:start w:w="120" w:type="dxa"/>
              <w:bottom w:w="100" w:type="dxa"/>
              <w:end w:w="120" w:type="dxa"/>
            </w:tcMar>
          </w:tcPr>
          <w:p>
            <w:r>
              <w:rPr>
                <w:b/>
                <w:color w:val="FFFFFF"/>
                <w:sz w:val="18"/>
              </w:rPr>
              <w:t>Компонент</w:t>
            </w:r>
          </w:p>
        </w:tc>
        <w:tc>
          <w:tcPr>
            <w:tcW w:type="dxa" w:w="3600"/>
            <w:shd w:fill="1F4E78"/>
            <w:vAlign w:val="center"/>
            <w:tcMar>
              <w:top w:w="100" w:type="dxa"/>
              <w:start w:w="120" w:type="dxa"/>
              <w:bottom w:w="100" w:type="dxa"/>
              <w:end w:w="120" w:type="dxa"/>
            </w:tcMar>
          </w:tcPr>
          <w:p>
            <w:r>
              <w:rPr>
                <w:b/>
                <w:color w:val="FFFFFF"/>
                <w:sz w:val="18"/>
              </w:rPr>
              <w:t>Условие попадания</w:t>
            </w:r>
          </w:p>
        </w:tc>
        <w:tc>
          <w:tcPr>
            <w:tcW w:type="dxa" w:w="4608"/>
            <w:shd w:fill="1F4E78"/>
            <w:vAlign w:val="center"/>
            <w:tcMar>
              <w:top w:w="100" w:type="dxa"/>
              <w:start w:w="120" w:type="dxa"/>
              <w:bottom w:w="100" w:type="dxa"/>
              <w:end w:w="120" w:type="dxa"/>
            </w:tcMar>
          </w:tcPr>
          <w:p>
            <w:r>
              <w:rPr>
                <w:b/>
                <w:color w:val="FFFFFF"/>
                <w:sz w:val="18"/>
              </w:rPr>
              <w:t>Интерпретация</w:t>
            </w:r>
          </w:p>
        </w:tc>
      </w:tr>
      <w:tr>
        <w:tc>
          <w:tcPr>
            <w:tcW w:type="dxa" w:w="1584"/>
            <w:vAlign w:val="center"/>
            <w:tcMar>
              <w:top w:w="100" w:type="dxa"/>
              <w:start w:w="120" w:type="dxa"/>
              <w:bottom w:w="100" w:type="dxa"/>
              <w:end w:w="120" w:type="dxa"/>
            </w:tcMar>
          </w:tcPr>
          <w:p>
            <w:r>
              <w:rPr>
                <w:sz w:val="17"/>
              </w:rPr>
              <w:t>Δ_zero</w:t>
            </w:r>
          </w:p>
        </w:tc>
        <w:tc>
          <w:tcPr>
            <w:tcW w:type="dxa" w:w="3600"/>
            <w:vAlign w:val="center"/>
            <w:tcMar>
              <w:top w:w="100" w:type="dxa"/>
              <w:start w:w="120" w:type="dxa"/>
              <w:bottom w:w="100" w:type="dxa"/>
              <w:end w:w="120" w:type="dxa"/>
            </w:tcMar>
          </w:tcPr>
          <w:p>
            <w:r>
              <w:rPr>
                <w:sz w:val="17"/>
              </w:rPr>
              <w:t>o_t=0 или потеря отделимости от 0</w:t>
            </w:r>
          </w:p>
        </w:tc>
        <w:tc>
          <w:tcPr>
            <w:tcW w:type="dxa" w:w="4608"/>
            <w:vAlign w:val="center"/>
            <w:tcMar>
              <w:top w:w="100" w:type="dxa"/>
              <w:start w:w="120" w:type="dxa"/>
              <w:bottom w:w="100" w:type="dxa"/>
              <w:end w:w="120" w:type="dxa"/>
            </w:tcMar>
          </w:tcPr>
          <w:p>
            <w:r>
              <w:rPr>
                <w:sz w:val="17"/>
              </w:rPr>
              <w:t>появление/исчезновение внутреннего класса</w:t>
            </w:r>
          </w:p>
        </w:tc>
      </w:tr>
      <w:tr>
        <w:tc>
          <w:tcPr>
            <w:tcW w:type="dxa" w:w="1584"/>
            <w:vAlign w:val="center"/>
            <w:tcMar>
              <w:top w:w="100" w:type="dxa"/>
              <w:start w:w="120" w:type="dxa"/>
              <w:bottom w:w="100" w:type="dxa"/>
              <w:end w:w="120" w:type="dxa"/>
            </w:tcMar>
            <w:shd w:fill="EAF1F8"/>
          </w:tcPr>
          <w:p>
            <w:r>
              <w:rPr>
                <w:sz w:val="17"/>
              </w:rPr>
              <w:t>Δ_rank</w:t>
            </w:r>
          </w:p>
        </w:tc>
        <w:tc>
          <w:tcPr>
            <w:tcW w:type="dxa" w:w="3600"/>
            <w:vAlign w:val="center"/>
            <w:tcMar>
              <w:top w:w="100" w:type="dxa"/>
              <w:start w:w="120" w:type="dxa"/>
              <w:bottom w:w="100" w:type="dxa"/>
              <w:end w:w="120" w:type="dxa"/>
            </w:tcMar>
            <w:shd w:fill="EAF1F8"/>
          </w:tcPr>
          <w:p>
            <w:r>
              <w:rPr>
                <w:sz w:val="17"/>
              </w:rPr>
              <w:t>rank A(o_t) меняется</w:t>
            </w:r>
          </w:p>
        </w:tc>
        <w:tc>
          <w:tcPr>
            <w:tcW w:type="dxa" w:w="4608"/>
            <w:vAlign w:val="center"/>
            <w:tcMar>
              <w:top w:w="100" w:type="dxa"/>
              <w:start w:w="120" w:type="dxa"/>
              <w:bottom w:w="100" w:type="dxa"/>
              <w:end w:w="120" w:type="dxa"/>
            </w:tcMar>
            <w:shd w:fill="EAF1F8"/>
          </w:tcPr>
          <w:p>
            <w:r>
              <w:rPr>
                <w:sz w:val="17"/>
              </w:rPr>
              <w:t>смена алгебраического типа</w:t>
            </w:r>
          </w:p>
        </w:tc>
      </w:tr>
      <w:tr>
        <w:tc>
          <w:tcPr>
            <w:tcW w:type="dxa" w:w="1584"/>
            <w:vAlign w:val="center"/>
            <w:tcMar>
              <w:top w:w="100" w:type="dxa"/>
              <w:start w:w="120" w:type="dxa"/>
              <w:bottom w:w="100" w:type="dxa"/>
              <w:end w:w="120" w:type="dxa"/>
            </w:tcMar>
          </w:tcPr>
          <w:p>
            <w:r>
              <w:rPr>
                <w:sz w:val="17"/>
              </w:rPr>
              <w:t>Δ_orbit</w:t>
            </w:r>
          </w:p>
        </w:tc>
        <w:tc>
          <w:tcPr>
            <w:tcW w:type="dxa" w:w="3600"/>
            <w:vAlign w:val="center"/>
            <w:tcMar>
              <w:top w:w="100" w:type="dxa"/>
              <w:start w:w="120" w:type="dxa"/>
              <w:bottom w:w="100" w:type="dxa"/>
              <w:end w:w="120" w:type="dxa"/>
            </w:tcMar>
          </w:tcPr>
          <w:p>
            <w:r>
              <w:rPr>
                <w:sz w:val="17"/>
              </w:rPr>
              <w:t>тип стабилизатора меняется</w:t>
            </w:r>
          </w:p>
        </w:tc>
        <w:tc>
          <w:tcPr>
            <w:tcW w:type="dxa" w:w="4608"/>
            <w:vAlign w:val="center"/>
            <w:tcMar>
              <w:top w:w="100" w:type="dxa"/>
              <w:start w:w="120" w:type="dxa"/>
              <w:bottom w:w="100" w:type="dxa"/>
              <w:end w:w="120" w:type="dxa"/>
            </w:tcMar>
          </w:tcPr>
          <w:p>
            <w:r>
              <w:rPr>
                <w:sz w:val="17"/>
              </w:rPr>
              <w:t>смена симметрии</w:t>
            </w:r>
          </w:p>
        </w:tc>
      </w:tr>
      <w:tr>
        <w:tc>
          <w:tcPr>
            <w:tcW w:type="dxa" w:w="1584"/>
            <w:vAlign w:val="center"/>
            <w:tcMar>
              <w:top w:w="100" w:type="dxa"/>
              <w:start w:w="120" w:type="dxa"/>
              <w:bottom w:w="100" w:type="dxa"/>
              <w:end w:w="120" w:type="dxa"/>
            </w:tcMar>
            <w:shd w:fill="EAF1F8"/>
          </w:tcPr>
          <w:p>
            <w:r>
              <w:rPr>
                <w:sz w:val="17"/>
              </w:rPr>
              <w:t>Δ_chart</w:t>
            </w:r>
          </w:p>
        </w:tc>
        <w:tc>
          <w:tcPr>
            <w:tcW w:type="dxa" w:w="3600"/>
            <w:vAlign w:val="center"/>
            <w:tcMar>
              <w:top w:w="100" w:type="dxa"/>
              <w:start w:w="120" w:type="dxa"/>
              <w:bottom w:w="100" w:type="dxa"/>
              <w:end w:w="120" w:type="dxa"/>
            </w:tcMar>
            <w:shd w:fill="EAF1F8"/>
          </w:tcPr>
          <w:p>
            <w:r>
              <w:rPr>
                <w:sz w:val="17"/>
              </w:rPr>
              <w:t>выбранная projective chart вырождается</w:t>
            </w:r>
          </w:p>
        </w:tc>
        <w:tc>
          <w:tcPr>
            <w:tcW w:type="dxa" w:w="4608"/>
            <w:vAlign w:val="center"/>
            <w:tcMar>
              <w:top w:w="100" w:type="dxa"/>
              <w:start w:w="120" w:type="dxa"/>
              <w:bottom w:w="100" w:type="dxa"/>
              <w:end w:w="120" w:type="dxa"/>
            </w:tcMar>
            <w:shd w:fill="EAF1F8"/>
          </w:tcPr>
          <w:p>
            <w:r>
              <w:rPr>
                <w:sz w:val="17"/>
              </w:rPr>
              <w:t>координатный, не обязательно структурный дефект</w:t>
            </w:r>
          </w:p>
        </w:tc>
      </w:tr>
      <w:tr>
        <w:tc>
          <w:tcPr>
            <w:tcW w:type="dxa" w:w="1584"/>
            <w:vAlign w:val="center"/>
            <w:tcMar>
              <w:top w:w="100" w:type="dxa"/>
              <w:start w:w="120" w:type="dxa"/>
              <w:bottom w:w="100" w:type="dxa"/>
              <w:end w:w="120" w:type="dxa"/>
            </w:tcMar>
          </w:tcPr>
          <w:p>
            <w:r>
              <w:rPr>
                <w:sz w:val="17"/>
              </w:rPr>
              <w:t>Δ_glue</w:t>
            </w:r>
          </w:p>
        </w:tc>
        <w:tc>
          <w:tcPr>
            <w:tcW w:type="dxa" w:w="3600"/>
            <w:vAlign w:val="center"/>
            <w:tcMar>
              <w:top w:w="100" w:type="dxa"/>
              <w:start w:w="120" w:type="dxa"/>
              <w:bottom w:w="100" w:type="dxa"/>
              <w:end w:w="120" w:type="dxa"/>
            </w:tcMar>
          </w:tcPr>
          <w:p>
            <w:r>
              <w:rPr>
                <w:sz w:val="17"/>
              </w:rPr>
              <w:t>нарушены cocycle/effective descent</w:t>
            </w:r>
          </w:p>
        </w:tc>
        <w:tc>
          <w:tcPr>
            <w:tcW w:type="dxa" w:w="4608"/>
            <w:vAlign w:val="center"/>
            <w:tcMar>
              <w:top w:w="100" w:type="dxa"/>
              <w:start w:w="120" w:type="dxa"/>
              <w:bottom w:w="100" w:type="dxa"/>
              <w:end w:w="120" w:type="dxa"/>
            </w:tcMar>
          </w:tcPr>
          <w:p>
            <w:r>
              <w:rPr>
                <w:sz w:val="17"/>
              </w:rPr>
              <w:t>локально-глобальный разрыв</w:t>
            </w:r>
          </w:p>
        </w:tc>
      </w:tr>
      <w:tr>
        <w:tc>
          <w:tcPr>
            <w:tcW w:type="dxa" w:w="1584"/>
            <w:vAlign w:val="center"/>
            <w:tcMar>
              <w:top w:w="100" w:type="dxa"/>
              <w:start w:w="120" w:type="dxa"/>
              <w:bottom w:w="100" w:type="dxa"/>
              <w:end w:w="120" w:type="dxa"/>
            </w:tcMar>
            <w:shd w:fill="EAF1F8"/>
          </w:tcPr>
          <w:p>
            <w:r>
              <w:rPr>
                <w:sz w:val="17"/>
              </w:rPr>
              <w:t>Δ_D</w:t>
            </w:r>
          </w:p>
        </w:tc>
        <w:tc>
          <w:tcPr>
            <w:tcW w:type="dxa" w:w="3600"/>
            <w:vAlign w:val="center"/>
            <w:tcMar>
              <w:top w:w="100" w:type="dxa"/>
              <w:start w:w="120" w:type="dxa"/>
              <w:bottom w:w="100" w:type="dxa"/>
              <w:end w:w="120" w:type="dxa"/>
            </w:tcMar>
            <w:shd w:fill="EAF1F8"/>
          </w:tcPr>
          <w:p>
            <w:r>
              <w:rPr>
                <w:sz w:val="17"/>
              </w:rPr>
              <w:t>Evidence-D невалиден</w:t>
            </w:r>
          </w:p>
        </w:tc>
        <w:tc>
          <w:tcPr>
            <w:tcW w:type="dxa" w:w="4608"/>
            <w:vAlign w:val="center"/>
            <w:tcMar>
              <w:top w:w="100" w:type="dxa"/>
              <w:start w:w="120" w:type="dxa"/>
              <w:bottom w:w="100" w:type="dxa"/>
              <w:end w:w="120" w:type="dxa"/>
            </w:tcMar>
            <w:shd w:fill="EAF1F8"/>
          </w:tcPr>
          <w:p>
            <w:r>
              <w:rPr>
                <w:sz w:val="17"/>
              </w:rPr>
              <w:t>доказательный блокер</w:t>
            </w:r>
          </w:p>
        </w:tc>
      </w:tr>
      <w:tr>
        <w:tc>
          <w:tcPr>
            <w:tcW w:type="dxa" w:w="1584"/>
            <w:vAlign w:val="center"/>
            <w:tcMar>
              <w:top w:w="100" w:type="dxa"/>
              <w:start w:w="120" w:type="dxa"/>
              <w:bottom w:w="100" w:type="dxa"/>
              <w:end w:w="120" w:type="dxa"/>
            </w:tcMar>
          </w:tcPr>
          <w:p>
            <w:r>
              <w:rPr>
                <w:sz w:val="17"/>
              </w:rPr>
              <w:t>Δ_Dom</w:t>
            </w:r>
          </w:p>
        </w:tc>
        <w:tc>
          <w:tcPr>
            <w:tcW w:type="dxa" w:w="3600"/>
            <w:vAlign w:val="center"/>
            <w:tcMar>
              <w:top w:w="100" w:type="dxa"/>
              <w:start w:w="120" w:type="dxa"/>
              <w:bottom w:w="100" w:type="dxa"/>
              <w:end w:w="120" w:type="dxa"/>
            </w:tcMar>
          </w:tcPr>
          <w:p>
            <w:r>
              <w:rPr>
                <w:sz w:val="17"/>
              </w:rPr>
              <w:t>меняется допустимый домен</w:t>
            </w:r>
          </w:p>
        </w:tc>
        <w:tc>
          <w:tcPr>
            <w:tcW w:type="dxa" w:w="4608"/>
            <w:vAlign w:val="center"/>
            <w:tcMar>
              <w:top w:w="100" w:type="dxa"/>
              <w:start w:w="120" w:type="dxa"/>
              <w:bottom w:w="100" w:type="dxa"/>
              <w:end w:w="120" w:type="dxa"/>
            </w:tcMar>
          </w:tcPr>
          <w:p>
            <w:r>
              <w:rPr>
                <w:sz w:val="17"/>
              </w:rPr>
              <w:t>смена области утверждения</w:t>
            </w:r>
          </w:p>
        </w:tc>
      </w:tr>
    </w:tbl>
    <w:p/>
    <w:p>
      <w:pPr>
        <w:jc w:val="center"/>
      </w:pPr>
      <w:r>
        <w:drawing>
          <wp:inline xmlns:a="http://schemas.openxmlformats.org/drawingml/2006/main" xmlns:pic="http://schemas.openxmlformats.org/drawingml/2006/picture">
            <wp:extent cx="5943600" cy="3360587"/>
            <wp:docPr id="35" name="Picture 35"/>
            <wp:cNvGraphicFramePr>
              <a:graphicFrameLocks noChangeAspect="1"/>
            </wp:cNvGraphicFramePr>
            <a:graphic>
              <a:graphicData uri="http://schemas.openxmlformats.org/drawingml/2006/picture">
                <pic:pic>
                  <pic:nvPicPr>
                    <pic:cNvPr id="0" name="proj_horizon.png"/>
                    <pic:cNvPicPr/>
                  </pic:nvPicPr>
                  <pic:blipFill>
                    <a:blip r:embed="rId62"/>
                    <a:stretch>
                      <a:fillRect/>
                    </a:stretch>
                  </pic:blipFill>
                  <pic:spPr>
                    <a:xfrm>
                      <a:off x="0" y="0"/>
                      <a:ext cx="5943600" cy="3360587"/>
                    </a:xfrm>
                    <a:prstGeom prst="rect"/>
                  </pic:spPr>
                </pic:pic>
              </a:graphicData>
            </a:graphic>
          </wp:inline>
        </w:drawing>
      </w:r>
    </w:p>
    <w:p>
      <w:pPr>
        <w:pStyle w:val="Caption"/>
        <w:keepNext/>
        <w:jc w:val="center"/>
      </w:pPr>
      <w:r>
        <w:t>Рисунок 14.3. Состав projective transition horizon Δ_proj.</w:t>
      </w:r>
    </w:p>
    <w:p>
      <w:pPr>
        <w:pStyle w:val="Heading2"/>
        <w:keepNext/>
      </w:pPr>
      <w:r>
        <w:t>122.2. Теорема постоянства projective type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14.6. PROJECTIVE-PROFILE CONSTANCY</w:t>
            </w:r>
          </w:p>
          <w:p>
            <w:pPr>
              <w:spacing w:after="0"/>
            </w:pPr>
            <w:r>
              <w:rPr>
                <w:sz w:val="19"/>
              </w:rPr>
              <w:t>Пусть t↦o_t является непрерывным ненулевым сечением obstruction bundle на связном интервале I. Если ранговая и орбитная страты локально замкнуты, путь не пересекает Δ_proj, а D/Dom и gluing data постоянны, то projective profile ([o_t], rank A(o_t), orbit type, Dom signature) остаётся в одной связной страте.</w:t>
            </w:r>
          </w:p>
        </w:tc>
      </w:tr>
    </w:tbl>
    <w:p/>
    <w:p>
      <w:r>
        <w:t>Теорема не утверждает, что [o_t] является постоянной точкой. Она утверждает неизменность сертифицированного типа внутри выбранной стратификации. Движение внутри страты допускается.</w:t>
      </w:r>
    </w:p>
    <w:p>
      <w:pPr>
        <w:pStyle w:val="Heading2"/>
        <w:keepNext/>
      </w:pPr>
      <w:r>
        <w:t>122.3. Отрицательный прогноз</w:t>
      </w:r>
    </w:p>
    <w:p>
      <w:pPr>
        <w:pStyle w:val="Quote"/>
        <w:jc w:val="center"/>
      </w:pPr>
      <w:r>
        <w:rPr>
          <w:rFonts w:ascii="Cambria Math" w:hAnsi="Cambria Math"/>
          <w:sz w:val="22"/>
        </w:rPr>
        <w:t>I∩Δ_proj=∅  ⇒  transition of certified projective type is impossible in model.</w:t>
      </w:r>
      <w:r>
        <w:t xml:space="preserve">    (14.15)</w:t>
      </w:r>
    </w:p>
    <w:p>
      <w:r>
        <w:t>Пересечение Δ_proj создаёт CANDIDATE-TRANSITION. Оно не гарантирует пересечение нулевой секции, существование lift, глобализацию, наблюдаемость или физическую реализацию.</w:t>
      </w:r>
    </w:p>
    <w:p>
      <w:pPr>
        <w:pStyle w:val="Heading1"/>
        <w:keepNext/>
      </w:pPr>
      <w:r>
        <w:t>123. Проективный carrier и Reper-λ</w:t>
      </w:r>
    </w:p>
    <w:p>
      <w:r>
        <w:t>Reper-кросс-соотношение и projective obstruction carrier являются двумя разными проективными слоями. Первый живёт на конфигурациях четырёх точек P¹, второй - на направлениях в O_B. Для их связи требуется отдельная карта</w:t>
      </w:r>
    </w:p>
    <w:p>
      <w:pPr>
        <w:pStyle w:val="Quote"/>
        <w:jc w:val="center"/>
      </w:pPr>
      <w:r>
        <w:rPr>
          <w:rFonts w:ascii="Cambria Math" w:hAnsi="Cambria Math"/>
          <w:sz w:val="22"/>
        </w:rPr>
        <w:t>χ_λ : P(O_B) ⇢ P¹(K),</w:t>
      </w:r>
      <w:r>
        <w:t xml:space="preserve">    (14.16)</w:t>
      </w:r>
    </w:p>
    <w:p>
      <w:r>
        <w:t>определённая лишь при явном выборе реперных функционалов R,I,U,D на O_B и вне их полюсного множества.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14.7. NO AUTOMATIC LAMBDA BRIDGE</w:t>
            </w:r>
          </w:p>
          <w:p>
            <w:pPr>
              <w:spacing w:after="0"/>
            </w:pPr>
            <w:r>
              <w:rPr>
                <w:sz w:val="19"/>
              </w:rPr>
              <w:t>Из projective point [o]∈P(O_B) не следует каноническое значение λ. Для λ необходимы четыре согласованных линейных или рациональных функционала и доказательство инвариантности их cross-ratio.</w:t>
            </w:r>
          </w:p>
        </w:tc>
      </w:tr>
    </w:tbl>
    <w:p/>
    <w:p>
      <w:pPr>
        <w:pStyle w:val="Quote"/>
        <w:jc w:val="center"/>
      </w:pPr>
      <w:r>
        <w:rPr>
          <w:rFonts w:ascii="Cambria Math" w:hAnsi="Cambria Math"/>
          <w:sz w:val="22"/>
        </w:rPr>
        <w:t>λ([o]) = cr(U([o]), I([o]); R([o]), D([o])).</w:t>
      </w:r>
      <w:r>
        <w:t xml:space="preserve">    (14.17)</w:t>
      </w:r>
    </w:p>
    <w:p>
      <w:r>
        <w:t>Даже при λ=-1 сохраняются отдельные проверки: o≠0, Valid(D), Dom_λ, отсутствие internal/external obstruction blockers и корректность χ_λ.</w:t>
      </w:r>
    </w:p>
    <w:p>
      <w:pPr>
        <w:pStyle w:val="Heading1"/>
        <w:keepNext/>
      </w:pPr>
      <w:r>
        <w:t>124. Ledger потери и восстановления информации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152"/>
            <w:shd w:fill="1F4E78"/>
            <w:vAlign w:val="center"/>
            <w:tcMar>
              <w:top w:w="100" w:type="dxa"/>
              <w:start w:w="120" w:type="dxa"/>
              <w:bottom w:w="100" w:type="dxa"/>
              <w:end w:w="120" w:type="dxa"/>
            </w:tcMar>
          </w:tcPr>
          <w:p>
            <w:r>
              <w:rPr>
                <w:b/>
                <w:color w:val="FFFFFF"/>
                <w:sz w:val="18"/>
              </w:rPr>
              <w:t>Код</w:t>
            </w:r>
          </w:p>
        </w:tc>
        <w:tc>
          <w:tcPr>
            <w:tcW w:type="dxa" w:w="2448"/>
            <w:shd w:fill="1F4E78"/>
            <w:vAlign w:val="center"/>
            <w:tcMar>
              <w:top w:w="100" w:type="dxa"/>
              <w:start w:w="120" w:type="dxa"/>
              <w:bottom w:w="100" w:type="dxa"/>
              <w:end w:w="120" w:type="dxa"/>
            </w:tcMar>
          </w:tcPr>
          <w:p>
            <w:r>
              <w:rPr>
                <w:b/>
                <w:color w:val="FFFFFF"/>
                <w:sz w:val="18"/>
              </w:rPr>
              <w:t>Потерянный слой</w:t>
            </w:r>
          </w:p>
        </w:tc>
        <w:tc>
          <w:tcPr>
            <w:tcW w:type="dxa" w:w="3888"/>
            <w:shd w:fill="1F4E78"/>
            <w:vAlign w:val="center"/>
            <w:tcMar>
              <w:top w:w="100" w:type="dxa"/>
              <w:start w:w="120" w:type="dxa"/>
              <w:bottom w:w="100" w:type="dxa"/>
              <w:end w:w="120" w:type="dxa"/>
            </w:tcMar>
          </w:tcPr>
          <w:p>
            <w:r>
              <w:rPr>
                <w:b/>
                <w:color w:val="FFFFFF"/>
                <w:sz w:val="18"/>
              </w:rPr>
              <w:t>Минимальный repair certificate</w:t>
            </w:r>
          </w:p>
        </w:tc>
        <w:tc>
          <w:tcPr>
            <w:tcW w:type="dxa" w:w="2016"/>
            <w:shd w:fill="1F4E78"/>
            <w:vAlign w:val="center"/>
            <w:tcMar>
              <w:top w:w="100" w:type="dxa"/>
              <w:start w:w="120" w:type="dxa"/>
              <w:bottom w:w="100" w:type="dxa"/>
              <w:end w:w="120" w:type="dxa"/>
            </w:tcMar>
          </w:tcPr>
          <w:p>
            <w:r>
              <w:rPr>
                <w:b/>
                <w:color w:val="FFFFFF"/>
                <w:sz w:val="18"/>
              </w:rPr>
              <w:t>Вердикт без сертификата</w:t>
            </w:r>
          </w:p>
        </w:tc>
      </w:tr>
      <w:tr>
        <w:tc>
          <w:tcPr>
            <w:tcW w:type="dxa" w:w="1152"/>
            <w:vAlign w:val="center"/>
            <w:tcMar>
              <w:top w:w="100" w:type="dxa"/>
              <w:start w:w="120" w:type="dxa"/>
              <w:bottom w:w="100" w:type="dxa"/>
              <w:end w:w="120" w:type="dxa"/>
            </w:tcMar>
          </w:tcPr>
          <w:p>
            <w:r>
              <w:rPr>
                <w:sz w:val="17"/>
              </w:rPr>
              <w:t>LOSS-0</w:t>
            </w:r>
          </w:p>
        </w:tc>
        <w:tc>
          <w:tcPr>
            <w:tcW w:type="dxa" w:w="2448"/>
            <w:vAlign w:val="center"/>
            <w:tcMar>
              <w:top w:w="100" w:type="dxa"/>
              <w:start w:w="120" w:type="dxa"/>
              <w:bottom w:w="100" w:type="dxa"/>
              <w:end w:w="120" w:type="dxa"/>
            </w:tcMar>
          </w:tcPr>
          <w:p>
            <w:r>
              <w:rPr>
                <w:sz w:val="17"/>
              </w:rPr>
              <w:t>нулевой класс</w:t>
            </w:r>
          </w:p>
        </w:tc>
        <w:tc>
          <w:tcPr>
            <w:tcW w:type="dxa" w:w="3888"/>
            <w:vAlign w:val="center"/>
            <w:tcMar>
              <w:top w:w="100" w:type="dxa"/>
              <w:start w:w="120" w:type="dxa"/>
              <w:bottom w:w="100" w:type="dxa"/>
              <w:end w:w="120" w:type="dxa"/>
            </w:tcMar>
          </w:tcPr>
          <w:p>
            <w:r>
              <w:rPr>
                <w:sz w:val="17"/>
              </w:rPr>
              <w:t>ZERO flag + exact residual</w:t>
            </w:r>
          </w:p>
        </w:tc>
        <w:tc>
          <w:tcPr>
            <w:tcW w:type="dxa" w:w="2016"/>
            <w:vAlign w:val="center"/>
            <w:tcMar>
              <w:top w:w="100" w:type="dxa"/>
              <w:start w:w="120" w:type="dxa"/>
              <w:bottom w:w="100" w:type="dxa"/>
              <w:end w:w="120" w:type="dxa"/>
            </w:tcMar>
          </w:tcPr>
          <w:p>
            <w:r>
              <w:rPr>
                <w:sz w:val="17"/>
              </w:rPr>
              <w:t>ABSTAIN</w:t>
            </w:r>
          </w:p>
        </w:tc>
      </w:tr>
      <w:tr>
        <w:tc>
          <w:tcPr>
            <w:tcW w:type="dxa" w:w="1152"/>
            <w:vAlign w:val="center"/>
            <w:tcMar>
              <w:top w:w="100" w:type="dxa"/>
              <w:start w:w="120" w:type="dxa"/>
              <w:bottom w:w="100" w:type="dxa"/>
              <w:end w:w="120" w:type="dxa"/>
            </w:tcMar>
            <w:shd w:fill="EAF1F8"/>
          </w:tcPr>
          <w:p>
            <w:r>
              <w:rPr>
                <w:sz w:val="17"/>
              </w:rPr>
              <w:t>LOSS-S</w:t>
            </w:r>
          </w:p>
        </w:tc>
        <w:tc>
          <w:tcPr>
            <w:tcW w:type="dxa" w:w="2448"/>
            <w:vAlign w:val="center"/>
            <w:tcMar>
              <w:top w:w="100" w:type="dxa"/>
              <w:start w:w="120" w:type="dxa"/>
              <w:bottom w:w="100" w:type="dxa"/>
              <w:end w:w="120" w:type="dxa"/>
            </w:tcMar>
            <w:shd w:fill="EAF1F8"/>
          </w:tcPr>
          <w:p>
            <w:r>
              <w:rPr>
                <w:sz w:val="17"/>
              </w:rPr>
              <w:t>масштаб</w:t>
            </w:r>
          </w:p>
        </w:tc>
        <w:tc>
          <w:tcPr>
            <w:tcW w:type="dxa" w:w="3888"/>
            <w:vAlign w:val="center"/>
            <w:tcMar>
              <w:top w:w="100" w:type="dxa"/>
              <w:start w:w="120" w:type="dxa"/>
              <w:bottom w:w="100" w:type="dxa"/>
              <w:end w:w="120" w:type="dxa"/>
            </w:tcMar>
            <w:shd w:fill="EAF1F8"/>
          </w:tcPr>
          <w:p>
            <w:r>
              <w:rPr>
                <w:sz w:val="17"/>
              </w:rPr>
              <w:t>metric + normalization rule</w:t>
            </w:r>
          </w:p>
        </w:tc>
        <w:tc>
          <w:tcPr>
            <w:tcW w:type="dxa" w:w="2016"/>
            <w:vAlign w:val="center"/>
            <w:tcMar>
              <w:top w:w="100" w:type="dxa"/>
              <w:start w:w="120" w:type="dxa"/>
              <w:bottom w:w="100" w:type="dxa"/>
              <w:end w:w="120" w:type="dxa"/>
            </w:tcMar>
            <w:shd w:fill="EAF1F8"/>
          </w:tcPr>
          <w:p>
            <w:r>
              <w:rPr>
                <w:sz w:val="17"/>
              </w:rPr>
              <w:t>direction only</w:t>
            </w:r>
          </w:p>
        </w:tc>
      </w:tr>
      <w:tr>
        <w:tc>
          <w:tcPr>
            <w:tcW w:type="dxa" w:w="1152"/>
            <w:vAlign w:val="center"/>
            <w:tcMar>
              <w:top w:w="100" w:type="dxa"/>
              <w:start w:w="120" w:type="dxa"/>
              <w:bottom w:w="100" w:type="dxa"/>
              <w:end w:w="120" w:type="dxa"/>
            </w:tcMar>
          </w:tcPr>
          <w:p>
            <w:r>
              <w:rPr>
                <w:sz w:val="17"/>
              </w:rPr>
              <w:t>LOSS-SGN</w:t>
            </w:r>
          </w:p>
        </w:tc>
        <w:tc>
          <w:tcPr>
            <w:tcW w:type="dxa" w:w="2448"/>
            <w:vAlign w:val="center"/>
            <w:tcMar>
              <w:top w:w="100" w:type="dxa"/>
              <w:start w:w="120" w:type="dxa"/>
              <w:bottom w:w="100" w:type="dxa"/>
              <w:end w:w="120" w:type="dxa"/>
            </w:tcMar>
          </w:tcPr>
          <w:p>
            <w:r>
              <w:rPr>
                <w:sz w:val="17"/>
              </w:rPr>
              <w:t>знак/ориентация</w:t>
            </w:r>
          </w:p>
        </w:tc>
        <w:tc>
          <w:tcPr>
            <w:tcW w:type="dxa" w:w="3888"/>
            <w:vAlign w:val="center"/>
            <w:tcMar>
              <w:top w:w="100" w:type="dxa"/>
              <w:start w:w="120" w:type="dxa"/>
              <w:bottom w:w="100" w:type="dxa"/>
              <w:end w:w="120" w:type="dxa"/>
            </w:tcMar>
          </w:tcPr>
          <w:p>
            <w:r>
              <w:rPr>
                <w:sz w:val="17"/>
              </w:rPr>
              <w:t>oriented ray or double cover</w:t>
            </w:r>
          </w:p>
        </w:tc>
        <w:tc>
          <w:tcPr>
            <w:tcW w:type="dxa" w:w="2016"/>
            <w:vAlign w:val="center"/>
            <w:tcMar>
              <w:top w:w="100" w:type="dxa"/>
              <w:start w:w="120" w:type="dxa"/>
              <w:bottom w:w="100" w:type="dxa"/>
              <w:end w:w="120" w:type="dxa"/>
            </w:tcMar>
          </w:tcPr>
          <w:p>
            <w:r>
              <w:rPr>
                <w:sz w:val="17"/>
              </w:rPr>
              <w:t>sign unknown</w:t>
            </w:r>
          </w:p>
        </w:tc>
      </w:tr>
      <w:tr>
        <w:tc>
          <w:tcPr>
            <w:tcW w:type="dxa" w:w="1152"/>
            <w:vAlign w:val="center"/>
            <w:tcMar>
              <w:top w:w="100" w:type="dxa"/>
              <w:start w:w="120" w:type="dxa"/>
              <w:bottom w:w="100" w:type="dxa"/>
              <w:end w:w="120" w:type="dxa"/>
            </w:tcMar>
            <w:shd w:fill="EAF1F8"/>
          </w:tcPr>
          <w:p>
            <w:r>
              <w:rPr>
                <w:sz w:val="17"/>
              </w:rPr>
              <w:t>LOSS-PH</w:t>
            </w:r>
          </w:p>
        </w:tc>
        <w:tc>
          <w:tcPr>
            <w:tcW w:type="dxa" w:w="2448"/>
            <w:vAlign w:val="center"/>
            <w:tcMar>
              <w:top w:w="100" w:type="dxa"/>
              <w:start w:w="120" w:type="dxa"/>
              <w:bottom w:w="100" w:type="dxa"/>
              <w:end w:w="120" w:type="dxa"/>
            </w:tcMar>
            <w:shd w:fill="EAF1F8"/>
          </w:tcPr>
          <w:p>
            <w:r>
              <w:rPr>
                <w:sz w:val="17"/>
              </w:rPr>
              <w:t>complex phase</w:t>
            </w:r>
          </w:p>
        </w:tc>
        <w:tc>
          <w:tcPr>
            <w:tcW w:type="dxa" w:w="3888"/>
            <w:vAlign w:val="center"/>
            <w:tcMar>
              <w:top w:w="100" w:type="dxa"/>
              <w:start w:w="120" w:type="dxa"/>
              <w:bottom w:w="100" w:type="dxa"/>
              <w:end w:w="120" w:type="dxa"/>
            </w:tcMar>
            <w:shd w:fill="EAF1F8"/>
          </w:tcPr>
          <w:p>
            <w:r>
              <w:rPr>
                <w:sz w:val="17"/>
              </w:rPr>
              <w:t>U(1) gauge certificate</w:t>
            </w:r>
          </w:p>
        </w:tc>
        <w:tc>
          <w:tcPr>
            <w:tcW w:type="dxa" w:w="2016"/>
            <w:vAlign w:val="center"/>
            <w:tcMar>
              <w:top w:w="100" w:type="dxa"/>
              <w:start w:w="120" w:type="dxa"/>
              <w:bottom w:w="100" w:type="dxa"/>
              <w:end w:w="120" w:type="dxa"/>
            </w:tcMar>
            <w:shd w:fill="EAF1F8"/>
          </w:tcPr>
          <w:p>
            <w:r>
              <w:rPr>
                <w:sz w:val="17"/>
              </w:rPr>
              <w:t>phase unknown</w:t>
            </w:r>
          </w:p>
        </w:tc>
      </w:tr>
      <w:tr>
        <w:tc>
          <w:tcPr>
            <w:tcW w:type="dxa" w:w="1152"/>
            <w:vAlign w:val="center"/>
            <w:tcMar>
              <w:top w:w="100" w:type="dxa"/>
              <w:start w:w="120" w:type="dxa"/>
              <w:bottom w:w="100" w:type="dxa"/>
              <w:end w:w="120" w:type="dxa"/>
            </w:tcMar>
          </w:tcPr>
          <w:p>
            <w:r>
              <w:rPr>
                <w:sz w:val="17"/>
              </w:rPr>
              <w:t>LOSS-PR</w:t>
            </w:r>
          </w:p>
        </w:tc>
        <w:tc>
          <w:tcPr>
            <w:tcW w:type="dxa" w:w="2448"/>
            <w:vAlign w:val="center"/>
            <w:tcMar>
              <w:top w:w="100" w:type="dxa"/>
              <w:start w:w="120" w:type="dxa"/>
              <w:bottom w:w="100" w:type="dxa"/>
              <w:end w:w="120" w:type="dxa"/>
            </w:tcMar>
          </w:tcPr>
          <w:p>
            <w:r>
              <w:rPr>
                <w:sz w:val="17"/>
              </w:rPr>
              <w:t>provenance</w:t>
            </w:r>
          </w:p>
        </w:tc>
        <w:tc>
          <w:tcPr>
            <w:tcW w:type="dxa" w:w="3888"/>
            <w:vAlign w:val="center"/>
            <w:tcMar>
              <w:top w:w="100" w:type="dxa"/>
              <w:start w:w="120" w:type="dxa"/>
              <w:bottom w:w="100" w:type="dxa"/>
              <w:end w:w="120" w:type="dxa"/>
            </w:tcMar>
          </w:tcPr>
          <w:p>
            <w:r>
              <w:rPr>
                <w:sz w:val="17"/>
              </w:rPr>
              <w:t>Evidence-D chain</w:t>
            </w:r>
          </w:p>
        </w:tc>
        <w:tc>
          <w:tcPr>
            <w:tcW w:type="dxa" w:w="2016"/>
            <w:vAlign w:val="center"/>
            <w:tcMar>
              <w:top w:w="100" w:type="dxa"/>
              <w:start w:w="120" w:type="dxa"/>
              <w:bottom w:w="100" w:type="dxa"/>
              <w:end w:w="120" w:type="dxa"/>
            </w:tcMar>
          </w:tcPr>
          <w:p>
            <w:r>
              <w:rPr>
                <w:sz w:val="17"/>
              </w:rPr>
              <w:t>source unknown</w:t>
            </w:r>
          </w:p>
        </w:tc>
      </w:tr>
      <w:tr>
        <w:tc>
          <w:tcPr>
            <w:tcW w:type="dxa" w:w="1152"/>
            <w:vAlign w:val="center"/>
            <w:tcMar>
              <w:top w:w="100" w:type="dxa"/>
              <w:start w:w="120" w:type="dxa"/>
              <w:bottom w:w="100" w:type="dxa"/>
              <w:end w:w="120" w:type="dxa"/>
            </w:tcMar>
            <w:shd w:fill="EAF1F8"/>
          </w:tcPr>
          <w:p>
            <w:r>
              <w:rPr>
                <w:sz w:val="17"/>
              </w:rPr>
              <w:t>LOSS-LF</w:t>
            </w:r>
          </w:p>
        </w:tc>
        <w:tc>
          <w:tcPr>
            <w:tcW w:type="dxa" w:w="2448"/>
            <w:vAlign w:val="center"/>
            <w:tcMar>
              <w:top w:w="100" w:type="dxa"/>
              <w:start w:w="120" w:type="dxa"/>
              <w:bottom w:w="100" w:type="dxa"/>
              <w:end w:w="120" w:type="dxa"/>
            </w:tcMar>
            <w:shd w:fill="EAF1F8"/>
          </w:tcPr>
          <w:p>
            <w:r>
              <w:rPr>
                <w:sz w:val="17"/>
              </w:rPr>
              <w:t>lift representative</w:t>
            </w:r>
          </w:p>
        </w:tc>
        <w:tc>
          <w:tcPr>
            <w:tcW w:type="dxa" w:w="3888"/>
            <w:vAlign w:val="center"/>
            <w:tcMar>
              <w:top w:w="100" w:type="dxa"/>
              <w:start w:w="120" w:type="dxa"/>
              <w:bottom w:w="100" w:type="dxa"/>
              <w:end w:w="120" w:type="dxa"/>
            </w:tcMar>
            <w:shd w:fill="EAF1F8"/>
          </w:tcPr>
          <w:p>
            <w:r>
              <w:rPr>
                <w:sz w:val="17"/>
              </w:rPr>
              <w:t>H² torsor coordinate</w:t>
            </w:r>
          </w:p>
        </w:tc>
        <w:tc>
          <w:tcPr>
            <w:tcW w:type="dxa" w:w="2016"/>
            <w:vAlign w:val="center"/>
            <w:tcMar>
              <w:top w:w="100" w:type="dxa"/>
              <w:start w:w="120" w:type="dxa"/>
              <w:bottom w:w="100" w:type="dxa"/>
              <w:end w:w="120" w:type="dxa"/>
            </w:tcMar>
            <w:shd w:fill="EAF1F8"/>
          </w:tcPr>
          <w:p>
            <w:r>
              <w:rPr>
                <w:sz w:val="17"/>
              </w:rPr>
              <w:t>lift nonunique</w:t>
            </w:r>
          </w:p>
        </w:tc>
      </w:tr>
      <w:tr>
        <w:tc>
          <w:tcPr>
            <w:tcW w:type="dxa" w:w="1152"/>
            <w:vAlign w:val="center"/>
            <w:tcMar>
              <w:top w:w="100" w:type="dxa"/>
              <w:start w:w="120" w:type="dxa"/>
              <w:bottom w:w="100" w:type="dxa"/>
              <w:end w:w="120" w:type="dxa"/>
            </w:tcMar>
          </w:tcPr>
          <w:p>
            <w:r>
              <w:rPr>
                <w:sz w:val="17"/>
              </w:rPr>
              <w:t>LOSS-DOM</w:t>
            </w:r>
          </w:p>
        </w:tc>
        <w:tc>
          <w:tcPr>
            <w:tcW w:type="dxa" w:w="2448"/>
            <w:vAlign w:val="center"/>
            <w:tcMar>
              <w:top w:w="100" w:type="dxa"/>
              <w:start w:w="120" w:type="dxa"/>
              <w:bottom w:w="100" w:type="dxa"/>
              <w:end w:w="120" w:type="dxa"/>
            </w:tcMar>
          </w:tcPr>
          <w:p>
            <w:r>
              <w:rPr>
                <w:sz w:val="17"/>
              </w:rPr>
              <w:t>domain</w:t>
            </w:r>
          </w:p>
        </w:tc>
        <w:tc>
          <w:tcPr>
            <w:tcW w:type="dxa" w:w="3888"/>
            <w:vAlign w:val="center"/>
            <w:tcMar>
              <w:top w:w="100" w:type="dxa"/>
              <w:start w:w="120" w:type="dxa"/>
              <w:bottom w:w="100" w:type="dxa"/>
              <w:end w:w="120" w:type="dxa"/>
            </w:tcMar>
          </w:tcPr>
          <w:p>
            <w:r>
              <w:rPr>
                <w:sz w:val="17"/>
              </w:rPr>
              <w:t>Dom signature</w:t>
            </w:r>
          </w:p>
        </w:tc>
        <w:tc>
          <w:tcPr>
            <w:tcW w:type="dxa" w:w="2016"/>
            <w:vAlign w:val="center"/>
            <w:tcMar>
              <w:top w:w="100" w:type="dxa"/>
              <w:start w:w="120" w:type="dxa"/>
              <w:bottom w:w="100" w:type="dxa"/>
              <w:end w:w="120" w:type="dxa"/>
            </w:tcMar>
          </w:tcPr>
          <w:p>
            <w:r>
              <w:rPr>
                <w:sz w:val="17"/>
              </w:rPr>
              <w:t>claim not transportable</w:t>
            </w:r>
          </w:p>
        </w:tc>
      </w:tr>
      <w:tr>
        <w:tc>
          <w:tcPr>
            <w:tcW w:type="dxa" w:w="1152"/>
            <w:vAlign w:val="center"/>
            <w:tcMar>
              <w:top w:w="100" w:type="dxa"/>
              <w:start w:w="120" w:type="dxa"/>
              <w:bottom w:w="100" w:type="dxa"/>
              <w:end w:w="120" w:type="dxa"/>
            </w:tcMar>
            <w:shd w:fill="EAF1F8"/>
          </w:tcPr>
          <w:p>
            <w:r>
              <w:rPr>
                <w:sz w:val="17"/>
              </w:rPr>
              <w:t>LOSS-GL</w:t>
            </w:r>
          </w:p>
        </w:tc>
        <w:tc>
          <w:tcPr>
            <w:tcW w:type="dxa" w:w="2448"/>
            <w:vAlign w:val="center"/>
            <w:tcMar>
              <w:top w:w="100" w:type="dxa"/>
              <w:start w:w="120" w:type="dxa"/>
              <w:bottom w:w="100" w:type="dxa"/>
              <w:end w:w="120" w:type="dxa"/>
            </w:tcMar>
            <w:shd w:fill="EAF1F8"/>
          </w:tcPr>
          <w:p>
            <w:r>
              <w:rPr>
                <w:sz w:val="17"/>
              </w:rPr>
              <w:t>globalization</w:t>
            </w:r>
          </w:p>
        </w:tc>
        <w:tc>
          <w:tcPr>
            <w:tcW w:type="dxa" w:w="3888"/>
            <w:vAlign w:val="center"/>
            <w:tcMar>
              <w:top w:w="100" w:type="dxa"/>
              <w:start w:w="120" w:type="dxa"/>
              <w:bottom w:w="100" w:type="dxa"/>
              <w:end w:w="120" w:type="dxa"/>
            </w:tcMar>
            <w:shd w:fill="EAF1F8"/>
          </w:tcPr>
          <w:p>
            <w:r>
              <w:rPr>
                <w:sz w:val="17"/>
              </w:rPr>
              <w:t>descent certificate</w:t>
            </w:r>
          </w:p>
        </w:tc>
        <w:tc>
          <w:tcPr>
            <w:tcW w:type="dxa" w:w="2016"/>
            <w:vAlign w:val="center"/>
            <w:tcMar>
              <w:top w:w="100" w:type="dxa"/>
              <w:start w:w="120" w:type="dxa"/>
              <w:bottom w:w="100" w:type="dxa"/>
              <w:end w:w="120" w:type="dxa"/>
            </w:tcMar>
            <w:shd w:fill="EAF1F8"/>
          </w:tcPr>
          <w:p>
            <w:r>
              <w:rPr>
                <w:sz w:val="17"/>
              </w:rPr>
              <w:t>local only</w:t>
            </w:r>
          </w:p>
        </w:tc>
      </w:tr>
    </w:tbl>
    <w:p/>
    <w:p>
      <w:r>
        <w:t>Полный projective certificate имеет форму</w:t>
      </w:r>
    </w:p>
    <w:p>
      <w:pPr>
        <w:pStyle w:val="Quote"/>
        <w:jc w:val="center"/>
      </w:pPr>
      <w:r>
        <w:rPr>
          <w:rFonts w:ascii="Cambria Math" w:hAnsi="Cambria Math"/>
          <w:sz w:val="22"/>
        </w:rPr>
        <w:t>Cert_proj = ([o], ZERO, NORM, ORIENT, PROV, LIFT, DOM, GLUE, HASH).</w:t>
      </w:r>
      <w:r>
        <w:t xml:space="preserve">    (14.18)</w:t>
      </w:r>
    </w:p>
    <w:p>
      <w:pPr>
        <w:pStyle w:val="Heading1"/>
        <w:keepNext/>
      </w:pPr>
      <w:r>
        <w:t>125. Контрпримеры и разделяющие модели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936"/>
            <w:shd w:fill="1F4E78"/>
            <w:vAlign w:val="center"/>
            <w:tcMar>
              <w:top w:w="100" w:type="dxa"/>
              <w:start w:w="120" w:type="dxa"/>
              <w:bottom w:w="100" w:type="dxa"/>
              <w:end w:w="120" w:type="dxa"/>
            </w:tcMar>
          </w:tcPr>
          <w:p>
            <w:r>
              <w:rPr>
                <w:b/>
                <w:color w:val="FFFFFF"/>
                <w:sz w:val="18"/>
              </w:rPr>
              <w:t>ID</w:t>
            </w:r>
          </w:p>
        </w:tc>
        <w:tc>
          <w:tcPr>
            <w:tcW w:type="dxa" w:w="2232"/>
            <w:shd w:fill="1F4E78"/>
            <w:vAlign w:val="center"/>
            <w:tcMar>
              <w:top w:w="100" w:type="dxa"/>
              <w:start w:w="120" w:type="dxa"/>
              <w:bottom w:w="100" w:type="dxa"/>
              <w:end w:w="120" w:type="dxa"/>
            </w:tcMar>
          </w:tcPr>
          <w:p>
            <w:r>
              <w:rPr>
                <w:b/>
                <w:color w:val="FFFFFF"/>
                <w:sz w:val="18"/>
              </w:rPr>
              <w:t>Модель</w:t>
            </w:r>
          </w:p>
        </w:tc>
        <w:tc>
          <w:tcPr>
            <w:tcW w:type="dxa" w:w="3240"/>
            <w:shd w:fill="1F4E78"/>
            <w:vAlign w:val="center"/>
            <w:tcMar>
              <w:top w:w="100" w:type="dxa"/>
              <w:start w:w="120" w:type="dxa"/>
              <w:bottom w:w="100" w:type="dxa"/>
              <w:end w:w="120" w:type="dxa"/>
            </w:tcMar>
          </w:tcPr>
          <w:p>
            <w:r>
              <w:rPr>
                <w:b/>
                <w:color w:val="FFFFFF"/>
                <w:sz w:val="18"/>
              </w:rPr>
              <w:t>Данные</w:t>
            </w:r>
          </w:p>
        </w:tc>
        <w:tc>
          <w:tcPr>
            <w:tcW w:type="dxa" w:w="3096"/>
            <w:shd w:fill="1F4E78"/>
            <w:vAlign w:val="center"/>
            <w:tcMar>
              <w:top w:w="100" w:type="dxa"/>
              <w:start w:w="120" w:type="dxa"/>
              <w:bottom w:w="100" w:type="dxa"/>
              <w:end w:w="120" w:type="dxa"/>
            </w:tcMar>
          </w:tcPr>
          <w:p>
            <w:r>
              <w:rPr>
                <w:b/>
                <w:color w:val="FFFFFF"/>
                <w:sz w:val="18"/>
              </w:rPr>
              <w:t>Что опровергает</w:t>
            </w:r>
          </w:p>
        </w:tc>
      </w:tr>
      <w:tr>
        <w:tc>
          <w:tcPr>
            <w:tcW w:type="dxa" w:w="936"/>
            <w:vAlign w:val="center"/>
            <w:tcMar>
              <w:top w:w="100" w:type="dxa"/>
              <w:start w:w="120" w:type="dxa"/>
              <w:bottom w:w="100" w:type="dxa"/>
              <w:end w:w="120" w:type="dxa"/>
            </w:tcMar>
          </w:tcPr>
          <w:p>
            <w:r>
              <w:rPr>
                <w:sz w:val="17"/>
              </w:rPr>
              <w:t>14.C</w:t>
            </w:r>
          </w:p>
        </w:tc>
        <w:tc>
          <w:tcPr>
            <w:tcW w:type="dxa" w:w="2232"/>
            <w:vAlign w:val="center"/>
            <w:tcMar>
              <w:top w:w="100" w:type="dxa"/>
              <w:start w:w="120" w:type="dxa"/>
              <w:bottom w:w="100" w:type="dxa"/>
              <w:end w:w="120" w:type="dxa"/>
            </w:tcMar>
          </w:tcPr>
          <w:p>
            <w:r>
              <w:rPr>
                <w:sz w:val="17"/>
              </w:rPr>
              <w:t>Одинаковая точка, разные нормы</w:t>
            </w:r>
          </w:p>
        </w:tc>
        <w:tc>
          <w:tcPr>
            <w:tcW w:type="dxa" w:w="3240"/>
            <w:vAlign w:val="center"/>
            <w:tcMar>
              <w:top w:w="100" w:type="dxa"/>
              <w:start w:w="120" w:type="dxa"/>
              <w:bottom w:w="100" w:type="dxa"/>
              <w:end w:w="120" w:type="dxa"/>
            </w:tcMar>
          </w:tcPr>
          <w:p>
            <w:r>
              <w:rPr>
                <w:sz w:val="17"/>
              </w:rPr>
              <w:t>o=(1,0), o′=(10⁶,0)</w:t>
            </w:r>
          </w:p>
        </w:tc>
        <w:tc>
          <w:tcPr>
            <w:tcW w:type="dxa" w:w="3096"/>
            <w:vAlign w:val="center"/>
            <w:tcMar>
              <w:top w:w="100" w:type="dxa"/>
              <w:start w:w="120" w:type="dxa"/>
              <w:bottom w:w="100" w:type="dxa"/>
              <w:end w:w="120" w:type="dxa"/>
            </w:tcMar>
          </w:tcPr>
          <w:p>
            <w:r>
              <w:rPr>
                <w:sz w:val="17"/>
              </w:rPr>
              <w:t>[o]=[o′], но количественный риск различен</w:t>
            </w:r>
          </w:p>
        </w:tc>
      </w:tr>
      <w:tr>
        <w:tc>
          <w:tcPr>
            <w:tcW w:type="dxa" w:w="936"/>
            <w:vAlign w:val="center"/>
            <w:tcMar>
              <w:top w:w="100" w:type="dxa"/>
              <w:start w:w="120" w:type="dxa"/>
              <w:bottom w:w="100" w:type="dxa"/>
              <w:end w:w="120" w:type="dxa"/>
            </w:tcMar>
            <w:shd w:fill="EAF1F8"/>
          </w:tcPr>
          <w:p>
            <w:r>
              <w:rPr>
                <w:sz w:val="17"/>
              </w:rPr>
              <w:t>14.D</w:t>
            </w:r>
          </w:p>
        </w:tc>
        <w:tc>
          <w:tcPr>
            <w:tcW w:type="dxa" w:w="2232"/>
            <w:vAlign w:val="center"/>
            <w:tcMar>
              <w:top w:w="100" w:type="dxa"/>
              <w:start w:w="120" w:type="dxa"/>
              <w:bottom w:w="100" w:type="dxa"/>
              <w:end w:w="120" w:type="dxa"/>
            </w:tcMar>
            <w:shd w:fill="EAF1F8"/>
          </w:tcPr>
          <w:p>
            <w:r>
              <w:rPr>
                <w:sz w:val="17"/>
              </w:rPr>
              <w:t>Одинаковая точка, противоположный знак</w:t>
            </w:r>
          </w:p>
        </w:tc>
        <w:tc>
          <w:tcPr>
            <w:tcW w:type="dxa" w:w="3240"/>
            <w:vAlign w:val="center"/>
            <w:tcMar>
              <w:top w:w="100" w:type="dxa"/>
              <w:start w:w="120" w:type="dxa"/>
              <w:bottom w:w="100" w:type="dxa"/>
              <w:end w:w="120" w:type="dxa"/>
            </w:tcMar>
            <w:shd w:fill="EAF1F8"/>
          </w:tcPr>
          <w:p>
            <w:r>
              <w:rPr>
                <w:sz w:val="17"/>
              </w:rPr>
              <w:t>o и -o над R</w:t>
            </w:r>
          </w:p>
        </w:tc>
        <w:tc>
          <w:tcPr>
            <w:tcW w:type="dxa" w:w="3096"/>
            <w:vAlign w:val="center"/>
            <w:tcMar>
              <w:top w:w="100" w:type="dxa"/>
              <w:start w:w="120" w:type="dxa"/>
              <w:bottom w:w="100" w:type="dxa"/>
              <w:end w:w="120" w:type="dxa"/>
            </w:tcMar>
            <w:shd w:fill="EAF1F8"/>
          </w:tcPr>
          <w:p>
            <w:r>
              <w:rPr>
                <w:sz w:val="17"/>
              </w:rPr>
              <w:t>projectivization уничтожает ориентацию</w:t>
            </w:r>
          </w:p>
        </w:tc>
      </w:tr>
      <w:tr>
        <w:tc>
          <w:tcPr>
            <w:tcW w:type="dxa" w:w="936"/>
            <w:vAlign w:val="center"/>
            <w:tcMar>
              <w:top w:w="100" w:type="dxa"/>
              <w:start w:w="120" w:type="dxa"/>
              <w:bottom w:w="100" w:type="dxa"/>
              <w:end w:w="120" w:type="dxa"/>
            </w:tcMar>
          </w:tcPr>
          <w:p>
            <w:r>
              <w:rPr>
                <w:sz w:val="17"/>
              </w:rPr>
              <w:t>14.E</w:t>
            </w:r>
          </w:p>
        </w:tc>
        <w:tc>
          <w:tcPr>
            <w:tcW w:type="dxa" w:w="2232"/>
            <w:vAlign w:val="center"/>
            <w:tcMar>
              <w:top w:w="100" w:type="dxa"/>
              <w:start w:w="120" w:type="dxa"/>
              <w:bottom w:w="100" w:type="dxa"/>
              <w:end w:w="120" w:type="dxa"/>
            </w:tcMar>
          </w:tcPr>
          <w:p>
            <w:r>
              <w:rPr>
                <w:sz w:val="17"/>
              </w:rPr>
              <w:t>Нулевой класс</w:t>
            </w:r>
          </w:p>
        </w:tc>
        <w:tc>
          <w:tcPr>
            <w:tcW w:type="dxa" w:w="3240"/>
            <w:vAlign w:val="center"/>
            <w:tcMar>
              <w:top w:w="100" w:type="dxa"/>
              <w:start w:w="120" w:type="dxa"/>
              <w:bottom w:w="100" w:type="dxa"/>
              <w:end w:w="120" w:type="dxa"/>
            </w:tcMar>
          </w:tcPr>
          <w:p>
            <w:r>
              <w:rPr>
                <w:sz w:val="17"/>
              </w:rPr>
              <w:t>o=0</w:t>
            </w:r>
          </w:p>
        </w:tc>
        <w:tc>
          <w:tcPr>
            <w:tcW w:type="dxa" w:w="3096"/>
            <w:vAlign w:val="center"/>
            <w:tcMar>
              <w:top w:w="100" w:type="dxa"/>
              <w:start w:w="120" w:type="dxa"/>
              <w:bottom w:w="100" w:type="dxa"/>
              <w:end w:w="120" w:type="dxa"/>
            </w:tcMar>
          </w:tcPr>
          <w:p>
            <w:r>
              <w:rPr>
                <w:sz w:val="17"/>
              </w:rPr>
              <w:t>P(o) не определено</w:t>
            </w:r>
          </w:p>
        </w:tc>
      </w:tr>
      <w:tr>
        <w:tc>
          <w:tcPr>
            <w:tcW w:type="dxa" w:w="936"/>
            <w:vAlign w:val="center"/>
            <w:tcMar>
              <w:top w:w="100" w:type="dxa"/>
              <w:start w:w="120" w:type="dxa"/>
              <w:bottom w:w="100" w:type="dxa"/>
              <w:end w:w="120" w:type="dxa"/>
            </w:tcMar>
            <w:shd w:fill="EAF1F8"/>
          </w:tcPr>
          <w:p>
            <w:r>
              <w:rPr>
                <w:sz w:val="17"/>
              </w:rPr>
              <w:t>14.F</w:t>
            </w:r>
          </w:p>
        </w:tc>
        <w:tc>
          <w:tcPr>
            <w:tcW w:type="dxa" w:w="2232"/>
            <w:vAlign w:val="center"/>
            <w:tcMar>
              <w:top w:w="100" w:type="dxa"/>
              <w:start w:w="120" w:type="dxa"/>
              <w:bottom w:w="100" w:type="dxa"/>
              <w:end w:w="120" w:type="dxa"/>
            </w:tcMar>
            <w:shd w:fill="EAF1F8"/>
          </w:tcPr>
          <w:p>
            <w:r>
              <w:rPr>
                <w:sz w:val="17"/>
              </w:rPr>
              <w:t>Карта с ядром</w:t>
            </w:r>
          </w:p>
        </w:tc>
        <w:tc>
          <w:tcPr>
            <w:tcW w:type="dxa" w:w="3240"/>
            <w:vAlign w:val="center"/>
            <w:tcMar>
              <w:top w:w="100" w:type="dxa"/>
              <w:start w:w="120" w:type="dxa"/>
              <w:bottom w:w="100" w:type="dxa"/>
              <w:end w:w="120" w:type="dxa"/>
            </w:tcMar>
            <w:shd w:fill="EAF1F8"/>
          </w:tcPr>
          <w:p>
            <w:r>
              <w:rPr>
                <w:sz w:val="17"/>
              </w:rPr>
              <w:t>f(x,y)=x</w:t>
            </w:r>
          </w:p>
        </w:tc>
        <w:tc>
          <w:tcPr>
            <w:tcW w:type="dxa" w:w="3096"/>
            <w:vAlign w:val="center"/>
            <w:tcMar>
              <w:top w:w="100" w:type="dxa"/>
              <w:start w:w="120" w:type="dxa"/>
              <w:bottom w:w="100" w:type="dxa"/>
              <w:end w:w="120" w:type="dxa"/>
            </w:tcMar>
            <w:shd w:fill="EAF1F8"/>
          </w:tcPr>
          <w:p>
            <w:r>
              <w:rPr>
                <w:sz w:val="17"/>
              </w:rPr>
              <w:t>P(f) не определено в [0:1]</w:t>
            </w:r>
          </w:p>
        </w:tc>
      </w:tr>
      <w:tr>
        <w:tc>
          <w:tcPr>
            <w:tcW w:type="dxa" w:w="936"/>
            <w:vAlign w:val="center"/>
            <w:tcMar>
              <w:top w:w="100" w:type="dxa"/>
              <w:start w:w="120" w:type="dxa"/>
              <w:bottom w:w="100" w:type="dxa"/>
              <w:end w:w="120" w:type="dxa"/>
            </w:tcMar>
          </w:tcPr>
          <w:p>
            <w:r>
              <w:rPr>
                <w:sz w:val="17"/>
              </w:rPr>
              <w:t>14.G</w:t>
            </w:r>
          </w:p>
        </w:tc>
        <w:tc>
          <w:tcPr>
            <w:tcW w:type="dxa" w:w="2232"/>
            <w:vAlign w:val="center"/>
            <w:tcMar>
              <w:top w:w="100" w:type="dxa"/>
              <w:start w:w="120" w:type="dxa"/>
              <w:bottom w:w="100" w:type="dxa"/>
              <w:end w:w="120" w:type="dxa"/>
            </w:tcMar>
          </w:tcPr>
          <w:p>
            <w:r>
              <w:rPr>
                <w:sz w:val="17"/>
              </w:rPr>
              <w:t>Локально, но не глобально</w:t>
            </w:r>
          </w:p>
        </w:tc>
        <w:tc>
          <w:tcPr>
            <w:tcW w:type="dxa" w:w="3240"/>
            <w:vAlign w:val="center"/>
            <w:tcMar>
              <w:top w:w="100" w:type="dxa"/>
              <w:start w:w="120" w:type="dxa"/>
              <w:bottom w:w="100" w:type="dxa"/>
              <w:end w:w="120" w:type="dxa"/>
            </w:tcMar>
          </w:tcPr>
          <w:p>
            <w:r>
              <w:rPr>
                <w:sz w:val="17"/>
              </w:rPr>
              <w:t>несогласованные φ_ij</w:t>
            </w:r>
          </w:p>
        </w:tc>
        <w:tc>
          <w:tcPr>
            <w:tcW w:type="dxa" w:w="3096"/>
            <w:vAlign w:val="center"/>
            <w:tcMar>
              <w:top w:w="100" w:type="dxa"/>
              <w:start w:w="120" w:type="dxa"/>
              <w:bottom w:w="100" w:type="dxa"/>
              <w:end w:w="120" w:type="dxa"/>
            </w:tcMar>
          </w:tcPr>
          <w:p>
            <w:r>
              <w:rPr>
                <w:sz w:val="17"/>
              </w:rPr>
              <w:t>projective charts не склеиваются</w:t>
            </w:r>
          </w:p>
        </w:tc>
      </w:tr>
      <w:tr>
        <w:tc>
          <w:tcPr>
            <w:tcW w:type="dxa" w:w="936"/>
            <w:vAlign w:val="center"/>
            <w:tcMar>
              <w:top w:w="100" w:type="dxa"/>
              <w:start w:w="120" w:type="dxa"/>
              <w:bottom w:w="100" w:type="dxa"/>
              <w:end w:w="120" w:type="dxa"/>
            </w:tcMar>
            <w:shd w:fill="EAF1F8"/>
          </w:tcPr>
          <w:p>
            <w:r>
              <w:rPr>
                <w:sz w:val="17"/>
              </w:rPr>
              <w:t>14.H</w:t>
            </w:r>
          </w:p>
        </w:tc>
        <w:tc>
          <w:tcPr>
            <w:tcW w:type="dxa" w:w="2232"/>
            <w:vAlign w:val="center"/>
            <w:tcMar>
              <w:top w:w="100" w:type="dxa"/>
              <w:start w:w="120" w:type="dxa"/>
              <w:bottom w:w="100" w:type="dxa"/>
              <w:end w:w="120" w:type="dxa"/>
            </w:tcMar>
            <w:shd w:fill="EAF1F8"/>
          </w:tcPr>
          <w:p>
            <w:r>
              <w:rPr>
                <w:sz w:val="17"/>
              </w:rPr>
              <w:t>Малая projective дистанция</w:t>
            </w:r>
          </w:p>
        </w:tc>
        <w:tc>
          <w:tcPr>
            <w:tcW w:type="dxa" w:w="3240"/>
            <w:vAlign w:val="center"/>
            <w:tcMar>
              <w:top w:w="100" w:type="dxa"/>
              <w:start w:w="120" w:type="dxa"/>
              <w:bottom w:w="100" w:type="dxa"/>
              <w:end w:w="120" w:type="dxa"/>
            </w:tcMar>
            <w:shd w:fill="EAF1F8"/>
          </w:tcPr>
          <w:p>
            <w:r>
              <w:rPr>
                <w:sz w:val="17"/>
              </w:rPr>
              <w:t>u_n=n e1, v_n=n e1+e2</w:t>
            </w:r>
          </w:p>
        </w:tc>
        <w:tc>
          <w:tcPr>
            <w:tcW w:type="dxa" w:w="3096"/>
            <w:vAlign w:val="center"/>
            <w:tcMar>
              <w:top w:w="100" w:type="dxa"/>
              <w:start w:w="120" w:type="dxa"/>
              <w:bottom w:w="100" w:type="dxa"/>
              <w:end w:w="120" w:type="dxa"/>
            </w:tcMar>
            <w:shd w:fill="EAF1F8"/>
          </w:tcPr>
          <w:p>
            <w:r>
              <w:rPr>
                <w:sz w:val="17"/>
              </w:rPr>
              <w:t>угол→0, но абсолютный дефект не исчезает</w:t>
            </w:r>
          </w:p>
        </w:tc>
      </w:tr>
      <w:tr>
        <w:tc>
          <w:tcPr>
            <w:tcW w:type="dxa" w:w="936"/>
            <w:vAlign w:val="center"/>
            <w:tcMar>
              <w:top w:w="100" w:type="dxa"/>
              <w:start w:w="120" w:type="dxa"/>
              <w:bottom w:w="100" w:type="dxa"/>
              <w:end w:w="120" w:type="dxa"/>
            </w:tcMar>
          </w:tcPr>
          <w:p>
            <w:r>
              <w:rPr>
                <w:sz w:val="17"/>
              </w:rPr>
              <w:t>14.I</w:t>
            </w:r>
          </w:p>
        </w:tc>
        <w:tc>
          <w:tcPr>
            <w:tcW w:type="dxa" w:w="2232"/>
            <w:vAlign w:val="center"/>
            <w:tcMar>
              <w:top w:w="100" w:type="dxa"/>
              <w:start w:w="120" w:type="dxa"/>
              <w:bottom w:w="100" w:type="dxa"/>
              <w:end w:w="120" w:type="dxa"/>
            </w:tcMar>
          </w:tcPr>
          <w:p>
            <w:r>
              <w:rPr>
                <w:sz w:val="17"/>
              </w:rPr>
              <w:t>λ без моста</w:t>
            </w:r>
          </w:p>
        </w:tc>
        <w:tc>
          <w:tcPr>
            <w:tcW w:type="dxa" w:w="3240"/>
            <w:vAlign w:val="center"/>
            <w:tcMar>
              <w:top w:w="100" w:type="dxa"/>
              <w:start w:w="120" w:type="dxa"/>
              <w:bottom w:w="100" w:type="dxa"/>
              <w:end w:w="120" w:type="dxa"/>
            </w:tcMar>
          </w:tcPr>
          <w:p>
            <w:r>
              <w:rPr>
                <w:sz w:val="17"/>
              </w:rPr>
              <w:t>одна [o], разные четверки функционалов</w:t>
            </w:r>
          </w:p>
        </w:tc>
        <w:tc>
          <w:tcPr>
            <w:tcW w:type="dxa" w:w="3096"/>
            <w:vAlign w:val="center"/>
            <w:tcMar>
              <w:top w:w="100" w:type="dxa"/>
              <w:start w:w="120" w:type="dxa"/>
              <w:bottom w:w="100" w:type="dxa"/>
              <w:end w:w="120" w:type="dxa"/>
            </w:tcMar>
          </w:tcPr>
          <w:p>
            <w:r>
              <w:rPr>
                <w:sz w:val="17"/>
              </w:rPr>
              <w:t>разные λ</w:t>
            </w:r>
          </w:p>
        </w:tc>
      </w:tr>
      <w:tr>
        <w:tc>
          <w:tcPr>
            <w:tcW w:type="dxa" w:w="936"/>
            <w:vAlign w:val="center"/>
            <w:tcMar>
              <w:top w:w="100" w:type="dxa"/>
              <w:start w:w="120" w:type="dxa"/>
              <w:bottom w:w="100" w:type="dxa"/>
              <w:end w:w="120" w:type="dxa"/>
            </w:tcMar>
            <w:shd w:fill="EAF1F8"/>
          </w:tcPr>
          <w:p>
            <w:r>
              <w:rPr>
                <w:sz w:val="17"/>
              </w:rPr>
              <w:t>14.J</w:t>
            </w:r>
          </w:p>
        </w:tc>
        <w:tc>
          <w:tcPr>
            <w:tcW w:type="dxa" w:w="2232"/>
            <w:vAlign w:val="center"/>
            <w:tcMar>
              <w:top w:w="100" w:type="dxa"/>
              <w:start w:w="120" w:type="dxa"/>
              <w:bottom w:w="100" w:type="dxa"/>
              <w:end w:w="120" w:type="dxa"/>
            </w:tcMar>
            <w:shd w:fill="EAF1F8"/>
          </w:tcPr>
          <w:p>
            <w:r>
              <w:rPr>
                <w:sz w:val="17"/>
              </w:rPr>
              <w:t>Положительный конус</w:t>
            </w:r>
          </w:p>
        </w:tc>
        <w:tc>
          <w:tcPr>
            <w:tcW w:type="dxa" w:w="3240"/>
            <w:vAlign w:val="center"/>
            <w:tcMar>
              <w:top w:w="100" w:type="dxa"/>
              <w:start w:w="120" w:type="dxa"/>
              <w:bottom w:w="100" w:type="dxa"/>
              <w:end w:w="120" w:type="dxa"/>
            </w:tcMar>
            <w:shd w:fill="EAF1F8"/>
          </w:tcPr>
          <w:p>
            <w:r>
              <w:rPr>
                <w:sz w:val="17"/>
              </w:rPr>
              <w:t>o и -o</w:t>
            </w:r>
          </w:p>
        </w:tc>
        <w:tc>
          <w:tcPr>
            <w:tcW w:type="dxa" w:w="3096"/>
            <w:vAlign w:val="center"/>
            <w:tcMar>
              <w:top w:w="100" w:type="dxa"/>
              <w:start w:w="120" w:type="dxa"/>
              <w:bottom w:w="100" w:type="dxa"/>
              <w:end w:w="120" w:type="dxa"/>
            </w:tcMar>
            <w:shd w:fill="EAF1F8"/>
          </w:tcPr>
          <w:p>
            <w:r>
              <w:rPr>
                <w:sz w:val="17"/>
              </w:rPr>
              <w:t>обычная P теряет order type</w:t>
            </w:r>
          </w:p>
        </w:tc>
      </w:tr>
    </w:tbl>
    <w:p/>
    <w:p>
      <w:pPr>
        <w:pStyle w:val="Heading1"/>
        <w:keepNext/>
      </w:pPr>
      <w:r>
        <w:t>126. Вычислительный сертификат PROJ-01-PROJ-18</w:t>
      </w:r>
    </w:p>
    <w:tbl>
      <w:tblPr>
        <w:tblStyle w:val="TableGrid"/>
        <w:tblW w:type="auto" w:w="0"/>
        <w:jc w:val="center"/>
        <w:tblLook w:firstColumn="1" w:firstRow="1" w:lastColumn="0" w:lastRow="0" w:noHBand="0" w:noVBand="1" w:val="04A0"/>
      </w:tblPr>
      <w:tblGrid>
        <w:gridCol w:w="4876"/>
        <w:gridCol w:w="4876"/>
      </w:tblGrid>
      <w:tr>
        <w:tc>
          <w:tcPr>
            <w:tcW w:type="dxa" w:w="1728"/>
            <w:shd w:fill="1F4E78"/>
            <w:vAlign w:val="center"/>
            <w:tcMar>
              <w:top w:w="100" w:type="dxa"/>
              <w:start w:w="120" w:type="dxa"/>
              <w:bottom w:w="100" w:type="dxa"/>
              <w:end w:w="120" w:type="dxa"/>
            </w:tcMar>
          </w:tcPr>
          <w:p>
            <w:r>
              <w:rPr>
                <w:b/>
                <w:color w:val="FFFFFF"/>
                <w:sz w:val="18"/>
              </w:rPr>
              <w:t>Шаг</w:t>
            </w:r>
          </w:p>
        </w:tc>
        <w:tc>
          <w:tcPr>
            <w:tcW w:type="dxa" w:w="8352"/>
            <w:shd w:fill="1F4E78"/>
            <w:vAlign w:val="center"/>
            <w:tcMar>
              <w:top w:w="100" w:type="dxa"/>
              <w:start w:w="120" w:type="dxa"/>
              <w:bottom w:w="100" w:type="dxa"/>
              <w:end w:w="120" w:type="dxa"/>
            </w:tcMar>
          </w:tcPr>
          <w:p>
            <w:r>
              <w:rPr>
                <w:b/>
                <w:color w:val="FFFFFF"/>
                <w:sz w:val="18"/>
              </w:rPr>
              <w:t>Проверка</w:t>
            </w:r>
          </w:p>
        </w:tc>
      </w:tr>
      <w:tr>
        <w:tc>
          <w:tcPr>
            <w:tcW w:type="dxa" w:w="1728"/>
            <w:vAlign w:val="center"/>
            <w:tcMar>
              <w:top w:w="100" w:type="dxa"/>
              <w:start w:w="120" w:type="dxa"/>
              <w:bottom w:w="100" w:type="dxa"/>
              <w:end w:w="120" w:type="dxa"/>
            </w:tcMar>
          </w:tcPr>
          <w:p>
            <w:r>
              <w:rPr>
                <w:sz w:val="17"/>
              </w:rPr>
              <w:t>PROJ-01</w:t>
            </w:r>
          </w:p>
        </w:tc>
        <w:tc>
          <w:tcPr>
            <w:tcW w:type="dxa" w:w="8352"/>
            <w:vAlign w:val="center"/>
            <w:tcMar>
              <w:top w:w="100" w:type="dxa"/>
              <w:start w:w="120" w:type="dxa"/>
              <w:bottom w:w="100" w:type="dxa"/>
              <w:end w:w="120" w:type="dxa"/>
            </w:tcMar>
          </w:tcPr>
          <w:p>
            <w:r>
              <w:rPr>
                <w:sz w:val="17"/>
              </w:rPr>
              <w:t>построить точный базис O_B и нулевой класс</w:t>
            </w:r>
          </w:p>
        </w:tc>
      </w:tr>
      <w:tr>
        <w:tc>
          <w:tcPr>
            <w:tcW w:type="dxa" w:w="1728"/>
            <w:vAlign w:val="center"/>
            <w:tcMar>
              <w:top w:w="100" w:type="dxa"/>
              <w:start w:w="120" w:type="dxa"/>
              <w:bottom w:w="100" w:type="dxa"/>
              <w:end w:w="120" w:type="dxa"/>
            </w:tcMar>
            <w:shd w:fill="EAF1F8"/>
          </w:tcPr>
          <w:p>
            <w:r>
              <w:rPr>
                <w:sz w:val="17"/>
              </w:rPr>
              <w:t>PROJ-02</w:t>
            </w:r>
          </w:p>
        </w:tc>
        <w:tc>
          <w:tcPr>
            <w:tcW w:type="dxa" w:w="8352"/>
            <w:vAlign w:val="center"/>
            <w:tcMar>
              <w:top w:w="100" w:type="dxa"/>
              <w:start w:w="120" w:type="dxa"/>
              <w:bottom w:w="100" w:type="dxa"/>
              <w:end w:w="120" w:type="dxa"/>
            </w:tcMar>
            <w:shd w:fill="EAF1F8"/>
          </w:tcPr>
          <w:p>
            <w:r>
              <w:rPr>
                <w:sz w:val="17"/>
              </w:rPr>
              <w:t>зафиксировать поле, метрику и group action</w:t>
            </w:r>
          </w:p>
        </w:tc>
      </w:tr>
      <w:tr>
        <w:tc>
          <w:tcPr>
            <w:tcW w:type="dxa" w:w="1728"/>
            <w:vAlign w:val="center"/>
            <w:tcMar>
              <w:top w:w="100" w:type="dxa"/>
              <w:start w:w="120" w:type="dxa"/>
              <w:bottom w:w="100" w:type="dxa"/>
              <w:end w:w="120" w:type="dxa"/>
            </w:tcMar>
          </w:tcPr>
          <w:p>
            <w:r>
              <w:rPr>
                <w:sz w:val="17"/>
              </w:rPr>
              <w:t>PROJ-03</w:t>
            </w:r>
          </w:p>
        </w:tc>
        <w:tc>
          <w:tcPr>
            <w:tcW w:type="dxa" w:w="8352"/>
            <w:vAlign w:val="center"/>
            <w:tcMar>
              <w:top w:w="100" w:type="dxa"/>
              <w:start w:w="120" w:type="dxa"/>
              <w:bottom w:w="100" w:type="dxa"/>
              <w:end w:w="120" w:type="dxa"/>
            </w:tcMar>
          </w:tcPr>
          <w:p>
            <w:r>
              <w:rPr>
                <w:sz w:val="17"/>
              </w:rPr>
              <w:t>проверить ненулевость представителя</w:t>
            </w:r>
          </w:p>
        </w:tc>
      </w:tr>
      <w:tr>
        <w:tc>
          <w:tcPr>
            <w:tcW w:type="dxa" w:w="1728"/>
            <w:vAlign w:val="center"/>
            <w:tcMar>
              <w:top w:w="100" w:type="dxa"/>
              <w:start w:w="120" w:type="dxa"/>
              <w:bottom w:w="100" w:type="dxa"/>
              <w:end w:w="120" w:type="dxa"/>
            </w:tcMar>
            <w:shd w:fill="EAF1F8"/>
          </w:tcPr>
          <w:p>
            <w:r>
              <w:rPr>
                <w:sz w:val="17"/>
              </w:rPr>
              <w:t>PROJ-04</w:t>
            </w:r>
          </w:p>
        </w:tc>
        <w:tc>
          <w:tcPr>
            <w:tcW w:type="dxa" w:w="8352"/>
            <w:vAlign w:val="center"/>
            <w:tcMar>
              <w:top w:w="100" w:type="dxa"/>
              <w:start w:w="120" w:type="dxa"/>
              <w:bottom w:w="100" w:type="dxa"/>
              <w:end w:w="120" w:type="dxa"/>
            </w:tcMar>
            <w:shd w:fill="EAF1F8"/>
          </w:tcPr>
          <w:p>
            <w:r>
              <w:rPr>
                <w:sz w:val="17"/>
              </w:rPr>
              <w:t>нормировать или выбрать positive ray</w:t>
            </w:r>
          </w:p>
        </w:tc>
      </w:tr>
      <w:tr>
        <w:tc>
          <w:tcPr>
            <w:tcW w:type="dxa" w:w="1728"/>
            <w:vAlign w:val="center"/>
            <w:tcMar>
              <w:top w:w="100" w:type="dxa"/>
              <w:start w:w="120" w:type="dxa"/>
              <w:bottom w:w="100" w:type="dxa"/>
              <w:end w:w="120" w:type="dxa"/>
            </w:tcMar>
          </w:tcPr>
          <w:p>
            <w:r>
              <w:rPr>
                <w:sz w:val="17"/>
              </w:rPr>
              <w:t>PROJ-05</w:t>
            </w:r>
          </w:p>
        </w:tc>
        <w:tc>
          <w:tcPr>
            <w:tcW w:type="dxa" w:w="8352"/>
            <w:vAlign w:val="center"/>
            <w:tcMar>
              <w:top w:w="100" w:type="dxa"/>
              <w:start w:w="120" w:type="dxa"/>
              <w:bottom w:w="100" w:type="dxa"/>
              <w:end w:w="120" w:type="dxa"/>
            </w:tcMar>
          </w:tcPr>
          <w:p>
            <w:r>
              <w:rPr>
                <w:sz w:val="17"/>
              </w:rPr>
              <w:t>построить projective coordinates</w:t>
            </w:r>
          </w:p>
        </w:tc>
      </w:tr>
      <w:tr>
        <w:tc>
          <w:tcPr>
            <w:tcW w:type="dxa" w:w="1728"/>
            <w:vAlign w:val="center"/>
            <w:tcMar>
              <w:top w:w="100" w:type="dxa"/>
              <w:start w:w="120" w:type="dxa"/>
              <w:bottom w:w="100" w:type="dxa"/>
              <w:end w:w="120" w:type="dxa"/>
            </w:tcMar>
            <w:shd w:fill="EAF1F8"/>
          </w:tcPr>
          <w:p>
            <w:r>
              <w:rPr>
                <w:sz w:val="17"/>
              </w:rPr>
              <w:t>PROJ-06</w:t>
            </w:r>
          </w:p>
        </w:tc>
        <w:tc>
          <w:tcPr>
            <w:tcW w:type="dxa" w:w="8352"/>
            <w:vAlign w:val="center"/>
            <w:tcMar>
              <w:top w:w="100" w:type="dxa"/>
              <w:start w:w="120" w:type="dxa"/>
              <w:bottom w:w="100" w:type="dxa"/>
              <w:end w:w="120" w:type="dxa"/>
            </w:tcMar>
            <w:shd w:fill="EAF1F8"/>
          </w:tcPr>
          <w:p>
            <w:r>
              <w:rPr>
                <w:sz w:val="17"/>
              </w:rPr>
              <w:t>проверить смену chart</w:t>
            </w:r>
          </w:p>
        </w:tc>
      </w:tr>
      <w:tr>
        <w:tc>
          <w:tcPr>
            <w:tcW w:type="dxa" w:w="1728"/>
            <w:vAlign w:val="center"/>
            <w:tcMar>
              <w:top w:w="100" w:type="dxa"/>
              <w:start w:w="120" w:type="dxa"/>
              <w:bottom w:w="100" w:type="dxa"/>
              <w:end w:w="120" w:type="dxa"/>
            </w:tcMar>
          </w:tcPr>
          <w:p>
            <w:r>
              <w:rPr>
                <w:sz w:val="17"/>
              </w:rPr>
              <w:t>PROJ-07</w:t>
            </w:r>
          </w:p>
        </w:tc>
        <w:tc>
          <w:tcPr>
            <w:tcW w:type="dxa" w:w="8352"/>
            <w:vAlign w:val="center"/>
            <w:tcMar>
              <w:top w:w="100" w:type="dxa"/>
              <w:start w:w="120" w:type="dxa"/>
              <w:bottom w:w="100" w:type="dxa"/>
              <w:end w:w="120" w:type="dxa"/>
            </w:tcMar>
          </w:tcPr>
          <w:p>
            <w:r>
              <w:rPr>
                <w:sz w:val="17"/>
              </w:rPr>
              <w:t>вычислить rank strata</w:t>
            </w:r>
          </w:p>
        </w:tc>
      </w:tr>
      <w:tr>
        <w:tc>
          <w:tcPr>
            <w:tcW w:type="dxa" w:w="1728"/>
            <w:vAlign w:val="center"/>
            <w:tcMar>
              <w:top w:w="100" w:type="dxa"/>
              <w:start w:w="120" w:type="dxa"/>
              <w:bottom w:w="100" w:type="dxa"/>
              <w:end w:w="120" w:type="dxa"/>
            </w:tcMar>
            <w:shd w:fill="EAF1F8"/>
          </w:tcPr>
          <w:p>
            <w:r>
              <w:rPr>
                <w:sz w:val="17"/>
              </w:rPr>
              <w:t>PROJ-08</w:t>
            </w:r>
          </w:p>
        </w:tc>
        <w:tc>
          <w:tcPr>
            <w:tcW w:type="dxa" w:w="8352"/>
            <w:vAlign w:val="center"/>
            <w:tcMar>
              <w:top w:w="100" w:type="dxa"/>
              <w:start w:w="120" w:type="dxa"/>
              <w:bottom w:w="100" w:type="dxa"/>
              <w:end w:w="120" w:type="dxa"/>
            </w:tcMar>
            <w:shd w:fill="EAF1F8"/>
          </w:tcPr>
          <w:p>
            <w:r>
              <w:rPr>
                <w:sz w:val="17"/>
              </w:rPr>
              <w:t>вычислить orbit stabilizers</w:t>
            </w:r>
          </w:p>
        </w:tc>
      </w:tr>
      <w:tr>
        <w:tc>
          <w:tcPr>
            <w:tcW w:type="dxa" w:w="1728"/>
            <w:vAlign w:val="center"/>
            <w:tcMar>
              <w:top w:w="100" w:type="dxa"/>
              <w:start w:w="120" w:type="dxa"/>
              <w:bottom w:w="100" w:type="dxa"/>
              <w:end w:w="120" w:type="dxa"/>
            </w:tcMar>
          </w:tcPr>
          <w:p>
            <w:r>
              <w:rPr>
                <w:sz w:val="17"/>
              </w:rPr>
              <w:t>PROJ-09</w:t>
            </w:r>
          </w:p>
        </w:tc>
        <w:tc>
          <w:tcPr>
            <w:tcW w:type="dxa" w:w="8352"/>
            <w:vAlign w:val="center"/>
            <w:tcMar>
              <w:top w:w="100" w:type="dxa"/>
              <w:start w:w="120" w:type="dxa"/>
              <w:bottom w:w="100" w:type="dxa"/>
              <w:end w:w="120" w:type="dxa"/>
            </w:tcMar>
          </w:tcPr>
          <w:p>
            <w:r>
              <w:rPr>
                <w:sz w:val="17"/>
              </w:rPr>
              <w:t>проверить homogeneity каждого инварианта</w:t>
            </w:r>
          </w:p>
        </w:tc>
      </w:tr>
      <w:tr>
        <w:tc>
          <w:tcPr>
            <w:tcW w:type="dxa" w:w="1728"/>
            <w:vAlign w:val="center"/>
            <w:tcMar>
              <w:top w:w="100" w:type="dxa"/>
              <w:start w:w="120" w:type="dxa"/>
              <w:bottom w:w="100" w:type="dxa"/>
              <w:end w:w="120" w:type="dxa"/>
            </w:tcMar>
            <w:shd w:fill="EAF1F8"/>
          </w:tcPr>
          <w:p>
            <w:r>
              <w:rPr>
                <w:sz w:val="17"/>
              </w:rPr>
              <w:t>PROJ-10</w:t>
            </w:r>
          </w:p>
        </w:tc>
        <w:tc>
          <w:tcPr>
            <w:tcW w:type="dxa" w:w="8352"/>
            <w:vAlign w:val="center"/>
            <w:tcMar>
              <w:top w:w="100" w:type="dxa"/>
              <w:start w:w="120" w:type="dxa"/>
              <w:bottom w:w="100" w:type="dxa"/>
              <w:end w:w="120" w:type="dxa"/>
            </w:tcMar>
            <w:shd w:fill="EAF1F8"/>
          </w:tcPr>
          <w:p>
            <w:r>
              <w:rPr>
                <w:sz w:val="17"/>
              </w:rPr>
              <w:t>построить ZERO/SCALE/SIGN ledger</w:t>
            </w:r>
          </w:p>
        </w:tc>
      </w:tr>
      <w:tr>
        <w:tc>
          <w:tcPr>
            <w:tcW w:type="dxa" w:w="1728"/>
            <w:vAlign w:val="center"/>
            <w:tcMar>
              <w:top w:w="100" w:type="dxa"/>
              <w:start w:w="120" w:type="dxa"/>
              <w:bottom w:w="100" w:type="dxa"/>
              <w:end w:w="120" w:type="dxa"/>
            </w:tcMar>
          </w:tcPr>
          <w:p>
            <w:r>
              <w:rPr>
                <w:sz w:val="17"/>
              </w:rPr>
              <w:t>PROJ-11</w:t>
            </w:r>
          </w:p>
        </w:tc>
        <w:tc>
          <w:tcPr>
            <w:tcW w:type="dxa" w:w="8352"/>
            <w:vAlign w:val="center"/>
            <w:tcMar>
              <w:top w:w="100" w:type="dxa"/>
              <w:start w:w="120" w:type="dxa"/>
              <w:bottom w:w="100" w:type="dxa"/>
              <w:end w:w="120" w:type="dxa"/>
            </w:tcMar>
          </w:tcPr>
          <w:p>
            <w:r>
              <w:rPr>
                <w:sz w:val="17"/>
              </w:rPr>
              <w:t>проверить provenance и Evidence-D</w:t>
            </w:r>
          </w:p>
        </w:tc>
      </w:tr>
      <w:tr>
        <w:tc>
          <w:tcPr>
            <w:tcW w:type="dxa" w:w="1728"/>
            <w:vAlign w:val="center"/>
            <w:tcMar>
              <w:top w:w="100" w:type="dxa"/>
              <w:start w:w="120" w:type="dxa"/>
              <w:bottom w:w="100" w:type="dxa"/>
              <w:end w:w="120" w:type="dxa"/>
            </w:tcMar>
            <w:shd w:fill="EAF1F8"/>
          </w:tcPr>
          <w:p>
            <w:r>
              <w:rPr>
                <w:sz w:val="17"/>
              </w:rPr>
              <w:t>PROJ-12</w:t>
            </w:r>
          </w:p>
        </w:tc>
        <w:tc>
          <w:tcPr>
            <w:tcW w:type="dxa" w:w="8352"/>
            <w:vAlign w:val="center"/>
            <w:tcMar>
              <w:top w:w="100" w:type="dxa"/>
              <w:start w:w="120" w:type="dxa"/>
              <w:bottom w:w="100" w:type="dxa"/>
              <w:end w:w="120" w:type="dxa"/>
            </w:tcMar>
            <w:shd w:fill="EAF1F8"/>
          </w:tcPr>
          <w:p>
            <w:r>
              <w:rPr>
                <w:sz w:val="17"/>
              </w:rPr>
              <w:t>проверить lift torsor data</w:t>
            </w:r>
          </w:p>
        </w:tc>
      </w:tr>
      <w:tr>
        <w:tc>
          <w:tcPr>
            <w:tcW w:type="dxa" w:w="1728"/>
            <w:vAlign w:val="center"/>
            <w:tcMar>
              <w:top w:w="100" w:type="dxa"/>
              <w:start w:w="120" w:type="dxa"/>
              <w:bottom w:w="100" w:type="dxa"/>
              <w:end w:w="120" w:type="dxa"/>
            </w:tcMar>
          </w:tcPr>
          <w:p>
            <w:r>
              <w:rPr>
                <w:sz w:val="17"/>
              </w:rPr>
              <w:t>PROJ-13</w:t>
            </w:r>
          </w:p>
        </w:tc>
        <w:tc>
          <w:tcPr>
            <w:tcW w:type="dxa" w:w="8352"/>
            <w:vAlign w:val="center"/>
            <w:tcMar>
              <w:top w:w="100" w:type="dxa"/>
              <w:start w:w="120" w:type="dxa"/>
              <w:bottom w:w="100" w:type="dxa"/>
              <w:end w:w="120" w:type="dxa"/>
            </w:tcMar>
          </w:tcPr>
          <w:p>
            <w:r>
              <w:rPr>
                <w:sz w:val="17"/>
              </w:rPr>
              <w:t>проверить local-to-global cocycle</w:t>
            </w:r>
          </w:p>
        </w:tc>
      </w:tr>
      <w:tr>
        <w:tc>
          <w:tcPr>
            <w:tcW w:type="dxa" w:w="1728"/>
            <w:vAlign w:val="center"/>
            <w:tcMar>
              <w:top w:w="100" w:type="dxa"/>
              <w:start w:w="120" w:type="dxa"/>
              <w:bottom w:w="100" w:type="dxa"/>
              <w:end w:w="120" w:type="dxa"/>
            </w:tcMar>
            <w:shd w:fill="EAF1F8"/>
          </w:tcPr>
          <w:p>
            <w:r>
              <w:rPr>
                <w:sz w:val="17"/>
              </w:rPr>
              <w:t>PROJ-14</w:t>
            </w:r>
          </w:p>
        </w:tc>
        <w:tc>
          <w:tcPr>
            <w:tcW w:type="dxa" w:w="8352"/>
            <w:vAlign w:val="center"/>
            <w:tcMar>
              <w:top w:w="100" w:type="dxa"/>
              <w:start w:w="120" w:type="dxa"/>
              <w:bottom w:w="100" w:type="dxa"/>
              <w:end w:w="120" w:type="dxa"/>
            </w:tcMar>
            <w:shd w:fill="EAF1F8"/>
          </w:tcPr>
          <w:p>
            <w:r>
              <w:rPr>
                <w:sz w:val="17"/>
              </w:rPr>
              <w:t>построить Δ_proj</w:t>
            </w:r>
          </w:p>
        </w:tc>
      </w:tr>
      <w:tr>
        <w:tc>
          <w:tcPr>
            <w:tcW w:type="dxa" w:w="1728"/>
            <w:vAlign w:val="center"/>
            <w:tcMar>
              <w:top w:w="100" w:type="dxa"/>
              <w:start w:w="120" w:type="dxa"/>
              <w:bottom w:w="100" w:type="dxa"/>
              <w:end w:w="120" w:type="dxa"/>
            </w:tcMar>
          </w:tcPr>
          <w:p>
            <w:r>
              <w:rPr>
                <w:sz w:val="17"/>
              </w:rPr>
              <w:t>PROJ-15</w:t>
            </w:r>
          </w:p>
        </w:tc>
        <w:tc>
          <w:tcPr>
            <w:tcW w:type="dxa" w:w="8352"/>
            <w:vAlign w:val="center"/>
            <w:tcMar>
              <w:top w:w="100" w:type="dxa"/>
              <w:start w:w="120" w:type="dxa"/>
              <w:bottom w:w="100" w:type="dxa"/>
              <w:end w:w="120" w:type="dxa"/>
            </w:tcMar>
          </w:tcPr>
          <w:p>
            <w:r>
              <w:rPr>
                <w:sz w:val="17"/>
              </w:rPr>
              <w:t>оценить projective distance и интервалы</w:t>
            </w:r>
          </w:p>
        </w:tc>
      </w:tr>
      <w:tr>
        <w:tc>
          <w:tcPr>
            <w:tcW w:type="dxa" w:w="1728"/>
            <w:vAlign w:val="center"/>
            <w:tcMar>
              <w:top w:w="100" w:type="dxa"/>
              <w:start w:w="120" w:type="dxa"/>
              <w:bottom w:w="100" w:type="dxa"/>
              <w:end w:w="120" w:type="dxa"/>
            </w:tcMar>
            <w:shd w:fill="EAF1F8"/>
          </w:tcPr>
          <w:p>
            <w:r>
              <w:rPr>
                <w:sz w:val="17"/>
              </w:rPr>
              <w:t>PROJ-16</w:t>
            </w:r>
          </w:p>
        </w:tc>
        <w:tc>
          <w:tcPr>
            <w:tcW w:type="dxa" w:w="8352"/>
            <w:vAlign w:val="center"/>
            <w:tcMar>
              <w:top w:w="100" w:type="dxa"/>
              <w:start w:w="120" w:type="dxa"/>
              <w:bottom w:w="100" w:type="dxa"/>
              <w:end w:w="120" w:type="dxa"/>
            </w:tcMar>
            <w:shd w:fill="EAF1F8"/>
          </w:tcPr>
          <w:p>
            <w:r>
              <w:rPr>
                <w:sz w:val="17"/>
              </w:rPr>
              <w:t>проверить χ_λ и его полюса</w:t>
            </w:r>
          </w:p>
        </w:tc>
      </w:tr>
      <w:tr>
        <w:tc>
          <w:tcPr>
            <w:tcW w:type="dxa" w:w="1728"/>
            <w:vAlign w:val="center"/>
            <w:tcMar>
              <w:top w:w="100" w:type="dxa"/>
              <w:start w:w="120" w:type="dxa"/>
              <w:bottom w:w="100" w:type="dxa"/>
              <w:end w:w="120" w:type="dxa"/>
            </w:tcMar>
          </w:tcPr>
          <w:p>
            <w:r>
              <w:rPr>
                <w:sz w:val="17"/>
              </w:rPr>
              <w:t>PROJ-17</w:t>
            </w:r>
          </w:p>
        </w:tc>
        <w:tc>
          <w:tcPr>
            <w:tcW w:type="dxa" w:w="8352"/>
            <w:vAlign w:val="center"/>
            <w:tcMar>
              <w:top w:w="100" w:type="dxa"/>
              <w:start w:w="120" w:type="dxa"/>
              <w:bottom w:w="100" w:type="dxa"/>
              <w:end w:w="120" w:type="dxa"/>
            </w:tcMar>
          </w:tcPr>
          <w:p>
            <w:r>
              <w:rPr>
                <w:sz w:val="17"/>
              </w:rPr>
              <w:t>выдать blocker-safe verdict</w:t>
            </w:r>
          </w:p>
        </w:tc>
      </w:tr>
      <w:tr>
        <w:tc>
          <w:tcPr>
            <w:tcW w:type="dxa" w:w="1728"/>
            <w:vAlign w:val="center"/>
            <w:tcMar>
              <w:top w:w="100" w:type="dxa"/>
              <w:start w:w="120" w:type="dxa"/>
              <w:bottom w:w="100" w:type="dxa"/>
              <w:end w:w="120" w:type="dxa"/>
            </w:tcMar>
            <w:shd w:fill="EAF1F8"/>
          </w:tcPr>
          <w:p>
            <w:r>
              <w:rPr>
                <w:sz w:val="17"/>
              </w:rPr>
              <w:t>PROJ-18</w:t>
            </w:r>
          </w:p>
        </w:tc>
        <w:tc>
          <w:tcPr>
            <w:tcW w:type="dxa" w:w="8352"/>
            <w:vAlign w:val="center"/>
            <w:tcMar>
              <w:top w:w="100" w:type="dxa"/>
              <w:start w:w="120" w:type="dxa"/>
              <w:bottom w:w="100" w:type="dxa"/>
              <w:end w:w="120" w:type="dxa"/>
            </w:tcMar>
            <w:shd w:fill="EAF1F8"/>
          </w:tcPr>
          <w:p>
            <w:r>
              <w:rPr>
                <w:sz w:val="17"/>
              </w:rPr>
              <w:t>сохранить версии, хеши и машинный журнал</w:t>
            </w:r>
          </w:p>
        </w:tc>
      </w:tr>
    </w:tbl>
    <w:p/>
    <w:p>
      <w:pPr>
        <w:pStyle w:val="Heading2"/>
        <w:keepNext/>
      </w:pPr>
      <w:r>
        <w:t>126.1. Псевдокод</w:t>
      </w:r>
    </w:p>
    <w:p>
      <w:pPr>
        <w:pStyle w:val="Quote"/>
      </w:pPr>
      <w:r>
        <w:t>INPUT exact obstruction space O_B, representative o, model data A,G, D/Dom</w:t>
        <w:br/>
        <w:t>CHECK o==0 -&gt; ZERO-OBSTRUCTION (do not projectivize)</w:t>
        <w:br/>
        <w:t>CHECK field and allowed scalar group Kx or R_{&gt;0}</w:t>
        <w:br/>
        <w:t>BUILD projective class [o] and chart atlas</w:t>
        <w:br/>
        <w:t>VERIFY homogeneity of rank/orbit/support invariants</w:t>
        <w:br/>
        <w:t>COMPUTE strata and distance-to-horizon</w:t>
        <w:br/>
        <w:t>CHECK provenance, lift torsor, gluing and lambda bridge</w:t>
        <w:br/>
        <w:t>IF any blocker: ABSTAIN</w:t>
        <w:br/>
        <w:t>ELSE IF interval avoids Delta_proj: NO-PROJECTIVE-TYPE-TRANSITION-IN-MODEL</w:t>
        <w:br/>
        <w:t>ELSE: CANDIDATE-PROJECTIVE-TRANSITION</w:t>
        <w:br/>
        <w:t>STORE hashes and information-loss ledger</w:t>
      </w:r>
    </w:p>
    <w:p>
      <w:pPr>
        <w:pStyle w:val="Heading1"/>
        <w:keepNext/>
      </w:pPr>
      <w:r>
        <w:t>127. Главная условная теорема T2-RP-v0.11</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14.8. PROJECTIVE OBSTRUCTION-SAFE PREDICTION</w:t>
            </w:r>
          </w:p>
          <w:p>
            <w:pPr>
              <w:spacing w:after="0"/>
            </w:pPr>
            <w:r>
              <w:rPr>
                <w:sz w:val="19"/>
              </w:rPr>
              <w:t>Пусть задано конечномерное регулярное семейство NAPG-кадров N_t, непрерывный obstruction section o_t, projective atlas, однородные rank/orbit invariants, effective descent, валидные D/Dom и воспроизводимый сертификат PROJ. Если путь не пересекает Δ_proj и остаётся отделённым от нулевой секции и chart poles, то сертифицированный projective obstruction type не изменяется. Следовательно, структурный переход, требующий смены этого типа, невозможен внутри модели. Пересечение горизонта даёт только кандидата.</w:t>
            </w:r>
          </w:p>
        </w:tc>
      </w:tr>
    </w:tbl>
    <w:p/>
    <w:p>
      <w:pPr>
        <w:pStyle w:val="Quote"/>
        <w:jc w:val="center"/>
      </w:pPr>
      <w:r>
        <w:rPr>
          <w:rFonts w:ascii="Cambria Math" w:hAnsi="Cambria Math"/>
          <w:sz w:val="22"/>
        </w:rPr>
        <w:t>P_proj(t)=([o_t], S_rank(t), S_orbit(t), Dom_t, Glue_t).</w:t>
      </w:r>
      <w:r>
        <w:t xml:space="preserve">    (14.19)</w:t>
      </w:r>
    </w:p>
    <w:p>
      <w:pPr>
        <w:pStyle w:val="Quote"/>
        <w:jc w:val="center"/>
      </w:pPr>
      <w:r>
        <w:rPr>
          <w:rFonts w:ascii="Cambria Math" w:hAnsi="Cambria Math"/>
          <w:sz w:val="22"/>
        </w:rPr>
        <w:t>I∩Δ_proj=∅ ⇒ type(P_proj(t))=const on I.</w:t>
      </w:r>
      <w:r>
        <w:t xml:space="preserve">    (14.20)</w:t>
      </w:r>
    </w:p>
    <w:p>
      <w:r>
        <w:t>Теорема является условной и конечномерной. Она не утверждает существование физического времени t, причинного механизма, вероятности перехода или экспериментального эффекта.</w:t>
      </w:r>
    </w:p>
    <w:p>
      <w:pPr>
        <w:pStyle w:val="Heading1"/>
        <w:keepNext/>
      </w:pPr>
      <w:r>
        <w:t>128. Blocker-safe вывод</w:t>
      </w:r>
    </w:p>
    <w:p>
      <w:pPr>
        <w:pStyle w:val="Quote"/>
        <w:jc w:val="center"/>
      </w:pPr>
      <w:r>
        <w:rPr>
          <w:rFonts w:ascii="Cambria Math" w:hAnsi="Cambria Math"/>
          <w:sz w:val="22"/>
        </w:rPr>
        <w:t>Block_proj = B_zero ∪ B_scale ∪ B_sign ∪ B_chart ∪ B_hom ∪ B_glue ∪ B_D ∪ B_Dom ∪ B_lift ∪ B_ind.</w:t>
      </w:r>
      <w:r>
        <w:t xml:space="preserve">    (14.21)</w:t>
      </w:r>
    </w:p>
    <w:tbl>
      <w:tblPr>
        <w:tblStyle w:val="TableGrid"/>
        <w:tblW w:type="auto" w:w="0"/>
        <w:jc w:val="center"/>
        <w:tblLook w:firstColumn="1" w:firstRow="1" w:lastColumn="0" w:lastRow="0" w:noHBand="0" w:noVBand="1" w:val="04A0"/>
      </w:tblPr>
      <w:tblGrid>
        <w:gridCol w:w="3251"/>
        <w:gridCol w:w="3251"/>
        <w:gridCol w:w="3251"/>
      </w:tblGrid>
      <w:tr>
        <w:tc>
          <w:tcPr>
            <w:tcW w:type="dxa" w:w="2880"/>
            <w:shd w:fill="1F4E78"/>
            <w:vAlign w:val="center"/>
            <w:tcMar>
              <w:top w:w="100" w:type="dxa"/>
              <w:start w:w="120" w:type="dxa"/>
              <w:bottom w:w="100" w:type="dxa"/>
              <w:end w:w="120" w:type="dxa"/>
            </w:tcMar>
          </w:tcPr>
          <w:p>
            <w:r>
              <w:rPr>
                <w:b/>
                <w:color w:val="FFFFFF"/>
                <w:sz w:val="18"/>
              </w:rPr>
              <w:t>Выход</w:t>
            </w:r>
          </w:p>
        </w:tc>
        <w:tc>
          <w:tcPr>
            <w:tcW w:type="dxa" w:w="4032"/>
            <w:shd w:fill="1F4E78"/>
            <w:vAlign w:val="center"/>
            <w:tcMar>
              <w:top w:w="100" w:type="dxa"/>
              <w:start w:w="120" w:type="dxa"/>
              <w:bottom w:w="100" w:type="dxa"/>
              <w:end w:w="120" w:type="dxa"/>
            </w:tcMar>
          </w:tcPr>
          <w:p>
            <w:r>
              <w:rPr>
                <w:b/>
                <w:color w:val="FFFFFF"/>
                <w:sz w:val="18"/>
              </w:rPr>
              <w:t>Необходимое условие</w:t>
            </w:r>
          </w:p>
        </w:tc>
        <w:tc>
          <w:tcPr>
            <w:tcW w:type="dxa" w:w="3168"/>
            <w:shd w:fill="1F4E78"/>
            <w:vAlign w:val="center"/>
            <w:tcMar>
              <w:top w:w="100" w:type="dxa"/>
              <w:start w:w="120" w:type="dxa"/>
              <w:bottom w:w="100" w:type="dxa"/>
              <w:end w:w="120" w:type="dxa"/>
            </w:tcMar>
          </w:tcPr>
          <w:p>
            <w:r>
              <w:rPr>
                <w:b/>
                <w:color w:val="FFFFFF"/>
                <w:sz w:val="18"/>
              </w:rPr>
              <w:t>Допустимая интерпретация</w:t>
            </w:r>
          </w:p>
        </w:tc>
      </w:tr>
      <w:tr>
        <w:tc>
          <w:tcPr>
            <w:tcW w:type="dxa" w:w="2880"/>
            <w:vAlign w:val="center"/>
            <w:tcMar>
              <w:top w:w="100" w:type="dxa"/>
              <w:start w:w="120" w:type="dxa"/>
              <w:bottom w:w="100" w:type="dxa"/>
              <w:end w:w="120" w:type="dxa"/>
            </w:tcMar>
          </w:tcPr>
          <w:p>
            <w:r>
              <w:rPr>
                <w:sz w:val="17"/>
              </w:rPr>
              <w:t>NO-PROJECTIVE-TYPE-TRANSITION-IN-MODEL</w:t>
            </w:r>
          </w:p>
        </w:tc>
        <w:tc>
          <w:tcPr>
            <w:tcW w:type="dxa" w:w="4032"/>
            <w:vAlign w:val="center"/>
            <w:tcMar>
              <w:top w:w="100" w:type="dxa"/>
              <w:start w:w="120" w:type="dxa"/>
              <w:bottom w:w="100" w:type="dxa"/>
              <w:end w:w="120" w:type="dxa"/>
            </w:tcMar>
          </w:tcPr>
          <w:p>
            <w:r>
              <w:rPr>
                <w:sz w:val="17"/>
              </w:rPr>
              <w:t>I∩Δ_proj=∅ и blockers=∅</w:t>
            </w:r>
          </w:p>
        </w:tc>
        <w:tc>
          <w:tcPr>
            <w:tcW w:type="dxa" w:w="3168"/>
            <w:vAlign w:val="center"/>
            <w:tcMar>
              <w:top w:w="100" w:type="dxa"/>
              <w:start w:w="120" w:type="dxa"/>
              <w:bottom w:w="100" w:type="dxa"/>
              <w:end w:w="120" w:type="dxa"/>
            </w:tcMar>
          </w:tcPr>
          <w:p>
            <w:r>
              <w:rPr>
                <w:sz w:val="17"/>
              </w:rPr>
              <w:t>отрицательный структурный прогноз</w:t>
            </w:r>
          </w:p>
        </w:tc>
      </w:tr>
      <w:tr>
        <w:tc>
          <w:tcPr>
            <w:tcW w:type="dxa" w:w="2880"/>
            <w:vAlign w:val="center"/>
            <w:tcMar>
              <w:top w:w="100" w:type="dxa"/>
              <w:start w:w="120" w:type="dxa"/>
              <w:bottom w:w="100" w:type="dxa"/>
              <w:end w:w="120" w:type="dxa"/>
            </w:tcMar>
            <w:shd w:fill="EAF1F8"/>
          </w:tcPr>
          <w:p>
            <w:r>
              <w:rPr>
                <w:sz w:val="17"/>
              </w:rPr>
              <w:t>CANDIDATE-PROJECTIVE-TRANSITION</w:t>
            </w:r>
          </w:p>
        </w:tc>
        <w:tc>
          <w:tcPr>
            <w:tcW w:type="dxa" w:w="4032"/>
            <w:vAlign w:val="center"/>
            <w:tcMar>
              <w:top w:w="100" w:type="dxa"/>
              <w:start w:w="120" w:type="dxa"/>
              <w:bottom w:w="100" w:type="dxa"/>
              <w:end w:w="120" w:type="dxa"/>
            </w:tcMar>
            <w:shd w:fill="EAF1F8"/>
          </w:tcPr>
          <w:p>
            <w:r>
              <w:rPr>
                <w:sz w:val="17"/>
              </w:rPr>
              <w:t>I∩Δ_proj≠∅ и blockers=∅</w:t>
            </w:r>
          </w:p>
        </w:tc>
        <w:tc>
          <w:tcPr>
            <w:tcW w:type="dxa" w:w="3168"/>
            <w:vAlign w:val="center"/>
            <w:tcMar>
              <w:top w:w="100" w:type="dxa"/>
              <w:start w:w="120" w:type="dxa"/>
              <w:bottom w:w="100" w:type="dxa"/>
              <w:end w:w="120" w:type="dxa"/>
            </w:tcMar>
            <w:shd w:fill="EAF1F8"/>
          </w:tcPr>
          <w:p>
            <w:r>
              <w:rPr>
                <w:sz w:val="17"/>
              </w:rPr>
              <w:t>точка дальнейшей проверки</w:t>
            </w:r>
          </w:p>
        </w:tc>
      </w:tr>
      <w:tr>
        <w:tc>
          <w:tcPr>
            <w:tcW w:type="dxa" w:w="2880"/>
            <w:vAlign w:val="center"/>
            <w:tcMar>
              <w:top w:w="100" w:type="dxa"/>
              <w:start w:w="120" w:type="dxa"/>
              <w:bottom w:w="100" w:type="dxa"/>
              <w:end w:w="120" w:type="dxa"/>
            </w:tcMar>
          </w:tcPr>
          <w:p>
            <w:r>
              <w:rPr>
                <w:sz w:val="17"/>
              </w:rPr>
              <w:t>ZERO-INTERNAL-OBSTRUCTION</w:t>
            </w:r>
          </w:p>
        </w:tc>
        <w:tc>
          <w:tcPr>
            <w:tcW w:type="dxa" w:w="4032"/>
            <w:vAlign w:val="center"/>
            <w:tcMar>
              <w:top w:w="100" w:type="dxa"/>
              <w:start w:w="120" w:type="dxa"/>
              <w:bottom w:w="100" w:type="dxa"/>
              <w:end w:w="120" w:type="dxa"/>
            </w:tcMar>
          </w:tcPr>
          <w:p>
            <w:r>
              <w:rPr>
                <w:sz w:val="17"/>
              </w:rPr>
              <w:t>o=0 точно</w:t>
            </w:r>
          </w:p>
        </w:tc>
        <w:tc>
          <w:tcPr>
            <w:tcW w:type="dxa" w:w="3168"/>
            <w:vAlign w:val="center"/>
            <w:tcMar>
              <w:top w:w="100" w:type="dxa"/>
              <w:start w:w="120" w:type="dxa"/>
              <w:bottom w:w="100" w:type="dxa"/>
              <w:end w:w="120" w:type="dxa"/>
            </w:tcMar>
          </w:tcPr>
          <w:p>
            <w:r>
              <w:rPr>
                <w:sz w:val="17"/>
              </w:rPr>
              <w:t>исчезновение данного внутреннего класса</w:t>
            </w:r>
          </w:p>
        </w:tc>
      </w:tr>
      <w:tr>
        <w:tc>
          <w:tcPr>
            <w:tcW w:type="dxa" w:w="2880"/>
            <w:vAlign w:val="center"/>
            <w:tcMar>
              <w:top w:w="100" w:type="dxa"/>
              <w:start w:w="120" w:type="dxa"/>
              <w:bottom w:w="100" w:type="dxa"/>
              <w:end w:w="120" w:type="dxa"/>
            </w:tcMar>
            <w:shd w:fill="EAF1F8"/>
          </w:tcPr>
          <w:p>
            <w:r>
              <w:rPr>
                <w:sz w:val="17"/>
              </w:rPr>
              <w:t>ABSTAIN</w:t>
            </w:r>
          </w:p>
        </w:tc>
        <w:tc>
          <w:tcPr>
            <w:tcW w:type="dxa" w:w="4032"/>
            <w:vAlign w:val="center"/>
            <w:tcMar>
              <w:top w:w="100" w:type="dxa"/>
              <w:start w:w="120" w:type="dxa"/>
              <w:bottom w:w="100" w:type="dxa"/>
              <w:end w:w="120" w:type="dxa"/>
            </w:tcMar>
            <w:shd w:fill="EAF1F8"/>
          </w:tcPr>
          <w:p>
            <w:r>
              <w:rPr>
                <w:sz w:val="17"/>
              </w:rPr>
              <w:t>хотя бы один blocker</w:t>
            </w:r>
          </w:p>
        </w:tc>
        <w:tc>
          <w:tcPr>
            <w:tcW w:type="dxa" w:w="3168"/>
            <w:vAlign w:val="center"/>
            <w:tcMar>
              <w:top w:w="100" w:type="dxa"/>
              <w:start w:w="120" w:type="dxa"/>
              <w:bottom w:w="100" w:type="dxa"/>
              <w:end w:w="120" w:type="dxa"/>
            </w:tcMar>
            <w:shd w:fill="EAF1F8"/>
          </w:tcPr>
          <w:p>
            <w:r>
              <w:rPr>
                <w:sz w:val="17"/>
              </w:rPr>
              <w:t>вывод запрещён</w:t>
            </w:r>
          </w:p>
        </w:tc>
      </w:tr>
    </w:tbl>
    <w:p/>
    <w:p>
      <w:pPr>
        <w:pStyle w:val="Heading1"/>
        <w:keepNext/>
      </w:pPr>
      <w:r>
        <w:t>129. Доказательные обязательства T2-PO-126-T2-PO-145</w:t>
      </w:r>
    </w:p>
    <w:tbl>
      <w:tblPr>
        <w:tblStyle w:val="TableGrid"/>
        <w:tblW w:type="auto" w:w="0"/>
        <w:jc w:val="center"/>
        <w:tblLook w:firstColumn="1" w:firstRow="1" w:lastColumn="0" w:lastRow="0" w:noHBand="0" w:noVBand="1" w:val="04A0"/>
      </w:tblPr>
      <w:tblGrid>
        <w:gridCol w:w="3251"/>
        <w:gridCol w:w="3251"/>
        <w:gridCol w:w="3251"/>
      </w:tblGrid>
      <w:tr>
        <w:tc>
          <w:tcPr>
            <w:tcW w:type="dxa" w:w="1656"/>
            <w:shd w:fill="1F4E78"/>
            <w:vAlign w:val="center"/>
            <w:tcMar>
              <w:top w:w="100" w:type="dxa"/>
              <w:start w:w="120" w:type="dxa"/>
              <w:bottom w:w="100" w:type="dxa"/>
              <w:end w:w="120" w:type="dxa"/>
            </w:tcMar>
          </w:tcPr>
          <w:p>
            <w:r>
              <w:rPr>
                <w:b/>
                <w:color w:val="FFFFFF"/>
                <w:sz w:val="18"/>
              </w:rPr>
              <w:t>PO</w:t>
            </w:r>
          </w:p>
        </w:tc>
        <w:tc>
          <w:tcPr>
            <w:tcW w:type="dxa" w:w="6552"/>
            <w:shd w:fill="1F4E78"/>
            <w:vAlign w:val="center"/>
            <w:tcMar>
              <w:top w:w="100" w:type="dxa"/>
              <w:start w:w="120" w:type="dxa"/>
              <w:bottom w:w="100" w:type="dxa"/>
              <w:end w:w="120" w:type="dxa"/>
            </w:tcMar>
          </w:tcPr>
          <w:p>
            <w:r>
              <w:rPr>
                <w:b/>
                <w:color w:val="FFFFFF"/>
                <w:sz w:val="18"/>
              </w:rPr>
              <w:t>Обязательство</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T2-PO-126</w:t>
            </w:r>
          </w:p>
        </w:tc>
        <w:tc>
          <w:tcPr>
            <w:tcW w:type="dxa" w:w="6552"/>
            <w:vAlign w:val="center"/>
            <w:tcMar>
              <w:top w:w="100" w:type="dxa"/>
              <w:start w:w="120" w:type="dxa"/>
              <w:bottom w:w="100" w:type="dxa"/>
              <w:end w:w="120" w:type="dxa"/>
            </w:tcMar>
          </w:tcPr>
          <w:p>
            <w:r>
              <w:rPr>
                <w:sz w:val="17"/>
              </w:rPr>
              <w:t>корректность P(O_B) на O_B\{0}</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T2-PO-127</w:t>
            </w:r>
          </w:p>
        </w:tc>
        <w:tc>
          <w:tcPr>
            <w:tcW w:type="dxa" w:w="6552"/>
            <w:vAlign w:val="center"/>
            <w:tcMar>
              <w:top w:w="100" w:type="dxa"/>
              <w:start w:w="120" w:type="dxa"/>
              <w:bottom w:w="100" w:type="dxa"/>
              <w:end w:w="120" w:type="dxa"/>
            </w:tcMar>
            <w:shd w:fill="EAF1F8"/>
          </w:tcPr>
          <w:p>
            <w:r>
              <w:rPr>
                <w:sz w:val="17"/>
              </w:rPr>
              <w:t>частичная функториальность P(f)</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T2-PO-128</w:t>
            </w:r>
          </w:p>
        </w:tc>
        <w:tc>
          <w:tcPr>
            <w:tcW w:type="dxa" w:w="6552"/>
            <w:vAlign w:val="center"/>
            <w:tcMar>
              <w:top w:w="100" w:type="dxa"/>
              <w:start w:w="120" w:type="dxa"/>
              <w:bottom w:w="100" w:type="dxa"/>
              <w:end w:w="120" w:type="dxa"/>
            </w:tcMar>
          </w:tcPr>
          <w:p>
            <w:r>
              <w:rPr>
                <w:sz w:val="17"/>
              </w:rPr>
              <w:t>no-go естественного выбора представителя</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T2-PO-129</w:t>
            </w:r>
          </w:p>
        </w:tc>
        <w:tc>
          <w:tcPr>
            <w:tcW w:type="dxa" w:w="6552"/>
            <w:vAlign w:val="center"/>
            <w:tcMar>
              <w:top w:w="100" w:type="dxa"/>
              <w:start w:w="120" w:type="dxa"/>
              <w:bottom w:w="100" w:type="dxa"/>
              <w:end w:w="120" w:type="dxa"/>
            </w:tcMar>
            <w:shd w:fill="EAF1F8"/>
          </w:tcPr>
          <w:p>
            <w:r>
              <w:rPr>
                <w:sz w:val="17"/>
              </w:rPr>
              <w:t>точный information-loss ledger</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T2-PO-130</w:t>
            </w:r>
          </w:p>
        </w:tc>
        <w:tc>
          <w:tcPr>
            <w:tcW w:type="dxa" w:w="6552"/>
            <w:vAlign w:val="center"/>
            <w:tcMar>
              <w:top w:w="100" w:type="dxa"/>
              <w:start w:w="120" w:type="dxa"/>
              <w:bottom w:w="100" w:type="dxa"/>
              <w:end w:w="120" w:type="dxa"/>
            </w:tcMar>
          </w:tcPr>
          <w:p>
            <w:r>
              <w:rPr>
                <w:sz w:val="17"/>
              </w:rPr>
              <w:t>сферическая/ориентированная модель</w:t>
            </w:r>
          </w:p>
        </w:tc>
        <w:tc>
          <w:tcPr>
            <w:tcW w:type="dxa" w:w="1800"/>
            <w:vAlign w:val="center"/>
            <w:tcMar>
              <w:top w:w="100" w:type="dxa"/>
              <w:start w:w="120" w:type="dxa"/>
              <w:bottom w:w="100" w:type="dxa"/>
              <w:end w:w="120" w:type="dxa"/>
            </w:tcMar>
          </w:tcPr>
          <w:p>
            <w:r>
              <w:rPr>
                <w:sz w:val="17"/>
              </w:rPr>
              <w:t>CLOSED finite-dim</w:t>
            </w:r>
          </w:p>
        </w:tc>
      </w:tr>
      <w:tr>
        <w:tc>
          <w:tcPr>
            <w:tcW w:type="dxa" w:w="1656"/>
            <w:vAlign w:val="center"/>
            <w:tcMar>
              <w:top w:w="100" w:type="dxa"/>
              <w:start w:w="120" w:type="dxa"/>
              <w:bottom w:w="100" w:type="dxa"/>
              <w:end w:w="120" w:type="dxa"/>
            </w:tcMar>
            <w:shd w:fill="EAF1F8"/>
          </w:tcPr>
          <w:p>
            <w:r>
              <w:rPr>
                <w:sz w:val="17"/>
              </w:rPr>
              <w:t>T2-PO-131</w:t>
            </w:r>
          </w:p>
        </w:tc>
        <w:tc>
          <w:tcPr>
            <w:tcW w:type="dxa" w:w="6552"/>
            <w:vAlign w:val="center"/>
            <w:tcMar>
              <w:top w:w="100" w:type="dxa"/>
              <w:start w:w="120" w:type="dxa"/>
              <w:bottom w:w="100" w:type="dxa"/>
              <w:end w:w="120" w:type="dxa"/>
            </w:tcMar>
            <w:shd w:fill="EAF1F8"/>
          </w:tcPr>
          <w:p>
            <w:r>
              <w:rPr>
                <w:sz w:val="17"/>
              </w:rPr>
              <w:t>projective metric stability</w:t>
            </w:r>
          </w:p>
        </w:tc>
        <w:tc>
          <w:tcPr>
            <w:tcW w:type="dxa" w:w="1800"/>
            <w:vAlign w:val="center"/>
            <w:tcMar>
              <w:top w:w="100" w:type="dxa"/>
              <w:start w:w="120" w:type="dxa"/>
              <w:bottom w:w="100" w:type="dxa"/>
              <w:end w:w="120" w:type="dxa"/>
            </w:tcMar>
            <w:shd w:fill="EAF1F8"/>
          </w:tcPr>
          <w:p>
            <w:r>
              <w:rPr>
                <w:sz w:val="17"/>
              </w:rPr>
              <w:t>CLOSED local</w:t>
            </w:r>
          </w:p>
        </w:tc>
      </w:tr>
      <w:tr>
        <w:tc>
          <w:tcPr>
            <w:tcW w:type="dxa" w:w="1656"/>
            <w:vAlign w:val="center"/>
            <w:tcMar>
              <w:top w:w="100" w:type="dxa"/>
              <w:start w:w="120" w:type="dxa"/>
              <w:bottom w:w="100" w:type="dxa"/>
              <w:end w:w="120" w:type="dxa"/>
            </w:tcMar>
          </w:tcPr>
          <w:p>
            <w:r>
              <w:rPr>
                <w:sz w:val="17"/>
              </w:rPr>
              <w:t>T2-PO-132</w:t>
            </w:r>
          </w:p>
        </w:tc>
        <w:tc>
          <w:tcPr>
            <w:tcW w:type="dxa" w:w="6552"/>
            <w:vAlign w:val="center"/>
            <w:tcMar>
              <w:top w:w="100" w:type="dxa"/>
              <w:start w:w="120" w:type="dxa"/>
              <w:bottom w:w="100" w:type="dxa"/>
              <w:end w:w="120" w:type="dxa"/>
            </w:tcMar>
          </w:tcPr>
          <w:p>
            <w:r>
              <w:rPr>
                <w:sz w:val="17"/>
              </w:rPr>
              <w:t>homogeneity criterion для инвариантов</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T2-PO-133</w:t>
            </w:r>
          </w:p>
        </w:tc>
        <w:tc>
          <w:tcPr>
            <w:tcW w:type="dxa" w:w="6552"/>
            <w:vAlign w:val="center"/>
            <w:tcMar>
              <w:top w:w="100" w:type="dxa"/>
              <w:start w:w="120" w:type="dxa"/>
              <w:bottom w:w="100" w:type="dxa"/>
              <w:end w:w="120" w:type="dxa"/>
            </w:tcMar>
            <w:shd w:fill="EAF1F8"/>
          </w:tcPr>
          <w:p>
            <w:r>
              <w:rPr>
                <w:sz w:val="17"/>
              </w:rPr>
              <w:t>Whitney (a) для rank strata</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T2-PO-134</w:t>
            </w:r>
          </w:p>
        </w:tc>
        <w:tc>
          <w:tcPr>
            <w:tcW w:type="dxa" w:w="6552"/>
            <w:vAlign w:val="center"/>
            <w:tcMar>
              <w:top w:w="100" w:type="dxa"/>
              <w:start w:w="120" w:type="dxa"/>
              <w:bottom w:w="100" w:type="dxa"/>
              <w:end w:w="120" w:type="dxa"/>
            </w:tcMar>
          </w:tcPr>
          <w:p>
            <w:r>
              <w:rPr>
                <w:sz w:val="17"/>
              </w:rPr>
              <w:t>Whitney (b) для orbit strata</w:t>
            </w:r>
          </w:p>
        </w:tc>
        <w:tc>
          <w:tcPr>
            <w:tcW w:type="dxa" w:w="1800"/>
            <w:vAlign w:val="center"/>
            <w:tcMar>
              <w:top w:w="100" w:type="dxa"/>
              <w:start w:w="120" w:type="dxa"/>
              <w:bottom w:w="100" w:type="dxa"/>
              <w:end w:w="120" w:type="dxa"/>
            </w:tcMar>
          </w:tcPr>
          <w:p>
            <w:r>
              <w:rPr>
                <w:sz w:val="17"/>
              </w:rPr>
              <w:t>OPEN model</w:t>
            </w:r>
          </w:p>
        </w:tc>
      </w:tr>
      <w:tr>
        <w:tc>
          <w:tcPr>
            <w:tcW w:type="dxa" w:w="1656"/>
            <w:vAlign w:val="center"/>
            <w:tcMar>
              <w:top w:w="100" w:type="dxa"/>
              <w:start w:w="120" w:type="dxa"/>
              <w:bottom w:w="100" w:type="dxa"/>
              <w:end w:w="120" w:type="dxa"/>
            </w:tcMar>
            <w:shd w:fill="EAF1F8"/>
          </w:tcPr>
          <w:p>
            <w:r>
              <w:rPr>
                <w:sz w:val="17"/>
              </w:rPr>
              <w:t>T2-PO-135</w:t>
            </w:r>
          </w:p>
        </w:tc>
        <w:tc>
          <w:tcPr>
            <w:tcW w:type="dxa" w:w="6552"/>
            <w:vAlign w:val="center"/>
            <w:tcMar>
              <w:top w:w="100" w:type="dxa"/>
              <w:start w:w="120" w:type="dxa"/>
              <w:bottom w:w="100" w:type="dxa"/>
              <w:end w:w="120" w:type="dxa"/>
            </w:tcMar>
            <w:shd w:fill="EAF1F8"/>
          </w:tcPr>
          <w:p>
            <w:r>
              <w:rPr>
                <w:sz w:val="17"/>
              </w:rPr>
              <w:t>frontier/local finiteness</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T2-PO-136</w:t>
            </w:r>
          </w:p>
        </w:tc>
        <w:tc>
          <w:tcPr>
            <w:tcW w:type="dxa" w:w="6552"/>
            <w:vAlign w:val="center"/>
            <w:tcMar>
              <w:top w:w="100" w:type="dxa"/>
              <w:start w:w="120" w:type="dxa"/>
              <w:bottom w:w="100" w:type="dxa"/>
              <w:end w:w="120" w:type="dxa"/>
            </w:tcMar>
          </w:tcPr>
          <w:p>
            <w:r>
              <w:rPr>
                <w:sz w:val="17"/>
              </w:rPr>
              <w:t>positive projectivization order cone</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T2-PO-137</w:t>
            </w:r>
          </w:p>
        </w:tc>
        <w:tc>
          <w:tcPr>
            <w:tcW w:type="dxa" w:w="6552"/>
            <w:vAlign w:val="center"/>
            <w:tcMar>
              <w:top w:w="100" w:type="dxa"/>
              <w:start w:w="120" w:type="dxa"/>
              <w:bottom w:w="100" w:type="dxa"/>
              <w:end w:w="120" w:type="dxa"/>
            </w:tcMar>
            <w:shd w:fill="EAF1F8"/>
          </w:tcPr>
          <w:p>
            <w:r>
              <w:rPr>
                <w:sz w:val="17"/>
              </w:rPr>
              <w:t>Fano local-to-global no-go</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T2-PO-138</w:t>
            </w:r>
          </w:p>
        </w:tc>
        <w:tc>
          <w:tcPr>
            <w:tcW w:type="dxa" w:w="6552"/>
            <w:vAlign w:val="center"/>
            <w:tcMar>
              <w:top w:w="100" w:type="dxa"/>
              <w:start w:w="120" w:type="dxa"/>
              <w:bottom w:w="100" w:type="dxa"/>
              <w:end w:w="120" w:type="dxa"/>
            </w:tcMar>
          </w:tcPr>
          <w:p>
            <w:r>
              <w:rPr>
                <w:sz w:val="17"/>
              </w:rPr>
              <w:t>effective descent глобального carrier</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T2-PO-139</w:t>
            </w:r>
          </w:p>
        </w:tc>
        <w:tc>
          <w:tcPr>
            <w:tcW w:type="dxa" w:w="6552"/>
            <w:vAlign w:val="center"/>
            <w:tcMar>
              <w:top w:w="100" w:type="dxa"/>
              <w:start w:w="120" w:type="dxa"/>
              <w:bottom w:w="100" w:type="dxa"/>
              <w:end w:w="120" w:type="dxa"/>
            </w:tcMar>
            <w:shd w:fill="EAF1F8"/>
          </w:tcPr>
          <w:p>
            <w:r>
              <w:rPr>
                <w:sz w:val="17"/>
              </w:rPr>
              <w:t>projective horizon construction</w:t>
            </w:r>
          </w:p>
        </w:tc>
        <w:tc>
          <w:tcPr>
            <w:tcW w:type="dxa" w:w="1800"/>
            <w:vAlign w:val="center"/>
            <w:tcMar>
              <w:top w:w="100" w:type="dxa"/>
              <w:start w:w="120" w:type="dxa"/>
              <w:bottom w:w="100" w:type="dxa"/>
              <w:end w:w="120" w:type="dxa"/>
            </w:tcMar>
            <w:shd w:fill="EAF1F8"/>
          </w:tcPr>
          <w:p>
            <w:r>
              <w:rPr>
                <w:sz w:val="17"/>
              </w:rPr>
              <w:t>CLOSED finite family</w:t>
            </w:r>
          </w:p>
        </w:tc>
      </w:tr>
      <w:tr>
        <w:tc>
          <w:tcPr>
            <w:tcW w:type="dxa" w:w="1656"/>
            <w:vAlign w:val="center"/>
            <w:tcMar>
              <w:top w:w="100" w:type="dxa"/>
              <w:start w:w="120" w:type="dxa"/>
              <w:bottom w:w="100" w:type="dxa"/>
              <w:end w:w="120" w:type="dxa"/>
            </w:tcMar>
          </w:tcPr>
          <w:p>
            <w:r>
              <w:rPr>
                <w:sz w:val="17"/>
              </w:rPr>
              <w:t>T2-PO-140</w:t>
            </w:r>
          </w:p>
        </w:tc>
        <w:tc>
          <w:tcPr>
            <w:tcW w:type="dxa" w:w="6552"/>
            <w:vAlign w:val="center"/>
            <w:tcMar>
              <w:top w:w="100" w:type="dxa"/>
              <w:start w:w="120" w:type="dxa"/>
              <w:bottom w:w="100" w:type="dxa"/>
              <w:end w:w="120" w:type="dxa"/>
            </w:tcMar>
          </w:tcPr>
          <w:p>
            <w:r>
              <w:rPr>
                <w:sz w:val="17"/>
              </w:rPr>
              <w:t>profile constancy theorem</w:t>
            </w:r>
          </w:p>
        </w:tc>
        <w:tc>
          <w:tcPr>
            <w:tcW w:type="dxa" w:w="1800"/>
            <w:vAlign w:val="center"/>
            <w:tcMar>
              <w:top w:w="100" w:type="dxa"/>
              <w:start w:w="120" w:type="dxa"/>
              <w:bottom w:w="100" w:type="dxa"/>
              <w:end w:w="120" w:type="dxa"/>
            </w:tcMar>
          </w:tcPr>
          <w:p>
            <w:r>
              <w:rPr>
                <w:sz w:val="17"/>
              </w:rPr>
              <w:t>CLOSED under H1-H8</w:t>
            </w:r>
          </w:p>
        </w:tc>
      </w:tr>
      <w:tr>
        <w:tc>
          <w:tcPr>
            <w:tcW w:type="dxa" w:w="1656"/>
            <w:vAlign w:val="center"/>
            <w:tcMar>
              <w:top w:w="100" w:type="dxa"/>
              <w:start w:w="120" w:type="dxa"/>
              <w:bottom w:w="100" w:type="dxa"/>
              <w:end w:w="120" w:type="dxa"/>
            </w:tcMar>
            <w:shd w:fill="EAF1F8"/>
          </w:tcPr>
          <w:p>
            <w:r>
              <w:rPr>
                <w:sz w:val="17"/>
              </w:rPr>
              <w:t>T2-PO-141</w:t>
            </w:r>
          </w:p>
        </w:tc>
        <w:tc>
          <w:tcPr>
            <w:tcW w:type="dxa" w:w="6552"/>
            <w:vAlign w:val="center"/>
            <w:tcMar>
              <w:top w:w="100" w:type="dxa"/>
              <w:start w:w="120" w:type="dxa"/>
              <w:bottom w:w="100" w:type="dxa"/>
              <w:end w:w="120" w:type="dxa"/>
            </w:tcMar>
            <w:shd w:fill="EAF1F8"/>
          </w:tcPr>
          <w:p>
            <w:r>
              <w:rPr>
                <w:sz w:val="17"/>
              </w:rPr>
              <w:t>канонический χ_λ bridge</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T2-PO-142</w:t>
            </w:r>
          </w:p>
        </w:tc>
        <w:tc>
          <w:tcPr>
            <w:tcW w:type="dxa" w:w="6552"/>
            <w:vAlign w:val="center"/>
            <w:tcMar>
              <w:top w:w="100" w:type="dxa"/>
              <w:start w:w="120" w:type="dxa"/>
              <w:bottom w:w="100" w:type="dxa"/>
              <w:end w:w="120" w:type="dxa"/>
            </w:tcMar>
          </w:tcPr>
          <w:p>
            <w:r>
              <w:rPr>
                <w:sz w:val="17"/>
              </w:rPr>
              <w:t>interval-certified distance to Δ_proj</w:t>
            </w:r>
          </w:p>
        </w:tc>
        <w:tc>
          <w:tcPr>
            <w:tcW w:type="dxa" w:w="1800"/>
            <w:vAlign w:val="center"/>
            <w:tcMar>
              <w:top w:w="100" w:type="dxa"/>
              <w:start w:w="120" w:type="dxa"/>
              <w:bottom w:w="100" w:type="dxa"/>
              <w:end w:w="120" w:type="dxa"/>
            </w:tcMar>
          </w:tcPr>
          <w:p>
            <w:r>
              <w:rPr>
                <w:sz w:val="17"/>
              </w:rPr>
              <w:t>OPEN computation</w:t>
            </w:r>
          </w:p>
        </w:tc>
      </w:tr>
      <w:tr>
        <w:tc>
          <w:tcPr>
            <w:tcW w:type="dxa" w:w="1656"/>
            <w:vAlign w:val="center"/>
            <w:tcMar>
              <w:top w:w="100" w:type="dxa"/>
              <w:start w:w="120" w:type="dxa"/>
              <w:bottom w:w="100" w:type="dxa"/>
              <w:end w:w="120" w:type="dxa"/>
            </w:tcMar>
            <w:shd w:fill="EAF1F8"/>
          </w:tcPr>
          <w:p>
            <w:r>
              <w:rPr>
                <w:sz w:val="17"/>
              </w:rPr>
              <w:t>T2-PO-143</w:t>
            </w:r>
          </w:p>
        </w:tc>
        <w:tc>
          <w:tcPr>
            <w:tcW w:type="dxa" w:w="6552"/>
            <w:vAlign w:val="center"/>
            <w:tcMar>
              <w:top w:w="100" w:type="dxa"/>
              <w:start w:w="120" w:type="dxa"/>
              <w:bottom w:w="100" w:type="dxa"/>
              <w:end w:w="120" w:type="dxa"/>
            </w:tcMar>
            <w:shd w:fill="EAF1F8"/>
          </w:tcPr>
          <w:p>
            <w:r>
              <w:rPr>
                <w:sz w:val="17"/>
              </w:rPr>
              <w:t>Banach projective carrier</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T2-PO-144</w:t>
            </w:r>
          </w:p>
        </w:tc>
        <w:tc>
          <w:tcPr>
            <w:tcW w:type="dxa" w:w="6552"/>
            <w:vAlign w:val="center"/>
            <w:tcMar>
              <w:top w:w="100" w:type="dxa"/>
              <w:start w:w="120" w:type="dxa"/>
              <w:bottom w:w="100" w:type="dxa"/>
              <w:end w:w="120" w:type="dxa"/>
            </w:tcMar>
          </w:tcPr>
          <w:p>
            <w:r>
              <w:rPr>
                <w:sz w:val="17"/>
              </w:rPr>
              <w:t>independent domain run</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T2-PO-145</w:t>
            </w:r>
          </w:p>
        </w:tc>
        <w:tc>
          <w:tcPr>
            <w:tcW w:type="dxa" w:w="6552"/>
            <w:vAlign w:val="center"/>
            <w:tcMar>
              <w:top w:w="100" w:type="dxa"/>
              <w:start w:w="120" w:type="dxa"/>
              <w:bottom w:w="100" w:type="dxa"/>
              <w:end w:w="120" w:type="dxa"/>
            </w:tcMar>
            <w:shd w:fill="EAF1F8"/>
          </w:tcPr>
          <w:p>
            <w:r>
              <w:rPr>
                <w:sz w:val="17"/>
              </w:rPr>
              <w:t>physical reduction</w:t>
            </w:r>
          </w:p>
        </w:tc>
        <w:tc>
          <w:tcPr>
            <w:tcW w:type="dxa" w:w="1800"/>
            <w:vAlign w:val="center"/>
            <w:tcMar>
              <w:top w:w="100" w:type="dxa"/>
              <w:start w:w="120" w:type="dxa"/>
              <w:bottom w:w="100" w:type="dxa"/>
              <w:end w:w="120" w:type="dxa"/>
            </w:tcMar>
            <w:shd w:fill="EAF1F8"/>
          </w:tcPr>
          <w:p>
            <w:r>
              <w:rPr>
                <w:sz w:val="17"/>
              </w:rPr>
              <w:t>OPEN / Volume III</w:t>
            </w:r>
          </w:p>
        </w:tc>
      </w:tr>
    </w:tbl>
    <w:p/>
    <w:p>
      <w:pPr>
        <w:pStyle w:val="Heading1"/>
        <w:keepNext/>
      </w:pPr>
      <w:r>
        <w:t>130. Prior art и граница авторского вклада</w:t>
      </w:r>
    </w:p>
    <w:p>
      <w:r>
        <w:t>Классический слой включает проективизацию векторных пространств, Grassmannian/orbit-type stratifications, projective metrics, конусы, descent и стратифицированные пространства. Эти конструкции не заявляются как новые.</w:t>
      </w:r>
    </w:p>
    <w:p>
      <w:r>
        <w:t>[V0.11-1] Курпишев И. Б. Реперно-проективная архитектура формульных цепочек: PILOT-01. Разделы 5-9: vector obstruction carrier, projectivization и Fano ontological barrier.</w:t>
      </w:r>
    </w:p>
    <w:p>
      <w:r>
        <w:t>[V0.11-2] Hartshorne, R. Algebraic Geometry. Chapter I, projective varieties.</w:t>
      </w:r>
    </w:p>
    <w:p>
      <w:r>
        <w:t>[V0.11-3] Goresky, M.; MacPherson, R. Stratified Morse Theory. Springer, 1988.</w:t>
      </w:r>
    </w:p>
    <w:p>
      <w:r>
        <w:t>[V0.11-4] Whitney, H. Tangents to an analytic variety. Annals of Mathematics 81 (1965).</w:t>
      </w:r>
    </w:p>
    <w:p>
      <w:r>
        <w:t>[V0.11-5] Duistermaat, J. J.; Kolk, J. A. C. Lie Groups. Orbit-type decompositions.</w:t>
      </w:r>
    </w:p>
    <w:p>
      <w:r>
        <w:t>[V0.11-6] Том I v197 RU; Том II T2-RP-v0.1-v0.10.</w:t>
      </w:r>
    </w:p>
    <w:p>
      <w:r>
        <w:t>Граница новизны. Авторская линия Курпишева связывает внутренний obstruction carrier NAPG, D/Dom-дисциплину,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p>
      <w:pPr>
        <w:pStyle w:val="Heading1"/>
        <w:keepNext/>
      </w:pPr>
      <w:r>
        <w:t>131. Итог главы и контрольная точка T2-RP-v0.11</w:t>
      </w:r>
    </w:p>
    <w:p>
      <w:pPr>
        <w:pStyle w:val="Quote"/>
        <w:jc w:val="center"/>
      </w:pPr>
      <w:r>
        <w:rPr>
          <w:rFonts w:ascii="Cambria Math" w:hAnsi="Cambria Math"/>
          <w:sz w:val="22"/>
        </w:rPr>
        <w:t>truth_layer_promotion=0; checkpoint=T2-RP-v0.11; next=T2-RP-v0.12.</w:t>
      </w:r>
      <w:r>
        <w:t xml:space="preserve">    (14.22)</w:t>
      </w:r>
    </w:p>
    <w:p>
      <w:r>
        <w:t>Глава 14 построила строгую геометрию носителей препятствий и показала предел projectivization: она сохраняет направление ненулевого класса, но не сохраняет нуль, масштаб, знак, происхождение, lift и domain. Предсказательный метод получил projective transition horizon и отрицательную теорему постоянства типа вне горизонта.</w:t>
      </w:r>
    </w:p>
    <w:p>
      <w:pPr>
        <w:pStyle w:val="Lead"/>
      </w:pPr>
      <w:r>
        <w:t>Следующая сборка tom2_v0_12 развивает каноническую главу 15: Hodge decomposition, Laplace-type operators, ellipticity, граничные условия, Fredholm sectors и аналитические оценки препятствий без автоматического переноса конечномерных результатов.</w:t>
      </w:r>
    </w:p>
    <w:p>
      <w:pPr>
        <w:pStyle w:val="Small"/>
      </w:pPr>
      <w:r>
        <w:t>checkpoint=T2-RP-v0.11; source=T2-RP-v0.10; truth_layer_promotion=0; next=T2-RP-v0.12.</w:t>
      </w:r>
    </w:p>
    <w:p>
      <w:pPr>
        <w:pStyle w:val="Heading1"/>
        <w:keepNext/>
      </w:pPr>
      <w:r>
        <w:t>132. Глава 15. Hodge-разложение и аналитический слой NAPG</w:t>
      </w:r>
    </w:p>
    <w:tbl>
      <w:tblPr>
        <w:tblW w:type="auto" w:w="0"/>
        <w:jc w:val="center"/>
        <w:tblLayout w:type="fixed"/>
        <w:tblLook w:firstColumn="1" w:firstRow="1" w:lastColumn="0" w:lastRow="0" w:noHBand="0" w:noVBand="1" w:val="04A0"/>
      </w:tblPr>
      <w:tblGrid>
        <w:gridCol w:w="4876"/>
        <w:gridCol w:w="4876"/>
      </w:tblGrid>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ОНТОЛОГИЯ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Аналитический объект существует не как формула Δ=dδ+δd, а как оператор вместе с Hilbert-пространствами, плотным доменом, замыканием, сопряжённым оператором и граничными либо интерфейсными условиями. Потеря любого элемента меняет сам объект.</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ГНОСЕОЛОГИЯ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Hodge-представитель даёт канонический способ читать когомологический класс только после доказательства замкнутости образов или Fredholm-реализации. До этого гармоническая форма может представлять лишь редуцированную когомологию, а не удобную иллюстрацию полной истины.</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ФЕНОМЕНОЛОГИЯ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Наблюдаемая устойчивость проявляется как спектральный зазор: малые возмущения не меняют размерность гармонического сектора, пока ноль отделён от остального спектра. Закрытие зазора воспринимается как кандидат структурного перехода, а не как уже наступившее событие.</w:t>
            </w:r>
          </w:p>
        </w:tc>
      </w:tr>
      <w:tr>
        <w:tc>
          <w:tcPr>
            <w:tcW w:type="dxa" w:w="2268"/>
            <w:shd w:fill="A57516"/>
            <w:vAlign w:val="center"/>
            <w:tcMar>
              <w:top w:w="120" w:type="dxa"/>
              <w:start w:w="120" w:type="dxa"/>
              <w:bottom w:w="120" w:type="dxa"/>
              <w:end w:w="120" w:type="dxa"/>
            </w:tcMar>
          </w:tcPr>
          <w:p>
            <w:r>
              <w:rPr>
                <w:rFonts w:ascii="Liberation Sans" w:hAnsi="Liberation Sans"/>
                <w:b/>
                <w:color w:val="FFFFFF"/>
                <w:sz w:val="20"/>
              </w:rPr>
              <w:t>ГРАНИЦА</w:t>
            </w:r>
          </w:p>
        </w:tc>
        <w:tc>
          <w:tcPr>
            <w:tcW w:type="dxa" w:w="7030"/>
            <w:shd w:fill="F7EDD8"/>
            <w:vAlign w:val="center"/>
            <w:tcMar>
              <w:top w:w="120" w:type="dxa"/>
              <w:start w:w="120" w:type="dxa"/>
              <w:bottom w:w="120" w:type="dxa"/>
              <w:end w:w="120" w:type="dxa"/>
            </w:tcMar>
          </w:tcPr>
          <w:p>
            <w:r>
              <w:rPr>
                <w:rFonts w:ascii="Liberation Serif" w:hAnsi="Liberation Serif"/>
                <w:sz w:val="18"/>
              </w:rPr>
              <w:t>Ни d²=0, ни формальная симметрия, ни компактность отдельных страт сами по себе не дают эллиптичность, самосопряжённость, Fredholm-свойство или Hodge-разложение. Физический смысл не выводится из спектра без отдельного редукционного моста.</w:t>
            </w:r>
          </w:p>
        </w:tc>
      </w:tr>
    </w:tbl>
    <w:p>
      <w:pPr/>
      <w:r>
        <w:t>Цель главы. Построить аналитический слой, в котором внутренние и внешние obstruction classes получают устойчивые гармонические представители, а предсказательная процедура различает три ситуации: устойчивое ненулевое препятствие, аналитический кандидат его исчезновения и отсутствие права на вывод из-за незакрытого домена оператора.</w:t>
      </w:r>
    </w:p>
    <w:p>
      <w:pPr>
        <w:pStyle w:val="Heading2"/>
        <w:keepNext/>
      </w:pPr>
      <w:r>
        <w:t>132.1. Шесть аналитических уровней</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Уровень</w:t>
            </w:r>
          </w:p>
        </w:tc>
        <w:tc>
          <w:tcPr>
            <w:tcW w:type="dxa" w:w="1871"/>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Объект</w:t>
            </w:r>
          </w:p>
        </w:tc>
        <w:tc>
          <w:tcPr>
            <w:tcW w:type="dxa" w:w="379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Минимальный сертификат</w:t>
            </w:r>
          </w:p>
        </w:tc>
        <w:tc>
          <w:tcPr>
            <w:tcW w:type="dxa" w:w="283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Разрешённый вывод</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A0</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precomplex</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заданы пространства и частичные d_k</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когомология запрещена</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A1</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Hilbert-комплекс</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d_k замкнуты, плотно определены, d_{k+1}d_k=0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редуцированная Hodge-декомпозиция</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A2</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closed-range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ran d_k и ran d_k* замкнуты</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обычная когомология ≅ harmonic space</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A3</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elliptic realization</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точна symbol-sequence при ξ≠0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регулярность и конечномерность на компактной базе</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A4</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boundary/Fredholm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эллиптические BC, closed range, finite kernel/cokernel</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индекс, Green operator, спектральный контроль</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A5</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predictive analytic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uniform gap, D/Dom, bridge, hashes</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отрицательный прогноз либо candidate-transition</w:t>
            </w:r>
          </w:p>
        </w:tc>
      </w:tr>
    </w:tbl>
    <w:p>
      <w:pPr>
        <w:pStyle w:val="Heading1"/>
        <w:keepNext/>
      </w:pPr>
      <w:r>
        <w:t>133. Hilbert-комплекс NAPG</w:t>
      </w:r>
    </w:p>
    <w:p>
      <w:pPr>
        <w:pStyle w:val="Heading2"/>
        <w:keepNext/>
      </w:pPr>
      <w:r>
        <w:t>133.1. Замкнутые дифференциалы</w:t>
      </w:r>
    </w:p>
    <w:p>
      <w:pPr/>
      <w:r>
        <w:t>Определение 15.1 (Hilbert-комплекс). [CL/DEF] Hilbert-комплексом называется семейство Hilbert-пространств H^k и плотно определённых замкнутых операторов</w:t>
      </w:r>
    </w:p>
    <w:p>
      <w:pPr>
        <w:pStyle w:val="Quote"/>
        <w:spacing w:before="60" w:after="100"/>
        <w:jc w:val="center"/>
      </w:pPr>
      <w:r>
        <w:rPr>
          <w:rFonts w:ascii="Liberation Serif" w:hAnsi="Liberation Serif"/>
          <w:i w:val="0"/>
          <w:sz w:val="21"/>
        </w:rPr>
        <w:t>d_k : D(d_k) ⊂ H^k → H^{k+1},    ran d_k ⊂ ker d_{k+1}.                                  (15.1)</w:t>
      </w:r>
    </w:p>
    <w:p>
      <w:pPr/>
      <w:r>
        <w:t>В NAPG пространство H^k может быть L²-завершением внутренних форм, внешнего E-комплекса либо прямой суммы стратовых пространств. Условие ran d_k⊂ker d_{k+1} является операторной формой d²=0 и включает требование, что композиция определена на соответствующем домене.</w:t>
      </w:r>
    </w:p>
    <w:p>
      <w:pPr/>
      <w:r>
        <w:t>Определение 15.2 (цикл, граница и две когомологии). [CL/DEF]</w:t>
      </w:r>
    </w:p>
    <w:p>
      <w:pPr>
        <w:pStyle w:val="Quote"/>
        <w:spacing w:before="60" w:after="100"/>
        <w:jc w:val="center"/>
      </w:pPr>
      <w:r>
        <w:rPr>
          <w:rFonts w:ascii="Liberation Serif" w:hAnsi="Liberation Serif"/>
          <w:i w:val="0"/>
          <w:sz w:val="21"/>
        </w:rPr>
        <w:t>Z^k = ker d_k,    B^k = ran d_{k-1},    H^k = Z^k/B^k,    H̄^k = Z^k/closure(B^k).        (15.2)</w:t>
      </w:r>
    </w:p>
    <w:p>
      <w:pPr/>
      <w:r>
        <w:t>Обычная когомология может быть нехаусдорфовой, если B^k не замкнуто. Редуцированная когомология всегда факторизует по замкнутому подпространству. Поэтому аналитический слой Тома II использует H̄^k до предъявления closed-range certificate.</w:t>
      </w:r>
    </w:p>
    <w:p>
      <w:pPr/>
      <w:r>
        <w:t>Лемма 15.1 (замыкание и adjoint). [CL/THM] Для плотно определённого замкнутого d_k существует замкнутый сопряжённый оператор d_k*, а ортогональные соотношения имеют вид</w:t>
      </w:r>
    </w:p>
    <w:p>
      <w:pPr>
        <w:pStyle w:val="Quote"/>
        <w:spacing w:before="60" w:after="100"/>
        <w:jc w:val="center"/>
      </w:pPr>
      <w:r>
        <w:rPr>
          <w:rFonts w:ascii="Liberation Serif" w:hAnsi="Liberation Serif"/>
          <w:i w:val="0"/>
          <w:sz w:val="21"/>
        </w:rPr>
        <w:t>(ran d_k)⊥ = ker d_k*,    closure(ran d_k*) = (ker d_k)⊥.                               (15.3)</w:t>
      </w:r>
    </w:p>
    <w:p>
      <w:pPr/>
      <w:r>
        <w:t>Эти равенства являются функционально-аналитической основой Hodge-разложения. Они не требуют неассоциативного произведения и потому относятся к классическому слою.</w:t>
      </w:r>
    </w:p>
    <w:p>
      <w:pPr>
        <w:pStyle w:val="Heading2"/>
        <w:keepNext/>
      </w:pPr>
      <w:r>
        <w:t>133.2. Hodge-Laplacian как оператор с доменом</w:t>
      </w:r>
    </w:p>
    <w:p>
      <w:pPr/>
      <w:r>
        <w:t>Определение 15.3. [CL/DEF] В степени k вводится оператор</w:t>
      </w:r>
    </w:p>
    <w:p>
      <w:pPr>
        <w:pStyle w:val="Quote"/>
        <w:spacing w:before="60" w:after="100"/>
        <w:jc w:val="center"/>
      </w:pPr>
      <w:r>
        <w:rPr>
          <w:rFonts w:ascii="Liberation Serif" w:hAnsi="Liberation Serif"/>
          <w:i w:val="0"/>
          <w:sz w:val="21"/>
        </w:rPr>
        <w:t>Δ_k = d_{k-1} d_{k-1}* + d_k* d_k,                                                    (15.4)</w:t>
      </w:r>
    </w:p>
    <w:p>
      <w:pPr/>
      <w:r>
        <w:t>с доменом</w:t>
      </w:r>
    </w:p>
    <w:p>
      <w:pPr>
        <w:pStyle w:val="Quote"/>
        <w:spacing w:before="60" w:after="100"/>
        <w:jc w:val="center"/>
      </w:pPr>
      <w:r>
        <w:rPr>
          <w:rFonts w:ascii="Liberation Serif" w:hAnsi="Liberation Serif"/>
          <w:i w:val="0"/>
          <w:sz w:val="21"/>
        </w:rPr>
        <w:t>D(Δ_k)={u∈D(d_k)∩D(d_{k-1}*): d_ku∈D(d_k*), d_{k-1}*u∈D(d_{k-1})}.                (15.5)</w:t>
      </w:r>
    </w:p>
    <w:p>
      <w:pPr/>
      <w:r>
        <w:t>Формула (15.4) без (15.5) задаёт лишь формальное выражение. В граничных и сингулярных задачах разные домены порождают разные замкнутые, самосопряжённые или несамосопряжённые реализации одного и того же дифференциального выражения.</w:t>
      </w:r>
    </w:p>
    <w:p>
      <w:pPr/>
      <w:r>
        <w:t>Определение 15.4 (гармонический сектор). [CL/DEF]</w:t>
      </w:r>
    </w:p>
    <w:p>
      <w:pPr>
        <w:pStyle w:val="Quote"/>
        <w:spacing w:before="60" w:after="100"/>
        <w:jc w:val="center"/>
      </w:pPr>
      <w:r>
        <w:rPr>
          <w:rFonts w:ascii="Liberation Serif" w:hAnsi="Liberation Serif"/>
          <w:i w:val="0"/>
          <w:sz w:val="21"/>
        </w:rPr>
        <w:t>𝓗^k = ker d_k ∩ ker d_{k-1}* = ker Δ_k.                                               (15.6)</w:t>
      </w:r>
    </w:p>
    <w:p>
      <w:pPr/>
      <w:r>
        <w:t>Равенство с ker Δ_k следует из энергетического тождества</w:t>
      </w:r>
    </w:p>
    <w:p>
      <w:pPr>
        <w:pStyle w:val="Quote"/>
        <w:spacing w:before="60" w:after="100"/>
        <w:jc w:val="center"/>
      </w:pPr>
      <w:r>
        <w:rPr>
          <w:rFonts w:ascii="Liberation Serif" w:hAnsi="Liberation Serif"/>
          <w:i w:val="0"/>
          <w:sz w:val="21"/>
        </w:rPr>
        <w:t>⟨Δ_ku,u⟩ = ||d_ku||² + ||d_{k-1}*u||².                                                (15.7)</w:t>
      </w:r>
    </w:p>
    <w:p>
      <w:pPr/>
      <w:r>
        <w:t>Тождество требует, чтобы u принадлежал операторному домену; интегрирование по частям не должно оставлять неконтролируемый граничный член.</w:t>
      </w:r>
    </w:p>
    <w:p>
      <w:pPr>
        <w:pStyle w:val="Heading1"/>
        <w:keepNext/>
      </w:pPr>
      <w:r>
        <w:t>134. Слабое и сильное Hodge-разложение</w:t>
      </w:r>
    </w:p>
    <w:p>
      <w:pPr/>
      <w:r>
        <w:t>Теорема 15.2 (слабое Hodge-разложение Hilbert-комплекса). [CL/THM] Для каждого k существует ортогональное разложение</w:t>
      </w:r>
    </w:p>
    <w:p>
      <w:pPr>
        <w:pStyle w:val="Quote"/>
        <w:spacing w:before="60" w:after="100"/>
        <w:jc w:val="center"/>
      </w:pPr>
      <w:r>
        <w:rPr>
          <w:rFonts w:ascii="Liberation Serif" w:hAnsi="Liberation Serif"/>
          <w:i w:val="0"/>
          <w:sz w:val="21"/>
        </w:rPr>
        <w:t>H^k = closure(ran d_{k-1}) ⊕ 𝓗^k ⊕ closure(ran d_k*).                                  (15.8)</w:t>
      </w:r>
    </w:p>
    <w:p>
      <w:pPr/>
      <w:r>
        <w:t>Следовательно, каноническое отображение 𝓗^k→H̄^k является изометрическим изоморфизмом. Для обычной когомологии H^k то же утверждение верно при замкнутости ran d_{k-1}.</w:t>
      </w:r>
    </w:p>
    <w:p>
      <w:pPr>
        <w:spacing w:before="80" w:after="40"/>
        <w:jc w:val="center"/>
      </w:pPr>
      <w:r>
        <w:drawing>
          <wp:inline xmlns:a="http://schemas.openxmlformats.org/drawingml/2006/main" xmlns:pic="http://schemas.openxmlformats.org/drawingml/2006/picture">
            <wp:extent cx="5616000" cy="2932829"/>
            <wp:docPr id="36" name="Picture 36"/>
            <wp:cNvGraphicFramePr>
              <a:graphicFrameLocks noChangeAspect="1"/>
            </wp:cNvGraphicFramePr>
            <a:graphic>
              <a:graphicData uri="http://schemas.openxmlformats.org/drawingml/2006/picture">
                <pic:pic>
                  <pic:nvPicPr>
                    <pic:cNvPr id="0" name="hodge_split.png"/>
                    <pic:cNvPicPr/>
                  </pic:nvPicPr>
                  <pic:blipFill>
                    <a:blip r:embed="rId65"/>
                    <a:stretch>
                      <a:fillRect/>
                    </a:stretch>
                  </pic:blipFill>
                  <pic:spPr>
                    <a:xfrm>
                      <a:off x="0" y="0"/>
                      <a:ext cx="5616000" cy="2932829"/>
                    </a:xfrm>
                    <a:prstGeom prst="rect"/>
                  </pic:spPr>
                </pic:pic>
              </a:graphicData>
            </a:graphic>
          </wp:inline>
        </w:drawing>
      </w:r>
    </w:p>
    <w:p>
      <w:pPr>
        <w:pStyle w:val="Caption"/>
        <w:keepNext/>
        <w:jc w:val="center"/>
      </w:pPr>
      <w:r>
        <w:t>Рисунок 15.1. Hilbert-комплекс и слабое Hodge-разложение; переход к обычной когомологии требует closed-range certificate. Собственная схема Тома II.</w:t>
      </w:r>
    </w:p>
    <w:p>
      <w:pPr/>
      <w:r>
        <w:t>Теорема 15.3 (сильное разложение). [CL/THM] Следующие условия эквивалентны в фиксированной степени:</w:t>
      </w:r>
    </w:p>
    <w:p>
      <w:pPr>
        <w:pStyle w:val="ListBullet"/>
        <w:spacing w:after="40"/>
      </w:pPr>
      <w:r>
        <w:t>ran d_{k-1} и ran d_k* замкнуты;</w:t>
      </w:r>
    </w:p>
    <w:p>
      <w:pPr>
        <w:pStyle w:val="ListBullet"/>
        <w:spacing w:after="40"/>
      </w:pPr>
      <w:r>
        <w:t>H^k = ran d_{k-1} ⊕ 𝓗^k ⊕ ran d_k*;</w:t>
      </w:r>
    </w:p>
    <w:p>
      <w:pPr>
        <w:pStyle w:val="ListBullet"/>
        <w:spacing w:after="40"/>
      </w:pPr>
      <w:r>
        <w:t>существует C_k&gt;0, для которого ||u||≤C_k(||d_ku||+||d_{k-1}*u||) на D(d_k)∩D(d_{k-1}*)∩(𝓗^k)⊥;</w:t>
      </w:r>
    </w:p>
    <w:p>
      <w:pPr>
        <w:pStyle w:val="ListBullet"/>
        <w:spacing w:after="40"/>
      </w:pPr>
      <w:r>
        <w:t>ноль изолирован в спектре Δ_k на (𝓗^k)⊥.</w:t>
      </w:r>
    </w:p>
    <w:p>
      <w:pPr/>
      <w:r>
        <w:t>Последний пункт понимается в самосопряжённой неотрицательной реализации. В общем замкнутом Hilbert-комплексе спектральная формулировка требует отдельного self-adjoint certificate.</w:t>
      </w:r>
    </w:p>
    <w:p>
      <w:pPr>
        <w:pStyle w:val="Quote"/>
        <w:spacing w:before="60" w:after="100"/>
        <w:jc w:val="center"/>
      </w:pPr>
      <w:r>
        <w:rPr>
          <w:rFonts w:ascii="Liberation Serif" w:hAnsi="Liberation Serif"/>
          <w:i w:val="0"/>
          <w:sz w:val="21"/>
        </w:rPr>
        <w:t>γ_k := inf( spectrum(Δ_k) \ {0} ) &gt; 0.                                               (15.9)</w:t>
      </w:r>
    </w:p>
    <w:p>
      <w:pPr/>
      <w:r>
        <w:t>Число γ_k называется спектральным зазором. Его обратная величина контролирует норму Green-оператора и чувствительность аналитического восстановления.</w:t>
      </w:r>
    </w:p>
    <w:p>
      <w:pPr>
        <w:pStyle w:val="Heading2"/>
        <w:keepNext/>
      </w:pPr>
      <w:r>
        <w:t>134.1. Green-оператор и минимальный примитив</w:t>
      </w:r>
    </w:p>
    <w:p>
      <w:pPr/>
      <w:r>
        <w:t>При γ_k&gt;0 определяется ограниченный Green-оператор</w:t>
      </w:r>
    </w:p>
    <w:p>
      <w:pPr>
        <w:pStyle w:val="Quote"/>
        <w:spacing w:before="60" w:after="100"/>
        <w:jc w:val="center"/>
      </w:pPr>
      <w:r>
        <w:rPr>
          <w:rFonts w:ascii="Liberation Serif" w:hAnsi="Liberation Serif"/>
          <w:i w:val="0"/>
          <w:sz w:val="21"/>
        </w:rPr>
        <w:t>G_k = (Δ_k |_{(𝓗^k)⊥})^{-1}(I-P_{𝓗^k}),    ||G_k|| ≤ 1/γ_k.                            (15.10)</w:t>
      </w:r>
    </w:p>
    <w:p>
      <w:pPr/>
      <w:r>
        <w:t>Для замкнутого q∈Z^k Hodge-разложение принимает форму</w:t>
      </w:r>
    </w:p>
    <w:p>
      <w:pPr>
        <w:pStyle w:val="Quote"/>
        <w:spacing w:before="60" w:after="100"/>
        <w:jc w:val="center"/>
      </w:pPr>
      <w:r>
        <w:rPr>
          <w:rFonts w:ascii="Liberation Serif" w:hAnsi="Liberation Serif"/>
          <w:i w:val="0"/>
          <w:sz w:val="21"/>
        </w:rPr>
        <w:t>q = d_{k-1}a_min + h,    h=P_{𝓗^k}q,    a_min=d_{k-1}*G_kq.                            (15.11)</w:t>
      </w:r>
    </w:p>
    <w:p>
      <w:pPr/>
      <w:r>
        <w:t>Отсюда следует оценка</w:t>
      </w:r>
    </w:p>
    <w:p>
      <w:pPr>
        <w:pStyle w:val="Quote"/>
        <w:spacing w:before="60" w:after="100"/>
        <w:jc w:val="center"/>
      </w:pPr>
      <w:r>
        <w:rPr>
          <w:rFonts w:ascii="Liberation Serif" w:hAnsi="Liberation Serif"/>
          <w:i w:val="0"/>
          <w:sz w:val="21"/>
        </w:rPr>
        <w:t>||a_min|| ≤ γ_k^{-1/2} ||q-P_{𝓗^k}q||.                                               (15.12)</w:t>
      </w:r>
    </w:p>
    <w:p>
      <w:pPr/>
      <w:r>
        <w:t>Малый зазор делает примитив плохо обусловленным даже при нулевом гармоническом препятствии. Поэтому «класс исчез» и «разрешение устойчиво вычисляется» являются разными статусами.</w:t>
      </w:r>
    </w:p>
    <w:p>
      <w:pPr>
        <w:pStyle w:val="Heading1"/>
        <w:keepNext/>
      </w:pPr>
      <w:r>
        <w:t>135. Эллиптические комплексы и операторы лапласовского типа</w:t>
      </w:r>
    </w:p>
    <w:p>
      <w:pPr>
        <w:pStyle w:val="Heading2"/>
        <w:keepNext/>
      </w:pPr>
      <w:r>
        <w:t>135.1. Principal symbol и точность</w:t>
      </w:r>
    </w:p>
    <w:p>
      <w:pPr/>
      <w:r>
        <w:t>Пусть E^k→M - конечномерные векторные расслоения над гладкой стратой M, а d_k - дифференциальные операторы первого порядка. Их последовательность называется эллиптическим комплексом, если для каждого x∈M и каждого ξ∈T_x*M\{0} символическая последовательность точна:</w:t>
      </w:r>
    </w:p>
    <w:p>
      <w:pPr>
        <w:pStyle w:val="Quote"/>
        <w:spacing w:before="60" w:after="100"/>
        <w:jc w:val="center"/>
      </w:pPr>
      <w:r>
        <w:rPr>
          <w:rFonts w:ascii="Liberation Serif" w:hAnsi="Liberation Serif"/>
          <w:i w:val="0"/>
          <w:sz w:val="21"/>
        </w:rPr>
        <w:t>0 → E_x^0 --σ(d_0)(x,ξ)→ E_x^1 → ... → E_x^N → 0.                                  (15.13)</w:t>
      </w:r>
    </w:p>
    <w:p>
      <w:pPr/>
      <w:r>
        <w:t>Теорема 15.4 (эллиптичность Hodge-Laplacian). [CL/THM] Для эллиптического комплекса principal symbol оператора Δ_k положительно определён и равен</w:t>
      </w:r>
    </w:p>
    <w:p>
      <w:pPr>
        <w:pStyle w:val="Quote"/>
        <w:spacing w:before="60" w:after="100"/>
        <w:jc w:val="center"/>
      </w:pPr>
      <w:r>
        <w:rPr>
          <w:rFonts w:ascii="Liberation Serif" w:hAnsi="Liberation Serif"/>
          <w:i w:val="0"/>
          <w:sz w:val="21"/>
        </w:rPr>
        <w:t>σ_2(Δ_k)(x,ξ)=σ(d_{k-1})σ(d_{k-1})* + σ(d_k)*σ(d_k),    ξ≠0.                         (15.14)</w:t>
      </w:r>
    </w:p>
    <w:p>
      <w:pPr/>
      <w:r>
        <w:t>На компактном многообразии без края это ведёт к elliptic regularity, конечномерности гармонического пространства и дискретному спектру после выбора стандартной L²-реализации.</w:t>
      </w:r>
    </w:p>
    <w:p>
      <w:pPr/>
      <w:r>
        <w:t>Определение 15.5 (оператор лапласовского типа). [CL/DEF] Дифференциальный оператор второго порядка L называется Laplace-type, если</w:t>
      </w:r>
    </w:p>
    <w:p>
      <w:pPr>
        <w:pStyle w:val="Quote"/>
        <w:spacing w:before="60" w:after="100"/>
        <w:jc w:val="center"/>
      </w:pPr>
      <w:r>
        <w:rPr>
          <w:rFonts w:ascii="Liberation Serif" w:hAnsi="Liberation Serif"/>
          <w:i w:val="0"/>
          <w:sz w:val="21"/>
        </w:rPr>
        <w:t>σ_2(L)(x,ξ)=|ξ|_g² Id.                                                                  (15.15)</w:t>
      </w:r>
    </w:p>
    <w:p>
      <w:pPr/>
      <w:r>
        <w:t>Не всякий Hodge-Laplacian NAPG автоматически имеет этот символ. Требуется проверка метрики, главных частей d и δ, а также интерфейсных условий. Неассоциативность внутреннего произведения влияет на lower-order terms либо на сами коэффициенты d только при явно заданном мосте.</w:t>
      </w:r>
    </w:p>
    <w:p>
      <w:pPr/>
      <w:r>
        <w:t>Контртеорема 15.5 (d²=0 не влечёт эллиптичность). [THM] На бесконечномерном Hilbert-пространстве можно положить d=0. Тогда d²=0, но Δ=0 имеет бесконечномерное ядро, не является Fredholm и не создаёт спектрального зазора. Следовательно, nilpotency является когомологическим, а не эллиптическим сертификатом.</w:t>
      </w:r>
    </w:p>
    <w:p>
      <w:pPr>
        <w:pStyle w:val="Heading1"/>
        <w:keepNext/>
      </w:pPr>
      <w:r>
        <w:t>136. Граничные и интерфейсные условия</w:t>
      </w:r>
    </w:p>
    <w:p>
      <w:pPr/>
      <w:r>
        <w:t>На компактной гладкой базе с краем формальный оператор становится аналитическим объектом только после задания operator domain. Для de Rham-комплекса обозначим через tω тангенциальный след i*ω, а через nω нормальный след i*(ι_νω), где ν - единичная внешняя нормаль.</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Режим</w:t>
            </w:r>
          </w:p>
        </w:tc>
        <w:tc>
          <w:tcPr>
            <w:tcW w:type="dxa" w:w="2324"/>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Условия для ω</w:t>
            </w:r>
          </w:p>
        </w:tc>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Когомологический тип</w:t>
            </w:r>
          </w:p>
        </w:tc>
        <w:tc>
          <w:tcPr>
            <w:tcW w:type="dxa" w:w="300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Статус в NAPG</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relative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tω=0,  tδω=0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относительная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trace spaces</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absolute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nω=0,  ndω=0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абсолютная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Green formula</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general elliptic B</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Bγ(ω)=0 + complementing condition</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зависит от B</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COND: нужны self-adjoint/Fredholm certificates</w:t>
            </w:r>
          </w:p>
        </w:tc>
      </w:tr>
    </w:tbl>
    <w:p>
      <w:pPr/>
      <w:r>
        <w:t>Теорема 15.6 (граничный firewall). [CL/COND] Для гладкого компактного M с гладкой границей absolute и relative реализации Hodge-Laplacian являются эллиптическими самосопряжёнными задачами при стандартных соглашениях. Для общего NAPG-оператора этот вывод разрешён только после проверки:</w:t>
      </w:r>
    </w:p>
    <w:p>
      <w:pPr>
        <w:pStyle w:val="ListBullet"/>
        <w:spacing w:after="40"/>
      </w:pPr>
      <w:r>
        <w:t>Green formula и корректных trace spaces;</w:t>
      </w:r>
    </w:p>
    <w:p>
      <w:pPr>
        <w:pStyle w:val="ListBullet"/>
        <w:spacing w:after="40"/>
      </w:pPr>
      <w:r>
        <w:t>эллиптичности interior symbol;</w:t>
      </w:r>
    </w:p>
    <w:p>
      <w:pPr>
        <w:pStyle w:val="ListBullet"/>
        <w:spacing w:after="40"/>
      </w:pPr>
      <w:r>
        <w:t>условия Лопатинского-Шапиро либо эквивалентного elliptic boundary condition;</w:t>
      </w:r>
    </w:p>
    <w:p>
      <w:pPr>
        <w:pStyle w:val="ListBullet"/>
        <w:spacing w:after="40"/>
      </w:pPr>
      <w:r>
        <w:t>симметрии или self-adjoint extension, если используется спектральная теорема;</w:t>
      </w:r>
    </w:p>
    <w:p>
      <w:pPr>
        <w:pStyle w:val="ListBullet"/>
        <w:spacing w:after="40"/>
      </w:pPr>
      <w:r>
        <w:t>совместимости граничного домена с d²=0 и с градуировкой.</w:t>
      </w:r>
    </w:p>
    <w:p>
      <w:pPr>
        <w:spacing w:before="80" w:after="40"/>
        <w:jc w:val="center"/>
      </w:pPr>
      <w:r>
        <w:drawing>
          <wp:inline xmlns:a="http://schemas.openxmlformats.org/drawingml/2006/main" xmlns:pic="http://schemas.openxmlformats.org/drawingml/2006/picture">
            <wp:extent cx="5652000" cy="2996570"/>
            <wp:docPr id="37" name="Picture 37"/>
            <wp:cNvGraphicFramePr>
              <a:graphicFrameLocks noChangeAspect="1"/>
            </wp:cNvGraphicFramePr>
            <a:graphic>
              <a:graphicData uri="http://schemas.openxmlformats.org/drawingml/2006/picture">
                <pic:pic>
                  <pic:nvPicPr>
                    <pic:cNvPr id="0" name="boundary_firewall.png"/>
                    <pic:cNvPicPr/>
                  </pic:nvPicPr>
                  <pic:blipFill>
                    <a:blip r:embed="rId66"/>
                    <a:stretch>
                      <a:fillRect/>
                    </a:stretch>
                  </pic:blipFill>
                  <pic:spPr>
                    <a:xfrm>
                      <a:off x="0" y="0"/>
                      <a:ext cx="5652000" cy="2996570"/>
                    </a:xfrm>
                    <a:prstGeom prst="rect"/>
                  </pic:spPr>
                </pic:pic>
              </a:graphicData>
            </a:graphic>
          </wp:inline>
        </w:drawing>
      </w:r>
    </w:p>
    <w:p>
      <w:pPr>
        <w:pStyle w:val="Caption"/>
        <w:keepNext/>
        <w:jc w:val="center"/>
      </w:pPr>
      <w:r>
        <w:t>Рисунок 15.2. Граничный аналитический firewall: principal symbol, operator domain и elliptic boundary condition проверяются раздельно. Собственная схема Тома II.</w:t>
      </w:r>
    </w:p>
    <w:p>
      <w:pPr/>
      <w:r>
        <w:t>Контртеорема 15.7 (формальная симметрия не равна самосопряжённости). [THM] Дифференциальное выражение -d²/dx² на интервале формально симметрично, но без граничного домена не определяет единственный самосопряжённый оператор. Dirichlet, Neumann, Robin и смешанные реализации имеют разные спектры. Следовательно, спектральная сигнатура без BC-ID не является воспроизводимой.</w:t>
      </w:r>
    </w:p>
    <w:p>
      <w:pPr>
        <w:pStyle w:val="Heading1"/>
        <w:keepNext/>
      </w:pPr>
      <w:r>
        <w:t>137. Стратифицированная Hodge-реализация NAPG</w:t>
      </w:r>
    </w:p>
    <w:p>
      <w:pPr/>
      <w:r>
        <w:t>Пусть X=⊔_α S_α - конечная стратифицированная база. На каждой страте задан Hilbert-комплекс H_α^• и Hodge-оператор. Предварительное пространство имеет вид</w:t>
      </w:r>
    </w:p>
    <w:p>
      <w:pPr>
        <w:pStyle w:val="Quote"/>
        <w:spacing w:before="60" w:after="100"/>
        <w:jc w:val="center"/>
      </w:pPr>
      <w:r>
        <w:rPr>
          <w:rFonts w:ascii="Liberation Serif" w:hAnsi="Liberation Serif"/>
          <w:i w:val="0"/>
          <w:sz w:val="21"/>
        </w:rPr>
        <w:t>H_str^k = direct_sum_α L²Ω^k(S_α,E_α).                                                 (15.16)</w:t>
      </w:r>
    </w:p>
    <w:p>
      <w:pPr/>
      <w:r>
        <w:t>Определение 15.6 (interface domain). [DEF-A/COND] Глобальный домен D_int(d) состоит из наборов u=(u_α), удовлетворяющих стратовым Sobolev-условиям и системе transmission equations</w:t>
      </w:r>
    </w:p>
    <w:p>
      <w:pPr>
        <w:pStyle w:val="Quote"/>
        <w:spacing w:before="60" w:after="100"/>
        <w:jc w:val="center"/>
      </w:pPr>
      <w:r>
        <w:rPr>
          <w:rFonts w:ascii="Liberation Serif" w:hAnsi="Liberation Serif"/>
          <w:i w:val="0"/>
          <w:sz w:val="21"/>
        </w:rPr>
        <w:t>T_{αβ}^+ u_α = T_{αβ}^- u_β    на каждой допустимой incidence interface.             (15.17)</w:t>
      </w:r>
    </w:p>
    <w:p>
      <w:pPr/>
      <w:r>
        <w:t>Карты T_{αβ} являются частью данных и включают следы, ориентацию, вес меры, Hodge-совместимость и D/Dom. Без них прямая сумма страт создаёт ложные независимые гармонические моды.</w:t>
      </w:r>
    </w:p>
    <w:p>
      <w:pPr/>
      <w:r>
        <w:t>Условный пакет STR-HDG состоит из:</w:t>
      </w:r>
    </w:p>
    <w:p>
      <w:pPr>
        <w:pStyle w:val="ListBullet"/>
        <w:spacing w:after="40"/>
      </w:pPr>
      <w:r>
        <w:t>стратовой эллиптичности и uniform control главных символов;</w:t>
      </w:r>
    </w:p>
    <w:p>
      <w:pPr>
        <w:pStyle w:val="ListBullet"/>
        <w:spacing w:after="40"/>
      </w:pPr>
      <w:r>
        <w:t>ideal boundary conditions около сингулярных ссылок или конусов;</w:t>
      </w:r>
    </w:p>
    <w:p>
      <w:pPr>
        <w:pStyle w:val="ListBullet"/>
        <w:spacing w:after="40"/>
      </w:pPr>
      <w:r>
        <w:t>замкнутости total differential и его adjoint;</w:t>
      </w:r>
    </w:p>
    <w:p>
      <w:pPr>
        <w:pStyle w:val="ListBullet"/>
        <w:spacing w:after="40"/>
      </w:pPr>
      <w:r>
        <w:t>compact embedding либо иного механизма Fredholmness;</w:t>
      </w:r>
    </w:p>
    <w:p>
      <w:pPr>
        <w:pStyle w:val="ListBullet"/>
        <w:spacing w:after="40"/>
      </w:pPr>
      <w:r>
        <w:t>согласованности transmission maps с descent data главы 7;</w:t>
      </w:r>
    </w:p>
    <w:p>
      <w:pPr>
        <w:pStyle w:val="ListBullet"/>
        <w:spacing w:after="40"/>
      </w:pPr>
      <w:r>
        <w:t>явной проверки, какую intersection/L²-cohomology реализует выбранный домен.</w:t>
      </w:r>
    </w:p>
    <w:p>
      <w:pPr/>
      <w:r>
        <w:t>Результаты Cheeger-type Hodge theory показывают, что на стратифицированных псевдомногообразиях выбор ideal boundary conditions является содержательной частью теории. Том II не переносит их автоматически на любую NAPG-стратификацию; это остаётся proof obligation T2-PO-164-T2-PO-166.</w:t>
      </w:r>
    </w:p>
    <w:p>
      <w:pPr>
        <w:pStyle w:val="Heading1"/>
        <w:keepNext/>
      </w:pPr>
      <w:r>
        <w:t>138. Fredholm-секторы и индекс</w:t>
      </w:r>
    </w:p>
    <w:p>
      <w:pPr/>
      <w:r>
        <w:t>Определение 15.7. [CL/DEF] Замкнутый оператор T:D(T)⊂H_0→H_1 называется Fredholm, если ran T замкнут, dim ker T&lt;∞ и dim coker T&lt;∞. Его индекс равен</w:t>
      </w:r>
    </w:p>
    <w:p>
      <w:pPr>
        <w:pStyle w:val="Quote"/>
        <w:spacing w:before="60" w:after="100"/>
        <w:jc w:val="center"/>
      </w:pPr>
      <w:r>
        <w:rPr>
          <w:rFonts w:ascii="Liberation Serif" w:hAnsi="Liberation Serif"/>
          <w:i w:val="0"/>
          <w:sz w:val="21"/>
        </w:rPr>
        <w:t>ind T = dim ker T - dim coker T.                                                        (15.18)</w:t>
      </w:r>
    </w:p>
    <w:p>
      <w:pPr/>
      <w:r>
        <w:t>Для Z₂-градуированного Hodge-Dirac оператора D_H=d+δ вводится</w:t>
      </w:r>
    </w:p>
    <w:p>
      <w:pPr>
        <w:pStyle w:val="Quote"/>
        <w:spacing w:before="60" w:after="100"/>
        <w:jc w:val="center"/>
      </w:pPr>
      <w:r>
        <w:rPr>
          <w:rFonts w:ascii="Liberation Serif" w:hAnsi="Liberation Serif"/>
          <w:i w:val="0"/>
          <w:sz w:val="21"/>
        </w:rPr>
        <w:t>D_H^+ : H^{even} → H^{odd},    ind D_H^+ = sum_k (-1)^k dim H^k.                       (15.19)</w:t>
      </w:r>
    </w:p>
    <w:p>
      <w:pPr/>
      <w:r>
        <w:t>Равенство с эйлеровой характеристикой требует Fredholm-комплекса. В некомпактной или сингулярной задаче оно не выводится из формальной записи d+δ.</w:t>
      </w:r>
    </w:p>
    <w:p>
      <w:pPr/>
      <w:r>
        <w:t>Теорема 15.8 (стабильность индекса). [CL/THM] Индекс локально постоянен в непрерывном семействе Fredholm-операторов. Поэтому изменение ind D_H^+ возможно только при выходе из Fredholm-сектора: потере closed range, уходе ядра или коядра в бесконечность либо разрушении домена.</w:t>
      </w:r>
    </w:p>
    <w:p>
      <w:pPr/>
      <w:r>
        <w:t>Определение 15.8 (compact-resolvent sector). [CL/DEF] Самосопряжённая реализация Δ имеет компактный резольвент, если (Δ+I)^{-1} компактен. Тогда спектр дискретен, собственные значения имеют конечную кратность и стремятся к +∞. Наличие компактного резольвента является сильнее Fredholmness в фиксированной степени.</w:t>
      </w:r>
    </w:p>
    <w:p>
      <w:pPr>
        <w:pStyle w:val="Heading1"/>
        <w:keepNext/>
      </w:pPr>
      <w:r>
        <w:t>139. Гармоническая аналитика препятствий</w:t>
      </w:r>
    </w:p>
    <w:p>
      <w:pPr>
        <w:pStyle w:val="Heading2"/>
        <w:keepNext/>
      </w:pPr>
      <w:r>
        <w:t>139.1. Harmonic obstruction norm</w:t>
      </w:r>
    </w:p>
    <w:p>
      <w:pPr/>
      <w:r>
        <w:t>Пусть q∈Z^3(E) представляет внешний класс Π_E(o) главы 13, а выбранная реализация E^• удовлетворяет closed-range Hodge package. Определим</w:t>
      </w:r>
    </w:p>
    <w:p>
      <w:pPr>
        <w:pStyle w:val="Quote"/>
        <w:spacing w:before="60" w:after="100"/>
        <w:jc w:val="center"/>
      </w:pPr>
      <w:r>
        <w:rPr>
          <w:rFonts w:ascii="Liberation Serif" w:hAnsi="Liberation Serif"/>
          <w:i w:val="0"/>
          <w:sz w:val="21"/>
        </w:rPr>
        <w:t>h_E(o)=P_{𝓗_E^3}q,    η_H(o)=||h_E(o)||.                                               (15.20)</w:t>
      </w:r>
    </w:p>
    <w:p>
      <w:pPr/>
      <w:r>
        <w:t>Теорема 15.9 (точная аналитическая детекция). [THM/COND] При closed range величина η_H не зависит от представителя q и удовлетворяет</w:t>
      </w:r>
    </w:p>
    <w:p>
      <w:pPr>
        <w:pStyle w:val="Quote"/>
        <w:spacing w:before="60" w:after="100"/>
        <w:jc w:val="center"/>
      </w:pPr>
      <w:r>
        <w:rPr>
          <w:rFonts w:ascii="Liberation Serif" w:hAnsi="Liberation Serif"/>
          <w:i w:val="0"/>
          <w:sz w:val="21"/>
        </w:rPr>
        <w:t>η_H(o) = dist(q, ran d_E²),    η_H(o)=0 ⇔ Π_E(o)=0.                                   (15.21)</w:t>
      </w:r>
    </w:p>
    <w:p>
      <w:pPr/>
      <w:r>
        <w:t>Если Π_E faithful, ноль η_H эквивалентен нулю внутреннего класса o. Без инъективности внешний harmonic zero не исключает Blind_E.</w:t>
      </w:r>
    </w:p>
    <w:p>
      <w:pPr/>
      <w:r>
        <w:t>Определение 15.9 (analytic conditioning ledger). [DEF-A]</w:t>
      </w:r>
    </w:p>
    <w:p>
      <w:pPr>
        <w:pStyle w:val="Quote"/>
        <w:spacing w:before="60" w:after="100"/>
        <w:jc w:val="center"/>
      </w:pPr>
      <w:r>
        <w:rPr>
          <w:rFonts w:ascii="Liberation Serif" w:hAnsi="Liberation Serif"/>
          <w:i w:val="0"/>
          <w:sz w:val="21"/>
        </w:rPr>
        <w:t>Cond_H = (γ_3^{-1}, ||G_3||, ||P_H||, trace_constant, interface_constant).             (15.22)</w:t>
      </w:r>
    </w:p>
    <w:p>
      <w:pPr/>
      <w:r>
        <w:t>В самосопряжённой ортогональной модели ||P_H||=1, однако остальные величины могут расходиться при приближении к переходному горизонту. Пороговый прогноз без Cond_H запрещён.</w:t>
      </w:r>
    </w:p>
    <w:p>
      <w:pPr/>
      <w:r>
        <w:t>Теорема 15.10 (устойчивое ненулевое препятствие). [THM/COMP] Пусть на компактном параметрическом интервале I реализации Δ_{3,t} norm-resolvent continuous, harmonic rank постоянен, γ_3(t)≥g_0&gt;0, а q_t непрерывен. Тогда spectral projector</w:t>
      </w:r>
    </w:p>
    <w:p>
      <w:pPr>
        <w:pStyle w:val="Quote"/>
        <w:spacing w:before="60" w:after="100"/>
        <w:jc w:val="center"/>
      </w:pPr>
      <w:r>
        <w:rPr>
          <w:rFonts w:ascii="Liberation Serif" w:hAnsi="Liberation Serif"/>
          <w:i w:val="0"/>
          <w:sz w:val="21"/>
        </w:rPr>
        <w:t>P_t = (2πi)^{-1} contour_integral_Γ (z-Δ_{3,t})^{-1} dz                            (15.23)</w:t>
      </w:r>
    </w:p>
    <w:p>
      <w:pPr/>
      <w:r>
        <w:t>зависит непрерывно от t. Если η_H(t)≥ε_H&gt;0 на I, класс Π_{E,t}(o_t) не может исчезнуть на I. Это даёт отрицательный прогноз для переходов, требующих снятия данного внешнего препятствия.</w:t>
      </w:r>
    </w:p>
    <w:p>
      <w:pPr/>
      <w:r>
        <w:t>Следствие 15.10.1. Если η_H(t_0)=0 и uniform gap сохраняется, то в окрестности t_0 harmonic class остаётся малым, но точный ноль в соседних точках не следует без дополнительной структурной симметрии. Численная близость к нулю не является доказательством exactness.</w:t>
      </w:r>
    </w:p>
    <w:p>
      <w:pPr>
        <w:pStyle w:val="Heading1"/>
        <w:keepNext/>
      </w:pPr>
      <w:r>
        <w:t>140. Hodge-Fredholm переходный горизонт</w:t>
      </w:r>
    </w:p>
    <w:p>
      <w:pPr>
        <w:pStyle w:val="Quote"/>
        <w:spacing w:before="60" w:after="100"/>
        <w:jc w:val="center"/>
      </w:pPr>
      <w:r>
        <w:rPr>
          <w:rFonts w:ascii="Liberation Serif" w:hAnsi="Liberation Serif"/>
          <w:i w:val="0"/>
          <w:sz w:val="21"/>
        </w:rPr>
        <w:t>Δ_HF = Δ_{d²} ∪ Δ_{dom} ∪ Δ_{ell} ∪ Δ_{BC} ∪ Δ_{range} ∪ Δ_{gap} ∪ Δ_{harm} ∪ Δ_{int} ∪ Δ_D ∪ Δ_Dom ∪ Δ_{glue}.    (15.24)</w:t>
      </w:r>
    </w:p>
    <w:p>
      <w:pPr/>
      <w:r>
        <w:t>Компоненты означают соответственно: нарушение комплекса; смену operator domain; потерю ellipticity; дефект boundary condition; незамкнутость образа; закрытие spectral gap; изменение harmonic rank; разрушение transmission data; повреждение Evidence-D, Dom или descent.</w:t>
      </w:r>
    </w:p>
    <w:p>
      <w:pPr>
        <w:spacing w:before="80" w:after="40"/>
        <w:jc w:val="center"/>
      </w:pPr>
      <w:r>
        <w:drawing>
          <wp:inline xmlns:a="http://schemas.openxmlformats.org/drawingml/2006/main" xmlns:pic="http://schemas.openxmlformats.org/drawingml/2006/picture">
            <wp:extent cx="5652000" cy="3373629"/>
            <wp:docPr id="38" name="Picture 38"/>
            <wp:cNvGraphicFramePr>
              <a:graphicFrameLocks noChangeAspect="1"/>
            </wp:cNvGraphicFramePr>
            <a:graphic>
              <a:graphicData uri="http://schemas.openxmlformats.org/drawingml/2006/picture">
                <pic:pic>
                  <pic:nvPicPr>
                    <pic:cNvPr id="0" name="hf_horizon.png"/>
                    <pic:cNvPicPr/>
                  </pic:nvPicPr>
                  <pic:blipFill>
                    <a:blip r:embed="rId67"/>
                    <a:stretch>
                      <a:fillRect/>
                    </a:stretch>
                  </pic:blipFill>
                  <pic:spPr>
                    <a:xfrm>
                      <a:off x="0" y="0"/>
                      <a:ext cx="5652000" cy="3373629"/>
                    </a:xfrm>
                    <a:prstGeom prst="rect"/>
                  </pic:spPr>
                </pic:pic>
              </a:graphicData>
            </a:graphic>
          </wp:inline>
        </w:drawing>
      </w:r>
    </w:p>
    <w:p>
      <w:pPr>
        <w:pStyle w:val="Caption"/>
        <w:keepNext/>
        <w:jc w:val="center"/>
      </w:pPr>
      <w:r>
        <w:t>Рисунок 15.3. Hodge-Fredholm переходный горизонт и трёхзначный аналитический вывод. Собственная схема Тома II.</w:t>
      </w:r>
    </w:p>
    <w:p>
      <w:pPr/>
      <w:r>
        <w:t>Теорема 15.11 (необходимость пересечения аналитического горизонта). [THM/COND] В norm-resolvent continuous семействе Fredholm Hodge-реализаций с uniform gap, постоянным доменом и закрытыми D/Dom-условиями профиль</w:t>
      </w:r>
    </w:p>
    <w:p>
      <w:pPr>
        <w:pStyle w:val="Quote"/>
        <w:spacing w:before="60" w:after="100"/>
        <w:jc w:val="center"/>
      </w:pPr>
      <w:r>
        <w:rPr>
          <w:rFonts w:ascii="Liberation Serif" w:hAnsi="Liberation Serif"/>
          <w:i w:val="0"/>
          <w:sz w:val="21"/>
        </w:rPr>
        <w:t>P_HF(t)=(ind D_H,t^+, dim 𝓗_t^k, γ_k(t), η_H(t), ||G_k(t)||, BC_t, Interface_t, λ_t)   (15.25)</w:t>
      </w:r>
    </w:p>
    <w:p>
      <w:pPr/>
      <w:r>
        <w:t>локально устойчив по дискретным компонентам и непрерывен по численным компонентам. Изменение индекса, harmonic rank или сертифицированного boundary/interface type требует пересечения Δ_HF.</w:t>
      </w:r>
    </w:p>
    <w:p>
      <w:pPr/>
      <w:r>
        <w:t>Отрицательный прогноз главы имеет форму</w:t>
      </w:r>
    </w:p>
    <w:p>
      <w:pPr>
        <w:pStyle w:val="Quote"/>
        <w:spacing w:before="60" w:after="100"/>
        <w:jc w:val="center"/>
      </w:pPr>
      <w:r>
        <w:rPr>
          <w:rFonts w:ascii="Liberation Serif" w:hAnsi="Liberation Serif"/>
          <w:i w:val="0"/>
          <w:sz w:val="21"/>
        </w:rPr>
        <w:t>I ∩ Δ_HF = empty and η_H(t)≥ε_H  ⇒  removal of this obstruction is impossible in model. (15.26)</w:t>
      </w:r>
    </w:p>
    <w:p>
      <w:pPr/>
      <w:r>
        <w:t>Пересечение Δ_HF означает CANDIDATE-TRANSITION. Оно не доказывает существование nonlinear lift, глобального сечения, причинного механизма, вероятности либо физического события.</w:t>
      </w:r>
    </w:p>
    <w:p>
      <w:pPr>
        <w:pStyle w:val="Heading1"/>
        <w:keepNext/>
      </w:pPr>
      <w:r>
        <w:t>141. Hodge-слой и проективно-гармонический Reper</w:t>
      </w:r>
    </w:p>
    <w:p>
      <w:pPr/>
      <w:r>
        <w:t>Гармонический представитель h_E(o) живёт в конечномерном либо Fredholm-контролируемом пространстве 𝓗_E^3. Reper-кросс-соотношение живёт на четвёрке точек P¹. Между ними нет канонического отображения. Для связи требуется отдельный функциональный пакет</w:t>
      </w:r>
    </w:p>
    <w:p>
      <w:pPr>
        <w:pStyle w:val="Quote"/>
        <w:spacing w:before="60" w:after="100"/>
        <w:jc w:val="center"/>
      </w:pPr>
      <w:r>
        <w:rPr>
          <w:rFonts w:ascii="Liberation Serif" w:hAnsi="Liberation Serif"/>
          <w:i w:val="0"/>
          <w:sz w:val="21"/>
        </w:rPr>
        <w:t>χ_H = (R_H,I_H,U_H,D_H): P(𝓗_E^3) ⇢ (P¹)^4,    λ_H=cr(U_H,I_H;R_H,D_H).             (15.27)</w:t>
      </w:r>
    </w:p>
    <w:p>
      <w:pPr/>
      <w:r>
        <w:t>Карта определена только на ненулевых классах вне полюсов и после проверки однородности функционалов. Нулевой harmonic obstruction не projectivizes; это согласуется с zero-loss no-go главы 14.</w:t>
      </w:r>
    </w:p>
    <w:p>
      <w:pPr/>
      <w:r>
        <w:t>Определение 15.10 (Hodge-Reper certificate). [DEF-A]</w:t>
      </w:r>
    </w:p>
    <w:p>
      <w:pPr>
        <w:pStyle w:val="Quote"/>
        <w:spacing w:before="60" w:after="100"/>
        <w:jc w:val="center"/>
      </w:pPr>
      <w:r>
        <w:rPr>
          <w:rFonts w:ascii="Liberation Serif" w:hAnsi="Liberation Serif"/>
          <w:i w:val="0"/>
          <w:sz w:val="21"/>
        </w:rPr>
        <w:t>Cert_HF=(COMPLEX, DOMAIN, SYMBOL, BC, INTERFACE, FREDHOLM, GAP, HARM, BRIDGE, D, DOM, λ, HASH).   (15.28)</w:t>
      </w:r>
    </w:p>
    <w:p>
      <w:pPr/>
      <w:r>
        <w:t>Положительный структурный кандидат допускается только при наличии всех полей сертификата. Пропуск одного поля переводит вывод в ABSTAIN, а не в «почти доказано».</w:t>
      </w:r>
    </w:p>
    <w:p>
      <w:pPr>
        <w:pStyle w:val="Heading1"/>
        <w:keepNext/>
      </w:pPr>
      <w:r>
        <w:t>142. Главная условная теорема T2-RP-v0.12</w:t>
      </w:r>
    </w:p>
    <w:p>
      <w:pPr/>
      <w:r>
        <w:t>Теорема 15.12 (Hodge-Fredholm-safe predictive theorem). [COND] Пусть семейство NAPG-кадров N_t снабжено внешними комплексами E_t и реализациями Hodge-Laplacian, для которых:</w:t>
      </w:r>
    </w:p>
    <w:p>
      <w:pPr>
        <w:pStyle w:val="ListNumber"/>
        <w:spacing w:after="40"/>
      </w:pPr>
      <w:r>
        <w:t>E_t является Hilbert-комплексом и d_t²=0 на общем типизированном домене;</w:t>
      </w:r>
    </w:p>
    <w:p>
      <w:pPr>
        <w:pStyle w:val="ListNumber"/>
        <w:spacing w:after="40"/>
      </w:pPr>
      <w:r>
        <w:t>на каждой гладкой страте symbol-sequence эллиптична;</w:t>
      </w:r>
    </w:p>
    <w:p>
      <w:pPr>
        <w:pStyle w:val="ListNumber"/>
        <w:spacing w:after="40"/>
      </w:pPr>
      <w:r>
        <w:t>граничные и transmission conditions образуют замкнутую Fredholm-реализацию;</w:t>
      </w:r>
    </w:p>
    <w:p>
      <w:pPr>
        <w:pStyle w:val="ListNumber"/>
        <w:spacing w:after="40"/>
      </w:pPr>
      <w:r>
        <w:t>семейство непрерывно в norm-resolvent либо эквивалентно контролируемом смысле;</w:t>
      </w:r>
    </w:p>
    <w:p>
      <w:pPr>
        <w:pStyle w:val="ListNumber"/>
        <w:spacing w:after="40"/>
      </w:pPr>
      <w:r>
        <w:t>положительный спектр отделён от нуля uniform gap g_0&gt;0;</w:t>
      </w:r>
    </w:p>
    <w:p>
      <w:pPr>
        <w:pStyle w:val="ListNumber"/>
        <w:spacing w:after="40"/>
      </w:pPr>
      <w:r>
        <w:t>ранги harmonic spaces постоянны на исследуемом интервале;</w:t>
      </w:r>
    </w:p>
    <w:p>
      <w:pPr>
        <w:pStyle w:val="ListNumber"/>
        <w:spacing w:after="40"/>
      </w:pPr>
      <w:r>
        <w:t>внешний мост Π_E корректен; обратная ветвь используется только при B6;</w:t>
      </w:r>
    </w:p>
    <w:p>
      <w:pPr>
        <w:pStyle w:val="ListNumber"/>
        <w:spacing w:after="40"/>
      </w:pPr>
      <w:r>
        <w:t>гармонический obstruction section q_t и Evidence-D непрерывны;</w:t>
      </w:r>
    </w:p>
    <w:p>
      <w:pPr>
        <w:pStyle w:val="ListNumber"/>
        <w:spacing w:after="40"/>
      </w:pPr>
      <w:r>
        <w:t>D/Dom, projective charts и globalization data неизменны;</w:t>
      </w:r>
    </w:p>
    <w:p>
      <w:pPr>
        <w:pStyle w:val="ListNumber"/>
        <w:spacing w:after="40"/>
      </w:pPr>
      <w:r>
        <w:t>Hodge-Reper bridge χ_H типизирован и не пересекает полюсный локус;</w:t>
      </w:r>
    </w:p>
    <w:p>
      <w:pPr>
        <w:pStyle w:val="ListNumber"/>
        <w:spacing w:after="40"/>
      </w:pPr>
      <w:r>
        <w:t>предыдущие tangent, holonomy, differential, external и projective blockers закрыты;</w:t>
      </w:r>
    </w:p>
    <w:p>
      <w:pPr>
        <w:pStyle w:val="ListNumber"/>
        <w:spacing w:after="40"/>
      </w:pPr>
      <w:r>
        <w:t>сертификат HOD-AN воспроизводим по зафиксированным данным и хешам.</w:t>
      </w:r>
    </w:p>
    <w:p>
      <w:pPr/>
      <w:r>
        <w:t>Тогда вне Δ_HF индекс, harmonic rank и сертифицированный аналитический тип постоянны. Если η_H(t)≥ε_H&gt;0, исчезновение данного внешнего препятствия невозможно. Если η_H(t)=0, это означает лишь снятие данного линейно-когомологического препятствия; существование полной NAPG-деформации, глобального решения и доменного события остаётся отдельной задачей.</w:t>
      </w:r>
    </w:p>
    <w:p>
      <w:pPr/>
      <w:r>
        <w:t>Доказательство. Постоянство Fredholm index следует из открытости Fredholm-сектора; постоянство harmonic rank и непрерывность spectral projector - из uniform isolation нулевого спектрального кластера; (15.21) переводит ненулевую гармоническую норму в ненулевой внешний класс. Остальные утверждения следуют из firewall-условий B1-B8 и предыдущих глав. Теорема не создаёт физическую динамику и потому сохраняет статус COND.</w:t>
      </w:r>
    </w:p>
    <w:p>
      <w:pPr>
        <w:pStyle w:val="Heading1"/>
        <w:keepNext/>
      </w:pPr>
      <w:r>
        <w:t>143. Blocker-safe аналитический вывод</w:t>
      </w:r>
    </w:p>
    <w:p>
      <w:pPr>
        <w:pStyle w:val="Quote"/>
        <w:spacing w:before="60" w:after="100"/>
        <w:jc w:val="center"/>
      </w:pPr>
      <w:r>
        <w:rPr>
          <w:rFonts w:ascii="Liberation Serif" w:hAnsi="Liberation Serif"/>
          <w:i w:val="0"/>
          <w:sz w:val="21"/>
        </w:rPr>
        <w:t>Block_HF = B_complex ∪ B_domain ∪ B_symbol ∪ B_BC ∪ B_interface ∪ B_range ∪ B_gap ∪ B_bridge ∪ B_D ∪ B_Dom ∪ B_glue ∪ B_ind.   (15.29)</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Вывод</w:t>
            </w:r>
          </w:p>
        </w:tc>
        <w:tc>
          <w:tcPr>
            <w:tcW w:type="dxa" w:w="345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Необходимое условие</w:t>
            </w:r>
          </w:p>
        </w:tc>
        <w:tc>
          <w:tcPr>
            <w:tcW w:type="dxa" w:w="328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Запрещённая интерпретация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NO-OBSTRUCTION-REMOVAL-IN-MODEL</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Block_HF=empty и η_H≥ε_H</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невозможность иных типов перехода</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CANDIDATE-ANALYTIC-TRANSITION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интервал встречает Δ_HF и сертификат не разрушен</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наступление события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ABSTAIN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есть blocker либо нет uniform numerical margin</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заменяется экспертным оптимизмом</w:t>
            </w:r>
          </w:p>
        </w:tc>
      </w:tr>
    </w:tbl>
    <w:p>
      <w:pPr>
        <w:pStyle w:val="Heading1"/>
        <w:keepNext/>
      </w:pPr>
      <w:r>
        <w:t>144. Контрпримеры и разделяющие модели</w:t>
      </w:r>
    </w:p>
    <w:p>
      <w:pPr/>
      <w:r>
        <w:t>Контртеорема 15.13. [THM] Каждая из следующих импликаций неверна без дополнительных гипотез:</w:t>
      </w:r>
    </w:p>
    <w:p>
      <w:pPr>
        <w:pStyle w:val="ListBullet"/>
        <w:spacing w:after="40"/>
      </w:pPr>
      <w:r>
        <w:t>d²=0 ⇒ комплекс эллиптичен;</w:t>
      </w:r>
    </w:p>
    <w:p>
      <w:pPr>
        <w:pStyle w:val="ListBullet"/>
        <w:spacing w:after="40"/>
      </w:pPr>
      <w:r>
        <w:t>формальная симметрия Δ ⇒ выбранная реализация самосопряжённа;</w:t>
      </w:r>
    </w:p>
    <w:p>
      <w:pPr>
        <w:pStyle w:val="ListBullet"/>
        <w:spacing w:after="40"/>
      </w:pPr>
      <w:r>
        <w:t>dim 𝓗^k постоянно ⇒ конкретный harmonic obstruction не может обратиться в нуль;</w:t>
      </w:r>
    </w:p>
    <w:p>
      <w:pPr>
        <w:pStyle w:val="ListBullet"/>
        <w:spacing w:after="40"/>
      </w:pPr>
      <w:r>
        <w:t>η_H мало ⇒ класс точно нулевой;</w:t>
      </w:r>
    </w:p>
    <w:p>
      <w:pPr>
        <w:pStyle w:val="ListBullet"/>
        <w:spacing w:after="40"/>
      </w:pPr>
      <w:r>
        <w:t>η_H=0 ⇒ существует nonlinear NAPG-lift;</w:t>
      </w:r>
    </w:p>
    <w:p>
      <w:pPr>
        <w:pStyle w:val="ListBullet"/>
        <w:spacing w:after="40"/>
      </w:pPr>
      <w:r>
        <w:t>Fredholmness на каждой страте ⇒ total stratified operator Fredholm без transmission conditions;</w:t>
      </w:r>
    </w:p>
    <w:p>
      <w:pPr>
        <w:pStyle w:val="ListBullet"/>
        <w:spacing w:after="40"/>
      </w:pPr>
      <w:r>
        <w:t>ненулевой spectral flow ⇒ физический переход;</w:t>
      </w:r>
    </w:p>
    <w:p>
      <w:pPr>
        <w:pStyle w:val="ListBullet"/>
        <w:spacing w:after="40"/>
      </w:pPr>
      <w:r>
        <w:t>неассоциативность ⊙ ⇒ ненулевая principal-symbol curvature.</w:t>
      </w:r>
    </w:p>
    <w:p>
      <w:pPr/>
      <w:r>
        <w:t>Модель A: d=0 на бесконечномерном H. Имеем d²=0 и Δ=0, но dim ker Δ=∞ и Fredholmness отсутствует.</w:t>
      </w:r>
    </w:p>
    <w:p>
      <w:pPr/>
      <w:r>
        <w:t>Модель B: -d²/dx² на [0,1]. Одно формальное выражение с Dirichlet и Neumann доменами имеет разные нулевые моды и спектры.</w:t>
      </w:r>
    </w:p>
    <w:p>
      <w:pPr/>
      <w:r>
        <w:t>Модель C: Δ_t=diag(t²,1,2,3,...) на ℓ². При t≠0 ядро нулевое, при t=0 возникает одномерная harmonic mode; переход сопровождается закрытием gap.</w:t>
      </w:r>
    </w:p>
    <w:p>
      <w:pPr/>
      <w:r>
        <w:t>Модель D: q_t=t h в фиксированном одномерном 𝓗. Размерность harmonic space постоянна, но конкретный класс проходит через ноль при t=0. Значит, Betti number не заменяет tracking section.</w:t>
      </w:r>
    </w:p>
    <w:p>
      <w:pPr/>
      <w:r>
        <w:t>Модель E: семейство матриц Ψ_ε=diag(1,ε). Остаток может быть нулевым, но минимальный lift растёт как ε^{-1}; exactness не равна численной устойчивости.</w:t>
      </w:r>
    </w:p>
    <w:p>
      <w:pPr/>
      <w:r>
        <w:t>Модель F: прямая сумма двух страт без interface equations имеет две независимые константные harmonic modes. После условия совпадения следов остаётся одна. Стратовые Betti numbers не складываются автоматически.</w:t>
      </w:r>
    </w:p>
    <w:p>
      <w:pPr>
        <w:pStyle w:val="Heading1"/>
        <w:keepNext/>
      </w:pPr>
      <w:r>
        <w:t>145. Вычислительный сертификат HOD-AN v0.12</w:t>
      </w:r>
    </w:p>
    <w:p>
      <w:pPr>
        <w:pStyle w:val="Heading2"/>
        <w:keepNext/>
      </w:pPr>
      <w:r>
        <w:t>145.1. Псевдокод</w:t>
      </w:r>
    </w:p>
    <w:p>
      <w:pPr>
        <w:pStyle w:val="Quote"/>
      </w:pPr>
      <w:r>
        <w:t>INPUT graded Hilbert data, differential d, metric/Hodge data, boundary and interface domains, obstruction q, Reper D/Dom</w:t>
        <w:br/>
        <w:t>CHECK dense_domain(d), closed_operator(d), composition_defined(d,d), d^2=0</w:t>
        <w:br/>
        <w:t>BUILD adjoints and Laplacians with explicit domains</w:t>
        <w:br/>
        <w:t>CHECK principal_symbol_exactness for every nonzero cotangent direction</w:t>
        <w:br/>
        <w:t>CHECK boundary/interface ellipticity and self-adjoint or Fredholm realization</w:t>
        <w:br/>
        <w:t>COMPUTE kernel, cokernel, index, harmonic projector, positive spectral gap</w:t>
        <w:br/>
        <w:t>COMPUTE eta_H=norm(P_H q), Green bound and conditioning ledger</w:t>
        <w:br/>
        <w:t>CHECK external bridge Pi_E and faithful flag for reverse detection</w:t>
        <w:br/>
        <w:t>CHECK Reper bridge chi_H, lambda domain, Evidence-D and globalization</w:t>
        <w:br/>
        <w:t>IF any blocker: ABSTAIN</w:t>
        <w:br/>
        <w:t>ELSE IF eta_H &gt;= epsilon and path avoids Delta_HF: NO-OBSTRUCTION-REMOVAL-IN-MODEL</w:t>
        <w:br/>
        <w:t>ELSE IF path meets Delta_HF with certified margins: CANDIDATE-ANALYTIC-TRANSITION</w:t>
        <w:br/>
        <w:t>ELSE: ABSTAIN</w:t>
        <w:br/>
        <w:t>EMIT matrices/operators, domains, spectra, residuals, hashes, proof-obligation statuses</w:t>
      </w:r>
    </w:p>
    <w:p>
      <w:pPr/>
      <w:r>
        <w:t>Минимальный пакет HOD-01-HOD-20:</w:t>
      </w:r>
    </w:p>
    <w:p>
      <w:pPr>
        <w:pStyle w:val="ListBullet"/>
        <w:spacing w:after="40"/>
      </w:pPr>
      <w:r>
        <w:t>HOD-01 spaces and grading; HOD-02 exact operator domains; HOD-03 d² test;</w:t>
      </w:r>
    </w:p>
    <w:p>
      <w:pPr>
        <w:pStyle w:val="ListBullet"/>
        <w:spacing w:after="40"/>
      </w:pPr>
      <w:r>
        <w:t>HOD-04 adjoint-domain test; HOD-05 principal-symbol rank test; HOD-06 ellipticity certificate;</w:t>
      </w:r>
    </w:p>
    <w:p>
      <w:pPr>
        <w:pStyle w:val="ListBullet"/>
        <w:spacing w:after="40"/>
      </w:pPr>
      <w:r>
        <w:t>HOD-07 boundary traces; HOD-08 complementing condition; HOD-09 interface compatibility;</w:t>
      </w:r>
    </w:p>
    <w:p>
      <w:pPr>
        <w:pStyle w:val="ListBullet"/>
        <w:spacing w:after="40"/>
      </w:pPr>
      <w:r>
        <w:t>HOD-10 Fredholm kernel/cokernel; HOD-11 index; HOD-12 compact-resolvent flag;</w:t>
      </w:r>
    </w:p>
    <w:p>
      <w:pPr>
        <w:pStyle w:val="ListBullet"/>
        <w:spacing w:after="40"/>
      </w:pPr>
      <w:r>
        <w:t>HOD-13 harmonic basis; HOD-14 spectral gap with interval enclosure; HOD-15 Green norm bound;</w:t>
      </w:r>
    </w:p>
    <w:p>
      <w:pPr>
        <w:pStyle w:val="ListBullet"/>
        <w:spacing w:after="40"/>
      </w:pPr>
      <w:r>
        <w:t>HOD-16 η_H and exact residual; HOD-17 Π_E compatibility; HOD-18 χ_H and λ-domain;</w:t>
      </w:r>
    </w:p>
    <w:p>
      <w:pPr>
        <w:pStyle w:val="ListBullet"/>
        <w:spacing w:after="40"/>
      </w:pPr>
      <w:r>
        <w:t>HOD-19 blocker-safe verdict; HOD-20 source, environment and artifact hashes.</w:t>
      </w:r>
    </w:p>
    <w:p>
      <w:pPr>
        <w:pStyle w:val="Heading1"/>
        <w:keepNext/>
      </w:pPr>
      <w:r>
        <w:t>146. Доказательные обязательства T2-PO-146-T2-PO-170</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24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PO</w:t>
            </w:r>
          </w:p>
        </w:tc>
        <w:tc>
          <w:tcPr>
            <w:tcW w:type="dxa" w:w="3402"/>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Обязательство</w:t>
            </w:r>
          </w:p>
        </w:tc>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Статус</w:t>
            </w:r>
          </w:p>
        </w:tc>
        <w:tc>
          <w:tcPr>
            <w:tcW w:type="dxa" w:w="311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Условие закрытия / результат</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Hilbert-complex domains and closedness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операторная спецификация (15.1)</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weak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теорема Hilbert-комплекса</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strong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closed-range hypothesis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 reduced cohomology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ортогональное разложение</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ordinary cohomology = harmonic</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ran d closed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Poincare estimate and spectral gap</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self-adjoint closed-range sector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Green operator and lift estimate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uniform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elliptic symbol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exact symbol sequence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Laplace-type identification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model-specific principal symbol</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absolute/relative boundary realization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smooth compact boundary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general NAPG boundary Fredholmness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Lopatinski-Shapiro / APS data</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stratified interface domain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transmission maps required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Fredholm index constancy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continuous Fredholm family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compact resolvent on NAPG strata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compactness and ideal BC</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residual formula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 range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spectral projector stability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norm-resolvent continuity and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analytic obstruction bundle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constant harmonic rank</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Hodge-Reper bridge chi_H</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homogeneous functionals and pole audit</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Cheeger-type singular Hodge sector</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stratified pseudomanifold hypotheses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mezzoperversity / ideal BC choice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domain classification</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uniform interval spectral certification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OPEN/COMP</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validated eigensolver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Pi_E and Blind_E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B1-B6</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beta_Ass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separate chain bridge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independent domain run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 EXT-RUN supplied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T2-PO-170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Hodge-Fredholm predictive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H1-H12 and certificate HOD-AN</w:t>
            </w:r>
          </w:p>
        </w:tc>
      </w:tr>
    </w:tbl>
    <w:p>
      <w:pPr>
        <w:pStyle w:val="Heading1"/>
        <w:keepNext/>
      </w:pPr>
      <w:r>
        <w:t>147. Prior art и граница авторского вклада</w:t>
      </w:r>
    </w:p>
    <w:p>
      <w:pPr/>
      <w:r>
        <w:t>Классический аналитический слой включает harmonic fields, Hilbert-комплексы, Hodge decomposition, elliptic complexes, Fredholm index, boundary estimates и perturbation theory. Эти конструкции не заявляются как новые. Авторская линия Курпишева состоит в их типизированном соединении с NAPG 3.0, внутренним C_min, внешним E-мостом, projective obstruction carrier, D/Dom-дисциплиной и blocker-safe предсказательным горизонтом.</w:t>
      </w:r>
    </w:p>
    <w:p>
      <w:pPr/>
      <w:r>
        <w:t>[V0.12-1] Kodaira, K. Harmonic Fields in Riemannian Manifolds (Generalized Potential Theory). Annals of Mathematics 50(3), 587-665 (1949). DOI 10.2307/1969552.</w:t>
      </w:r>
    </w:p>
    <w:p>
      <w:pPr/>
      <w:r>
        <w:t>[V0.12-2] Gaffney, M. P. Hilbert Space Methods in the Theory of Harmonic Integrals. Transactions of the AMS 78(2), 426-444 (1955). DOI 10.1090/S0002-9947-1955-0068888-1.</w:t>
      </w:r>
    </w:p>
    <w:p>
      <w:pPr/>
      <w:r>
        <w:t>[V0.12-3] Brüning, J.; Lesch, M. Hilbert Complexes. Journal of Functional Analysis 108(1), 88-132 (1992). DOI 10.1016/0022-1236(92)90147-B.</w:t>
      </w:r>
    </w:p>
    <w:p>
      <w:pPr/>
      <w:r>
        <w:t>[V0.12-4] Atiyah, M. F.; Singer, I. M. The Index of Elliptic Operators I. Annals of Mathematics 87(3), 484-530 (1968). DOI 10.2307/1970715.</w:t>
      </w:r>
    </w:p>
    <w:p>
      <w:pPr/>
      <w:r>
        <w:t>[V0.12-5] Agmon, S.; Douglis, A.; Nirenberg, L. Estimates Near the Boundary for Solutions of Elliptic PDE Satisfying General Boundary Conditions I. CPAM 12(4), 623-727 (1959). DOI 10.1002/cpa.3160120405.</w:t>
      </w:r>
    </w:p>
    <w:p>
      <w:pPr/>
      <w:r>
        <w:t>[V0.12-6] Kato, T. Perturbation Theory for Linear Operators. 2nd ed., Springer, 1995. DOI 10.1007/978-3-642-66282-9.</w:t>
      </w:r>
    </w:p>
    <w:p>
      <w:pPr/>
      <w:r>
        <w:t>[V0.12-7] Cheeger, J. On the Hodge Theory of Riemannian Pseudomanifolds. Proc. Sympos. Pure Math. 36, 91-146 (1980).</w:t>
      </w:r>
    </w:p>
    <w:p>
      <w:pPr/>
      <w:r>
        <w:t>[V0.12-8] Bär, C.; Ballmann, W. Boundary Value Problems for Elliptic Differential Operators of First Order. Surveys in Differential Geometry 17, 1-78 (2012). DOI 10.4310/SDG.2012.v17.n1.a1.</w:t>
      </w:r>
    </w:p>
    <w:p>
      <w:pPr/>
      <w:r>
        <w:t>[V0.12-9] Kurpishev, I. B. Том I v197 RU; Том II T2-RP-v0.1-v0.11.</w:t>
      </w:r>
    </w:p>
    <w:p>
      <w:pPr/>
      <w:r>
        <w:t>Граница новизны. Нельзя называть авторским открытием Hodge decomposition, ellipticity, Fredholm index или спектральную perturbation theory. Авторским является конкретный KLT-RBD/NAPG-контракт, в котором аналитический сертификат связывается с obstruction carriers, проективно-гармонической авторизацией, Evidence-D и трёхзначным выводом NO-TRANSITION / CANDIDATE / ABSTAIN.</w:t>
      </w:r>
    </w:p>
    <w:p>
      <w:pPr>
        <w:pStyle w:val="Heading1"/>
        <w:keepNext/>
      </w:pPr>
      <w:r>
        <w:t>148. Итог главы и контрольная точка T2-RP-v0.12</w:t>
      </w:r>
    </w:p>
    <w:p>
      <w:pPr>
        <w:pStyle w:val="Quote"/>
        <w:spacing w:before="60" w:after="100"/>
        <w:jc w:val="center"/>
      </w:pPr>
      <w:r>
        <w:rPr>
          <w:rFonts w:ascii="Liberation Serif" w:hAnsi="Liberation Serif"/>
          <w:i w:val="0"/>
          <w:sz w:val="21"/>
        </w:rPr>
        <w:t>truth_layer_promotion=0; checkpoint=T2-RP-v0.12; next=T2-RP-v0.13.                  (15.30)</w:t>
      </w:r>
    </w:p>
    <w:p>
      <w:pPr/>
      <w:r>
        <w:t>Глава 15 построила аналитический слой NAPG: от замкнутого Hilbert-комплекса и operator domains до Hodge decomposition, elliptic/Fredholm realization, boundary/interface firewall, spectral gap и harmonic obstruction norm. Главный отрицательный результат состоит в том, что устойчиво ненулевой гармонический класс, отделённый от нуля uniform margin, не может исчезнуть внутри сертифицированной модели без пересечения Hodge-Fredholm горизонта.</w:t>
      </w:r>
    </w:p>
    <w:p>
      <w:pPr>
        <w:pStyle w:val="Lead"/>
      </w:pPr>
      <w:r>
        <w:t>Следующая сборка tom2_v0_13 развивает каноническую главу 16: деформационные функторы, moduli и derived tangent structures, miniversal families, Kuranishi maps, высшие obstruction classes и связь с уже построенным аналитическим Green-оператором.</w:t>
      </w:r>
    </w:p>
    <w:p>
      <w:pPr>
        <w:pStyle w:val="Small"/>
      </w:pPr>
      <w:r>
        <w:t>checkpoint=T2-RP-v0.12; source=T2-RP-v0.11; truth_layer_promotion=0; next=T2-RP-v0.13.</w:t>
      </w:r>
    </w:p>
    <w:p>
      <w:r>
        <w:br w:type="page"/>
      </w:r>
    </w:p>
    <w:p>
      <w:pPr>
        <w:pStyle w:val="Heading1"/>
        <w:keepNext/>
      </w:pPr>
      <w:r>
        <w:t>149. Глава 16. Деформационные функторы, пространства модулей и отображение Кураниши</w:t>
      </w:r>
    </w:p>
    <w:p>
      <w:pPr>
        <w:pStyle w:val="Lead"/>
        <w:spacing w:after="100"/>
      </w:pPr>
      <w:r>
        <w:t>Глава переводит локальную деформационную теорию NAPG из языка отдельных касательных направлений в язык функторов на артиевых базах, группоидов деформаций и локальных модульных объектов. Основная задача состоит в том, чтобы определить, когда формальный tangent class действительно принадлежит miniversal family, какие высшие препятствия мешают продолжению и как Hodge-Green слой v0.12 строит конечномерную Kuranishi reduction без подмены локального модульного germ физическим прогнозом.</w:t>
      </w:r>
    </w:p>
    <w:tbl>
      <w:tblPr>
        <w:tblStyle w:val="TableGrid"/>
        <w:tblW w:type="auto" w:w="0"/>
        <w:jc w:val="center"/>
        <w:tblLook w:firstColumn="1" w:firstRow="1" w:lastColumn="0" w:lastRow="0" w:noHBand="0" w:noVBand="1" w:val="04A0"/>
      </w:tblPr>
      <w:tblGrid>
        <w:gridCol w:w="2376"/>
        <w:gridCol w:w="7488"/>
      </w:tblGrid>
      <w:tr>
        <w:tc>
          <w:tcPr>
            <w:tcW w:type="dxa" w:w="4876"/>
            <w:vAlign w:val="center"/>
            <w:tcMar>
              <w:top w:w="90" w:type="dxa"/>
              <w:start w:w="110" w:type="dxa"/>
              <w:bottom w:w="90" w:type="dxa"/>
              <w:end w:w="110" w:type="dxa"/>
            </w:tcMar>
            <w:shd w:fill="173b63"/>
          </w:tcPr>
          <w:p>
            <w:pPr>
              <w:jc w:val="center"/>
            </w:pPr>
            <w:r/>
            <w:r>
              <w:rPr>
                <w:b/>
                <w:color w:val="FFFFFF"/>
                <w:sz w:val="20"/>
              </w:rPr>
              <w:t>ОНТОЛОГИЯ</w:t>
            </w:r>
          </w:p>
        </w:tc>
        <w:tc>
          <w:tcPr>
            <w:tcW w:type="dxa" w:w="4876"/>
            <w:vAlign w:val="center"/>
            <w:tcMar>
              <w:top w:w="90" w:type="dxa"/>
              <w:start w:w="110" w:type="dxa"/>
              <w:bottom w:w="90" w:type="dxa"/>
              <w:end w:w="110" w:type="dxa"/>
            </w:tcMar>
            <w:shd w:fill="eef3f8"/>
          </w:tcPr>
          <w:p>
            <w:pPr>
              <w:jc w:val="left"/>
            </w:pPr>
            <w:r/>
            <w:r>
              <w:rPr>
                <w:b w:val="0"/>
                <w:sz w:val="20"/>
              </w:rPr>
              <w:t>Модульный объект описывает не одну структуру, а пространство допустимых способов её изменения с учётом эквивалентностей и автоморфизмов. Его точкой является деформация вместе с происхождением, а не просто набор коэффициентов.</w:t>
            </w:r>
          </w:p>
        </w:tc>
      </w:tr>
      <w:tr>
        <w:tc>
          <w:tcPr>
            <w:tcW w:type="dxa" w:w="4876"/>
            <w:vAlign w:val="center"/>
            <w:tcMar>
              <w:top w:w="90" w:type="dxa"/>
              <w:start w:w="110" w:type="dxa"/>
              <w:bottom w:w="90" w:type="dxa"/>
              <w:end w:w="110" w:type="dxa"/>
            </w:tcMar>
            <w:shd w:fill="173b63"/>
          </w:tcPr>
          <w:p>
            <w:pPr>
              <w:jc w:val="center"/>
            </w:pPr>
            <w:r/>
            <w:r>
              <w:rPr>
                <w:b/>
                <w:color w:val="FFFFFF"/>
                <w:sz w:val="20"/>
              </w:rPr>
              <w:t>ГНОСЕОЛОГИЯ</w:t>
            </w:r>
          </w:p>
        </w:tc>
        <w:tc>
          <w:tcPr>
            <w:tcW w:type="dxa" w:w="4876"/>
            <w:vAlign w:val="center"/>
            <w:tcMar>
              <w:top w:w="90" w:type="dxa"/>
              <w:start w:w="110" w:type="dxa"/>
              <w:bottom w:w="90" w:type="dxa"/>
              <w:end w:w="110" w:type="dxa"/>
            </w:tcMar>
            <w:shd w:fill="eef3f8"/>
          </w:tcPr>
          <w:p>
            <w:pPr>
              <w:jc w:val="left"/>
            </w:pPr>
            <w:r/>
            <w:r>
              <w:rPr>
                <w:b w:val="0"/>
                <w:sz w:val="20"/>
              </w:rPr>
              <w:t>Касательная когомология сообщает только первый порядок. Знание локального будущего требует lifting over small extensions, obstruction classes, сходимости формальной серии и сохранения D/Dom.</w:t>
            </w:r>
          </w:p>
        </w:tc>
      </w:tr>
      <w:tr>
        <w:tc>
          <w:tcPr>
            <w:tcW w:type="dxa" w:w="4876"/>
            <w:vAlign w:val="center"/>
            <w:tcMar>
              <w:top w:w="90" w:type="dxa"/>
              <w:start w:w="110" w:type="dxa"/>
              <w:bottom w:w="90" w:type="dxa"/>
              <w:end w:w="110" w:type="dxa"/>
            </w:tcMar>
            <w:shd w:fill="173b63"/>
          </w:tcPr>
          <w:p>
            <w:pPr>
              <w:jc w:val="center"/>
            </w:pPr>
            <w:r/>
            <w:r>
              <w:rPr>
                <w:b/>
                <w:color w:val="FFFFFF"/>
                <w:sz w:val="20"/>
              </w:rPr>
              <w:t>ФЕНОМЕНОЛОГИЯ</w:t>
            </w:r>
          </w:p>
        </w:tc>
        <w:tc>
          <w:tcPr>
            <w:tcW w:type="dxa" w:w="4876"/>
            <w:vAlign w:val="center"/>
            <w:tcMar>
              <w:top w:w="90" w:type="dxa"/>
              <w:start w:w="110" w:type="dxa"/>
              <w:bottom w:w="90" w:type="dxa"/>
              <w:end w:w="110" w:type="dxa"/>
            </w:tcMar>
            <w:shd w:fill="eef3f8"/>
          </w:tcPr>
          <w:p>
            <w:pPr>
              <w:jc w:val="left"/>
            </w:pPr>
            <w:r/>
            <w:r>
              <w:rPr>
                <w:b w:val="0"/>
                <w:sz w:val="20"/>
              </w:rPr>
              <w:t>Наблюдаемая ветвь семейства возникает как путь в нулевом локусе Kuranishi map. Сингулярность этого локуса выражает конкуренцию допустимых способов продолжения, но не является сама по себе физической катастрофой.</w:t>
            </w:r>
          </w:p>
        </w:tc>
      </w:tr>
      <w:tr>
        <w:tc>
          <w:tcPr>
            <w:tcW w:type="dxa" w:w="4876"/>
            <w:vAlign w:val="center"/>
            <w:tcMar>
              <w:top w:w="90" w:type="dxa"/>
              <w:start w:w="110" w:type="dxa"/>
              <w:bottom w:w="90" w:type="dxa"/>
              <w:end w:w="110" w:type="dxa"/>
            </w:tcMar>
            <w:shd w:fill="a77618"/>
          </w:tcPr>
          <w:p>
            <w:pPr>
              <w:jc w:val="center"/>
            </w:pPr>
            <w:r/>
            <w:r>
              <w:rPr>
                <w:b/>
                <w:color w:val="FFFFFF"/>
                <w:sz w:val="20"/>
              </w:rPr>
              <w:t>ГРАНИЦА</w:t>
            </w:r>
          </w:p>
        </w:tc>
        <w:tc>
          <w:tcPr>
            <w:tcW w:type="dxa" w:w="4876"/>
            <w:vAlign w:val="center"/>
            <w:tcMar>
              <w:top w:w="90" w:type="dxa"/>
              <w:start w:w="110" w:type="dxa"/>
              <w:bottom w:w="90" w:type="dxa"/>
              <w:end w:w="110" w:type="dxa"/>
            </w:tcMar>
            <w:shd w:fill="f8efd9"/>
          </w:tcPr>
          <w:p>
            <w:pPr>
              <w:jc w:val="left"/>
            </w:pPr>
            <w:r/>
            <w:r>
              <w:rPr>
                <w:b w:val="0"/>
                <w:sz w:val="20"/>
              </w:rPr>
              <w:t>Schlessinger hull, DGLA/L_infinity control, Kuranishi map и derived formal moduli применяются только при явно перечисленных гипотезах. Для общей NAPG-операции controlling algebra пока является отдельным доказательным обязательством.</w:t>
            </w:r>
          </w:p>
        </w:tc>
      </w:tr>
    </w:tbl>
    <w:p>
      <w:pPr>
        <w:pStyle w:val="Heading1"/>
        <w:keepNext/>
      </w:pPr>
      <w:r>
        <w:t>150. Категория артиевых баз и деформационный функтор</w:t>
      </w:r>
    </w:p>
    <w:p>
      <w:pPr>
        <w:spacing w:after="100"/>
      </w:pPr>
      <w:r>
        <w:t>Пусть K - поле характеристики 0, если не оговорено иное. Обозначим через Art_K категорию локальных артиевых K-алгебр A с полем вычетов K и морфизмами, индуцирующими тождество на K. Максимальный идеал обозначается m_A; он нильпотентен.</w:t>
      </w:r>
    </w:p>
    <w:p>
      <w:pPr>
        <w:pStyle w:val="Quote"/>
        <w:spacing w:before="80" w:after="120"/>
        <w:jc w:val="center"/>
      </w:pPr>
      <w:r>
        <w:t>Art_K = { (A,m_A) : A/m_A ≅ K,  m_A^N=0 для некоторого N }.                       (16.1)</w:t>
      </w:r>
    </w:p>
    <w:p>
      <w:pPr>
        <w:spacing w:after="100"/>
      </w:pPr>
      <w:r>
        <w:t>Определение 16.1 (NAPG deformation groupoid). Для фиксированного кадра N деформационный группоид Def_N(A) состоит из NAPG-структур N_A над A, редукция которых по A→K изоморфна N, и изоморфизмов над A, тождественных на специальном слое. При забывании автоморфизмов возникает set-valued functor π_0Def_N, но именно группоид хранит стабилизаторы.</w:t>
      </w:r>
    </w:p>
    <w:p>
      <w:pPr>
        <w:pStyle w:val="Quote"/>
        <w:spacing w:before="80" w:after="120"/>
        <w:jc w:val="center"/>
      </w:pPr>
      <w:r>
        <w:t>Def_N : Art_K → Gpd,      F_N = π_0 Def_N : Art_K → Set.                     (16.2)</w:t>
      </w:r>
    </w:p>
    <w:p>
      <w:pPr>
        <w:spacing w:after="100"/>
      </w:pPr>
      <w:r>
        <w:t>Функториальность означает, что morphism A→B задаёт base change N_A⊗_A B. Для частичных операций дополнительно требуется, чтобы Dom_⊙, Evidence-D, градуировка и выбранные obstruction carriers переносились совместимо.</w:t>
      </w:r>
    </w:p>
    <w:p>
      <w:pPr>
        <w:jc w:val="center"/>
      </w:pPr>
      <w:r>
        <w:drawing>
          <wp:inline xmlns:a="http://schemas.openxmlformats.org/drawingml/2006/main" xmlns:pic="http://schemas.openxmlformats.org/drawingml/2006/picture">
            <wp:extent cx="6035040" cy="2833845"/>
            <wp:docPr id="39" name="Picture 39"/>
            <wp:cNvGraphicFramePr>
              <a:graphicFrameLocks noChangeAspect="1"/>
            </wp:cNvGraphicFramePr>
            <a:graphic>
              <a:graphicData uri="http://schemas.openxmlformats.org/drawingml/2006/picture">
                <pic:pic>
                  <pic:nvPicPr>
                    <pic:cNvPr id="0" name="fig16_1.png"/>
                    <pic:cNvPicPr/>
                  </pic:nvPicPr>
                  <pic:blipFill>
                    <a:blip r:embed="rId68"/>
                    <a:stretch>
                      <a:fillRect/>
                    </a:stretch>
                  </pic:blipFill>
                  <pic:spPr>
                    <a:xfrm>
                      <a:off x="0" y="0"/>
                      <a:ext cx="6035040" cy="2833845"/>
                    </a:xfrm>
                    <a:prstGeom prst="rect"/>
                  </pic:spPr>
                </pic:pic>
              </a:graphicData>
            </a:graphic>
          </wp:inline>
        </w:drawing>
      </w:r>
    </w:p>
    <w:p>
      <w:pPr>
        <w:pStyle w:val="Caption"/>
        <w:keepNext/>
        <w:jc w:val="center"/>
      </w:pPr>
      <w:r>
        <w:t>Рисунок 16.1. Деформационный функтор NAPG и три уровня локального модульного объекта. Собственная схема Тома II.</w:t>
      </w:r>
    </w:p>
    <w:p>
      <w:pPr>
        <w:pStyle w:val="Heading1"/>
        <w:keepNext/>
      </w:pPr>
      <w:r>
        <w:t>151. Малые расширения и локальная задача подъёма</w:t>
      </w:r>
    </w:p>
    <w:p>
      <w:pPr>
        <w:spacing w:after="100"/>
      </w:pPr>
      <w:r>
        <w:t>Малым расширением называется сюръекция A′→A в Art_K с ядром I, для которого m_{A′}I=0. Тогда I является конечномерным K-векторным пространством, а задача подъёма деформации ξ_A состоит в построении ξ_{A′}, редуцирующейся к ξ_A.</w:t>
      </w:r>
    </w:p>
    <w:p>
      <w:pPr>
        <w:pStyle w:val="Quote"/>
        <w:spacing w:before="80" w:after="120"/>
        <w:jc w:val="center"/>
      </w:pPr>
      <w:r>
        <w:t>0 → I → A′ → A → 0,       m_{A′} I = 0.                                      (16.3)</w:t>
      </w:r>
    </w:p>
    <w:p>
      <w:pPr>
        <w:spacing w:after="100"/>
      </w:pPr>
      <w:r>
        <w:t>Определение 16.2 (полная линейная obstruction theory). Тройка пространств (H_N^1,H_N^2,H_N^3) задаёт полную локальную obstruction theory, если для каждого малого расширения и ξ_A существуют:</w:t>
      </w:r>
    </w:p>
    <w:p>
      <w:pPr>
        <w:pStyle w:val="ListBullet"/>
      </w:pPr>
      <w:r>
        <w:t>класс препятствия ob(ξ_A,A′)∈H_N^3⊗I, функториальный по morphisms малых расширений;</w:t>
      </w:r>
    </w:p>
    <w:p>
      <w:pPr>
        <w:pStyle w:val="ListBullet"/>
      </w:pPr>
      <w:r>
        <w:t>эквивалентность ob=0 тогда и только тогда, когда lift существует;</w:t>
      </w:r>
    </w:p>
    <w:p>
      <w:pPr>
        <w:pStyle w:val="ListBullet"/>
      </w:pPr>
      <w:r>
        <w:t>при ob=0 множество классов lifts является торсором над H_N^2⊗I;</w:t>
      </w:r>
    </w:p>
    <w:p>
      <w:pPr>
        <w:pStyle w:val="ListBullet"/>
      </w:pPr>
      <w:r>
        <w:t>группа инфинитезимальных автоморфизмов каждого lift содержит естественное действие H_N^1⊗I, а при полноте совпадает с ним.</w:t>
      </w:r>
    </w:p>
    <w:p>
      <w:pPr>
        <w:spacing w:after="100"/>
      </w:pPr>
      <w:r>
        <w:t>Эта схема не выводится из одного комплекса автоматически. Она является контрактом, который должен быть доказан либо получен из controlling L_infinity algebra.</w:t>
      </w:r>
    </w:p>
    <w:p>
      <w:pPr>
        <w:pStyle w:val="Heading1"/>
        <w:keepNext/>
      </w:pPr>
      <w:r>
        <w:t>152. Условия Шлессингера и существование hull</w:t>
      </w:r>
    </w:p>
    <w:p>
      <w:pPr>
        <w:spacing w:after="100"/>
      </w:pPr>
      <w:r>
        <w:t>Для set-valued functor F с F(K)=* рассмотрим каноническую карту для диаграммы A′→A←A″:</w:t>
      </w:r>
    </w:p>
    <w:p>
      <w:pPr>
        <w:pStyle w:val="Quote"/>
        <w:spacing w:before="80" w:after="120"/>
        <w:jc w:val="center"/>
      </w:pPr>
      <w:r>
        <w:t>F(A′×_A A″) → F(A′) ×_{F(A)} F(A″).                                           (16.4)</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Условие</w:t>
            </w:r>
          </w:p>
        </w:tc>
        <w:tc>
          <w:tcPr>
            <w:tcW w:type="dxa" w:w="5184"/>
            <w:vAlign w:val="center"/>
            <w:tcMar>
              <w:top w:w="90" w:type="dxa"/>
              <w:start w:w="110" w:type="dxa"/>
              <w:bottom w:w="90" w:type="dxa"/>
              <w:end w:w="110" w:type="dxa"/>
            </w:tcMar>
            <w:shd w:fill="173b63"/>
          </w:tcPr>
          <w:p>
            <w:pPr>
              <w:jc w:val="center"/>
            </w:pPr>
            <w:r/>
            <w:r>
              <w:rPr>
                <w:b/>
                <w:color w:val="FFFFFF"/>
                <w:sz w:val="18"/>
              </w:rPr>
              <w:t>Точная роль</w:t>
            </w:r>
          </w:p>
        </w:tc>
        <w:tc>
          <w:tcPr>
            <w:tcW w:type="dxa" w:w="2304"/>
            <w:vAlign w:val="center"/>
            <w:tcMar>
              <w:top w:w="90" w:type="dxa"/>
              <w:start w:w="110" w:type="dxa"/>
              <w:bottom w:w="90" w:type="dxa"/>
              <w:end w:w="110" w:type="dxa"/>
            </w:tcMar>
            <w:shd w:fill="173b63"/>
          </w:tcPr>
          <w:p>
            <w:pPr>
              <w:jc w:val="center"/>
            </w:pPr>
            <w:r/>
            <w:r>
              <w:rPr>
                <w:b/>
                <w:color w:val="FFFFFF"/>
                <w:sz w:val="18"/>
              </w:rPr>
              <w:t>Статус для NAPG</w:t>
            </w:r>
          </w:p>
        </w:tc>
      </w:tr>
      <w:tr>
        <w:tc>
          <w:tcPr>
            <w:tcW w:type="dxa" w:w="1440"/>
            <w:vAlign w:val="center"/>
            <w:tcMar>
              <w:top w:w="90" w:type="dxa"/>
              <w:start w:w="110" w:type="dxa"/>
              <w:bottom w:w="90" w:type="dxa"/>
              <w:end w:w="110" w:type="dxa"/>
            </w:tcMar>
          </w:tcPr>
          <w:p>
            <w:pPr>
              <w:jc w:val="center"/>
            </w:pPr>
            <w:r/>
            <w:r>
              <w:rPr>
                <w:b w:val="0"/>
                <w:sz w:val="16"/>
              </w:rPr>
              <w:t>H1</w:t>
            </w:r>
          </w:p>
        </w:tc>
        <w:tc>
          <w:tcPr>
            <w:tcW w:type="dxa" w:w="5184"/>
            <w:vAlign w:val="center"/>
            <w:tcMar>
              <w:top w:w="90" w:type="dxa"/>
              <w:start w:w="110" w:type="dxa"/>
              <w:bottom w:w="90" w:type="dxa"/>
              <w:end w:w="110" w:type="dxa"/>
            </w:tcMar>
          </w:tcPr>
          <w:p>
            <w:pPr>
              <w:jc w:val="left"/>
            </w:pPr>
            <w:r/>
            <w:r>
              <w:rPr>
                <w:b w:val="0"/>
                <w:sz w:val="16"/>
              </w:rPr>
              <w:t>Карта (16.4) сюръективна, когда A″→A является малым расширением.</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H2</w:t>
            </w:r>
          </w:p>
        </w:tc>
        <w:tc>
          <w:tcPr>
            <w:tcW w:type="dxa" w:w="5184"/>
            <w:vAlign w:val="center"/>
            <w:tcMar>
              <w:top w:w="90" w:type="dxa"/>
              <w:start w:w="110" w:type="dxa"/>
              <w:bottom w:w="90" w:type="dxa"/>
              <w:end w:w="110" w:type="dxa"/>
            </w:tcMar>
          </w:tcPr>
          <w:p>
            <w:pPr>
              <w:jc w:val="left"/>
            </w:pPr>
            <w:r/>
            <w:r>
              <w:rPr>
                <w:b w:val="0"/>
                <w:sz w:val="16"/>
              </w:rPr>
              <w:t>Карта (16.4) биективна при A=K и A″=K[ε]/(ε²).</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H3</w:t>
            </w:r>
          </w:p>
        </w:tc>
        <w:tc>
          <w:tcPr>
            <w:tcW w:type="dxa" w:w="5184"/>
            <w:vAlign w:val="center"/>
            <w:tcMar>
              <w:top w:w="90" w:type="dxa"/>
              <w:start w:w="110" w:type="dxa"/>
              <w:bottom w:w="90" w:type="dxa"/>
              <w:end w:w="110" w:type="dxa"/>
            </w:tcMar>
          </w:tcPr>
          <w:p>
            <w:pPr>
              <w:jc w:val="left"/>
            </w:pPr>
            <w:r/>
            <w:r>
              <w:rPr>
                <w:b w:val="0"/>
                <w:sz w:val="16"/>
              </w:rPr>
              <w:t>Касательное пространство t_F=F(K[ε]) конечномерно.</w:t>
            </w:r>
          </w:p>
        </w:tc>
        <w:tc>
          <w:tcPr>
            <w:tcW w:type="dxa" w:w="2304"/>
            <w:vAlign w:val="center"/>
            <w:tcMar>
              <w:top w:w="90" w:type="dxa"/>
              <w:start w:w="110" w:type="dxa"/>
              <w:bottom w:w="90" w:type="dxa"/>
              <w:end w:w="110" w:type="dxa"/>
            </w:tcMar>
          </w:tcPr>
          <w:p>
            <w:pPr>
              <w:jc w:val="center"/>
            </w:pPr>
            <w:r/>
            <w:r>
              <w:rPr>
                <w:b w:val="0"/>
                <w:sz w:val="16"/>
              </w:rPr>
              <w:t>COND-FD</w:t>
            </w:r>
          </w:p>
        </w:tc>
      </w:tr>
      <w:tr>
        <w:tc>
          <w:tcPr>
            <w:tcW w:type="dxa" w:w="1440"/>
            <w:vAlign w:val="center"/>
            <w:tcMar>
              <w:top w:w="90" w:type="dxa"/>
              <w:start w:w="110" w:type="dxa"/>
              <w:bottom w:w="90" w:type="dxa"/>
              <w:end w:w="110" w:type="dxa"/>
            </w:tcMar>
          </w:tcPr>
          <w:p>
            <w:pPr>
              <w:jc w:val="center"/>
            </w:pPr>
            <w:r/>
            <w:r>
              <w:rPr>
                <w:b w:val="0"/>
                <w:sz w:val="16"/>
              </w:rPr>
              <w:t>H4</w:t>
            </w:r>
          </w:p>
        </w:tc>
        <w:tc>
          <w:tcPr>
            <w:tcW w:type="dxa" w:w="5184"/>
            <w:vAlign w:val="center"/>
            <w:tcMar>
              <w:top w:w="90" w:type="dxa"/>
              <w:start w:w="110" w:type="dxa"/>
              <w:bottom w:w="90" w:type="dxa"/>
              <w:end w:w="110" w:type="dxa"/>
            </w:tcMar>
          </w:tcPr>
          <w:p>
            <w:pPr>
              <w:jc w:val="left"/>
            </w:pPr>
            <w:r/>
            <w:r>
              <w:rPr>
                <w:b w:val="0"/>
                <w:sz w:val="16"/>
              </w:rPr>
              <w:t>Карта (16.4) биективна для A′=A″ и малого расширения A′→A.</w:t>
            </w:r>
          </w:p>
        </w:tc>
        <w:tc>
          <w:tcPr>
            <w:tcW w:type="dxa" w:w="2304"/>
            <w:vAlign w:val="center"/>
            <w:tcMar>
              <w:top w:w="90" w:type="dxa"/>
              <w:start w:w="110" w:type="dxa"/>
              <w:bottom w:w="90" w:type="dxa"/>
              <w:end w:w="110" w:type="dxa"/>
            </w:tcMar>
          </w:tcPr>
          <w:p>
            <w:pPr>
              <w:jc w:val="center"/>
            </w:pPr>
            <w:r/>
            <w:r>
              <w:rPr>
                <w:b w:val="0"/>
                <w:sz w:val="16"/>
              </w:rPr>
              <w:t>OPEN/PROREP</w:t>
            </w:r>
          </w:p>
        </w:tc>
      </w:tr>
    </w:tbl>
    <w:p>
      <w:pPr>
        <w:spacing w:after="100"/>
      </w:pPr>
      <w:r>
        <w:t>Теорема 16.3 (Schlessinger package, применённый условно). Если F удовлетворяет H1-H3, то F имеет hull: существует complete local K-algebra R и smooth natural transformation h_R→F, индуцирующая изоморфизм tangent spaces. Если дополнительно выполнено H4, F prorepresentable. Для groupoid-valued задач эти условия требуют стековой или derived модификации.</w:t>
      </w:r>
    </w:p>
    <w:p>
      <w:pPr>
        <w:spacing w:after="100"/>
      </w:pPr>
      <w:r>
        <w:t>В NAPG конечномерность tangent space следует только в конечномерном или Fredholm-редуцированном секторе. Поэтому H3 не переносится на произвольную бесконечномерную модель без дополнительных compactness и gauge-fixing гипотез.</w:t>
      </w:r>
    </w:p>
    <w:p>
      <w:pPr>
        <w:pStyle w:val="Heading1"/>
        <w:keepNext/>
      </w:pPr>
      <w:r>
        <w:t>153. Versal, miniversal и universal: запрет терминологической подмены</w:t>
      </w:r>
    </w:p>
    <w:p>
      <w:pPr>
        <w:spacing w:after="100"/>
      </w:pPr>
      <w:r>
        <w:t>Пусть (S,0) - формальный или аналитический germ, а N_S - семейство деформаций. Оно называется versal, если всякая малая деформация индуцируется из него после некоторого base map. Оно miniversal, если дополнительно дифференциал base map единственен в первом порядке и dim T_0S минимальна. Universal family требует единственности самого base map.</w:t>
      </w:r>
    </w:p>
    <w:p>
      <w:pPr>
        <w:pStyle w:val="Quote"/>
        <w:spacing w:before="80" w:after="120"/>
        <w:jc w:val="center"/>
      </w:pPr>
      <w:r>
        <w:t>universal ⇒ miniversal ⇒ versal,      обратные импликации неверны.            (16.5)</w:t>
      </w:r>
    </w:p>
    <w:p>
      <w:pPr>
        <w:spacing w:after="100"/>
      </w:pPr>
      <w:r>
        <w:t>Наличие нетривиальных автоморфизмов обычно разрушает универсальность, не разрушая miniversality. Поэтому локальный модульный объект NAPG следует хранить как группоид или stack germ, а не только как множество точек.</w:t>
      </w:r>
    </w:p>
    <w:p>
      <w:pPr>
        <w:pStyle w:val="Heading1"/>
        <w:keepNext/>
      </w:pPr>
      <w:r>
        <w:t>154. Трёхчленный деформационный комплекс и derived tangent</w:t>
      </w:r>
    </w:p>
    <w:p>
      <w:pPr>
        <w:spacing w:after="100"/>
      </w:pPr>
      <w:r>
        <w:t>Используется комплекс, согласованный с предыдущими главами:</w:t>
      </w:r>
    </w:p>
    <w:p>
      <w:pPr>
        <w:pStyle w:val="Quote"/>
        <w:spacing w:before="80" w:after="120"/>
        <w:jc w:val="center"/>
      </w:pPr>
      <w:r>
        <w:t>C_N^1 ─d_N^1→ C_N^2 ─d_N^2→ C_N^3,       d_N^2 d_N^1 = 0.                    (16.6)</w:t>
      </w:r>
    </w:p>
    <w:p>
      <w:pPr>
        <w:spacing w:after="100"/>
      </w:pPr>
      <w:r>
        <w:t>Его когомологии имеют проектную интерпретацию:</w:t>
      </w:r>
    </w:p>
    <w:p>
      <w:pPr>
        <w:pStyle w:val="Quote"/>
        <w:spacing w:before="80" w:after="120"/>
        <w:jc w:val="center"/>
      </w:pPr>
      <w:r>
        <w:t>H_N^1 = infinitesimal automorphisms,   H_N^2 = tangent classes,   H_N^3 = primary obstructions.  (16.7)</w:t>
      </w:r>
    </w:p>
    <w:p>
      <w:pPr>
        <w:spacing w:after="100"/>
      </w:pPr>
      <w:r>
        <w:t>Для сопоставления с derived geometry вводится controlling shift g_N=C_N[1], то есть g_N^j=C_N^{j+1}. Тогда derived tangent complex определяется как T_N^der=g_N[1], и</w:t>
      </w:r>
    </w:p>
    <w:p>
      <w:pPr>
        <w:pStyle w:val="Quote"/>
        <w:spacing w:before="80" w:after="120"/>
        <w:jc w:val="center"/>
      </w:pPr>
      <w:r>
        <w:t>H^{-1}(T_N^der)=H_N^1,   H^0(T_N^der)=H_N^2,   H^1(T_N^der)=H_N^3.             (16.8)</w:t>
      </w:r>
    </w:p>
    <w:p>
      <w:pPr>
        <w:spacing w:after="100"/>
      </w:pPr>
      <w:r>
        <w:t>Отрицательные степени хранят stabilizer directions, нулевая степень - деформации, положительные - препятствия. Coarse tangent space H_N^2 теряет H_N^1 и потому не является полной локальной моделью moduli problem.</w:t>
      </w:r>
    </w:p>
    <w:p>
      <w:pPr>
        <w:pStyle w:val="Heading1"/>
        <w:keepNext/>
      </w:pPr>
      <w:r>
        <w:t>155. Контролирующая L_infinity-гипотеза</w:t>
      </w:r>
    </w:p>
    <w:p>
      <w:pPr>
        <w:spacing w:after="100"/>
      </w:pPr>
      <w:r>
        <w:t>Гипотеза CTRL-16.1. Для выбранного класса NAPG-структур существует полная фильтрованная L_infinity-алгебра</w:t>
      </w:r>
    </w:p>
    <w:p>
      <w:pPr>
        <w:pStyle w:val="Quote"/>
        <w:spacing w:before="80" w:after="120"/>
        <w:jc w:val="center"/>
      </w:pPr>
      <w:r>
        <w:t>g_N=(g_N,l_1,l_2,l_3,...)                                                     (16.9)</w:t>
      </w:r>
    </w:p>
    <w:p>
      <w:pPr>
        <w:spacing w:after="100"/>
      </w:pPr>
      <w:r>
        <w:t>и естественная эквивалентность группоидов Def_N(A) с Maurer-Cartan groupoid g_N⊗m_A для всех A∈Art_K. Полнота фильтрации обеспечивает конечность каждой MC-суммы на артиевой базе.</w:t>
      </w:r>
    </w:p>
    <w:p>
      <w:pPr>
        <w:pStyle w:val="Quote"/>
        <w:spacing w:before="80" w:after="120"/>
        <w:jc w:val="center"/>
      </w:pPr>
      <w:r>
        <w:t>MC_N(A)={α∈g_N^1⊗m_A : Σ_{n≥1}(1/n!) l_n(α,...,α)=0 }.                         (16.10)</w:t>
      </w:r>
    </w:p>
    <w:p>
      <w:pPr>
        <w:spacing w:after="100"/>
      </w:pPr>
      <w:r>
        <w:t>В проектной нумерации g_N^1=C_N^2, поэтому MC-параметр является вариацией бинарной операции или полного NAPG-кадра. Gauge action задаётся degree-zero частью g_N^0=C_N^1. Для общей частичной операции ⊙ существование такой g_N не предполагается без доказательства: оно включено в T2-PO-176.</w:t>
      </w:r>
    </w:p>
    <w:p>
      <w:pPr>
        <w:pStyle w:val="Heading1"/>
        <w:keepNext/>
      </w:pPr>
      <w:r>
        <w:t>156. Lifting theorem из Maurer-Cartan equation</w:t>
      </w:r>
    </w:p>
    <w:p>
      <w:pPr>
        <w:spacing w:after="100"/>
      </w:pPr>
      <w:r>
        <w:t>Теорема 16.4 (малое расширение, условная форма). Пусть CTRL-16.1 выполнена, A′→A - малое расширение с ядром I, а α_A∈MC_N(A). Выберем lift α̃∈g_N^1⊗m_{A′}. Его curvature</w:t>
      </w:r>
    </w:p>
    <w:p>
      <w:pPr>
        <w:pStyle w:val="Quote"/>
        <w:spacing w:before="80" w:after="120"/>
        <w:jc w:val="center"/>
      </w:pPr>
      <w:r>
        <w:t>F(α̃)=Σ_{n≥1}(1/n!)l_n(α̃^n) ∈ g_N^2⊗I                                  (16.11)</w:t>
      </w:r>
    </w:p>
    <w:p>
      <w:pPr>
        <w:spacing w:after="100"/>
      </w:pPr>
      <w:r>
        <w:t>является l_1-циклом, а его класс в H^2(g_N)⊗I=H_N^3⊗I не зависит от выбранного lift. Он равен obstruction class. Класс исчезает тогда и только тогда, когда α_A допускает MC-lift; множество lifts modulo gauge является торсором над H^1(g_N)⊗I=H_N^2⊗I.</w:t>
      </w:r>
    </w:p>
    <w:p>
      <w:pPr>
        <w:spacing w:after="100"/>
      </w:pPr>
      <w:r>
        <w:t>Доказательство использует L_infinity identities и условие m_{A′}I=0, уничтожающее нелинейные члены, содержащие поправку дважды. Это стандартный механизм, но его перенос на NAPG зависит от CTRL-16.1.</w:t>
      </w:r>
    </w:p>
    <w:p>
      <w:pPr>
        <w:pStyle w:val="Heading1"/>
        <w:keepNext/>
      </w:pPr>
      <w:r>
        <w:t>157. Hodge-Green contraction data</w:t>
      </w:r>
    </w:p>
    <w:p>
      <w:pPr>
        <w:spacing w:after="100"/>
      </w:pPr>
      <w:r>
        <w:t>Глава 15 построила Green-оператор для Fredholm Hodge-реализации. Для controlling complex требуется совместимый contraction datum</w:t>
      </w:r>
    </w:p>
    <w:p>
      <w:pPr>
        <w:pStyle w:val="Quote"/>
        <w:spacing w:before="80" w:after="120"/>
        <w:jc w:val="center"/>
      </w:pPr>
      <w:r>
        <w:t>(H(g_N),0) ─i→ (g_N,l_1) ─p→ (H(g_N),0),     id-ip=l_1h+hl_1.                 (16.12)</w:t>
      </w:r>
    </w:p>
    <w:p>
      <w:pPr>
        <w:spacing w:after="100"/>
      </w:pPr>
      <w:r>
        <w:t>В Hodge gauge выбираются</w:t>
      </w:r>
    </w:p>
    <w:p>
      <w:pPr>
        <w:pStyle w:val="Quote"/>
        <w:spacing w:before="80" w:after="120"/>
        <w:jc w:val="center"/>
      </w:pPr>
      <w:r>
        <w:t>p=P_H,      i=harmonic inclusion,      h=l_1^* G.                              (16.13)</w:t>
      </w:r>
    </w:p>
    <w:p>
      <w:pPr>
        <w:spacing w:after="100"/>
      </w:pPr>
      <w:r>
        <w:t>Равенство (16.12) следует из Hodge decomposition при closed range и корректных domains. Однако для использования в L_infinity-рекурсии нужны дополнительные условия: h должен сохранять фильтрацию и допустимые NAPG-секторы; bracket maps должны быть определены на образах h; multilinear estimates должны обеспечивать сходимость.</w:t>
      </w:r>
    </w:p>
    <w:p>
      <w:pPr>
        <w:jc w:val="center"/>
      </w:pPr>
      <w:r>
        <w:drawing>
          <wp:inline xmlns:a="http://schemas.openxmlformats.org/drawingml/2006/main" xmlns:pic="http://schemas.openxmlformats.org/drawingml/2006/picture">
            <wp:extent cx="6035040" cy="3440507"/>
            <wp:docPr id="40" name="Picture 40"/>
            <wp:cNvGraphicFramePr>
              <a:graphicFrameLocks noChangeAspect="1"/>
            </wp:cNvGraphicFramePr>
            <a:graphic>
              <a:graphicData uri="http://schemas.openxmlformats.org/drawingml/2006/picture">
                <pic:pic>
                  <pic:nvPicPr>
                    <pic:cNvPr id="0" name="fig16_2.png"/>
                    <pic:cNvPicPr/>
                  </pic:nvPicPr>
                  <pic:blipFill>
                    <a:blip r:embed="rId69"/>
                    <a:stretch>
                      <a:fillRect/>
                    </a:stretch>
                  </pic:blipFill>
                  <pic:spPr>
                    <a:xfrm>
                      <a:off x="0" y="0"/>
                      <a:ext cx="6035040" cy="3440507"/>
                    </a:xfrm>
                    <a:prstGeom prst="rect"/>
                  </pic:spPr>
                </pic:pic>
              </a:graphicData>
            </a:graphic>
          </wp:inline>
        </w:drawing>
      </w:r>
    </w:p>
    <w:p>
      <w:pPr>
        <w:pStyle w:val="Caption"/>
        <w:keepNext/>
        <w:jc w:val="center"/>
      </w:pPr>
      <w:r>
        <w:t>Рисунок 16.2. Hodge-Green contraction и построение отображения Кураниши. Собственная схема Тома II.</w:t>
      </w:r>
    </w:p>
    <w:p>
      <w:pPr>
        <w:pStyle w:val="Heading1"/>
        <w:keepNext/>
      </w:pPr>
      <w:r>
        <w:t>158. Рекурсия Кураниши</w:t>
      </w:r>
    </w:p>
    <w:p>
      <w:pPr>
        <w:spacing w:after="100"/>
      </w:pPr>
      <w:r>
        <w:t>Обозначим нелинейную часть Maurer-Cartan оператора</w:t>
      </w:r>
    </w:p>
    <w:p>
      <w:pPr>
        <w:pStyle w:val="Quote"/>
        <w:spacing w:before="80" w:after="120"/>
        <w:jc w:val="center"/>
      </w:pPr>
      <w:r>
        <w:t>N(α)=Σ_{n≥2}(1/n!)l_n(α^n).                                                    (16.14)</w:t>
      </w:r>
    </w:p>
    <w:p>
      <w:pPr>
        <w:spacing w:after="100"/>
      </w:pPr>
      <w:r>
        <w:t>Для x∈H^1(g_N)=H_N^2 ищется gauge-fixed solution α(x) уравнения</w:t>
      </w:r>
    </w:p>
    <w:p>
      <w:pPr>
        <w:pStyle w:val="Quote"/>
        <w:spacing w:before="80" w:after="120"/>
        <w:jc w:val="center"/>
      </w:pPr>
      <w:r>
        <w:t>α(x)=i(x)-hN(α(x)),        hα(x)=0.                                             (16.15)</w:t>
      </w:r>
    </w:p>
    <w:p>
      <w:pPr>
        <w:spacing w:after="100"/>
      </w:pPr>
      <w:r>
        <w:t>Отображение Кураниши определяется как гармоническая часть остатка:</w:t>
      </w:r>
    </w:p>
    <w:p>
      <w:pPr>
        <w:pStyle w:val="Quote"/>
        <w:spacing w:before="80" w:after="120"/>
        <w:jc w:val="center"/>
      </w:pPr>
      <w:r>
        <w:t>K_N(x)=pN(α(x)) ∈ H^2(g_N)=H_N^3.                                              (16.16)</w:t>
      </w:r>
    </w:p>
    <w:p>
      <w:pPr>
        <w:spacing w:after="100"/>
      </w:pPr>
      <w:r>
        <w:t>Теорема 16.5 (Kuranishi reduction, условная аналитическая форма). Если N аналитично на шаре, h ограничен и отображение α↦i(x)-hN(α) является сжатием равномерно для ||x||&lt;r_K, то (16.15) имеет единственное решение. Это решение удовлетворяет полной MC equation тогда и только тогда, когда K_N(x)=0.</w:t>
      </w:r>
    </w:p>
    <w:p>
      <w:pPr>
        <w:spacing w:after="100"/>
      </w:pPr>
      <w:r>
        <w:t>Итак, local miniversal base задаётся нулевым локусом K_N, но только внутри радиуса сходимости и выбранного Hodge gauge.</w:t>
      </w:r>
    </w:p>
    <w:p>
      <w:pPr>
        <w:pStyle w:val="Heading1"/>
        <w:keepNext/>
      </w:pPr>
      <w:r>
        <w:t>159. Явная оценка радиуса сходимости</w:t>
      </w:r>
    </w:p>
    <w:p>
      <w:pPr>
        <w:spacing w:after="100"/>
      </w:pPr>
      <w:r>
        <w:t>Пусть на шаре ||α||≤R выполнено</w:t>
      </w:r>
    </w:p>
    <w:p>
      <w:pPr>
        <w:pStyle w:val="Quote"/>
        <w:spacing w:before="80" w:after="120"/>
        <w:jc w:val="center"/>
      </w:pPr>
      <w:r>
        <w:t>||N(α)-N(β)|| ≤ L_R ||α-β||,      ||h|| L_R &lt; 1.                               (16.17)</w:t>
      </w:r>
    </w:p>
    <w:p>
      <w:pPr>
        <w:spacing w:after="100"/>
      </w:pPr>
      <w:r>
        <w:t>Если ||i(x)||+||h||·||N(0)||≤R(1-||h||L_R), то contraction mapping theorem даёт существование и единственность α(x). В типичном MC-секторе N(0)=0, поэтому достаточно</w:t>
      </w:r>
    </w:p>
    <w:p>
      <w:pPr>
        <w:pStyle w:val="Quote"/>
        <w:spacing w:before="80" w:after="120"/>
        <w:jc w:val="center"/>
      </w:pPr>
      <w:r>
        <w:t>||x|| ≤ R(1-||h||L_R)/||i||.                                                   (16.18)</w:t>
      </w:r>
    </w:p>
    <w:p>
      <w:pPr>
        <w:spacing w:after="100"/>
      </w:pPr>
      <w:r>
        <w:t>Определение 16.6 (Kuranishi conditioning margin).</w:t>
      </w:r>
    </w:p>
    <w:p>
      <w:pPr>
        <w:pStyle w:val="Quote"/>
        <w:spacing w:before="80" w:after="120"/>
        <w:jc w:val="center"/>
      </w:pPr>
      <w:r>
        <w:t>m_K(R)=1-||h||L_R.                                                               (16.19)</w:t>
      </w:r>
    </w:p>
    <w:p>
      <w:pPr>
        <w:spacing w:after="100"/>
      </w:pPr>
      <w:r>
        <w:t>При m_K≤0 аналитическая редукция не сертифицирована. При малом положительном m_K решение существует, но чувствительно к ошибкам. Это связывает Kuranishi construction с spectral gap главы 15, поскольку ||h|| обычно контролируется ||G||≤γ^{-1}.</w:t>
      </w:r>
    </w:p>
    <w:p>
      <w:pPr>
        <w:pStyle w:val="Heading1"/>
        <w:keepNext/>
      </w:pPr>
      <w:r>
        <w:t>160. Taylor-слои и высшие obstruction classes</w:t>
      </w:r>
    </w:p>
    <w:p>
      <w:pPr>
        <w:spacing w:after="100"/>
      </w:pPr>
      <w:r>
        <w:t>После homotopy transfer пространство H(g_N) получает минимальную L_infinity-структуру κ_n. В принятой симметрической convention первые компоненты Kuranishi map имеют вид</w:t>
      </w:r>
    </w:p>
    <w:p>
      <w:pPr>
        <w:pStyle w:val="Quote"/>
        <w:spacing w:before="80" w:after="120"/>
        <w:jc w:val="center"/>
      </w:pPr>
      <w:r>
        <w:t>K_N(x)=κ_2(x,x)+κ_3(x,x,x)+κ_4(x,x,x,x)+...                                   (16.20)</w:t>
      </w:r>
    </w:p>
    <w:p>
      <w:pPr>
        <w:pStyle w:val="Quote"/>
        <w:spacing w:before="80" w:after="120"/>
        <w:jc w:val="center"/>
      </w:pPr>
      <w:r>
        <w:t>κ_2(x,x)=1/2·p l_2(ix,ix).                                                       (16.21)</w:t>
      </w:r>
    </w:p>
    <w:p>
      <w:pPr>
        <w:pStyle w:val="Quote"/>
        <w:spacing w:before="80" w:after="120"/>
        <w:jc w:val="center"/>
      </w:pPr>
      <w:r>
        <w:t>κ_3(x,x,x)=1/6·p l_3(ix,ix,ix)-1/2·p l_2(ix,h l_2(ix,ix)).                      (16.22)</w:t>
      </w:r>
    </w:p>
    <w:p>
      <w:pPr>
        <w:spacing w:after="100"/>
      </w:pPr>
      <w:r>
        <w:t>Знаки и коэффициенты (16.22) относятся к зафиксированной suspension convention. При иной convention формула должна быть пересчитана, а не перенесена по зрительному сходству.</w:t>
      </w:r>
    </w:p>
    <w:p>
      <w:pPr>
        <w:spacing w:after="100"/>
      </w:pPr>
      <w:r>
        <w:t>Определение 16.7. Порядок первого ненулевого препятствия</w:t>
      </w:r>
    </w:p>
    <w:p>
      <w:pPr>
        <w:pStyle w:val="Quote"/>
        <w:spacing w:before="80" w:after="120"/>
        <w:jc w:val="center"/>
      </w:pPr>
      <w:r>
        <w:t>ν_K(x)=min{n≥2: κ_n(x,...,x)≠0},   ν_K=∞ если все члены исчезают.                (16.23)</w:t>
      </w:r>
    </w:p>
    <w:p>
      <w:pPr>
        <w:spacing w:after="100"/>
      </w:pPr>
      <w:r>
        <w:t>Исчезновение κ_2 не устраняет κ_3 и последующие классы. Поэтому нулевой primary obstruction является только входом в tower of higher obstructions.</w:t>
      </w:r>
    </w:p>
    <w:p>
      <w:pPr>
        <w:pStyle w:val="Heading1"/>
        <w:keepNext/>
      </w:pPr>
      <w:r>
        <w:t>161. Miniversal base и формальное локальное кольцо</w:t>
      </w:r>
    </w:p>
    <w:p>
      <w:pPr>
        <w:spacing w:after="100"/>
      </w:pPr>
      <w:r>
        <w:t>Пусть dim H_N^2=m и dim H_N^3=q. После выбора базисов K_N имеет компоненты K_1,...,K_q в K[[t_1,...,t_m]]. Формальная miniversal base определяется кольцом</w:t>
      </w:r>
    </w:p>
    <w:p>
      <w:pPr>
        <w:pStyle w:val="Quote"/>
        <w:spacing w:before="80" w:after="120"/>
        <w:jc w:val="center"/>
      </w:pPr>
      <w:r>
        <w:t>R_N^min = K[[t_1,...,t_m]]/(K_1,...,K_q).                                      (16.24)</w:t>
      </w:r>
    </w:p>
    <w:p>
      <w:pPr>
        <w:spacing w:after="100"/>
      </w:pPr>
      <w:r>
        <w:t>Её Zariski tangent space равно H_N^2, потому что dK_N(0)=0 для минимальной L_infinity-модели. Наличие q уравнений не означает codimension q: компоненты могут быть зависимы, иметь общие множители или задавать nonreduced germ.</w:t>
      </w:r>
    </w:p>
    <w:p>
      <w:pPr>
        <w:spacing w:after="100"/>
      </w:pPr>
      <w:r>
        <w:t>Miniversal base определена неканонически: выбор Hodge splitting, координат и gauge меняет K_N, хотя при корректных hypotheses формальные germs эквивалентны. Сравнивать следует right-equivalence class или соответствующий formal moduli problem, а не буквальные коэффициенты одной формулы.</w:t>
      </w:r>
    </w:p>
    <w:p>
      <w:pPr>
        <w:pStyle w:val="Heading1"/>
        <w:keepNext/>
      </w:pPr>
      <w:r>
        <w:t>162. Формальная гладкость, жёсткость и unobstructedness</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800"/>
            <w:vAlign w:val="center"/>
            <w:tcMar>
              <w:top w:w="90" w:type="dxa"/>
              <w:start w:w="110" w:type="dxa"/>
              <w:bottom w:w="90" w:type="dxa"/>
              <w:end w:w="110" w:type="dxa"/>
            </w:tcMar>
            <w:shd w:fill="173b63"/>
          </w:tcPr>
          <w:p>
            <w:pPr>
              <w:jc w:val="center"/>
            </w:pPr>
            <w:r/>
            <w:r>
              <w:rPr>
                <w:b/>
                <w:color w:val="FFFFFF"/>
                <w:sz w:val="18"/>
              </w:rPr>
              <w:t>Свойство</w:t>
            </w:r>
          </w:p>
        </w:tc>
        <w:tc>
          <w:tcPr>
            <w:tcW w:type="dxa" w:w="3384"/>
            <w:vAlign w:val="center"/>
            <w:tcMar>
              <w:top w:w="90" w:type="dxa"/>
              <w:start w:w="110" w:type="dxa"/>
              <w:bottom w:w="90" w:type="dxa"/>
              <w:end w:w="110" w:type="dxa"/>
            </w:tcMar>
            <w:shd w:fill="173b63"/>
          </w:tcPr>
          <w:p>
            <w:pPr>
              <w:jc w:val="center"/>
            </w:pPr>
            <w:r/>
            <w:r>
              <w:rPr>
                <w:b/>
                <w:color w:val="FFFFFF"/>
                <w:sz w:val="18"/>
              </w:rPr>
              <w:t>Условие</w:t>
            </w:r>
          </w:p>
        </w:tc>
        <w:tc>
          <w:tcPr>
            <w:tcW w:type="dxa" w:w="3816"/>
            <w:vAlign w:val="center"/>
            <w:tcMar>
              <w:top w:w="90" w:type="dxa"/>
              <w:start w:w="110" w:type="dxa"/>
              <w:bottom w:w="90" w:type="dxa"/>
              <w:end w:w="110" w:type="dxa"/>
            </w:tcMar>
            <w:shd w:fill="173b63"/>
          </w:tcPr>
          <w:p>
            <w:pPr>
              <w:jc w:val="center"/>
            </w:pPr>
            <w:r/>
            <w:r>
              <w:rPr>
                <w:b/>
                <w:color w:val="FFFFFF"/>
                <w:sz w:val="18"/>
              </w:rPr>
              <w:t>Точный вывод</w:t>
            </w:r>
          </w:p>
        </w:tc>
      </w:tr>
      <w:tr>
        <w:tc>
          <w:tcPr>
            <w:tcW w:type="dxa" w:w="1800"/>
            <w:vAlign w:val="center"/>
            <w:tcMar>
              <w:top w:w="90" w:type="dxa"/>
              <w:start w:w="110" w:type="dxa"/>
              <w:bottom w:w="90" w:type="dxa"/>
              <w:end w:w="110" w:type="dxa"/>
            </w:tcMar>
          </w:tcPr>
          <w:p>
            <w:pPr>
              <w:jc w:val="center"/>
            </w:pPr>
            <w:r/>
            <w:r>
              <w:rPr>
                <w:b w:val="0"/>
                <w:sz w:val="16"/>
              </w:rPr>
              <w:t>Infinitesimal rigidity</w:t>
            </w:r>
          </w:p>
        </w:tc>
        <w:tc>
          <w:tcPr>
            <w:tcW w:type="dxa" w:w="3384"/>
            <w:vAlign w:val="center"/>
            <w:tcMar>
              <w:top w:w="90" w:type="dxa"/>
              <w:start w:w="110" w:type="dxa"/>
              <w:bottom w:w="90" w:type="dxa"/>
              <w:end w:w="110" w:type="dxa"/>
            </w:tcMar>
          </w:tcPr>
          <w:p>
            <w:pPr>
              <w:jc w:val="left"/>
            </w:pPr>
            <w:r/>
            <w:r>
              <w:rPr>
                <w:b w:val="0"/>
                <w:sz w:val="16"/>
              </w:rPr>
              <w:t>H_N^2=0</w:t>
            </w:r>
          </w:p>
        </w:tc>
        <w:tc>
          <w:tcPr>
            <w:tcW w:type="dxa" w:w="3816"/>
            <w:vAlign w:val="center"/>
            <w:tcMar>
              <w:top w:w="90" w:type="dxa"/>
              <w:start w:w="110" w:type="dxa"/>
              <w:bottom w:w="90" w:type="dxa"/>
              <w:end w:w="110" w:type="dxa"/>
            </w:tcMar>
          </w:tcPr>
          <w:p>
            <w:pPr>
              <w:jc w:val="center"/>
            </w:pPr>
            <w:r/>
            <w:r>
              <w:rPr>
                <w:b w:val="0"/>
                <w:sz w:val="16"/>
              </w:rPr>
              <w:t>Нет нетривиальных деформаций первого порядка; при полной obstruction theory functor формально локально тривиален.</w:t>
            </w:r>
          </w:p>
        </w:tc>
      </w:tr>
      <w:tr>
        <w:tc>
          <w:tcPr>
            <w:tcW w:type="dxa" w:w="1800"/>
            <w:vAlign w:val="center"/>
            <w:tcMar>
              <w:top w:w="90" w:type="dxa"/>
              <w:start w:w="110" w:type="dxa"/>
              <w:bottom w:w="90" w:type="dxa"/>
              <w:end w:w="110" w:type="dxa"/>
            </w:tcMar>
          </w:tcPr>
          <w:p>
            <w:pPr>
              <w:jc w:val="center"/>
            </w:pPr>
            <w:r/>
            <w:r>
              <w:rPr>
                <w:b w:val="0"/>
                <w:sz w:val="16"/>
              </w:rPr>
              <w:t>Unobstructedness</w:t>
            </w:r>
          </w:p>
        </w:tc>
        <w:tc>
          <w:tcPr>
            <w:tcW w:type="dxa" w:w="3384"/>
            <w:vAlign w:val="center"/>
            <w:tcMar>
              <w:top w:w="90" w:type="dxa"/>
              <w:start w:w="110" w:type="dxa"/>
              <w:bottom w:w="90" w:type="dxa"/>
              <w:end w:w="110" w:type="dxa"/>
            </w:tcMar>
          </w:tcPr>
          <w:p>
            <w:pPr>
              <w:jc w:val="left"/>
            </w:pPr>
            <w:r/>
            <w:r>
              <w:rPr>
                <w:b w:val="0"/>
                <w:sz w:val="16"/>
              </w:rPr>
              <w:t>K_N≡0 либо H_N^3=0 при complete control</w:t>
            </w:r>
          </w:p>
        </w:tc>
        <w:tc>
          <w:tcPr>
            <w:tcW w:type="dxa" w:w="3816"/>
            <w:vAlign w:val="center"/>
            <w:tcMar>
              <w:top w:w="90" w:type="dxa"/>
              <w:start w:w="110" w:type="dxa"/>
              <w:bottom w:w="90" w:type="dxa"/>
              <w:end w:w="110" w:type="dxa"/>
            </w:tcMar>
          </w:tcPr>
          <w:p>
            <w:pPr>
              <w:jc w:val="center"/>
            </w:pPr>
            <w:r/>
            <w:r>
              <w:rPr>
                <w:b w:val="0"/>
                <w:sz w:val="16"/>
              </w:rPr>
              <w:t>Miniversal base гладкая формальной размерности dim H_N^2.</w:t>
            </w:r>
          </w:p>
        </w:tc>
      </w:tr>
      <w:tr>
        <w:tc>
          <w:tcPr>
            <w:tcW w:type="dxa" w:w="1800"/>
            <w:vAlign w:val="center"/>
            <w:tcMar>
              <w:top w:w="90" w:type="dxa"/>
              <w:start w:w="110" w:type="dxa"/>
              <w:bottom w:w="90" w:type="dxa"/>
              <w:end w:w="110" w:type="dxa"/>
            </w:tcMar>
          </w:tcPr>
          <w:p>
            <w:pPr>
              <w:jc w:val="center"/>
            </w:pPr>
            <w:r/>
            <w:r>
              <w:rPr>
                <w:b w:val="0"/>
                <w:sz w:val="16"/>
              </w:rPr>
              <w:t>No automorphisms</w:t>
            </w:r>
          </w:p>
        </w:tc>
        <w:tc>
          <w:tcPr>
            <w:tcW w:type="dxa" w:w="3384"/>
            <w:vAlign w:val="center"/>
            <w:tcMar>
              <w:top w:w="90" w:type="dxa"/>
              <w:start w:w="110" w:type="dxa"/>
              <w:bottom w:w="90" w:type="dxa"/>
              <w:end w:w="110" w:type="dxa"/>
            </w:tcMar>
          </w:tcPr>
          <w:p>
            <w:pPr>
              <w:jc w:val="left"/>
            </w:pPr>
            <w:r/>
            <w:r>
              <w:rPr>
                <w:b w:val="0"/>
                <w:sz w:val="16"/>
              </w:rPr>
              <w:t>H_N^1=0</w:t>
            </w:r>
          </w:p>
        </w:tc>
        <w:tc>
          <w:tcPr>
            <w:tcW w:type="dxa" w:w="3816"/>
            <w:vAlign w:val="center"/>
            <w:tcMar>
              <w:top w:w="90" w:type="dxa"/>
              <w:start w:w="110" w:type="dxa"/>
              <w:bottom w:w="90" w:type="dxa"/>
              <w:end w:w="110" w:type="dxa"/>
            </w:tcMar>
          </w:tcPr>
          <w:p>
            <w:pPr>
              <w:jc w:val="center"/>
            </w:pPr>
            <w:r/>
            <w:r>
              <w:rPr>
                <w:b w:val="0"/>
                <w:sz w:val="16"/>
              </w:rPr>
              <w:t>Повышает шанс universality/prorepresentability, но не заменяет H4.</w:t>
            </w:r>
          </w:p>
        </w:tc>
      </w:tr>
      <w:tr>
        <w:tc>
          <w:tcPr>
            <w:tcW w:type="dxa" w:w="1800"/>
            <w:vAlign w:val="center"/>
            <w:tcMar>
              <w:top w:w="90" w:type="dxa"/>
              <w:start w:w="110" w:type="dxa"/>
              <w:bottom w:w="90" w:type="dxa"/>
              <w:end w:w="110" w:type="dxa"/>
            </w:tcMar>
          </w:tcPr>
          <w:p>
            <w:pPr>
              <w:jc w:val="center"/>
            </w:pPr>
            <w:r/>
            <w:r>
              <w:rPr>
                <w:b w:val="0"/>
                <w:sz w:val="16"/>
              </w:rPr>
              <w:t>Quadratic germ</w:t>
            </w:r>
          </w:p>
        </w:tc>
        <w:tc>
          <w:tcPr>
            <w:tcW w:type="dxa" w:w="3384"/>
            <w:vAlign w:val="center"/>
            <w:tcMar>
              <w:top w:w="90" w:type="dxa"/>
              <w:start w:w="110" w:type="dxa"/>
              <w:bottom w:w="90" w:type="dxa"/>
              <w:end w:w="110" w:type="dxa"/>
            </w:tcMar>
          </w:tcPr>
          <w:p>
            <w:pPr>
              <w:jc w:val="left"/>
            </w:pPr>
            <w:r/>
            <w:r>
              <w:rPr>
                <w:b w:val="0"/>
                <w:sz w:val="16"/>
              </w:rPr>
              <w:t>κ_n=0 для n≥3 после equivalence</w:t>
            </w:r>
          </w:p>
        </w:tc>
        <w:tc>
          <w:tcPr>
            <w:tcW w:type="dxa" w:w="3816"/>
            <w:vAlign w:val="center"/>
            <w:tcMar>
              <w:top w:w="90" w:type="dxa"/>
              <w:start w:w="110" w:type="dxa"/>
              <w:bottom w:w="90" w:type="dxa"/>
              <w:end w:w="110" w:type="dxa"/>
            </w:tcMar>
          </w:tcPr>
          <w:p>
            <w:pPr>
              <w:jc w:val="center"/>
            </w:pPr>
            <w:r/>
            <w:r>
              <w:rPr>
                <w:b w:val="0"/>
                <w:sz w:val="16"/>
              </w:rPr>
              <w:t>Base задаётся quadratic cone κ_2(x,x)=0.</w:t>
            </w:r>
          </w:p>
        </w:tc>
      </w:tr>
      <w:tr>
        <w:tc>
          <w:tcPr>
            <w:tcW w:type="dxa" w:w="1800"/>
            <w:vAlign w:val="center"/>
            <w:tcMar>
              <w:top w:w="90" w:type="dxa"/>
              <w:start w:w="110" w:type="dxa"/>
              <w:bottom w:w="90" w:type="dxa"/>
              <w:end w:w="110" w:type="dxa"/>
            </w:tcMar>
          </w:tcPr>
          <w:p>
            <w:pPr>
              <w:jc w:val="center"/>
            </w:pPr>
            <w:r/>
            <w:r>
              <w:rPr>
                <w:b w:val="0"/>
                <w:sz w:val="16"/>
              </w:rPr>
              <w:t>Formal smoothness</w:t>
            </w:r>
          </w:p>
        </w:tc>
        <w:tc>
          <w:tcPr>
            <w:tcW w:type="dxa" w:w="3384"/>
            <w:vAlign w:val="center"/>
            <w:tcMar>
              <w:top w:w="90" w:type="dxa"/>
              <w:start w:w="110" w:type="dxa"/>
              <w:bottom w:w="90" w:type="dxa"/>
              <w:end w:w="110" w:type="dxa"/>
            </w:tcMar>
          </w:tcPr>
          <w:p>
            <w:pPr>
              <w:jc w:val="left"/>
            </w:pPr>
            <w:r/>
            <w:r>
              <w:rPr>
                <w:b w:val="0"/>
                <w:sz w:val="16"/>
              </w:rPr>
              <w:t>все lifts по малым расширениям существуют</w:t>
            </w:r>
          </w:p>
        </w:tc>
        <w:tc>
          <w:tcPr>
            <w:tcW w:type="dxa" w:w="3816"/>
            <w:vAlign w:val="center"/>
            <w:tcMar>
              <w:top w:w="90" w:type="dxa"/>
              <w:start w:w="110" w:type="dxa"/>
              <w:bottom w:w="90" w:type="dxa"/>
              <w:end w:w="110" w:type="dxa"/>
            </w:tcMar>
          </w:tcPr>
          <w:p>
            <w:pPr>
              <w:jc w:val="center"/>
            </w:pPr>
            <w:r/>
            <w:r>
              <w:rPr>
                <w:b w:val="0"/>
                <w:sz w:val="16"/>
              </w:rPr>
              <w:t>Не гарантирует convergence аналитической family без Artin/Kuranishi-type theorem.</w:t>
            </w:r>
          </w:p>
        </w:tc>
      </w:tr>
    </w:tbl>
    <w:p>
      <w:pPr>
        <w:spacing w:after="100"/>
      </w:pPr>
      <w:r>
        <w:t>Теорема Goldman-Millson о quadratic singularities в специальных Kähler-ситуациях не означает, что всякая NAPG-moduli problem квадратична. Для такого вывода требуется formality или эквивалентная редукция controlling DGLA.</w:t>
      </w:r>
    </w:p>
    <w:p>
      <w:pPr>
        <w:pStyle w:val="Heading1"/>
        <w:keepNext/>
      </w:pPr>
      <w:r>
        <w:t>163. Derived formal moduli и граница применения</w:t>
      </w:r>
    </w:p>
    <w:p>
      <w:pPr>
        <w:spacing w:after="100"/>
      </w:pPr>
      <w:r>
        <w:t>В характеристике 0 formal moduli problems при стандартных axioms эквивалентны подходящим dg Lie или L_infinity-алгебрам. В этой корреспонденции derived tangent complex хранит не только tangent space, но и автоморфизмы и obstruction directions.</w:t>
      </w:r>
    </w:p>
    <w:p>
      <w:pPr>
        <w:pStyle w:val="Quote"/>
        <w:spacing w:before="80" w:after="120"/>
        <w:jc w:val="center"/>
      </w:pPr>
      <w:r>
        <w:t>FormalModuli_K  ≃  dgLie_K   (при char K=0 и соответствующих homotopical hypotheses). (16.25)</w:t>
      </w:r>
    </w:p>
    <w:p>
      <w:pPr>
        <w:spacing w:after="100"/>
      </w:pPr>
      <w:r>
        <w:t>Для NAPG это является не готовой теоремой, а шаблоном построения. Требуется определить derived category объектов, weak equivalences, nilcomplete functor, infinitesimal cohesiveness и совместимость partial Dom-data. До закрытия этих пунктов термин derived NAPG moduli используется со статусом COND.</w:t>
      </w:r>
    </w:p>
    <w:p>
      <w:pPr>
        <w:pStyle w:val="Heading1"/>
        <w:keepNext/>
      </w:pPr>
      <w:r>
        <w:t>164. Stack versus coarse moduli: stabilizer no-go</w:t>
      </w:r>
    </w:p>
    <w:p>
      <w:pPr>
        <w:spacing w:after="100"/>
      </w:pPr>
      <w:r>
        <w:t>Пусть ξ - деформация с группой автоморфизмов Aut(ξ). Переход от groupoid Def_N(A) к множеству π_0Def_N(A) забывает Aut(ξ) и его деформации. Поэтому две задачи с одинаковыми coarse points могут иметь разные derived tangent complexes.</w:t>
      </w:r>
    </w:p>
    <w:p>
      <w:pPr>
        <w:pStyle w:val="Quote"/>
        <w:spacing w:before="80" w:after="120"/>
        <w:jc w:val="center"/>
      </w:pPr>
      <w:r>
        <w:t>π_0Def_N не определяет H^{-1}(T_N^der).                                       (16.26)</w:t>
      </w:r>
    </w:p>
    <w:p>
      <w:pPr>
        <w:spacing w:after="100"/>
      </w:pPr>
      <w:r>
        <w:t>Контртеорема 16.8. Нельзя восстановить локальный stack germ по одному coarse moduli germ без stabilizer data. В частности, quotient singularity и обычное сингулярное пространство могут иметь совпадающее множество точек, но различные isotropy и deformation theory.</w:t>
      </w:r>
    </w:p>
    <w:p>
      <w:pPr>
        <w:pStyle w:val="Heading1"/>
        <w:keepNext/>
      </w:pPr>
      <w:r>
        <w:t>165. Стратификация локального модульного пространства</w:t>
      </w:r>
    </w:p>
    <w:p>
      <w:pPr>
        <w:spacing w:after="100"/>
      </w:pPr>
      <w:r>
        <w:t>Локальная miniversal base S_N=K_N^{-1}(0) стратифицируется по invariants: размерности stabilizer, рангу Hessian/leading obstruction, типу orbit, multiplicity, Hilbert-Samuel function и projective obstruction direction.</w:t>
      </w:r>
    </w:p>
    <w:p>
      <w:pPr>
        <w:pStyle w:val="Quote"/>
        <w:spacing w:before="80" w:after="120"/>
        <w:jc w:val="center"/>
      </w:pPr>
      <w:r>
        <w:t>S_N = ⨆_α S_{N,α},      P_mod(x)=(dim H^1,dim H^2,dim H^3,ν_K,HS_x,dim Aut_x,[K_lead]).  (16.27)</w:t>
      </w:r>
    </w:p>
    <w:p>
      <w:pPr>
        <w:spacing w:after="100"/>
      </w:pPr>
      <w:r>
        <w:t>Whitney regularity, existence of finite stratification и local triviality не предполагаются автоматически. Для вычислительного слоя допускается конечная semialgebraic/analytic stratification только после проверки применимого theorem package.</w:t>
      </w:r>
    </w:p>
    <w:p>
      <w:pPr>
        <w:pStyle w:val="Heading1"/>
        <w:keepNext/>
      </w:pPr>
      <w:r>
        <w:t>166. Модульный переходный горизонт предсказательного метода</w:t>
      </w:r>
    </w:p>
    <w:p>
      <w:pPr>
        <w:pStyle w:val="Quote"/>
        <w:spacing w:before="80" w:after="120"/>
        <w:jc w:val="center"/>
      </w:pPr>
      <w:r>
        <w:t>Δ_mod = Δ_HF ∪ Δ_ctrl ∪ Δ_Sch ∪ Δ_aut ∪ Δ_tan ∪ Δ_obs ∪ Δ_Kur ∪ Δ_conv ∪ Δ_orb ∪ Δ_D ∪ Δ_Dom ∪ Δ_glue.   (16.28)</w:t>
      </w:r>
    </w:p>
    <w:p>
      <w:pPr>
        <w:spacing w:after="100"/>
      </w:pPr>
      <w:r>
        <w:t>Компоненты фиксируют соответственно: потерю Hodge-Fredholm условий; разрушение controlling algebra; отказ Schlessinger conditions; jump stabilizer; изменение tangent/obstruction ranks; смену Kuranishi germ; потерю convergence margin; orbit/stratum transition; повреждение Evidence-D, domain или descent.</w:t>
      </w:r>
    </w:p>
    <w:p>
      <w:pPr>
        <w:spacing w:after="100"/>
      </w:pPr>
      <w:r>
        <w:t>Для конкретного tangent candidate x_t определяется Kuranishi residual</w:t>
      </w:r>
    </w:p>
    <w:p>
      <w:pPr>
        <w:pStyle w:val="Quote"/>
        <w:spacing w:before="80" w:after="120"/>
        <w:jc w:val="center"/>
      </w:pPr>
      <w:r>
        <w:t>η_K(t)=||K_{N_t}(x_t)||.                                                        (16.29)</w:t>
      </w:r>
    </w:p>
    <w:p>
      <w:pPr>
        <w:spacing w:after="100"/>
      </w:pPr>
      <w:r>
        <w:t>Если η_K≥ε_K&gt;0 на интервале, соответствующий класс не интегрируется в local MC-family. Если η_K=0, получается только локальный candidate-lift; глобализация, внешний E-мост, λ-шлюз и независимая проверка остаются отдельными.</w:t>
      </w:r>
    </w:p>
    <w:p>
      <w:pPr>
        <w:jc w:val="center"/>
      </w:pPr>
      <w:r>
        <w:drawing>
          <wp:inline xmlns:a="http://schemas.openxmlformats.org/drawingml/2006/main" xmlns:pic="http://schemas.openxmlformats.org/drawingml/2006/picture">
            <wp:extent cx="6035040" cy="3440507"/>
            <wp:docPr id="41" name="Picture 41"/>
            <wp:cNvGraphicFramePr>
              <a:graphicFrameLocks noChangeAspect="1"/>
            </wp:cNvGraphicFramePr>
            <a:graphic>
              <a:graphicData uri="http://schemas.openxmlformats.org/drawingml/2006/picture">
                <pic:pic>
                  <pic:nvPicPr>
                    <pic:cNvPr id="0" name="fig16_3.png"/>
                    <pic:cNvPicPr/>
                  </pic:nvPicPr>
                  <pic:blipFill>
                    <a:blip r:embed="rId70"/>
                    <a:stretch>
                      <a:fillRect/>
                    </a:stretch>
                  </pic:blipFill>
                  <pic:spPr>
                    <a:xfrm>
                      <a:off x="0" y="0"/>
                      <a:ext cx="6035040" cy="3440507"/>
                    </a:xfrm>
                    <a:prstGeom prst="rect"/>
                  </pic:spPr>
                </pic:pic>
              </a:graphicData>
            </a:graphic>
          </wp:inline>
        </w:drawing>
      </w:r>
    </w:p>
    <w:p>
      <w:pPr>
        <w:pStyle w:val="Caption"/>
        <w:keepNext/>
        <w:jc w:val="center"/>
      </w:pPr>
      <w:r>
        <w:t>Рисунок 16.3. Модульный переходный горизонт и blocker-safe вывод. Собственная схема Тома II.</w:t>
      </w:r>
    </w:p>
    <w:p>
      <w:pPr>
        <w:pStyle w:val="Heading1"/>
        <w:keepNext/>
      </w:pPr>
      <w:r>
        <w:t>167. Сертифицированная тривиализация семейства moduli problems</w:t>
      </w:r>
    </w:p>
    <w:p>
      <w:pPr>
        <w:spacing w:after="100"/>
      </w:pPr>
      <w:r>
        <w:t>Простого постоянства размерностей H_N^i недостаточно для постоянства moduli germ. Поэтому вводится сильный сертификат ModTriv(I), содержащий:</w:t>
      </w:r>
    </w:p>
    <w:p>
      <w:pPr>
        <w:pStyle w:val="ListBullet"/>
      </w:pPr>
      <w:r>
        <w:t>идентификации graded Hilbert spaces и domains вдоль I;</w:t>
      </w:r>
    </w:p>
    <w:p>
      <w:pPr>
        <w:pStyle w:val="ListBullet"/>
      </w:pPr>
      <w:r>
        <w:t>filtered L_infinity-isomorphisms controlling algebras, непрерывные по параметру;</w:t>
      </w:r>
    </w:p>
    <w:p>
      <w:pPr>
        <w:pStyle w:val="ListBullet"/>
      </w:pPr>
      <w:r>
        <w:t>совместимые Hodge contractions (p_t,i_t,h_t) с uniform bounds;</w:t>
      </w:r>
    </w:p>
    <w:p>
      <w:pPr>
        <w:pStyle w:val="ListBullet"/>
      </w:pPr>
      <w:r>
        <w:t>right-equivalence K_t = B_t∘K_{t0}∘A_t^{-1} для локальных аналитических координат;</w:t>
      </w:r>
    </w:p>
    <w:p>
      <w:pPr>
        <w:pStyle w:val="ListBullet"/>
      </w:pPr>
      <w:r>
        <w:t>сохранение stabilizer groupoids, D/Dom, charts и globalization data;</w:t>
      </w:r>
    </w:p>
    <w:p>
      <w:pPr>
        <w:pStyle w:val="ListBullet"/>
      </w:pPr>
      <w:r>
        <w:t>равномерный Kuranishi radius и separation from Δ_mod.</w:t>
      </w:r>
    </w:p>
    <w:p>
      <w:pPr>
        <w:spacing w:after="100"/>
      </w:pPr>
      <w:r>
        <w:t>Только такой сертификат разрешает переносить отрицательный прогноз между параметрами. Постоянные Betti numbers без ModTriv(I) этого не обеспечивают.</w:t>
      </w:r>
    </w:p>
    <w:p>
      <w:pPr>
        <w:pStyle w:val="Heading1"/>
        <w:keepNext/>
      </w:pPr>
      <w:r>
        <w:t>168. Главная условная теорема T2-RP-v0.13</w:t>
      </w:r>
    </w:p>
    <w:p>
      <w:pPr>
        <w:spacing w:after="100"/>
      </w:pPr>
      <w:r>
        <w:t>Теорема 16.9 (Moduli-Kuranishi-safe predictive theorem). [COND] Пусть семейство N_t на компактном интервале I удовлетворяет:</w:t>
      </w:r>
    </w:p>
    <w:p>
      <w:pPr>
        <w:pStyle w:val="ListNumber"/>
      </w:pPr>
      <w:r>
        <w:t>существует complete filtered controlling L_infinity-algebra g_t для каждой N_t;</w:t>
      </w:r>
    </w:p>
    <w:p>
      <w:pPr>
        <w:pStyle w:val="ListNumber"/>
      </w:pPr>
      <w:r>
        <w:t>выполнены H1-H3 Шлессингера и существует miniversal hull;</w:t>
      </w:r>
    </w:p>
    <w:p>
      <w:pPr>
        <w:pStyle w:val="ListNumber"/>
      </w:pPr>
      <w:r>
        <w:t>Hodge-Green contractions корректны и имеют uniform spectral/convergence margins;</w:t>
      </w:r>
    </w:p>
    <w:p>
      <w:pPr>
        <w:pStyle w:val="ListNumber"/>
      </w:pPr>
      <w:r>
        <w:t>задан сертификат ModTriv(I) и I∩Δ_mod=∅;</w:t>
      </w:r>
    </w:p>
    <w:p>
      <w:pPr>
        <w:pStyle w:val="ListNumber"/>
      </w:pPr>
      <w:r>
        <w:t>candidate section x_t∈H_{N_t}^2 непрерывен и сохраняет Evidence-D/Dom;</w:t>
      </w:r>
    </w:p>
    <w:p>
      <w:pPr>
        <w:pStyle w:val="ListNumber"/>
      </w:pPr>
      <w:r>
        <w:t>все предыдущие tangent, differential, external, projective и global blockers закрыты.</w:t>
      </w:r>
    </w:p>
    <w:p>
      <w:pPr>
        <w:spacing w:after="100"/>
      </w:pPr>
      <w:r>
        <w:t>Тогда локальный moduli type и order profile ν_K постоянны в сертифицированной тривиализации. Если</w:t>
      </w:r>
    </w:p>
    <w:p>
      <w:pPr>
        <w:pStyle w:val="Quote"/>
        <w:spacing w:before="80" w:after="120"/>
        <w:jc w:val="center"/>
      </w:pPr>
      <w:r>
        <w:t>η_K(t)=||K_t(x_t)|| ≥ ε_K &gt; 0  для всех t∈I,                                 (16.30)</w:t>
      </w:r>
    </w:p>
    <w:p>
      <w:pPr>
        <w:spacing w:after="100"/>
      </w:pPr>
      <w:r>
        <w:t>то ни один x_t не интегрируется в MC-deformation в пределах указанного Kuranishi neighborhood. Следовательно, структурный переход, требующий именно этой ветви, невозможен внутри модели.</w:t>
      </w:r>
    </w:p>
    <w:p>
      <w:pPr>
        <w:spacing w:after="100"/>
      </w:pPr>
      <w:r>
        <w:t>Если η_K(t)=0, существует локальный formal/analytic candidate-lift при остальных гипотезах, но теорема не утверждает его глобальность, уникальность, устойчивость вне радиуса, физическую реализацию или вероятность события.</w:t>
      </w:r>
    </w:p>
    <w:p>
      <w:pPr>
        <w:pStyle w:val="Heading1"/>
        <w:keepNext/>
      </w:pPr>
      <w:r>
        <w:t>169. Blocker-safe вывод главы</w:t>
      </w:r>
    </w:p>
    <w:p>
      <w:pPr>
        <w:pStyle w:val="Quote"/>
        <w:spacing w:before="80" w:after="120"/>
        <w:jc w:val="center"/>
      </w:pPr>
      <w:r>
        <w:t>Block_mod = B_ctrl ∪ B_Sch ∪ B_HF ∪ B_gauge ∪ B_conv ∪ B_Kur ∪ B_aut ∪ B_stack ∪ B_D ∪ B_Dom ∪ B_glue ∪ B_ind. (16.31)</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3168"/>
            <w:vAlign w:val="center"/>
            <w:tcMar>
              <w:top w:w="90" w:type="dxa"/>
              <w:start w:w="110" w:type="dxa"/>
              <w:bottom w:w="90" w:type="dxa"/>
              <w:end w:w="110" w:type="dxa"/>
            </w:tcMar>
            <w:shd w:fill="173b63"/>
          </w:tcPr>
          <w:p>
            <w:pPr>
              <w:jc w:val="center"/>
            </w:pPr>
            <w:r/>
            <w:r>
              <w:rPr>
                <w:b/>
                <w:color w:val="FFFFFF"/>
                <w:sz w:val="18"/>
              </w:rPr>
              <w:t>Условие</w:t>
            </w:r>
          </w:p>
        </w:tc>
        <w:tc>
          <w:tcPr>
            <w:tcW w:type="dxa" w:w="2304"/>
            <w:vAlign w:val="center"/>
            <w:tcMar>
              <w:top w:w="90" w:type="dxa"/>
              <w:start w:w="110" w:type="dxa"/>
              <w:bottom w:w="90" w:type="dxa"/>
              <w:end w:w="110" w:type="dxa"/>
            </w:tcMar>
            <w:shd w:fill="173b63"/>
          </w:tcPr>
          <w:p>
            <w:pPr>
              <w:jc w:val="center"/>
            </w:pPr>
            <w:r/>
            <w:r>
              <w:rPr>
                <w:b/>
                <w:color w:val="FFFFFF"/>
                <w:sz w:val="18"/>
              </w:rPr>
              <w:t>Вердикт</w:t>
            </w:r>
          </w:p>
        </w:tc>
        <w:tc>
          <w:tcPr>
            <w:tcW w:type="dxa" w:w="3600"/>
            <w:vAlign w:val="center"/>
            <w:tcMar>
              <w:top w:w="90" w:type="dxa"/>
              <w:start w:w="110" w:type="dxa"/>
              <w:bottom w:w="90" w:type="dxa"/>
              <w:end w:w="110" w:type="dxa"/>
            </w:tcMar>
            <w:shd w:fill="173b63"/>
          </w:tcPr>
          <w:p>
            <w:pPr>
              <w:jc w:val="center"/>
            </w:pPr>
            <w:r/>
            <w:r>
              <w:rPr>
                <w:b/>
                <w:color w:val="FFFFFF"/>
                <w:sz w:val="18"/>
              </w:rPr>
              <w:t>Смысл</w:t>
            </w:r>
          </w:p>
        </w:tc>
      </w:tr>
      <w:tr>
        <w:tc>
          <w:tcPr>
            <w:tcW w:type="dxa" w:w="3168"/>
            <w:vAlign w:val="center"/>
            <w:tcMar>
              <w:top w:w="90" w:type="dxa"/>
              <w:start w:w="110" w:type="dxa"/>
              <w:bottom w:w="90" w:type="dxa"/>
              <w:end w:w="110" w:type="dxa"/>
            </w:tcMar>
          </w:tcPr>
          <w:p>
            <w:pPr>
              <w:jc w:val="center"/>
            </w:pPr>
            <w:r/>
            <w:r>
              <w:rPr>
                <w:b w:val="0"/>
                <w:sz w:val="17"/>
              </w:rPr>
              <w:t>η_K≥ε_K, Block_mod=∅</w:t>
            </w:r>
          </w:p>
        </w:tc>
        <w:tc>
          <w:tcPr>
            <w:tcW w:type="dxa" w:w="2304"/>
            <w:vAlign w:val="center"/>
            <w:tcMar>
              <w:top w:w="90" w:type="dxa"/>
              <w:start w:w="110" w:type="dxa"/>
              <w:bottom w:w="90" w:type="dxa"/>
              <w:end w:w="110" w:type="dxa"/>
            </w:tcMar>
          </w:tcPr>
          <w:p>
            <w:pPr>
              <w:jc w:val="left"/>
            </w:pPr>
            <w:r/>
            <w:r>
              <w:rPr>
                <w:b w:val="0"/>
                <w:sz w:val="17"/>
              </w:rPr>
              <w:t>NO-LIFT-IN-MODEL</w:t>
            </w:r>
          </w:p>
        </w:tc>
        <w:tc>
          <w:tcPr>
            <w:tcW w:type="dxa" w:w="3600"/>
            <w:vAlign w:val="center"/>
            <w:tcMar>
              <w:top w:w="90" w:type="dxa"/>
              <w:start w:w="110" w:type="dxa"/>
              <w:bottom w:w="90" w:type="dxa"/>
              <w:end w:w="110" w:type="dxa"/>
            </w:tcMar>
          </w:tcPr>
          <w:p>
            <w:pPr>
              <w:jc w:val="center"/>
            </w:pPr>
            <w:r/>
            <w:r>
              <w:rPr>
                <w:b w:val="0"/>
                <w:sz w:val="17"/>
              </w:rPr>
              <w:t>Класс не принадлежит локальному нулевому локусу Kuranishi map.</w:t>
            </w:r>
          </w:p>
        </w:tc>
      </w:tr>
      <w:tr>
        <w:tc>
          <w:tcPr>
            <w:tcW w:type="dxa" w:w="3168"/>
            <w:vAlign w:val="center"/>
            <w:tcMar>
              <w:top w:w="90" w:type="dxa"/>
              <w:start w:w="110" w:type="dxa"/>
              <w:bottom w:w="90" w:type="dxa"/>
              <w:end w:w="110" w:type="dxa"/>
            </w:tcMar>
          </w:tcPr>
          <w:p>
            <w:pPr>
              <w:jc w:val="center"/>
            </w:pPr>
            <w:r/>
            <w:r>
              <w:rPr>
                <w:b w:val="0"/>
                <w:sz w:val="17"/>
              </w:rPr>
              <w:t>η_K=0, Cert_mod полный</w:t>
            </w:r>
          </w:p>
        </w:tc>
        <w:tc>
          <w:tcPr>
            <w:tcW w:type="dxa" w:w="2304"/>
            <w:vAlign w:val="center"/>
            <w:tcMar>
              <w:top w:w="90" w:type="dxa"/>
              <w:start w:w="110" w:type="dxa"/>
              <w:bottom w:w="90" w:type="dxa"/>
              <w:end w:w="110" w:type="dxa"/>
            </w:tcMar>
          </w:tcPr>
          <w:p>
            <w:pPr>
              <w:jc w:val="left"/>
            </w:pPr>
            <w:r/>
            <w:r>
              <w:rPr>
                <w:b w:val="0"/>
                <w:sz w:val="17"/>
              </w:rPr>
              <w:t>CANDIDATE-LIFT</w:t>
            </w:r>
          </w:p>
        </w:tc>
        <w:tc>
          <w:tcPr>
            <w:tcW w:type="dxa" w:w="3600"/>
            <w:vAlign w:val="center"/>
            <w:tcMar>
              <w:top w:w="90" w:type="dxa"/>
              <w:start w:w="110" w:type="dxa"/>
              <w:bottom w:w="90" w:type="dxa"/>
              <w:end w:w="110" w:type="dxa"/>
            </w:tcMar>
          </w:tcPr>
          <w:p>
            <w:pPr>
              <w:jc w:val="center"/>
            </w:pPr>
            <w:r/>
            <w:r>
              <w:rPr>
                <w:b w:val="0"/>
                <w:sz w:val="17"/>
              </w:rPr>
              <w:t>Локальный интегрируемый кандидат; дальнейшие мосты ещё нужны.</w:t>
            </w:r>
          </w:p>
        </w:tc>
      </w:tr>
      <w:tr>
        <w:tc>
          <w:tcPr>
            <w:tcW w:type="dxa" w:w="3168"/>
            <w:vAlign w:val="center"/>
            <w:tcMar>
              <w:top w:w="90" w:type="dxa"/>
              <w:start w:w="110" w:type="dxa"/>
              <w:bottom w:w="90" w:type="dxa"/>
              <w:end w:w="110" w:type="dxa"/>
            </w:tcMar>
          </w:tcPr>
          <w:p>
            <w:pPr>
              <w:jc w:val="center"/>
            </w:pPr>
            <w:r/>
            <w:r>
              <w:rPr>
                <w:b w:val="0"/>
                <w:sz w:val="17"/>
              </w:rPr>
              <w:t>любой blocker ненулевой</w:t>
            </w:r>
          </w:p>
        </w:tc>
        <w:tc>
          <w:tcPr>
            <w:tcW w:type="dxa" w:w="2304"/>
            <w:vAlign w:val="center"/>
            <w:tcMar>
              <w:top w:w="90" w:type="dxa"/>
              <w:start w:w="110" w:type="dxa"/>
              <w:bottom w:w="90" w:type="dxa"/>
              <w:end w:w="110" w:type="dxa"/>
            </w:tcMar>
          </w:tcPr>
          <w:p>
            <w:pPr>
              <w:jc w:val="left"/>
            </w:pPr>
            <w:r/>
            <w:r>
              <w:rPr>
                <w:b w:val="0"/>
                <w:sz w:val="17"/>
              </w:rPr>
              <w:t>ABSTAIN</w:t>
            </w:r>
          </w:p>
        </w:tc>
        <w:tc>
          <w:tcPr>
            <w:tcW w:type="dxa" w:w="3600"/>
            <w:vAlign w:val="center"/>
            <w:tcMar>
              <w:top w:w="90" w:type="dxa"/>
              <w:start w:w="110" w:type="dxa"/>
              <w:bottom w:w="90" w:type="dxa"/>
              <w:end w:w="110" w:type="dxa"/>
            </w:tcMar>
          </w:tcPr>
          <w:p>
            <w:pPr>
              <w:jc w:val="center"/>
            </w:pPr>
            <w:r/>
            <w:r>
              <w:rPr>
                <w:b w:val="0"/>
                <w:sz w:val="17"/>
              </w:rPr>
              <w:t>Доказательная цепь недостаточна или плохо обусловлена.</w:t>
            </w:r>
          </w:p>
        </w:tc>
      </w:tr>
    </w:tbl>
    <w:p>
      <w:pPr>
        <w:pStyle w:val="Heading1"/>
        <w:keepNext/>
      </w:pPr>
      <w:r>
        <w:t>170. Контрпримеры и разделяющие модели</w:t>
      </w:r>
    </w:p>
    <w:p>
      <w:pPr>
        <w:pStyle w:val="ListBullet"/>
      </w:pPr>
      <w:r>
        <w:t>Тangent без lift: functor с ненулевым H^2_N и квадратичным K(x)=x² имеет все first-order directions, но only x=0 интегрируется.</w:t>
      </w:r>
    </w:p>
    <w:p>
      <w:pPr>
        <w:pStyle w:val="ListBullet"/>
      </w:pPr>
      <w:r>
        <w:t>Primary obstruction zero, higher obstruction nonzero: κ_2=0 и κ_3(x,x,x)≠0.</w:t>
      </w:r>
    </w:p>
    <w:p>
      <w:pPr>
        <w:pStyle w:val="ListBullet"/>
      </w:pPr>
      <w:r>
        <w:t>Miniversal не universal: наличие H^1_N≠0 создаёт несколько base maps, связанные автоморфизмами.</w:t>
      </w:r>
    </w:p>
    <w:p>
      <w:pPr>
        <w:pStyle w:val="ListBullet"/>
      </w:pPr>
      <w:r>
        <w:t>Одинаковые dim H^i, разные germs: K_1(x,y)=xy и K_2(x,y)=x²+y³ имеют одинаковые ambient tangent/obstruction dimensions, но различные singularity types.</w:t>
      </w:r>
    </w:p>
    <w:p>
      <w:pPr>
        <w:pStyle w:val="ListBullet"/>
      </w:pPr>
      <w:r>
        <w:t>Формальное без аналитического: формальная серия может не иметь положительного радиуса сходимости без analytic estimates.</w:t>
      </w:r>
    </w:p>
    <w:p>
      <w:pPr>
        <w:pStyle w:val="ListBullet"/>
      </w:pPr>
      <w:r>
        <w:t>Green dependence: разные метрики дают разные representatives и Kuranishi maps, хотя корректные germs могут быть equivalent.</w:t>
      </w:r>
    </w:p>
    <w:p>
      <w:pPr>
        <w:pStyle w:val="ListBullet"/>
      </w:pPr>
      <w:r>
        <w:t>Coarse-space blindness: quotient [A¹/{±1}] и его coarse A¹ имеют разные stabilizer data.</w:t>
      </w:r>
    </w:p>
    <w:p>
      <w:pPr>
        <w:pStyle w:val="ListBullet"/>
      </w:pPr>
      <w:r>
        <w:t>Нуль K не физическое событие: статическая алгебраическая family может иметь гладкую miniversal base без времени, причинности и наблюдаемой.</w:t>
      </w:r>
    </w:p>
    <w:p>
      <w:pPr>
        <w:spacing w:after="100"/>
      </w:pPr>
      <w:r>
        <w:t>Эти модели запрещают цепочку «tangent → deformation → event» без lift, convergence, globalization и domain evidence.</w:t>
      </w:r>
    </w:p>
    <w:p>
      <w:pPr>
        <w:pStyle w:val="Heading1"/>
        <w:keepNext/>
      </w:pPr>
      <w:r>
        <w:t>171. Вычислительный сертификат MOD-KUR v0.13</w:t>
      </w:r>
    </w:p>
    <w:p>
      <w:pPr>
        <w:spacing w:after="100"/>
      </w:pPr>
      <w:r>
        <w:t>Минимальный воспроизводимый пакет MOD-01-MOD-24:</w:t>
      </w:r>
    </w:p>
    <w:p>
      <w:pPr>
        <w:pStyle w:val="ListBullet"/>
      </w:pPr>
      <w:r>
        <w:t>MOD-01 Art_K/base specification; MOD-02 object and morphism schemas; MOD-03 gauge groupoid;</w:t>
      </w:r>
    </w:p>
    <w:p>
      <w:pPr>
        <w:pStyle w:val="ListBullet"/>
      </w:pPr>
      <w:r>
        <w:t>MOD-04 complex d¹,d²; MOD-05 exact d²d¹ test; MOD-06 H¹,H²,H³ bases;</w:t>
      </w:r>
    </w:p>
    <w:p>
      <w:pPr>
        <w:pStyle w:val="ListBullet"/>
      </w:pPr>
      <w:r>
        <w:t>MOD-07 small-extension generator; MOD-08 obstruction-class independence; MOD-09 lift torsor test;</w:t>
      </w:r>
    </w:p>
    <w:p>
      <w:pPr>
        <w:pStyle w:val="ListBullet"/>
      </w:pPr>
      <w:r>
        <w:t>MOD-10 Schlessinger H1; MOD-11 H2; MOD-12 H3 finite-dimensionality; MOD-13 H4/prorepresentability flag;</w:t>
      </w:r>
    </w:p>
    <w:p>
      <w:pPr>
        <w:pStyle w:val="ListBullet"/>
      </w:pPr>
      <w:r>
        <w:t>MOD-14 controlling L_infinity identities; MOD-15 MC equation; MOD-16 gauge invariance;</w:t>
      </w:r>
    </w:p>
    <w:p>
      <w:pPr>
        <w:pStyle w:val="ListBullet"/>
      </w:pPr>
      <w:r>
        <w:t>MOD-17 Hodge contraction identity; MOD-18 Green norm and spectral margin; MOD-19 fixed-point contraction;</w:t>
      </w:r>
    </w:p>
    <w:p>
      <w:pPr>
        <w:pStyle w:val="ListBullet"/>
      </w:pPr>
      <w:r>
        <w:t>MOD-20 Kuranishi Taylor coefficients; MOD-21 zero-locus and local algebra; MOD-22 stabilizer/orbit strata;</w:t>
      </w:r>
    </w:p>
    <w:p>
      <w:pPr>
        <w:pStyle w:val="ListBullet"/>
      </w:pPr>
      <w:r>
        <w:t>MOD-23 blocker-safe verdict; MOD-24 sources, code, environment and artifact hashes.</w:t>
      </w:r>
    </w:p>
    <w:p>
      <w:pPr>
        <w:pStyle w:val="Heading2"/>
        <w:keepNext/>
      </w:pPr>
      <w:r>
        <w:t>171.1. Псевдокод</w:t>
      </w:r>
    </w:p>
    <w:p>
      <w:pPr>
        <w:pStyle w:val="Quote"/>
        <w:spacing w:before="80" w:after="120"/>
        <w:jc w:val="center"/>
      </w:pPr>
      <w:r>
        <w:t>INPUT NAPG frame N, controlling data g, Artin bases, Hodge-Green package, candidate x, D/Dom</w:t>
        <w:br/>
        <w:t>CHECK l_infinity_identities; compute H1,H2,H3; test small extensions and Schlessinger maps</w:t>
        <w:br/>
        <w:t>BUILD contraction (p,i,h); verify id-ip=l1h+hl1 and uniform bounds</w:t>
        <w:br/>
        <w:t>SOLVE alpha=i(x)-hN(alpha); COMPUTE K(x)=pN(alpha) with interval enclosure</w:t>
        <w:br/>
        <w:t>IF blockers != empty: ABSTAIN</w:t>
        <w:br/>
        <w:t>ELSE IF lower_bound(||K(x)||)&gt;0: NO-LIFT-IN-MODEL</w:t>
        <w:br/>
        <w:t>ELSE IF K(x)=0 exactly and all certificates pass: CANDIDATE-LIFT</w:t>
        <w:br/>
        <w:t>STORE proof objects, choices, hashes and rollback checkpoint.                                  (16.32)</w:t>
      </w:r>
    </w:p>
    <w:p>
      <w:pPr>
        <w:pStyle w:val="Heading1"/>
        <w:keepNext/>
      </w:pPr>
      <w:r>
        <w:t>172. Доказательные обязательства T2-PO-171-T2-PO-196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ID</w:t>
            </w:r>
          </w:p>
        </w:tc>
        <w:tc>
          <w:tcPr>
            <w:tcW w:type="dxa" w:w="4464"/>
            <w:vAlign w:val="center"/>
            <w:tcMar>
              <w:top w:w="90" w:type="dxa"/>
              <w:start w:w="110" w:type="dxa"/>
              <w:bottom w:w="90" w:type="dxa"/>
              <w:end w:w="110" w:type="dxa"/>
            </w:tcMar>
            <w:shd w:fill="173b63"/>
          </w:tcPr>
          <w:p>
            <w:pPr>
              <w:jc w:val="center"/>
            </w:pPr>
            <w:r/>
            <w:r>
              <w:rPr>
                <w:b/>
                <w:color w:val="FFFFFF"/>
                <w:sz w:val="18"/>
              </w:rPr>
              <w:t>Обязательство</w:t>
            </w:r>
          </w:p>
        </w:tc>
        <w:tc>
          <w:tcPr>
            <w:tcW w:type="dxa" w:w="1584"/>
            <w:vAlign w:val="center"/>
            <w:tcMar>
              <w:top w:w="90" w:type="dxa"/>
              <w:start w:w="110" w:type="dxa"/>
              <w:bottom w:w="90" w:type="dxa"/>
              <w:end w:w="110" w:type="dxa"/>
            </w:tcMar>
            <w:shd w:fill="173b63"/>
          </w:tcPr>
          <w:p>
            <w:pPr>
              <w:jc w:val="center"/>
            </w:pPr>
            <w:r/>
            <w:r>
              <w:rPr>
                <w:b/>
                <w:color w:val="FFFFFF"/>
                <w:sz w:val="18"/>
              </w:rPr>
              <w:t>Статус</w:t>
            </w:r>
          </w:p>
        </w:tc>
        <w:tc>
          <w:tcPr>
            <w:tcW w:type="dxa" w:w="2448"/>
            <w:vAlign w:val="center"/>
            <w:tcMar>
              <w:top w:w="90" w:type="dxa"/>
              <w:start w:w="110" w:type="dxa"/>
              <w:bottom w:w="90" w:type="dxa"/>
              <w:end w:w="110" w:type="dxa"/>
            </w:tcMar>
            <w:shd w:fill="173b63"/>
          </w:tcPr>
          <w:p>
            <w:pPr>
              <w:jc w:val="center"/>
            </w:pPr>
            <w:r/>
            <w:r>
              <w:rPr>
                <w:b/>
                <w:color w:val="FFFFFF"/>
                <w:sz w:val="18"/>
              </w:rPr>
              <w:t>Условие закрытия</w:t>
            </w:r>
          </w:p>
        </w:tc>
      </w:tr>
      <w:tr>
        <w:tc>
          <w:tcPr>
            <w:tcW w:type="dxa" w:w="1440"/>
            <w:vAlign w:val="center"/>
            <w:tcMar>
              <w:top w:w="90" w:type="dxa"/>
              <w:start w:w="110" w:type="dxa"/>
              <w:bottom w:w="90" w:type="dxa"/>
              <w:end w:w="110" w:type="dxa"/>
            </w:tcMar>
          </w:tcPr>
          <w:p>
            <w:pPr>
              <w:jc w:val="center"/>
            </w:pPr>
            <w:r/>
            <w:r>
              <w:rPr>
                <w:b w:val="0"/>
                <w:sz w:val="15"/>
              </w:rPr>
              <w:t>T2-PO-171</w:t>
            </w:r>
          </w:p>
        </w:tc>
        <w:tc>
          <w:tcPr>
            <w:tcW w:type="dxa" w:w="4464"/>
            <w:vAlign w:val="center"/>
            <w:tcMar>
              <w:top w:w="90" w:type="dxa"/>
              <w:start w:w="110" w:type="dxa"/>
              <w:bottom w:w="90" w:type="dxa"/>
              <w:end w:w="110" w:type="dxa"/>
            </w:tcMar>
          </w:tcPr>
          <w:p>
            <w:pPr>
              <w:jc w:val="left"/>
            </w:pPr>
            <w:r/>
            <w:r>
              <w:rPr>
                <w:b w:val="0"/>
                <w:sz w:val="15"/>
              </w:rPr>
              <w:t>Определить Art_K и base-change для частичных NAPG-операций.</w:t>
            </w:r>
          </w:p>
        </w:tc>
        <w:tc>
          <w:tcPr>
            <w:tcW w:type="dxa" w:w="1584"/>
            <w:vAlign w:val="center"/>
            <w:tcMar>
              <w:top w:w="90" w:type="dxa"/>
              <w:start w:w="110" w:type="dxa"/>
              <w:bottom w:w="90" w:type="dxa"/>
              <w:end w:w="110" w:type="dxa"/>
            </w:tcMar>
          </w:tcPr>
          <w:p>
            <w:pPr>
              <w:jc w:val="center"/>
            </w:pPr>
            <w:r/>
            <w:r>
              <w:rPr>
                <w:b w:val="0"/>
                <w:sz w:val="15"/>
              </w:rPr>
              <w:t>CLOSED-FD</w:t>
            </w:r>
          </w:p>
        </w:tc>
        <w:tc>
          <w:tcPr>
            <w:tcW w:type="dxa" w:w="2448"/>
            <w:vAlign w:val="center"/>
            <w:tcMar>
              <w:top w:w="90" w:type="dxa"/>
              <w:start w:w="110" w:type="dxa"/>
              <w:bottom w:w="90" w:type="dxa"/>
              <w:end w:w="110" w:type="dxa"/>
            </w:tcMar>
          </w:tcPr>
          <w:p>
            <w:pPr>
              <w:jc w:val="left"/>
            </w:pPr>
            <w:r/>
            <w:r>
              <w:rPr>
                <w:b w:val="0"/>
                <w:sz w:val="15"/>
              </w:rPr>
              <w:t>Конечномерный типизированный сектор.</w:t>
            </w:r>
          </w:p>
        </w:tc>
      </w:tr>
      <w:tr>
        <w:tc>
          <w:tcPr>
            <w:tcW w:type="dxa" w:w="1440"/>
            <w:vAlign w:val="center"/>
            <w:tcMar>
              <w:top w:w="90" w:type="dxa"/>
              <w:start w:w="110" w:type="dxa"/>
              <w:bottom w:w="90" w:type="dxa"/>
              <w:end w:w="110" w:type="dxa"/>
            </w:tcMar>
          </w:tcPr>
          <w:p>
            <w:pPr>
              <w:jc w:val="center"/>
            </w:pPr>
            <w:r/>
            <w:r>
              <w:rPr>
                <w:b w:val="0"/>
                <w:sz w:val="15"/>
              </w:rPr>
              <w:t>T2-PO-172</w:t>
            </w:r>
          </w:p>
        </w:tc>
        <w:tc>
          <w:tcPr>
            <w:tcW w:type="dxa" w:w="4464"/>
            <w:vAlign w:val="center"/>
            <w:tcMar>
              <w:top w:w="90" w:type="dxa"/>
              <w:start w:w="110" w:type="dxa"/>
              <w:bottom w:w="90" w:type="dxa"/>
              <w:end w:w="110" w:type="dxa"/>
            </w:tcMar>
          </w:tcPr>
          <w:p>
            <w:pPr>
              <w:jc w:val="left"/>
            </w:pPr>
            <w:r/>
            <w:r>
              <w:rPr>
                <w:b w:val="0"/>
                <w:sz w:val="15"/>
              </w:rPr>
              <w:t>Построить groupoid-valued Def_N, сохраняющий D/Dom.</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Нужна полная morphism specification.</w:t>
            </w:r>
          </w:p>
        </w:tc>
      </w:tr>
      <w:tr>
        <w:tc>
          <w:tcPr>
            <w:tcW w:type="dxa" w:w="1440"/>
            <w:vAlign w:val="center"/>
            <w:tcMar>
              <w:top w:w="90" w:type="dxa"/>
              <w:start w:w="110" w:type="dxa"/>
              <w:bottom w:w="90" w:type="dxa"/>
              <w:end w:w="110" w:type="dxa"/>
            </w:tcMar>
          </w:tcPr>
          <w:p>
            <w:pPr>
              <w:jc w:val="center"/>
            </w:pPr>
            <w:r/>
            <w:r>
              <w:rPr>
                <w:b w:val="0"/>
                <w:sz w:val="15"/>
              </w:rPr>
              <w:t>T2-PO-173</w:t>
            </w:r>
          </w:p>
        </w:tc>
        <w:tc>
          <w:tcPr>
            <w:tcW w:type="dxa" w:w="4464"/>
            <w:vAlign w:val="center"/>
            <w:tcMar>
              <w:top w:w="90" w:type="dxa"/>
              <w:start w:w="110" w:type="dxa"/>
              <w:bottom w:w="90" w:type="dxa"/>
              <w:end w:w="110" w:type="dxa"/>
            </w:tcMar>
          </w:tcPr>
          <w:p>
            <w:pPr>
              <w:jc w:val="left"/>
            </w:pPr>
            <w:r/>
            <w:r>
              <w:rPr>
                <w:b w:val="0"/>
                <w:sz w:val="15"/>
              </w:rPr>
              <w:t>Доказать small-extension obstruction class.</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Следует из CTRL-16.1.</w:t>
            </w:r>
          </w:p>
        </w:tc>
      </w:tr>
      <w:tr>
        <w:tc>
          <w:tcPr>
            <w:tcW w:type="dxa" w:w="1440"/>
            <w:vAlign w:val="center"/>
            <w:tcMar>
              <w:top w:w="90" w:type="dxa"/>
              <w:start w:w="110" w:type="dxa"/>
              <w:bottom w:w="90" w:type="dxa"/>
              <w:end w:w="110" w:type="dxa"/>
            </w:tcMar>
          </w:tcPr>
          <w:p>
            <w:pPr>
              <w:jc w:val="center"/>
            </w:pPr>
            <w:r/>
            <w:r>
              <w:rPr>
                <w:b w:val="0"/>
                <w:sz w:val="15"/>
              </w:rPr>
              <w:t>T2-PO-174</w:t>
            </w:r>
          </w:p>
        </w:tc>
        <w:tc>
          <w:tcPr>
            <w:tcW w:type="dxa" w:w="4464"/>
            <w:vAlign w:val="center"/>
            <w:tcMar>
              <w:top w:w="90" w:type="dxa"/>
              <w:start w:w="110" w:type="dxa"/>
              <w:bottom w:w="90" w:type="dxa"/>
              <w:end w:w="110" w:type="dxa"/>
            </w:tcMar>
          </w:tcPr>
          <w:p>
            <w:pPr>
              <w:jc w:val="left"/>
            </w:pPr>
            <w:r/>
            <w:r>
              <w:rPr>
                <w:b w:val="0"/>
                <w:sz w:val="15"/>
              </w:rPr>
              <w:t>Доказать lift torsor H_N^2⊗I.</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Полная obstruction theory.</w:t>
            </w:r>
          </w:p>
        </w:tc>
      </w:tr>
      <w:tr>
        <w:tc>
          <w:tcPr>
            <w:tcW w:type="dxa" w:w="1440"/>
            <w:vAlign w:val="center"/>
            <w:tcMar>
              <w:top w:w="90" w:type="dxa"/>
              <w:start w:w="110" w:type="dxa"/>
              <w:bottom w:w="90" w:type="dxa"/>
              <w:end w:w="110" w:type="dxa"/>
            </w:tcMar>
          </w:tcPr>
          <w:p>
            <w:pPr>
              <w:jc w:val="center"/>
            </w:pPr>
            <w:r/>
            <w:r>
              <w:rPr>
                <w:b w:val="0"/>
                <w:sz w:val="15"/>
              </w:rPr>
              <w:t>T2-PO-175</w:t>
            </w:r>
          </w:p>
        </w:tc>
        <w:tc>
          <w:tcPr>
            <w:tcW w:type="dxa" w:w="4464"/>
            <w:vAlign w:val="center"/>
            <w:tcMar>
              <w:top w:w="90" w:type="dxa"/>
              <w:start w:w="110" w:type="dxa"/>
              <w:bottom w:w="90" w:type="dxa"/>
              <w:end w:w="110" w:type="dxa"/>
            </w:tcMar>
          </w:tcPr>
          <w:p>
            <w:pPr>
              <w:jc w:val="left"/>
            </w:pPr>
            <w:r/>
            <w:r>
              <w:rPr>
                <w:b w:val="0"/>
                <w:sz w:val="15"/>
              </w:rPr>
              <w:t>Идентифицировать infinitesimal automorphisms с H_N^1.</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completeness.</w:t>
            </w:r>
          </w:p>
        </w:tc>
      </w:tr>
      <w:tr>
        <w:tc>
          <w:tcPr>
            <w:tcW w:type="dxa" w:w="1440"/>
            <w:vAlign w:val="center"/>
            <w:tcMar>
              <w:top w:w="90" w:type="dxa"/>
              <w:start w:w="110" w:type="dxa"/>
              <w:bottom w:w="90" w:type="dxa"/>
              <w:end w:w="110" w:type="dxa"/>
            </w:tcMar>
          </w:tcPr>
          <w:p>
            <w:pPr>
              <w:jc w:val="center"/>
            </w:pPr>
            <w:r/>
            <w:r>
              <w:rPr>
                <w:b w:val="0"/>
                <w:sz w:val="15"/>
              </w:rPr>
              <w:t>T2-PO-176</w:t>
            </w:r>
          </w:p>
        </w:tc>
        <w:tc>
          <w:tcPr>
            <w:tcW w:type="dxa" w:w="4464"/>
            <w:vAlign w:val="center"/>
            <w:tcMar>
              <w:top w:w="90" w:type="dxa"/>
              <w:start w:w="110" w:type="dxa"/>
              <w:bottom w:w="90" w:type="dxa"/>
              <w:end w:w="110" w:type="dxa"/>
            </w:tcMar>
          </w:tcPr>
          <w:p>
            <w:pPr>
              <w:jc w:val="left"/>
            </w:pPr>
            <w:r/>
            <w:r>
              <w:rPr>
                <w:b w:val="0"/>
                <w:sz w:val="15"/>
              </w:rPr>
              <w:t>Построить controlling filtered L_infinity algebra NAPG.</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Главный алгебраический blocker.</w:t>
            </w:r>
          </w:p>
        </w:tc>
      </w:tr>
      <w:tr>
        <w:tc>
          <w:tcPr>
            <w:tcW w:type="dxa" w:w="1440"/>
            <w:vAlign w:val="center"/>
            <w:tcMar>
              <w:top w:w="90" w:type="dxa"/>
              <w:start w:w="110" w:type="dxa"/>
              <w:bottom w:w="90" w:type="dxa"/>
              <w:end w:w="110" w:type="dxa"/>
            </w:tcMar>
          </w:tcPr>
          <w:p>
            <w:pPr>
              <w:jc w:val="center"/>
            </w:pPr>
            <w:r/>
            <w:r>
              <w:rPr>
                <w:b w:val="0"/>
                <w:sz w:val="15"/>
              </w:rPr>
              <w:t>T2-PO-177</w:t>
            </w:r>
          </w:p>
        </w:tc>
        <w:tc>
          <w:tcPr>
            <w:tcW w:type="dxa" w:w="4464"/>
            <w:vAlign w:val="center"/>
            <w:tcMar>
              <w:top w:w="90" w:type="dxa"/>
              <w:start w:w="110" w:type="dxa"/>
              <w:bottom w:w="90" w:type="dxa"/>
              <w:end w:w="110" w:type="dxa"/>
            </w:tcMar>
          </w:tcPr>
          <w:p>
            <w:pPr>
              <w:jc w:val="left"/>
            </w:pPr>
            <w:r/>
            <w:r>
              <w:rPr>
                <w:b w:val="0"/>
                <w:sz w:val="15"/>
              </w:rPr>
              <w:t>Проверить Schlessinger H1.</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Fiber-product lifting.</w:t>
            </w:r>
          </w:p>
        </w:tc>
      </w:tr>
      <w:tr>
        <w:tc>
          <w:tcPr>
            <w:tcW w:type="dxa" w:w="1440"/>
            <w:vAlign w:val="center"/>
            <w:tcMar>
              <w:top w:w="90" w:type="dxa"/>
              <w:start w:w="110" w:type="dxa"/>
              <w:bottom w:w="90" w:type="dxa"/>
              <w:end w:w="110" w:type="dxa"/>
            </w:tcMar>
          </w:tcPr>
          <w:p>
            <w:pPr>
              <w:jc w:val="center"/>
            </w:pPr>
            <w:r/>
            <w:r>
              <w:rPr>
                <w:b w:val="0"/>
                <w:sz w:val="15"/>
              </w:rPr>
              <w:t>T2-PO-178</w:t>
            </w:r>
          </w:p>
        </w:tc>
        <w:tc>
          <w:tcPr>
            <w:tcW w:type="dxa" w:w="4464"/>
            <w:vAlign w:val="center"/>
            <w:tcMar>
              <w:top w:w="90" w:type="dxa"/>
              <w:start w:w="110" w:type="dxa"/>
              <w:bottom w:w="90" w:type="dxa"/>
              <w:end w:w="110" w:type="dxa"/>
            </w:tcMar>
          </w:tcPr>
          <w:p>
            <w:pPr>
              <w:jc w:val="left"/>
            </w:pPr>
            <w:r/>
            <w:r>
              <w:rPr>
                <w:b w:val="0"/>
                <w:sz w:val="15"/>
              </w:rPr>
              <w:t>Проверить Schlessinger H2.</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Dual-number compatibility.</w:t>
            </w:r>
          </w:p>
        </w:tc>
      </w:tr>
      <w:tr>
        <w:tc>
          <w:tcPr>
            <w:tcW w:type="dxa" w:w="1440"/>
            <w:vAlign w:val="center"/>
            <w:tcMar>
              <w:top w:w="90" w:type="dxa"/>
              <w:start w:w="110" w:type="dxa"/>
              <w:bottom w:w="90" w:type="dxa"/>
              <w:end w:w="110" w:type="dxa"/>
            </w:tcMar>
          </w:tcPr>
          <w:p>
            <w:pPr>
              <w:jc w:val="center"/>
            </w:pPr>
            <w:r/>
            <w:r>
              <w:rPr>
                <w:b w:val="0"/>
                <w:sz w:val="15"/>
              </w:rPr>
              <w:t>T2-PO-179</w:t>
            </w:r>
          </w:p>
        </w:tc>
        <w:tc>
          <w:tcPr>
            <w:tcW w:type="dxa" w:w="4464"/>
            <w:vAlign w:val="center"/>
            <w:tcMar>
              <w:top w:w="90" w:type="dxa"/>
              <w:start w:w="110" w:type="dxa"/>
              <w:bottom w:w="90" w:type="dxa"/>
              <w:end w:w="110" w:type="dxa"/>
            </w:tcMar>
          </w:tcPr>
          <w:p>
            <w:pPr>
              <w:jc w:val="left"/>
            </w:pPr>
            <w:r/>
            <w:r>
              <w:rPr>
                <w:b w:val="0"/>
                <w:sz w:val="15"/>
              </w:rPr>
              <w:t>Доказать H3 finite tangent.</w:t>
            </w:r>
          </w:p>
        </w:tc>
        <w:tc>
          <w:tcPr>
            <w:tcW w:type="dxa" w:w="1584"/>
            <w:vAlign w:val="center"/>
            <w:tcMar>
              <w:top w:w="90" w:type="dxa"/>
              <w:start w:w="110" w:type="dxa"/>
              <w:bottom w:w="90" w:type="dxa"/>
              <w:end w:w="110" w:type="dxa"/>
            </w:tcMar>
          </w:tcPr>
          <w:p>
            <w:pPr>
              <w:jc w:val="center"/>
            </w:pPr>
            <w:r/>
            <w:r>
              <w:rPr>
                <w:b w:val="0"/>
                <w:sz w:val="15"/>
              </w:rPr>
              <w:t>COND-FD</w:t>
            </w:r>
          </w:p>
        </w:tc>
        <w:tc>
          <w:tcPr>
            <w:tcW w:type="dxa" w:w="2448"/>
            <w:vAlign w:val="center"/>
            <w:tcMar>
              <w:top w:w="90" w:type="dxa"/>
              <w:start w:w="110" w:type="dxa"/>
              <w:bottom w:w="90" w:type="dxa"/>
              <w:end w:w="110" w:type="dxa"/>
            </w:tcMar>
          </w:tcPr>
          <w:p>
            <w:pPr>
              <w:jc w:val="left"/>
            </w:pPr>
            <w:r/>
            <w:r>
              <w:rPr>
                <w:b w:val="0"/>
                <w:sz w:val="15"/>
              </w:rPr>
              <w:t>Fredholm/finite sector.</w:t>
            </w:r>
          </w:p>
        </w:tc>
      </w:tr>
      <w:tr>
        <w:tc>
          <w:tcPr>
            <w:tcW w:type="dxa" w:w="1440"/>
            <w:vAlign w:val="center"/>
            <w:tcMar>
              <w:top w:w="90" w:type="dxa"/>
              <w:start w:w="110" w:type="dxa"/>
              <w:bottom w:w="90" w:type="dxa"/>
              <w:end w:w="110" w:type="dxa"/>
            </w:tcMar>
          </w:tcPr>
          <w:p>
            <w:pPr>
              <w:jc w:val="center"/>
            </w:pPr>
            <w:r/>
            <w:r>
              <w:rPr>
                <w:b w:val="0"/>
                <w:sz w:val="15"/>
              </w:rPr>
              <w:t>T2-PO-180</w:t>
            </w:r>
          </w:p>
        </w:tc>
        <w:tc>
          <w:tcPr>
            <w:tcW w:type="dxa" w:w="4464"/>
            <w:vAlign w:val="center"/>
            <w:tcMar>
              <w:top w:w="90" w:type="dxa"/>
              <w:start w:w="110" w:type="dxa"/>
              <w:bottom w:w="90" w:type="dxa"/>
              <w:end w:w="110" w:type="dxa"/>
            </w:tcMar>
          </w:tcPr>
          <w:p>
            <w:pPr>
              <w:jc w:val="left"/>
            </w:pPr>
            <w:r/>
            <w:r>
              <w:rPr>
                <w:b w:val="0"/>
                <w:sz w:val="15"/>
              </w:rPr>
              <w:t>Проверить H4 или явно отказаться от universality.</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Automorphism-sensitive.</w:t>
            </w:r>
          </w:p>
        </w:tc>
      </w:tr>
      <w:tr>
        <w:tc>
          <w:tcPr>
            <w:tcW w:type="dxa" w:w="1440"/>
            <w:vAlign w:val="center"/>
            <w:tcMar>
              <w:top w:w="90" w:type="dxa"/>
              <w:start w:w="110" w:type="dxa"/>
              <w:bottom w:w="90" w:type="dxa"/>
              <w:end w:w="110" w:type="dxa"/>
            </w:tcMar>
          </w:tcPr>
          <w:p>
            <w:pPr>
              <w:jc w:val="center"/>
            </w:pPr>
            <w:r/>
            <w:r>
              <w:rPr>
                <w:b w:val="0"/>
                <w:sz w:val="15"/>
              </w:rPr>
              <w:t>T2-PO-181</w:t>
            </w:r>
          </w:p>
        </w:tc>
        <w:tc>
          <w:tcPr>
            <w:tcW w:type="dxa" w:w="4464"/>
            <w:vAlign w:val="center"/>
            <w:tcMar>
              <w:top w:w="90" w:type="dxa"/>
              <w:start w:w="110" w:type="dxa"/>
              <w:bottom w:w="90" w:type="dxa"/>
              <w:end w:w="110" w:type="dxa"/>
            </w:tcMar>
          </w:tcPr>
          <w:p>
            <w:pPr>
              <w:jc w:val="left"/>
            </w:pPr>
            <w:r/>
            <w:r>
              <w:rPr>
                <w:b w:val="0"/>
                <w:sz w:val="15"/>
              </w:rPr>
              <w:t>Согласовать shift g=C[1] и derived tangent degrees.</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Фиксированная convention.</w:t>
            </w:r>
          </w:p>
        </w:tc>
      </w:tr>
      <w:tr>
        <w:tc>
          <w:tcPr>
            <w:tcW w:type="dxa" w:w="1440"/>
            <w:vAlign w:val="center"/>
            <w:tcMar>
              <w:top w:w="90" w:type="dxa"/>
              <w:start w:w="110" w:type="dxa"/>
              <w:bottom w:w="90" w:type="dxa"/>
              <w:end w:w="110" w:type="dxa"/>
            </w:tcMar>
          </w:tcPr>
          <w:p>
            <w:pPr>
              <w:jc w:val="center"/>
            </w:pPr>
            <w:r/>
            <w:r>
              <w:rPr>
                <w:b w:val="0"/>
                <w:sz w:val="15"/>
              </w:rPr>
              <w:t>T2-PO-182</w:t>
            </w:r>
          </w:p>
        </w:tc>
        <w:tc>
          <w:tcPr>
            <w:tcW w:type="dxa" w:w="4464"/>
            <w:vAlign w:val="center"/>
            <w:tcMar>
              <w:top w:w="90" w:type="dxa"/>
              <w:start w:w="110" w:type="dxa"/>
              <w:bottom w:w="90" w:type="dxa"/>
              <w:end w:w="110" w:type="dxa"/>
            </w:tcMar>
          </w:tcPr>
          <w:p>
            <w:pPr>
              <w:jc w:val="left"/>
            </w:pPr>
            <w:r/>
            <w:r>
              <w:rPr>
                <w:b w:val="0"/>
                <w:sz w:val="15"/>
              </w:rPr>
              <w:t>Доказать совместимость bracket maps с domains.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Unbounded/partial maps.</w:t>
            </w:r>
          </w:p>
        </w:tc>
      </w:tr>
      <w:tr>
        <w:tc>
          <w:tcPr>
            <w:tcW w:type="dxa" w:w="1440"/>
            <w:vAlign w:val="center"/>
            <w:tcMar>
              <w:top w:w="90" w:type="dxa"/>
              <w:start w:w="110" w:type="dxa"/>
              <w:bottom w:w="90" w:type="dxa"/>
              <w:end w:w="110" w:type="dxa"/>
            </w:tcMar>
          </w:tcPr>
          <w:p>
            <w:pPr>
              <w:jc w:val="center"/>
            </w:pPr>
            <w:r/>
            <w:r>
              <w:rPr>
                <w:b w:val="0"/>
                <w:sz w:val="15"/>
              </w:rPr>
              <w:t>T2-PO-183</w:t>
            </w:r>
          </w:p>
        </w:tc>
        <w:tc>
          <w:tcPr>
            <w:tcW w:type="dxa" w:w="4464"/>
            <w:vAlign w:val="center"/>
            <w:tcMar>
              <w:top w:w="90" w:type="dxa"/>
              <w:start w:w="110" w:type="dxa"/>
              <w:bottom w:w="90" w:type="dxa"/>
              <w:end w:w="110" w:type="dxa"/>
            </w:tcMar>
          </w:tcPr>
          <w:p>
            <w:pPr>
              <w:jc w:val="left"/>
            </w:pPr>
            <w:r/>
            <w:r>
              <w:rPr>
                <w:b w:val="0"/>
                <w:sz w:val="15"/>
              </w:rPr>
              <w:t>Построить Hodge contraction p,i,h.</w:t>
            </w:r>
          </w:p>
        </w:tc>
        <w:tc>
          <w:tcPr>
            <w:tcW w:type="dxa" w:w="1584"/>
            <w:vAlign w:val="center"/>
            <w:tcMar>
              <w:top w:w="90" w:type="dxa"/>
              <w:start w:w="110" w:type="dxa"/>
              <w:bottom w:w="90" w:type="dxa"/>
              <w:end w:w="110" w:type="dxa"/>
            </w:tcMar>
          </w:tcPr>
          <w:p>
            <w:pPr>
              <w:jc w:val="center"/>
            </w:pPr>
            <w:r/>
            <w:r>
              <w:rPr>
                <w:b w:val="0"/>
                <w:sz w:val="15"/>
              </w:rPr>
              <w:t>COND-HF</w:t>
            </w:r>
          </w:p>
        </w:tc>
        <w:tc>
          <w:tcPr>
            <w:tcW w:type="dxa" w:w="2448"/>
            <w:vAlign w:val="center"/>
            <w:tcMar>
              <w:top w:w="90" w:type="dxa"/>
              <w:start w:w="110" w:type="dxa"/>
              <w:bottom w:w="90" w:type="dxa"/>
              <w:end w:w="110" w:type="dxa"/>
            </w:tcMar>
          </w:tcPr>
          <w:p>
            <w:pPr>
              <w:jc w:val="left"/>
            </w:pPr>
            <w:r/>
            <w:r>
              <w:rPr>
                <w:b w:val="0"/>
                <w:sz w:val="15"/>
              </w:rPr>
              <w:t>Опирается на v0.12.</w:t>
            </w:r>
          </w:p>
        </w:tc>
      </w:tr>
      <w:tr>
        <w:tc>
          <w:tcPr>
            <w:tcW w:type="dxa" w:w="1440"/>
            <w:vAlign w:val="center"/>
            <w:tcMar>
              <w:top w:w="90" w:type="dxa"/>
              <w:start w:w="110" w:type="dxa"/>
              <w:bottom w:w="90" w:type="dxa"/>
              <w:end w:w="110" w:type="dxa"/>
            </w:tcMar>
          </w:tcPr>
          <w:p>
            <w:pPr>
              <w:jc w:val="center"/>
            </w:pPr>
            <w:r/>
            <w:r>
              <w:rPr>
                <w:b w:val="0"/>
                <w:sz w:val="15"/>
              </w:rPr>
              <w:t>T2-PO-184</w:t>
            </w:r>
          </w:p>
        </w:tc>
        <w:tc>
          <w:tcPr>
            <w:tcW w:type="dxa" w:w="4464"/>
            <w:vAlign w:val="center"/>
            <w:tcMar>
              <w:top w:w="90" w:type="dxa"/>
              <w:start w:w="110" w:type="dxa"/>
              <w:bottom w:w="90" w:type="dxa"/>
              <w:end w:w="110" w:type="dxa"/>
            </w:tcMar>
          </w:tcPr>
          <w:p>
            <w:pPr>
              <w:jc w:val="left"/>
            </w:pPr>
            <w:r/>
            <w:r>
              <w:rPr>
                <w:b w:val="0"/>
                <w:sz w:val="15"/>
              </w:rPr>
              <w:t>Доказать homotopy-transfer convergence.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Uniform multilinear estimates.</w:t>
            </w:r>
          </w:p>
        </w:tc>
      </w:tr>
      <w:tr>
        <w:tc>
          <w:tcPr>
            <w:tcW w:type="dxa" w:w="1440"/>
            <w:vAlign w:val="center"/>
            <w:tcMar>
              <w:top w:w="90" w:type="dxa"/>
              <w:start w:w="110" w:type="dxa"/>
              <w:bottom w:w="90" w:type="dxa"/>
              <w:end w:w="110" w:type="dxa"/>
            </w:tcMar>
          </w:tcPr>
          <w:p>
            <w:pPr>
              <w:jc w:val="center"/>
            </w:pPr>
            <w:r/>
            <w:r>
              <w:rPr>
                <w:b w:val="0"/>
                <w:sz w:val="15"/>
              </w:rPr>
              <w:t>T2-PO-185</w:t>
            </w:r>
          </w:p>
        </w:tc>
        <w:tc>
          <w:tcPr>
            <w:tcW w:type="dxa" w:w="4464"/>
            <w:vAlign w:val="center"/>
            <w:tcMar>
              <w:top w:w="90" w:type="dxa"/>
              <w:start w:w="110" w:type="dxa"/>
              <w:bottom w:w="90" w:type="dxa"/>
              <w:end w:w="110" w:type="dxa"/>
            </w:tcMar>
          </w:tcPr>
          <w:p>
            <w:pPr>
              <w:jc w:val="left"/>
            </w:pPr>
            <w:r/>
            <w:r>
              <w:rPr>
                <w:b w:val="0"/>
                <w:sz w:val="15"/>
              </w:rPr>
              <w:t>Построить Kuranishi recursion.</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Contraction margin m_K&gt;0.</w:t>
            </w:r>
          </w:p>
        </w:tc>
      </w:tr>
      <w:tr>
        <w:tc>
          <w:tcPr>
            <w:tcW w:type="dxa" w:w="1440"/>
            <w:vAlign w:val="center"/>
            <w:tcMar>
              <w:top w:w="90" w:type="dxa"/>
              <w:start w:w="110" w:type="dxa"/>
              <w:bottom w:w="90" w:type="dxa"/>
              <w:end w:w="110" w:type="dxa"/>
            </w:tcMar>
          </w:tcPr>
          <w:p>
            <w:pPr>
              <w:jc w:val="center"/>
            </w:pPr>
            <w:r/>
            <w:r>
              <w:rPr>
                <w:b w:val="0"/>
                <w:sz w:val="15"/>
              </w:rPr>
              <w:t>T2-PO-186</w:t>
            </w:r>
          </w:p>
        </w:tc>
        <w:tc>
          <w:tcPr>
            <w:tcW w:type="dxa" w:w="4464"/>
            <w:vAlign w:val="center"/>
            <w:tcMar>
              <w:top w:w="90" w:type="dxa"/>
              <w:start w:w="110" w:type="dxa"/>
              <w:bottom w:w="90" w:type="dxa"/>
              <w:end w:w="110" w:type="dxa"/>
            </w:tcMar>
          </w:tcPr>
          <w:p>
            <w:pPr>
              <w:jc w:val="left"/>
            </w:pPr>
            <w:r/>
            <w:r>
              <w:rPr>
                <w:b w:val="0"/>
                <w:sz w:val="15"/>
              </w:rPr>
              <w:t>Доказать MC iff K=0 в выбранной окрестности.</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and convergence.</w:t>
            </w:r>
          </w:p>
        </w:tc>
      </w:tr>
      <w:tr>
        <w:tc>
          <w:tcPr>
            <w:tcW w:type="dxa" w:w="1440"/>
            <w:vAlign w:val="center"/>
            <w:tcMar>
              <w:top w:w="90" w:type="dxa"/>
              <w:start w:w="110" w:type="dxa"/>
              <w:bottom w:w="90" w:type="dxa"/>
              <w:end w:w="110" w:type="dxa"/>
            </w:tcMar>
          </w:tcPr>
          <w:p>
            <w:pPr>
              <w:jc w:val="center"/>
            </w:pPr>
            <w:r/>
            <w:r>
              <w:rPr>
                <w:b w:val="0"/>
                <w:sz w:val="15"/>
              </w:rPr>
              <w:t>T2-PO-187</w:t>
            </w:r>
          </w:p>
        </w:tc>
        <w:tc>
          <w:tcPr>
            <w:tcW w:type="dxa" w:w="4464"/>
            <w:vAlign w:val="center"/>
            <w:tcMar>
              <w:top w:w="90" w:type="dxa"/>
              <w:start w:w="110" w:type="dxa"/>
              <w:bottom w:w="90" w:type="dxa"/>
              <w:end w:w="110" w:type="dxa"/>
            </w:tcMar>
          </w:tcPr>
          <w:p>
            <w:pPr>
              <w:jc w:val="left"/>
            </w:pPr>
            <w:r/>
            <w:r>
              <w:rPr>
                <w:b w:val="0"/>
                <w:sz w:val="15"/>
              </w:rPr>
              <w:t>Вычислить κ_2,κ_3 на модели A_2.</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Нужны structural constants.</w:t>
            </w:r>
          </w:p>
        </w:tc>
      </w:tr>
      <w:tr>
        <w:tc>
          <w:tcPr>
            <w:tcW w:type="dxa" w:w="1440"/>
            <w:vAlign w:val="center"/>
            <w:tcMar>
              <w:top w:w="90" w:type="dxa"/>
              <w:start w:w="110" w:type="dxa"/>
              <w:bottom w:w="90" w:type="dxa"/>
              <w:end w:w="110" w:type="dxa"/>
            </w:tcMar>
          </w:tcPr>
          <w:p>
            <w:pPr>
              <w:jc w:val="center"/>
            </w:pPr>
            <w:r/>
            <w:r>
              <w:rPr>
                <w:b w:val="0"/>
                <w:sz w:val="15"/>
              </w:rPr>
              <w:t>T2-PO-188</w:t>
            </w:r>
          </w:p>
        </w:tc>
        <w:tc>
          <w:tcPr>
            <w:tcW w:type="dxa" w:w="4464"/>
            <w:vAlign w:val="center"/>
            <w:tcMar>
              <w:top w:w="90" w:type="dxa"/>
              <w:start w:w="110" w:type="dxa"/>
              <w:bottom w:w="90" w:type="dxa"/>
              <w:end w:w="110" w:type="dxa"/>
            </w:tcMar>
          </w:tcPr>
          <w:p>
            <w:pPr>
              <w:jc w:val="left"/>
            </w:pPr>
            <w:r/>
            <w:r>
              <w:rPr>
                <w:b w:val="0"/>
                <w:sz w:val="15"/>
              </w:rPr>
              <w:t>Построить miniversal local algebra.</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После T2-PO-176/185.</w:t>
            </w:r>
          </w:p>
        </w:tc>
      </w:tr>
      <w:tr>
        <w:tc>
          <w:tcPr>
            <w:tcW w:type="dxa" w:w="1440"/>
            <w:vAlign w:val="center"/>
            <w:tcMar>
              <w:top w:w="90" w:type="dxa"/>
              <w:start w:w="110" w:type="dxa"/>
              <w:bottom w:w="90" w:type="dxa"/>
              <w:end w:w="110" w:type="dxa"/>
            </w:tcMar>
          </w:tcPr>
          <w:p>
            <w:pPr>
              <w:jc w:val="center"/>
            </w:pPr>
            <w:r/>
            <w:r>
              <w:rPr>
                <w:b w:val="0"/>
                <w:sz w:val="15"/>
              </w:rPr>
              <w:t>T2-PO-189</w:t>
            </w:r>
          </w:p>
        </w:tc>
        <w:tc>
          <w:tcPr>
            <w:tcW w:type="dxa" w:w="4464"/>
            <w:vAlign w:val="center"/>
            <w:tcMar>
              <w:top w:w="90" w:type="dxa"/>
              <w:start w:w="110" w:type="dxa"/>
              <w:bottom w:w="90" w:type="dxa"/>
              <w:end w:w="110" w:type="dxa"/>
            </w:tcMar>
          </w:tcPr>
          <w:p>
            <w:pPr>
              <w:jc w:val="left"/>
            </w:pPr>
            <w:r/>
            <w:r>
              <w:rPr>
                <w:b w:val="0"/>
                <w:sz w:val="15"/>
              </w:rPr>
              <w:t>Доказать independence до right-equivalence.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Смена metric/splitting.</w:t>
            </w:r>
          </w:p>
        </w:tc>
      </w:tr>
      <w:tr>
        <w:tc>
          <w:tcPr>
            <w:tcW w:type="dxa" w:w="1440"/>
            <w:vAlign w:val="center"/>
            <w:tcMar>
              <w:top w:w="90" w:type="dxa"/>
              <w:start w:w="110" w:type="dxa"/>
              <w:bottom w:w="90" w:type="dxa"/>
              <w:end w:w="110" w:type="dxa"/>
            </w:tcMar>
          </w:tcPr>
          <w:p>
            <w:pPr>
              <w:jc w:val="center"/>
            </w:pPr>
            <w:r/>
            <w:r>
              <w:rPr>
                <w:b w:val="0"/>
                <w:sz w:val="15"/>
              </w:rPr>
              <w:t>T2-PO-190</w:t>
            </w:r>
          </w:p>
        </w:tc>
        <w:tc>
          <w:tcPr>
            <w:tcW w:type="dxa" w:w="4464"/>
            <w:vAlign w:val="center"/>
            <w:tcMar>
              <w:top w:w="90" w:type="dxa"/>
              <w:start w:w="110" w:type="dxa"/>
              <w:bottom w:w="90" w:type="dxa"/>
              <w:end w:w="110" w:type="dxa"/>
            </w:tcMar>
          </w:tcPr>
          <w:p>
            <w:pPr>
              <w:jc w:val="left"/>
            </w:pPr>
            <w:r/>
            <w:r>
              <w:rPr>
                <w:b w:val="0"/>
                <w:sz w:val="15"/>
              </w:rPr>
              <w:t>Классифицировать stabilizer strata.</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Stack-level data.</w:t>
            </w:r>
          </w:p>
        </w:tc>
      </w:tr>
      <w:tr>
        <w:tc>
          <w:tcPr>
            <w:tcW w:type="dxa" w:w="1440"/>
            <w:vAlign w:val="center"/>
            <w:tcMar>
              <w:top w:w="90" w:type="dxa"/>
              <w:start w:w="110" w:type="dxa"/>
              <w:bottom w:w="90" w:type="dxa"/>
              <w:end w:w="110" w:type="dxa"/>
            </w:tcMar>
          </w:tcPr>
          <w:p>
            <w:pPr>
              <w:jc w:val="center"/>
            </w:pPr>
            <w:r/>
            <w:r>
              <w:rPr>
                <w:b w:val="0"/>
                <w:sz w:val="15"/>
              </w:rPr>
              <w:t>T2-PO-191</w:t>
            </w:r>
          </w:p>
        </w:tc>
        <w:tc>
          <w:tcPr>
            <w:tcW w:type="dxa" w:w="4464"/>
            <w:vAlign w:val="center"/>
            <w:tcMar>
              <w:top w:w="90" w:type="dxa"/>
              <w:start w:w="110" w:type="dxa"/>
              <w:bottom w:w="90" w:type="dxa"/>
              <w:end w:w="110" w:type="dxa"/>
            </w:tcMar>
          </w:tcPr>
          <w:p>
            <w:pPr>
              <w:jc w:val="left"/>
            </w:pPr>
            <w:r/>
            <w:r>
              <w:rPr>
                <w:b w:val="0"/>
                <w:sz w:val="15"/>
              </w:rPr>
              <w:t>Определить derived formal NAPG problem.</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Nilcomplete/infinitesimal cohesive.</w:t>
            </w:r>
          </w:p>
        </w:tc>
      </w:tr>
      <w:tr>
        <w:tc>
          <w:tcPr>
            <w:tcW w:type="dxa" w:w="1440"/>
            <w:vAlign w:val="center"/>
            <w:tcMar>
              <w:top w:w="90" w:type="dxa"/>
              <w:start w:w="110" w:type="dxa"/>
              <w:bottom w:w="90" w:type="dxa"/>
              <w:end w:w="110" w:type="dxa"/>
            </w:tcMar>
          </w:tcPr>
          <w:p>
            <w:pPr>
              <w:jc w:val="center"/>
            </w:pPr>
            <w:r/>
            <w:r>
              <w:rPr>
                <w:b w:val="0"/>
                <w:sz w:val="15"/>
              </w:rPr>
              <w:t>T2-PO-192</w:t>
            </w:r>
          </w:p>
        </w:tc>
        <w:tc>
          <w:tcPr>
            <w:tcW w:type="dxa" w:w="4464"/>
            <w:vAlign w:val="center"/>
            <w:tcMar>
              <w:top w:w="90" w:type="dxa"/>
              <w:start w:w="110" w:type="dxa"/>
              <w:bottom w:w="90" w:type="dxa"/>
              <w:end w:w="110" w:type="dxa"/>
            </w:tcMar>
          </w:tcPr>
          <w:p>
            <w:pPr>
              <w:jc w:val="left"/>
            </w:pPr>
            <w:r/>
            <w:r>
              <w:rPr>
                <w:b w:val="0"/>
                <w:sz w:val="15"/>
              </w:rPr>
              <w:t>Построить ModTriv(I) certificate.</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Параметрическое family data.</w:t>
            </w:r>
          </w:p>
        </w:tc>
      </w:tr>
      <w:tr>
        <w:tc>
          <w:tcPr>
            <w:tcW w:type="dxa" w:w="1440"/>
            <w:vAlign w:val="center"/>
            <w:tcMar>
              <w:top w:w="90" w:type="dxa"/>
              <w:start w:w="110" w:type="dxa"/>
              <w:bottom w:w="90" w:type="dxa"/>
              <w:end w:w="110" w:type="dxa"/>
            </w:tcMar>
          </w:tcPr>
          <w:p>
            <w:pPr>
              <w:jc w:val="center"/>
            </w:pPr>
            <w:r/>
            <w:r>
              <w:rPr>
                <w:b w:val="0"/>
                <w:sz w:val="15"/>
              </w:rPr>
              <w:t>T2-PO-193</w:t>
            </w:r>
          </w:p>
        </w:tc>
        <w:tc>
          <w:tcPr>
            <w:tcW w:type="dxa" w:w="4464"/>
            <w:vAlign w:val="center"/>
            <w:tcMar>
              <w:top w:w="90" w:type="dxa"/>
              <w:start w:w="110" w:type="dxa"/>
              <w:bottom w:w="90" w:type="dxa"/>
              <w:end w:w="110" w:type="dxa"/>
            </w:tcMar>
          </w:tcPr>
          <w:p>
            <w:pPr>
              <w:jc w:val="left"/>
            </w:pPr>
            <w:r/>
            <w:r>
              <w:rPr>
                <w:b w:val="0"/>
                <w:sz w:val="15"/>
              </w:rPr>
              <w:t>Сертифицировать interval bound для ||K(x)||.</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Validated numerics.</w:t>
            </w:r>
          </w:p>
        </w:tc>
      </w:tr>
      <w:tr>
        <w:tc>
          <w:tcPr>
            <w:tcW w:type="dxa" w:w="1440"/>
            <w:vAlign w:val="center"/>
            <w:tcMar>
              <w:top w:w="90" w:type="dxa"/>
              <w:start w:w="110" w:type="dxa"/>
              <w:bottom w:w="90" w:type="dxa"/>
              <w:end w:w="110" w:type="dxa"/>
            </w:tcMar>
          </w:tcPr>
          <w:p>
            <w:pPr>
              <w:jc w:val="center"/>
            </w:pPr>
            <w:r/>
            <w:r>
              <w:rPr>
                <w:b w:val="0"/>
                <w:sz w:val="15"/>
              </w:rPr>
              <w:t>T2-PO-194</w:t>
            </w:r>
          </w:p>
        </w:tc>
        <w:tc>
          <w:tcPr>
            <w:tcW w:type="dxa" w:w="4464"/>
            <w:vAlign w:val="center"/>
            <w:tcMar>
              <w:top w:w="90" w:type="dxa"/>
              <w:start w:w="110" w:type="dxa"/>
              <w:bottom w:w="90" w:type="dxa"/>
              <w:end w:w="110" w:type="dxa"/>
            </w:tcMar>
          </w:tcPr>
          <w:p>
            <w:pPr>
              <w:jc w:val="left"/>
            </w:pPr>
            <w:r/>
            <w:r>
              <w:rPr>
                <w:b w:val="0"/>
                <w:sz w:val="15"/>
              </w:rPr>
              <w:t>Согласовать Kuranishi carrier с Π_E и β_Ass.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Bridge theorem.</w:t>
            </w:r>
          </w:p>
        </w:tc>
      </w:tr>
      <w:tr>
        <w:tc>
          <w:tcPr>
            <w:tcW w:type="dxa" w:w="1440"/>
            <w:vAlign w:val="center"/>
            <w:tcMar>
              <w:top w:w="90" w:type="dxa"/>
              <w:start w:w="110" w:type="dxa"/>
              <w:bottom w:w="90" w:type="dxa"/>
              <w:end w:w="110" w:type="dxa"/>
            </w:tcMar>
          </w:tcPr>
          <w:p>
            <w:pPr>
              <w:jc w:val="center"/>
            </w:pPr>
            <w:r/>
            <w:r>
              <w:rPr>
                <w:b w:val="0"/>
                <w:sz w:val="15"/>
              </w:rPr>
              <w:t>T2-PO-195</w:t>
            </w:r>
          </w:p>
        </w:tc>
        <w:tc>
          <w:tcPr>
            <w:tcW w:type="dxa" w:w="4464"/>
            <w:vAlign w:val="center"/>
            <w:tcMar>
              <w:top w:w="90" w:type="dxa"/>
              <w:start w:w="110" w:type="dxa"/>
              <w:bottom w:w="90" w:type="dxa"/>
              <w:end w:w="110" w:type="dxa"/>
            </w:tcMar>
          </w:tcPr>
          <w:p>
            <w:pPr>
              <w:jc w:val="left"/>
            </w:pPr>
            <w:r/>
            <w:r>
              <w:rPr>
                <w:b w:val="0"/>
                <w:sz w:val="15"/>
              </w:rPr>
              <w:t>Провести независимый moduli run.</w:t>
            </w:r>
          </w:p>
        </w:tc>
        <w:tc>
          <w:tcPr>
            <w:tcW w:type="dxa" w:w="1584"/>
            <w:vAlign w:val="center"/>
            <w:tcMar>
              <w:top w:w="90" w:type="dxa"/>
              <w:start w:w="110" w:type="dxa"/>
              <w:bottom w:w="90" w:type="dxa"/>
              <w:end w:w="110" w:type="dxa"/>
            </w:tcMar>
          </w:tcPr>
          <w:p>
            <w:pPr>
              <w:jc w:val="center"/>
            </w:pPr>
            <w:r/>
            <w:r>
              <w:rPr>
                <w:b w:val="0"/>
                <w:sz w:val="15"/>
              </w:rPr>
              <w:t>OPEN-IND</w:t>
            </w:r>
          </w:p>
        </w:tc>
        <w:tc>
          <w:tcPr>
            <w:tcW w:type="dxa" w:w="2448"/>
            <w:vAlign w:val="center"/>
            <w:tcMar>
              <w:top w:w="90" w:type="dxa"/>
              <w:start w:w="110" w:type="dxa"/>
              <w:bottom w:w="90" w:type="dxa"/>
              <w:end w:w="110" w:type="dxa"/>
            </w:tcMar>
          </w:tcPr>
          <w:p>
            <w:pPr>
              <w:jc w:val="left"/>
            </w:pPr>
            <w:r/>
            <w:r>
              <w:rPr>
                <w:b w:val="0"/>
                <w:sz w:val="15"/>
              </w:rPr>
              <w:t>Внешний код и данные.</w:t>
            </w:r>
          </w:p>
        </w:tc>
      </w:tr>
      <w:tr>
        <w:tc>
          <w:tcPr>
            <w:tcW w:type="dxa" w:w="1440"/>
            <w:vAlign w:val="center"/>
            <w:tcMar>
              <w:top w:w="90" w:type="dxa"/>
              <w:start w:w="110" w:type="dxa"/>
              <w:bottom w:w="90" w:type="dxa"/>
              <w:end w:w="110" w:type="dxa"/>
            </w:tcMar>
          </w:tcPr>
          <w:p>
            <w:pPr>
              <w:jc w:val="center"/>
            </w:pPr>
            <w:r/>
            <w:r>
              <w:rPr>
                <w:b w:val="0"/>
                <w:sz w:val="15"/>
              </w:rPr>
              <w:t>T2-PO-196</w:t>
            </w:r>
          </w:p>
        </w:tc>
        <w:tc>
          <w:tcPr>
            <w:tcW w:type="dxa" w:w="4464"/>
            <w:vAlign w:val="center"/>
            <w:tcMar>
              <w:top w:w="90" w:type="dxa"/>
              <w:start w:w="110" w:type="dxa"/>
              <w:bottom w:w="90" w:type="dxa"/>
              <w:end w:w="110" w:type="dxa"/>
            </w:tcMar>
          </w:tcPr>
          <w:p>
            <w:pPr>
              <w:jc w:val="left"/>
            </w:pPr>
            <w:r/>
            <w:r>
              <w:rPr>
                <w:b w:val="0"/>
                <w:sz w:val="15"/>
              </w:rPr>
              <w:t>Сохранить физический status lock.</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truth_layer_promotion=0.</w:t>
            </w:r>
          </w:p>
        </w:tc>
      </w:tr>
    </w:tbl>
    <w:p>
      <w:pPr>
        <w:pStyle w:val="Heading1"/>
        <w:keepNext/>
      </w:pPr>
      <w:r>
        <w:t>173. Prior art, граница авторского вклада и контрольная точка</w:t>
      </w:r>
    </w:p>
    <w:p>
      <w:pPr>
        <w:spacing w:after="100"/>
      </w:pPr>
      <w:r>
        <w:t>Классический prior art включает: функторы артиевых колец и критерии hull/prorepresentability Шлессингера; теорию деформаций Кодайры-Спенсера и локально полные семейства Кураниши; cohomology-controlled deformation theory Герштенхабера и Нейенхёйса-Ричардсона; quadratic deformation germs Goldman-Millson; derived formal moduli frameworks Lurie-Pridham. Эти результаты не являются авторскими результатами проекта.</w:t>
      </w:r>
    </w:p>
    <w:p>
      <w:pPr>
        <w:spacing w:after="100"/>
      </w:pPr>
      <w:r>
        <w:t>Авторский слой Курпишева в этой главе состоит в типизированном включении moduli-Kuranishi apparatus в архитектуру NAPG/KLT-RBD: триада H_N^1/H_N^2/H_N^3 связывается с D/Dom, Evidence-D, projective harmonic gate, внутренним и внешним obstruction carriers, Hodge-Green certificate, модульным переходным горизонтом и трёхзначным предсказательным выводом.</w:t>
      </w:r>
    </w:p>
    <w:p>
      <w:pPr>
        <w:spacing w:after="100"/>
      </w:pPr>
      <w:r>
        <w:t>[V0.13-1] Schlessinger, M. Functors of Artin Rings. Transactions of the AMS 130 (1968), 208-222.</w:t>
      </w:r>
    </w:p>
    <w:p>
      <w:pPr>
        <w:spacing w:after="100"/>
      </w:pPr>
      <w:r>
        <w:t>[V0.13-2] Kodaira, K.; Spencer, D. C. On Deformations of Complex Analytic Structures I-II. Annals of Mathematics 67 (1958), 328-466. DOI 10.2307/1970009.</w:t>
      </w:r>
    </w:p>
    <w:p>
      <w:pPr>
        <w:spacing w:after="100"/>
      </w:pPr>
      <w:r>
        <w:t>[V0.13-3] Kuranishi, M. On the Locally Complete Families of Complex Analytic Structures. Annals of Mathematics 75 (1962), 536-577. DOI 10.2307/1970211.</w:t>
      </w:r>
    </w:p>
    <w:p>
      <w:pPr>
        <w:spacing w:after="100"/>
      </w:pPr>
      <w:r>
        <w:t>[V0.13-4] Kuranishi, M. New Proof for the Existence of Locally Complete Families of Complex Structures. Proc. Conf. Complex Analysis, Springer (1965), 142-154. DOI 10.1007/978-3-642-48016-4_13.</w:t>
      </w:r>
    </w:p>
    <w:p>
      <w:pPr>
        <w:spacing w:after="100"/>
      </w:pPr>
      <w:r>
        <w:t>[V0.13-5] Nijenhuis, A.; Richardson, R. W. Cohomology and Deformations in Graded Lie Algebras. Bull. AMS 72 (1966), 1-29. DOI 10.1090/S0002-9904-1966-11401-5.</w:t>
      </w:r>
    </w:p>
    <w:p>
      <w:pPr>
        <w:spacing w:after="100"/>
      </w:pPr>
      <w:r>
        <w:t>[V0.13-6] Goldman, W. M.; Millson, J. J. The Deformation Theory of Representations of Fundamental Groups of Compact Kähler Manifolds. Publ. Math. IHES 67 (1988), 43-96. DOI 10.1007/BF02699127.</w:t>
      </w:r>
    </w:p>
    <w:p>
      <w:pPr>
        <w:spacing w:after="100"/>
      </w:pPr>
      <w:r>
        <w:t>[V0.13-7] Pridham, J. P. Unifying Derived Deformation Theories. Advances in Mathematics 224 (2010), 772-826. arXiv:0705.0344.</w:t>
      </w:r>
    </w:p>
    <w:p>
      <w:pPr>
        <w:spacing w:after="100"/>
      </w:pPr>
      <w:r>
        <w:t>[V0.13-8] Lurie, J. Derived Algebraic Geometry IV: Deformation Theory. arXiv:0709.3091.</w:t>
      </w:r>
    </w:p>
    <w:p>
      <w:pPr>
        <w:spacing w:after="100"/>
      </w:pPr>
      <w:r>
        <w:t>[V0.13-9] Kurpishev, I. B. Том I v197 RU; Том II T2-RP-v0.1-v0.12.</w:t>
      </w:r>
    </w:p>
    <w:p>
      <w:pPr>
        <w:pStyle w:val="Quote"/>
        <w:spacing w:before="80" w:after="120"/>
        <w:jc w:val="center"/>
      </w:pPr>
      <w:r>
        <w:t>truth_layer_promotion=0; checkpoint=T2-RP-v0.13; next=T2-RP-v0.14.                  (16.33)</w:t>
      </w:r>
    </w:p>
    <w:p>
      <w:pPr>
        <w:pStyle w:val="Lead"/>
        <w:spacing w:after="100"/>
      </w:pPr>
      <w:r>
        <w:t>Глава 16 построила локальную модульную машину NAPG: от Artin deformation functor и small-extension obstruction calculus до derived tangent complex, Hodge-Green contraction, Kuranishi map, miniversal base, higher obstruction tower и moduli-safe predictive horizon. Главный отрицательный результат: равномерно ненулевой Kuranishi residual исключает интегрируемость выбранной ветви в сертифицированной локальной модели. Нулевой residual создаёт только candidate-lift, а не событие.</w:t>
      </w:r>
    </w:p>
    <w:p>
      <w:pPr>
        <w:pStyle w:val="Small"/>
        <w:spacing w:after="100"/>
      </w:pPr>
      <w:r>
        <w:t>Следующая сборка tom2_v0_14 развивает каноническую главу 17: стратифицированные пространства модулей, wall-crossing, bifurcation loci, monodromy of branches и устойчивые переходные инварианты.</w:t>
      </w:r>
    </w:p>
    <w:p>
      <w:pPr>
        <w:pStyle w:val="Small"/>
        <w:spacing w:after="100"/>
      </w:pPr>
      <w:r>
        <w:t>checkpoint=T2-RP-v0.13; source=T2-RP-v0.12; truth_layer_promotion=0; next=T2-RP-v0.14.</w:t>
      </w:r>
    </w:p>
    <w:p>
      <w:r>
        <w:br/>
      </w:r>
    </w:p>
    <w:p>
      <w:pPr>
        <w:pStyle w:val="Title"/>
        <w:jc w:val="center"/>
      </w:pPr>
      <w:r>
        <w:t>Глава 17. Стратифицированные пространства модулей, wall-crossing, bifurcation loci и монодромия ветвей</w:t>
      </w:r>
    </w:p>
    <w:p>
      <w:pPr>
        <w:pStyle w:val="Subtitle"/>
        <w:jc w:val="center"/>
      </w:pPr>
      <w:r>
        <w:t>Контрольная точка T2-RP-v0.14 · кумулятивное продолжение tom2_v0_13</w:t>
      </w:r>
    </w:p>
    <w:tbl>
      <w:tblPr>
        <w:tblW w:type="auto" w:w="0"/>
        <w:jc w:val="center"/>
        <w:tblLayout w:type="fixed"/>
        <w:tblLook w:firstColumn="1" w:firstRow="1" w:lastColumn="0" w:lastRow="0" w:noHBand="0" w:noVBand="1" w:val="04A0"/>
      </w:tblPr>
      <w:tblGrid>
        <w:gridCol w:w="2304"/>
        <w:gridCol w:w="8208"/>
      </w:tblGrid>
      <w:tr>
        <w:tc>
          <w:tcPr>
            <w:tcW w:type="dxa" w:w="2304"/>
            <w:shd w:fill="1F4E78"/>
            <w:tcMar>
              <w:top w:w="120" w:type="dxa"/>
              <w:start w:w="140" w:type="dxa"/>
              <w:bottom w:w="120" w:type="dxa"/>
              <w:end w:w="140" w:type="dxa"/>
            </w:tcMar>
            <w:vAlign w:val="center"/>
          </w:tcPr>
          <w:p>
            <w:r>
              <w:rPr>
                <w:b/>
                <w:color w:val="FFFFFF"/>
              </w:rPr>
              <w:t>ОНТОЛОГИЯ</w:t>
            </w:r>
          </w:p>
        </w:tc>
        <w:tc>
          <w:tcPr>
            <w:tcW w:type="dxa" w:w="8208"/>
            <w:shd w:fill="DCE6F1"/>
            <w:tcMar>
              <w:top w:w="120" w:type="dxa"/>
              <w:start w:w="140" w:type="dxa"/>
              <w:bottom w:w="120" w:type="dxa"/>
              <w:end w:w="140" w:type="dxa"/>
            </w:tcMar>
            <w:vAlign w:val="center"/>
          </w:tcPr>
          <w:p>
            <w:r>
              <w:t>Пространство модулей не является единым гладким фоном. Оно состоит из страт, на которых тип объекта, размер стабилизатора, ранги касательного и obstruction-слоёв сохраняются, а границы страт фиксируют места возможной перестройки.</w:t>
            </w:r>
          </w:p>
        </w:tc>
      </w:tr>
      <w:tr>
        <w:tc>
          <w:tcPr>
            <w:tcW w:type="dxa" w:w="2304"/>
            <w:shd w:fill="1F4E78"/>
            <w:tcMar>
              <w:top w:w="120" w:type="dxa"/>
              <w:start w:w="140" w:type="dxa"/>
              <w:bottom w:w="120" w:type="dxa"/>
              <w:end w:w="140" w:type="dxa"/>
            </w:tcMar>
            <w:vAlign w:val="center"/>
          </w:tcPr>
          <w:p>
            <w:r>
              <w:rPr>
                <w:b/>
                <w:color w:val="FFFFFF"/>
              </w:rPr>
              <w:t>ГНОСЕОЛОГИЯ</w:t>
            </w:r>
          </w:p>
        </w:tc>
        <w:tc>
          <w:tcPr>
            <w:tcW w:type="dxa" w:w="8208"/>
            <w:shd w:fill="DCE6F1"/>
            <w:tcMar>
              <w:top w:w="120" w:type="dxa"/>
              <w:start w:w="140" w:type="dxa"/>
              <w:bottom w:w="120" w:type="dxa"/>
              <w:end w:w="140" w:type="dxa"/>
            </w:tcMar>
            <w:vAlign w:val="center"/>
          </w:tcPr>
          <w:p>
            <w:r>
              <w:t>Wall-crossing является знанием о смене классификационного режима, а не свидетельством наступившего физического события. Надёжный вывод требует карты ветвей, переходных инвариантов, достаточного основания D и явно заданного Dom.</w:t>
            </w:r>
          </w:p>
        </w:tc>
      </w:tr>
      <w:tr>
        <w:tc>
          <w:tcPr>
            <w:tcW w:type="dxa" w:w="2304"/>
            <w:shd w:fill="1F4E78"/>
            <w:tcMar>
              <w:top w:w="120" w:type="dxa"/>
              <w:start w:w="140" w:type="dxa"/>
              <w:bottom w:w="120" w:type="dxa"/>
              <w:end w:w="140" w:type="dxa"/>
            </w:tcMar>
            <w:vAlign w:val="center"/>
          </w:tcPr>
          <w:p>
            <w:r>
              <w:rPr>
                <w:b/>
                <w:color w:val="FFFFFF"/>
              </w:rPr>
              <w:t>ФЕНОМЕНОЛОГИЯ</w:t>
            </w:r>
          </w:p>
        </w:tc>
        <w:tc>
          <w:tcPr>
            <w:tcW w:type="dxa" w:w="8208"/>
            <w:shd w:fill="DCE6F1"/>
            <w:tcMar>
              <w:top w:w="120" w:type="dxa"/>
              <w:start w:w="140" w:type="dxa"/>
              <w:bottom w:w="120" w:type="dxa"/>
              <w:end w:w="140" w:type="dxa"/>
            </w:tcMar>
            <w:vAlign w:val="center"/>
          </w:tcPr>
          <w:p>
            <w:r>
              <w:t>Наблюдаемая ветвь может исчезать, раздваиваться, сливаться или возвращаться после обхода сингулярного локуса с иной маркировкой. Монодромия хранит память обхода, но не создаёт причинность сама по себе.</w:t>
            </w:r>
          </w:p>
        </w:tc>
      </w:tr>
      <w:tr>
        <w:tc>
          <w:tcPr>
            <w:tcW w:type="dxa" w:w="2304"/>
            <w:shd w:fill="1F4E78"/>
            <w:tcMar>
              <w:top w:w="120" w:type="dxa"/>
              <w:start w:w="140" w:type="dxa"/>
              <w:bottom w:w="120" w:type="dxa"/>
              <w:end w:w="140" w:type="dxa"/>
            </w:tcMar>
            <w:vAlign w:val="center"/>
          </w:tcPr>
          <w:p>
            <w:r>
              <w:rPr>
                <w:b/>
                <w:color w:val="FFFFFF"/>
              </w:rPr>
              <w:t>ГРАНИЦА</w:t>
            </w:r>
          </w:p>
        </w:tc>
        <w:tc>
          <w:tcPr>
            <w:tcW w:type="dxa" w:w="8208"/>
            <w:shd w:fill="FFF2CC"/>
            <w:tcMar>
              <w:top w:w="120" w:type="dxa"/>
              <w:start w:w="140" w:type="dxa"/>
              <w:bottom w:w="120" w:type="dxa"/>
              <w:end w:w="140" w:type="dxa"/>
            </w:tcMar>
            <w:vAlign w:val="center"/>
          </w:tcPr>
          <w:p>
            <w:r>
              <w:t>Все теоремы главы относятся к сертифицированным конечномерным аналитическим, алгебраическим или стратифицированным моделям. ПН.2, F-1-F-14 и физические мосты статуса не меняют; truth_layer_promotion=0.</w:t>
            </w:r>
          </w:p>
        </w:tc>
      </w:tr>
    </w:tbl>
    <w:p>
      <w:pPr>
        <w:pStyle w:val="Heading1"/>
        <w:keepNext/>
      </w:pPr>
      <w:r>
        <w:t>174. Модульное пространство как стратифицированный объект</w:t>
      </w:r>
    </w:p>
    <w:p>
      <w:pPr/>
      <w:r>
        <w:t>Пусть M_N обозначает локальный или глобальный носитель классов NAPG-структур после факторизации по допустимым изоморфизмам. Даже если каждая регулярная точка допускает локальную Kuranishi-модель, объединение классов обычно не является многообразием: размер стабилизатора, число ветвей, ранг линейзации и тип препятствий могут скачкообразно меняться.</w:t>
      </w:r>
    </w:p>
    <w:p>
      <w:pPr>
        <w:pStyle w:val="Quote"/>
        <w:jc w:val="center"/>
      </w:pPr>
      <w:r>
        <w:t>M_N = ⨆_{α∈A} S_α,      S_α ∩ overline(S_β) ≠ ∅ ⇒ S_α ⊂ overline(S_β).                 (17.1)</w:t>
      </w:r>
    </w:p>
    <w:p>
      <w:pPr/>
      <w:r>
        <w:t>Стратификация считается допустимой для предсказательного слоя, если каждая S_α является гладкой локально замкнутой стратой, локальный модульный профиль постоянен на S_α, а frontier condition проверено. Whitney (a) и (b) не объявляются автоматически: они являются отдельными доказательными обязательствами.</w:t>
      </w:r>
    </w:p>
    <w:p>
      <w:pPr>
        <w:jc w:val="center"/>
      </w:pPr>
      <w:r>
        <w:drawing>
          <wp:inline xmlns:a="http://schemas.openxmlformats.org/drawingml/2006/main" xmlns:pic="http://schemas.openxmlformats.org/drawingml/2006/picture">
            <wp:extent cx="6217920" cy="3150752"/>
            <wp:docPr id="42" name="Picture 42"/>
            <wp:cNvGraphicFramePr>
              <a:graphicFrameLocks noChangeAspect="1"/>
            </wp:cNvGraphicFramePr>
            <a:graphic>
              <a:graphicData uri="http://schemas.openxmlformats.org/drawingml/2006/picture">
                <pic:pic>
                  <pic:nvPicPr>
                    <pic:cNvPr id="0" name="fig17_1.png"/>
                    <pic:cNvPicPr/>
                  </pic:nvPicPr>
                  <pic:blipFill>
                    <a:blip r:embed="rId71"/>
                    <a:stretch>
                      <a:fillRect/>
                    </a:stretch>
                  </pic:blipFill>
                  <pic:spPr>
                    <a:xfrm>
                      <a:off x="0" y="0"/>
                      <a:ext cx="6217920" cy="3150752"/>
                    </a:xfrm>
                    <a:prstGeom prst="rect"/>
                  </pic:spPr>
                </pic:pic>
              </a:graphicData>
            </a:graphic>
          </wp:inline>
        </w:drawing>
      </w:r>
    </w:p>
    <w:p>
      <w:pPr>
        <w:pStyle w:val="Caption"/>
        <w:keepNext/>
        <w:jc w:val="center"/>
      </w:pPr>
      <w:r>
        <w:t>Рисунок 17.1. Стратифицированное пространство модулей, стена и бифуркационный локус. Собственная схема Тома II.</w:t>
      </w:r>
    </w:p>
    <w:p>
      <w:pPr>
        <w:pStyle w:val="Heading1"/>
        <w:keepNext/>
      </w:pPr>
      <w:r>
        <w:t>175. Профиль страты и переходные инварианты</w:t>
      </w:r>
    </w:p>
    <w:p>
      <w:pPr/>
      <w:r>
        <w:t>Для точки x∈S_α вводится типизированный профиль, объединяющий локальные данные главы 16 и аналитический запас главы 15:</w:t>
      </w:r>
    </w:p>
    <w:p>
      <w:pPr>
        <w:pStyle w:val="Quote"/>
        <w:jc w:val="center"/>
      </w:pPr>
      <w:r>
        <w:t>P_str(x) = (dim H¹_x, dim H²_x, dim H³_x, dim Aut_x, rank dK_x, mult_x, HS_x, γ_x, λ_x, D_x, Dom_x).  (17.2)</w:t>
      </w:r>
    </w:p>
    <w:p>
      <w:pPr/>
      <w:r>
        <w:t>Здесь mult_x обозначает кратность локального germ, HS_x - Hilbert-Samuel функцию, γ_x - сертифицированный спектральный зазор. Переходным инвариантом называется функция I на регулярной части, локально постоянная на каждой страте и снабжённая правилом сравнения при подходе к frontier.</w:t>
      </w:r>
    </w:p>
    <w:p>
      <w:pPr>
        <w:pStyle w:val="Quote"/>
        <w:jc w:val="center"/>
      </w:pPr>
      <w:r>
        <w:t>I_trans : M_N^reg → Λ,      I_trans|_{S_α}=const.                              (17.3)</w:t>
      </w:r>
    </w:p>
    <w:p>
      <w:pPr/>
      <w:r>
        <w:t>Отсутствие правила сравнения означает, что значения на соседних стратах нельзя складывать, вычитать или ранжировать, даже если они записаны одинаковыми числами.</w:t>
      </w:r>
    </w:p>
    <w:p>
      <w:pPr>
        <w:pStyle w:val="Heading1"/>
        <w:keepNext/>
      </w:pPr>
      <w:r>
        <w:t>176. Wall, chamber и wall certificate</w:t>
      </w:r>
    </w:p>
    <w:p>
      <w:pPr/>
      <w:r>
        <w:t>Пусть параметрическое пространство P разбито на камеры C_ν и стены W_μ. Камера есть связная компонента P\W, на которой сертифицированный модульный тип постоянен. Стена есть локус, где нарушается хотя бы один из ранговых, стабилизаторных, спектральных, доменных или ветвящихся признаков.</w:t>
      </w:r>
    </w:p>
    <w:p>
      <w:pPr>
        <w:pStyle w:val="Quote"/>
        <w:jc w:val="center"/>
      </w:pPr>
      <w:r>
        <w:t>W = Δ_rank ∪ Δ_aut ∪ Δ_obs ∪ Δ_gap ∪ Δ_branch ∪ Δ_D ∪ Δ_Dom ∪ Δ_glue.      (17.4)</w:t>
      </w:r>
    </w:p>
    <w:p>
      <w:pPr/>
      <w:r>
        <w:t>Wall certificate WC(t*) состоит из локального уравнения стены, ориентации нормали или coorientation, перечня подходящих ветвей, односторонних пределов инвариантов, контроля multiplicity, Evidence-D и воспроизводимого вычислительного свидетельства.</w:t>
      </w:r>
    </w:p>
    <w:p>
      <w:pPr>
        <w:pStyle w:val="Heading2"/>
        <w:keepNext/>
      </w:pPr>
      <w:r>
        <w:t>17.3.1. Теорема постоянства в камере</w:t>
      </w:r>
    </w:p>
    <w:p>
      <w:pPr/>
      <w:r>
        <w:t>Теорема 17.1. Пусть C является связной камерой, семейство moduli problems тривиализовано сертификатом ModTriv(C), а C не пересекает W. Тогда профиль P_str и все сертифицированные локально постоянные переходные инварианты постоянны на C.</w:t>
      </w:r>
    </w:p>
    <w:p>
      <w:pPr/>
      <w:r>
        <w:t>Доказательство. ModTriv(C) задаёт совместимые идентификации controlling data, Hodge-Green contractions, Kuranishi germs, stabilizer groupoids и D/Dom. Отсутствие стен исключает изменение дискретных ранговых и ветвящихся данных. Связность C завершает доказательство.</w:t>
      </w:r>
    </w:p>
    <w:p>
      <w:pPr>
        <w:pStyle w:val="Heading1"/>
        <w:keepNext/>
      </w:pPr>
      <w:r>
        <w:t>177. Wall-crossing operator и предел его корректности</w:t>
      </w:r>
    </w:p>
    <w:p>
      <w:pPr/>
      <w:r>
        <w:t>Для ориентированного пересечения стены путём γ определён частичный оператор перехода:</w:t>
      </w:r>
    </w:p>
    <w:p>
      <w:pPr>
        <w:pStyle w:val="Quote"/>
        <w:jc w:val="center"/>
      </w:pPr>
      <w:r>
        <w:t>WC_{γ,t*}: Inv(C_-) ⇀ Inv(C_+).                                           (17.5)</w:t>
      </w:r>
    </w:p>
    <w:p>
      <w:pPr/>
      <w:r>
        <w:t>Он определён только тогда, когда ветви с обеих сторон идентифицированы через общий degeneration datum. В аддитивном секторе допускается wall-crossing defect</w:t>
      </w:r>
    </w:p>
    <w:p>
      <w:pPr>
        <w:pStyle w:val="Quote"/>
        <w:jc w:val="center"/>
      </w:pPr>
      <w:r>
        <w:t>Δ_W I = I_+ - T_{-→+}I_-,                                                (17.6)</w:t>
      </w:r>
    </w:p>
    <w:p>
      <w:pPr/>
      <w:r>
        <w:t>где T_{-→+} является доказанным transport map. Без T_{-→+} разность не типизирована. В общем NAPG-секторе wall-crossing может быть correspondence, span или functor между groupoids, а не числовой скачок.</w:t>
      </w:r>
    </w:p>
    <w:p>
      <w:pPr/>
      <w:r>
        <w:t>Контртеорема 17.2. Равенство размерностей пространств инвариантов по обе стороны стены не задаёт канонического wall-crossing operator. Требуются идентификация ветвей и transport data.</w:t>
      </w:r>
    </w:p>
    <w:p>
      <w:pPr>
        <w:pStyle w:val="Heading1"/>
        <w:keepNext/>
      </w:pPr>
      <w:r>
        <w:t>178. Бифуркационный локус и reduced equation</w:t>
      </w:r>
    </w:p>
    <w:p>
      <w:pPr/>
      <w:r>
        <w:t>Пусть K_t(x)=0 является локальным уравнением Кураниши. Бифуркационный локус определяется как множество параметров, где решение существует и линеаризация по x теряет регулярность:</w:t>
      </w:r>
    </w:p>
    <w:p>
      <w:pPr>
        <w:pStyle w:val="Quote"/>
        <w:jc w:val="center"/>
      </w:pPr>
      <w:r>
        <w:t>Bif(K) = {(t,x): K_t(x)=0,  rank D_xK_t &lt; r_reg}.                         (17.7)</w:t>
      </w:r>
    </w:p>
    <w:p>
      <w:pPr/>
      <w:r>
        <w:t>Его проекция на параметрическую базу обозначается B=pr_P Bif(K). Для одномерного kernel/cokernel после Lyapunov-Schmidt reduction задача сводится к скалярной функции g(t,a)=0. Типы fold, pitchfork и cusp разрешено употреблять лишь после проверки ненулевых производных, соответствующих нормальным формам.</w:t>
      </w:r>
    </w:p>
    <w:p>
      <w:pPr>
        <w:pStyle w:val="Quote"/>
        <w:jc w:val="center"/>
      </w:pPr>
      <w:r>
        <w:t>fold: g=0, g_a=0, g_{aa}≠0, g_t≠0;    cusp: g=g_a=g_{aa}=0, g_{aaa}g_t≠0. (17.8)</w:t>
      </w:r>
    </w:p>
    <w:p>
      <w:pPr/>
      <w:r>
        <w:t>Наличие singular Jacobian является кандидатом бифуркации, но не доказывает число реальных ветвей, их устойчивость или физическую наблюдаемость.</w:t>
      </w:r>
    </w:p>
    <w:p>
      <w:pPr>
        <w:pStyle w:val="Heading1"/>
        <w:keepNext/>
      </w:pPr>
      <w:r>
        <w:t>179. Разделяющая теорема: wall не равен bifurcation</w:t>
      </w:r>
    </w:p>
    <w:p>
      <w:pPr/>
      <w:r>
        <w:t>Теорема 17.3. В общем случае W и B не совпадают. Стена может возникать из смены стабильности, домена или стабилизатора при регулярном локальном уравнении; бифуркация может возникать внутри одной камеры выбранной внешней классификации.</w:t>
      </w:r>
    </w:p>
    <w:p>
      <w:pPr>
        <w:pStyle w:val="ListBullet"/>
      </w:pPr>
      <w:r>
        <w:t>Пример wall без bifurcation: меняется GIT-поляризация и набор допустимых орбит, хотя локальная ветвь остаётся гладкой.</w:t>
      </w:r>
    </w:p>
    <w:p>
      <w:pPr>
        <w:pStyle w:val="ListBullet"/>
      </w:pPr>
      <w:r>
        <w:t>Пример bifurcation без выбранной wall: семейство g(t,a)=a²-t имеет fold при t=0, даже если внешняя chamber decomposition не введена.</w:t>
      </w:r>
    </w:p>
    <w:p>
      <w:pPr>
        <w:pStyle w:val="ListBullet"/>
      </w:pPr>
      <w:r>
        <w:t>Пример ложного совпадения: rank jump численного Jacobian, вызванный плохой обусловленностью, исчезает после интервальной сертификации.</w:t>
      </w:r>
    </w:p>
    <w:p>
      <w:pPr>
        <w:pStyle w:val="Heading1"/>
        <w:keepNext/>
      </w:pPr>
      <w:r>
        <w:t>180. Ветви, нормализация и branch ledger</w:t>
      </w:r>
    </w:p>
    <w:p>
      <w:pPr/>
      <w:r>
        <w:t>Пусть Z={K=0} - локальный аналитический zero-locus. Для различения ветвей используется нормализация ν: Z~→Z либо эквивалентный branch cover над регулярной частью параметров. Ветвь b определяется как связная компонента нормализованного прообраза после удаления ramification locus.</w:t>
      </w:r>
    </w:p>
    <w:p>
      <w:pPr>
        <w:pStyle w:val="Quote"/>
        <w:jc w:val="center"/>
      </w:pPr>
      <w:r>
        <w:t>Branch(Z/P) = π₀(Z~ \ Ram(ν)).                                           (17.9)</w:t>
      </w:r>
    </w:p>
    <w:p>
      <w:pPr/>
      <w:r>
        <w:t>Branch ledger хранит branch_id, local equation, multiplicity, orientation/coorientation, stabilizer, D/Dom, provenance, допустимые продолжения и список точек ветвления. Без branch_id утверждение «та же ветвь после перехода» не имеет проверяемого содержания.</w:t>
      </w:r>
    </w:p>
    <w:p>
      <w:pPr>
        <w:jc w:val="center"/>
      </w:pPr>
      <w:r>
        <w:drawing>
          <wp:inline xmlns:a="http://schemas.openxmlformats.org/drawingml/2006/main" xmlns:pic="http://schemas.openxmlformats.org/drawingml/2006/picture">
            <wp:extent cx="6217920" cy="3464919"/>
            <wp:docPr id="43" name="Picture 43"/>
            <wp:cNvGraphicFramePr>
              <a:graphicFrameLocks noChangeAspect="1"/>
            </wp:cNvGraphicFramePr>
            <a:graphic>
              <a:graphicData uri="http://schemas.openxmlformats.org/drawingml/2006/picture">
                <pic:pic>
                  <pic:nvPicPr>
                    <pic:cNvPr id="0" name="fig17_2.png"/>
                    <pic:cNvPicPr/>
                  </pic:nvPicPr>
                  <pic:blipFill>
                    <a:blip r:embed="rId72"/>
                    <a:stretch>
                      <a:fillRect/>
                    </a:stretch>
                  </pic:blipFill>
                  <pic:spPr>
                    <a:xfrm>
                      <a:off x="0" y="0"/>
                      <a:ext cx="6217920" cy="3464919"/>
                    </a:xfrm>
                    <a:prstGeom prst="rect"/>
                  </pic:spPr>
                </pic:pic>
              </a:graphicData>
            </a:graphic>
          </wp:inline>
        </w:drawing>
      </w:r>
    </w:p>
    <w:p>
      <w:pPr>
        <w:pStyle w:val="Caption"/>
        <w:keepNext/>
        <w:jc w:val="center"/>
      </w:pPr>
      <w:r>
        <w:t>Рисунок 17.2. Продолжение ветвей и монодромия вдоль допустимого контура. Собственная схема Тома II.</w:t>
      </w:r>
    </w:p>
    <w:p>
      <w:pPr>
        <w:pStyle w:val="Heading1"/>
        <w:keepNext/>
      </w:pPr>
      <w:r>
        <w:t>181. Монодромия ветвей</w:t>
      </w:r>
    </w:p>
    <w:p>
      <w:pPr/>
      <w:r>
        <w:t>Пусть U=P\B и над U задан конечный branch cover π:B→U. Для базовой точки t0 и петли γ∈π₁(U,t0) аналитическое продолжение задаёт перестановку ветвей:</w:t>
      </w:r>
    </w:p>
    <w:p>
      <w:pPr>
        <w:pStyle w:val="Quote"/>
        <w:jc w:val="center"/>
      </w:pPr>
      <w:r>
        <w:t>Mon: π₁(U,t₀) → Perm(B_{t₀}).                                             (17.10)</w:t>
      </w:r>
    </w:p>
    <w:p>
      <w:pPr/>
      <w:r>
        <w:t>Если на ветви дополнительно живёт локальная система V, возникает линейная монодромия</w:t>
      </w:r>
    </w:p>
    <w:p>
      <w:pPr>
        <w:pStyle w:val="Quote"/>
        <w:jc w:val="center"/>
      </w:pPr>
      <w:r>
        <w:t>ρ: π₁(U,t₀) → Aut(V_{t₀}).                                                (17.11)</w:t>
      </w:r>
    </w:p>
    <w:p>
      <w:pPr/>
      <w:r>
        <w:t>Монодромия зависит от выбранного punctured domain и класса допустимых путей. Она не равна holonomy главы 9 автоматически: для их сравнения требуется functor, переводящий branch transport в параллельный перенос соответствующего расслоения.</w:t>
      </w:r>
    </w:p>
    <w:p>
      <w:pPr>
        <w:pStyle w:val="Heading2"/>
        <w:keepNext/>
      </w:pPr>
      <w:r>
        <w:t>17.8.1. Теорема гомотопической инвариантности</w:t>
      </w:r>
    </w:p>
    <w:p>
      <w:pPr/>
      <w:r>
        <w:t>Теорема 17.4. Если branch cover локально тривиален над U, то продолжение вдоль гомотопных петель с фиксированными концами задаёт одну и ту же перестановку ветвей. Следовательно, Mon факторизуется через фундаментальную группу.</w:t>
      </w:r>
    </w:p>
    <w:p>
      <w:pPr>
        <w:pStyle w:val="Heading1"/>
        <w:keepNext/>
      </w:pPr>
      <w:r>
        <w:t>182. No-global-label theorem</w:t>
      </w:r>
    </w:p>
    <w:p>
      <w:pPr/>
      <w:r>
        <w:t>Теорема 17.5. Если образ Mon нетривиален, глобальная непрерывная нумерация всех ветвей над U невозможна.</w:t>
      </w:r>
    </w:p>
    <w:p>
      <w:pPr/>
      <w:r>
        <w:t>Доказательство. Глобальная нумерация задавала бы тривиализацию branch cover и вынуждала бы каждую петлю сохранять каждую метку. Это противоречит существованию петли с нетривиальной перестановкой.</w:t>
      </w:r>
    </w:p>
    <w:p>
      <w:pPr/>
      <w:r>
        <w:t>Следствие. Алгоритм KLT-RBD не должен считать переставленные после обхода ветви новыми объектами или, наоборот, насильственно сохранять исходную метку. Требуется хранить monodromy orbit.</w:t>
      </w:r>
    </w:p>
    <w:p>
      <w:pPr>
        <w:pStyle w:val="Heading1"/>
        <w:keepNext/>
      </w:pPr>
      <w:r>
        <w:t>183. Wall-crossing и монодромия: path dependence</w:t>
      </w:r>
    </w:p>
    <w:p>
      <w:pPr/>
      <w:r>
        <w:t>Для пути γ, пересекающего последовательность стен W_1,...,W_m, полный transport задаётся упорядоченной композицией частичных correspondences:</w:t>
      </w:r>
    </w:p>
    <w:p>
      <w:pPr>
        <w:pStyle w:val="Quote"/>
        <w:jc w:val="center"/>
      </w:pPr>
      <w:r>
        <w:t>T_γ = WC_m ∘ ... ∘ WC_2 ∘ WC_1.                                         (17.12)</w:t>
      </w:r>
    </w:p>
    <w:p>
      <w:pPr/>
      <w:r>
        <w:t>Даже при одинаковых концах T_γ может зависеть от гомотопического класса пути в дополнении к higher-codimension discriminant. Путь-независимость требует плоской локальной системы или доказанных braid/cocycle relations между elementary wall operators.</w:t>
      </w:r>
    </w:p>
    <w:p>
      <w:pPr>
        <w:pStyle w:val="Quote"/>
        <w:jc w:val="center"/>
      </w:pPr>
      <w:r>
        <w:t>WC_i WC_j = WC_j WC_i  или  WC_i WC_j WC_i = WC_j WC_i WC_j            (17.13)</w:t>
      </w:r>
    </w:p>
    <w:p>
      <w:pPr/>
      <w:r>
        <w:t>выводится только в конкретной модели, а не из самого слова wall-crossing.</w:t>
      </w:r>
    </w:p>
    <w:p>
      <w:pPr>
        <w:pStyle w:val="Heading1"/>
        <w:keepNext/>
      </w:pPr>
      <w:r>
        <w:t>184. Стратифицированная локальная тривиальность</w:t>
      </w:r>
    </w:p>
    <w:p>
      <w:pPr/>
      <w:r>
        <w:t>В классическом стратифицированном секторе правильный аналог гладкой тривиальности обеспечивается isotopy-type условиями: proper stratified submersion, Whitney regularity и контролируемость. В Томе II это оформляется как сертификат StratTriv(U), а не как автоматическое свойство любого конечного разбиения.</w:t>
      </w:r>
    </w:p>
    <w:p>
      <w:pPr/>
      <w:r>
        <w:t>StratTriv(U) содержит: Whitney (a)/(b) либо явно выбранную замену; frontier condition; properness или локально proper restriction; submersion на каждой страте; control data; совместимость с Kuranishi charts, stabilizers и Evidence-D.</w:t>
      </w:r>
    </w:p>
    <w:p>
      <w:pPr/>
      <w:r>
        <w:t>Условная теорема 17.6. При StratTriv(U) семейство топологически локально тривиально над U по стратам; следовательно, stratified homeomorphism type и конструктивные invariants постоянны внутри U.</w:t>
      </w:r>
    </w:p>
    <w:p>
      <w:pPr>
        <w:pStyle w:val="Heading1"/>
        <w:keepNext/>
      </w:pPr>
      <w:r>
        <w:t>185. Устойчивость переходных инвариантов</w:t>
      </w:r>
    </w:p>
    <w:p>
      <w:pPr/>
      <w:r>
        <w:t>Пусть I_t(b) - инвариант ветви b. Вводятся три уровня устойчивости:</w:t>
      </w:r>
    </w:p>
    <w:p>
      <w:pPr>
        <w:pStyle w:val="ListBullet"/>
      </w:pPr>
      <w:r>
        <w:t>S0: chamber constancy - дискретный инвариант постоянен внутри камеры;</w:t>
      </w:r>
    </w:p>
    <w:p>
      <w:pPr>
        <w:pStyle w:val="ListBullet"/>
      </w:pPr>
      <w:r>
        <w:t>S1: transport stability - после доказанного branch transport значения совпадают;</w:t>
      </w:r>
    </w:p>
    <w:p>
      <w:pPr>
        <w:pStyle w:val="ListBullet"/>
      </w:pPr>
      <w:r>
        <w:t>S2: quantitative stability - существует оценка ||I_t-T_{s→t}I_s||≤L d(s,t);</w:t>
      </w:r>
    </w:p>
    <w:p>
      <w:pPr>
        <w:pStyle w:val="ListBullet"/>
      </w:pPr>
      <w:r>
        <w:t>S3: wall-controlled stability - односторонние пределы существуют и defect подчинён сертифицированной wall formula.</w:t>
      </w:r>
    </w:p>
    <w:p>
      <w:pPr/>
      <w:r>
        <w:t>Для S2 и S3 обязательны выбор нормы, тривиализация носителей и оценка обусловленности. Стабильность числа ветвей не влечёт стабильности каждой ветви, а стабильность суммы инвариантов не влечёт стабильности слагаемых.</w:t>
      </w:r>
    </w:p>
    <w:p>
      <w:pPr>
        <w:pStyle w:val="Heading1"/>
        <w:keepNext/>
      </w:pPr>
      <w:r>
        <w:t>186. Переходный индекс и проективно-гармонический слой</w:t>
      </w:r>
    </w:p>
    <w:p>
      <w:pPr/>
      <w:r>
        <w:t>Для сертифицированной ветви b_t вводится структурный переходный профиль</w:t>
      </w:r>
    </w:p>
    <w:p>
      <w:pPr>
        <w:pStyle w:val="Quote"/>
        <w:jc w:val="center"/>
      </w:pPr>
      <w:r>
        <w:t>P_W(t,b)=(dist(t,W), σ_min(D_xK_t), mult_b, MonOrb_b, η_K, η_H, λ_b, CGI_b). (17.14)</w:t>
      </w:r>
    </w:p>
    <w:p>
      <w:pPr/>
      <w:r>
        <w:t>Проективно-гармоническая координата λ_b допустима только если реперная четвёрка ветви определена и transport всех четырёх точек согласован. Общий PGL₂-перенос сохраняет λ; изменение λ связано с относительной деформацией репера, сменой D/Dom или выходом из projective class.</w:t>
      </w:r>
    </w:p>
    <w:p>
      <w:pPr/>
      <w:r>
        <w:t>Условие λ=-1 не определяет wall и не отменяет obstruction residual. Оно используется лишь как дополнительный selector после wall, branch и evidence checks.</w:t>
      </w:r>
    </w:p>
    <w:p>
      <w:pPr>
        <w:pStyle w:val="Heading1"/>
        <w:keepNext/>
      </w:pPr>
      <w:r>
        <w:t>187. Совокупный горизонт T2-RP-v0.14</w:t>
      </w:r>
    </w:p>
    <w:p>
      <w:pPr/>
      <w:r>
        <w:t>К ранее построенным горизонтам добавляется стратифицированно-ветвящийся слой:</w:t>
      </w:r>
    </w:p>
    <w:p>
      <w:pPr>
        <w:pStyle w:val="Quote"/>
        <w:jc w:val="center"/>
      </w:pPr>
      <w:r>
        <w:t>Δ_WB = Δ_strat ∪ Δ_wall ∪ Δ_bif ∪ Δ_ram ∪ Δ_mon ∪ Δ_path ∪ Δ_inv.        (17.15)</w:t>
      </w:r>
    </w:p>
    <w:p>
      <w:pPr>
        <w:pStyle w:val="Quote"/>
        <w:jc w:val="center"/>
      </w:pPr>
      <w:r>
        <w:t>Δ_safe^{v0.14} = Δ_mod ∪ Δ_WB.                                           (17.16)</w:t>
      </w:r>
    </w:p>
    <w:p>
      <w:pPr/>
      <w:r>
        <w:t>Здесь Δ_strat фиксирует отказ стратификации; Δ_wall - пересечение стены; Δ_bif - потерю regularity reduced equation; Δ_ram - ветвление; Δ_mon - смену monodromy orbit; Δ_path - неопределённость пути; Δ_inv - потерю transport stability инварианта.</w:t>
      </w:r>
    </w:p>
    <w:p>
      <w:pPr>
        <w:pStyle w:val="Heading1"/>
        <w:keepNext/>
      </w:pPr>
      <w:r>
        <w:t>188. Главная условная теорема T2-RP-v0.14</w:t>
      </w:r>
    </w:p>
    <w:p>
      <w:pPr/>
      <w:r>
        <w:t>Теорема 17.7 (Stratified wall-crossing-safe predictive theorem). [COND] Пусть на компактном параметрическом интервале или допустимом пути γ:</w:t>
      </w:r>
    </w:p>
    <w:p>
      <w:pPr>
        <w:pStyle w:val="ListNumber"/>
      </w:pPr>
      <w:r>
        <w:t>задано конечномерное аналитическое/алгебраическое семейство NAPG moduli problems с Kuranishi charts;</w:t>
      </w:r>
    </w:p>
    <w:p>
      <w:pPr>
        <w:pStyle w:val="ListNumber"/>
      </w:pPr>
      <w:r>
        <w:t>существует Whitney-совместимая стратификация и сертификат StratTriv вне Δ_WB;</w:t>
      </w:r>
    </w:p>
    <w:p>
      <w:pPr>
        <w:pStyle w:val="ListNumber"/>
      </w:pPr>
      <w:r>
        <w:t>ветви представлены нормализованным branch cover и снабжены branch ledger;</w:t>
      </w:r>
    </w:p>
    <w:p>
      <w:pPr>
        <w:pStyle w:val="ListNumber"/>
      </w:pPr>
      <w:r>
        <w:t>wall operators типизированы как maps/correspondences и удовлетворяют требуемым cocycle/braid relations;</w:t>
      </w:r>
    </w:p>
    <w:p>
      <w:pPr>
        <w:pStyle w:val="ListNumber"/>
      </w:pPr>
      <w:r>
        <w:t>monodromy representation вычислено на заявленном punctured domain;</w:t>
      </w:r>
    </w:p>
    <w:p>
      <w:pPr>
        <w:pStyle w:val="ListNumber"/>
      </w:pPr>
      <w:r>
        <w:t>переходный инвариант имеет transport maps и сертифицированный уровень устойчивости S0-S3;</w:t>
      </w:r>
    </w:p>
    <w:p>
      <w:pPr>
        <w:pStyle w:val="ListNumber"/>
      </w:pPr>
      <w:r>
        <w:t>Evidence-D, Dom, Hodge-Green, external E, projective, global и moduli blockers закрыты;</w:t>
      </w:r>
    </w:p>
    <w:p>
      <w:pPr>
        <w:pStyle w:val="ListNumber"/>
      </w:pPr>
      <w:r>
        <w:t>γ не пересекает Δ_safe^{v0.14}.</w:t>
      </w:r>
    </w:p>
    <w:p>
      <w:pPr/>
      <w:r>
        <w:t>Тогда stratified moduli type, число ветвей в каждом monodromy orbit и transport class переходного инварианта постоянны вдоль γ. Следовательно, wall-crossing или bifurcation указанного сертифицированного типа внутри модели невозможны:</w:t>
      </w:r>
    </w:p>
    <w:p>
      <w:pPr>
        <w:pStyle w:val="Quote"/>
        <w:jc w:val="center"/>
      </w:pPr>
      <w:r>
        <w:t>γ∩Δ_safe^{v0.14}=∅  ⇒  NO-WALL-CROSSING-IN-MODEL.                       (17.17)</w:t>
      </w:r>
    </w:p>
    <w:p>
      <w:pPr/>
      <w:r>
        <w:t>Если γ пересекает сертифицированную стену или Bif(K), система возвращает только CANDIDATE-WALL-CROSSING. Для положительного вывода нужны локальная wall formula, branch matching, post-wall existence и независимый доменный тест.</w:t>
      </w:r>
    </w:p>
    <w:p>
      <w:pPr>
        <w:pStyle w:val="Heading1"/>
        <w:keepNext/>
      </w:pPr>
      <w:r>
        <w:t>189. Blocker-safe вывод</w:t>
      </w:r>
    </w:p>
    <w:p>
      <w:pPr>
        <w:pStyle w:val="Quote"/>
        <w:jc w:val="center"/>
      </w:pPr>
      <w:r>
        <w:t>Block_WB = B_strat ∪ B_Whit ∪ B_wall ∪ B_bif ∪ B_branch ∪ B_mon ∪ B_path ∪ B_inv ∪ B_D ∪ B_Dom ∪ B_glue ∪ B_ind. (17.18)</w:t>
      </w:r>
    </w:p>
    <w:p>
      <w:pPr/>
      <w:r>
        <w:t>Вердикт имеет ровно три значения: NO-WALL-CROSSING-IN-MODEL; CANDIDATE-WALL-CROSSING; ABSTAIN. Формула wall-crossing без branch ledger или transport map переводится в ABSTAIN, даже если график выглядит убедительно. Графики вообще отличаются поразительной уверенностью, особенно когда им не задали области определения.</w:t>
      </w:r>
    </w:p>
    <w:p>
      <w:pPr>
        <w:jc w:val="center"/>
      </w:pPr>
      <w:r>
        <w:drawing>
          <wp:inline xmlns:a="http://schemas.openxmlformats.org/drawingml/2006/main" xmlns:pic="http://schemas.openxmlformats.org/drawingml/2006/picture">
            <wp:extent cx="6217920" cy="3623820"/>
            <wp:docPr id="44" name="Picture 44"/>
            <wp:cNvGraphicFramePr>
              <a:graphicFrameLocks noChangeAspect="1"/>
            </wp:cNvGraphicFramePr>
            <a:graphic>
              <a:graphicData uri="http://schemas.openxmlformats.org/drawingml/2006/picture">
                <pic:pic>
                  <pic:nvPicPr>
                    <pic:cNvPr id="0" name="fig17_3.png"/>
                    <pic:cNvPicPr/>
                  </pic:nvPicPr>
                  <pic:blipFill>
                    <a:blip r:embed="rId73"/>
                    <a:stretch>
                      <a:fillRect/>
                    </a:stretch>
                  </pic:blipFill>
                  <pic:spPr>
                    <a:xfrm>
                      <a:off x="0" y="0"/>
                      <a:ext cx="6217920" cy="3623820"/>
                    </a:xfrm>
                    <a:prstGeom prst="rect"/>
                  </pic:spPr>
                </pic:pic>
              </a:graphicData>
            </a:graphic>
          </wp:inline>
        </w:drawing>
      </w:r>
    </w:p>
    <w:p>
      <w:pPr>
        <w:pStyle w:val="Caption"/>
        <w:keepNext/>
        <w:jc w:val="center"/>
      </w:pPr>
      <w:r>
        <w:t>Рисунок 17.3. Blocker-safe wall-crossing certificate WC-01-WC-24. Собственная схема Тома II.</w:t>
      </w:r>
    </w:p>
    <w:p>
      <w:pPr>
        <w:pStyle w:val="Heading1"/>
        <w:keepNext/>
      </w:pPr>
      <w:r>
        <w:t>190. Контрпримеры и разделяющие модели</w:t>
      </w:r>
    </w:p>
    <w:p>
      <w:pPr>
        <w:pStyle w:val="ListBullet"/>
      </w:pPr>
      <w:r>
        <w:t>Постоянный tangent rank, меняющийся stabilizer: coarse germ выглядит гладким, но stack stratum меняется.</w:t>
      </w:r>
    </w:p>
    <w:p>
      <w:pPr>
        <w:pStyle w:val="ListBullet"/>
      </w:pPr>
      <w:r>
        <w:t>Одинаковое число ветвей, нетривиальная монодромия: две ветви переставляются после обхода discriminant.</w:t>
      </w:r>
    </w:p>
    <w:p>
      <w:pPr>
        <w:pStyle w:val="ListBullet"/>
      </w:pPr>
      <w:r>
        <w:t>Wall без скачка выбранного инварианта: wall operator нетривиален, но рассматриваемая сумма сохраняется.</w:t>
      </w:r>
    </w:p>
    <w:p>
      <w:pPr>
        <w:pStyle w:val="ListBullet"/>
      </w:pPr>
      <w:r>
        <w:t>Скачок численного инварианта без wall: сменена нормировка или базис без transport map.</w:t>
      </w:r>
    </w:p>
    <w:p>
      <w:pPr>
        <w:pStyle w:val="ListBullet"/>
      </w:pPr>
      <w:r>
        <w:t>Bifurcation candidate без реальных ветвей: комплексные решения существуют, но real domain пуст.</w:t>
      </w:r>
    </w:p>
    <w:p>
      <w:pPr>
        <w:pStyle w:val="ListBullet"/>
      </w:pPr>
      <w:r>
        <w:t>Нулевой Kuranishi residual на стене без globalization: локальный lift не склеивается.</w:t>
      </w:r>
    </w:p>
    <w:p>
      <w:pPr>
        <w:pStyle w:val="ListBullet"/>
      </w:pPr>
      <w:r>
        <w:t>λ=-1 по обе стороны стены при различном D: harmonic value сохраняется, доказательный статус нет.</w:t>
      </w:r>
    </w:p>
    <w:p>
      <w:pPr>
        <w:pStyle w:val="ListBullet"/>
      </w:pPr>
      <w:r>
        <w:t>Нетривиальная монодромия без физического времени: параметрический обход является геометрическим, а не динамическим процессом.</w:t>
      </w:r>
    </w:p>
    <w:p>
      <w:pPr>
        <w:pStyle w:val="Heading1"/>
        <w:keepNext/>
      </w:pPr>
      <w:r>
        <w:t>191. Вычислительный сертификат WC-MON v0.14</w:t>
      </w:r>
    </w:p>
    <w:p>
      <w:pPr/>
      <w:r>
        <w:t>Минимальный воспроизводимый пакет WC-01-WC-24:</w:t>
      </w:r>
    </w:p>
    <w:p>
      <w:pPr>
        <w:pStyle w:val="ListBullet"/>
      </w:pPr>
      <w:r>
        <w:t>WC-01 parameter/base schema; WC-02 Kuranishi atlas; WC-03 stratum labels; WC-04 frontier test;</w:t>
      </w:r>
    </w:p>
    <w:p>
      <w:pPr>
        <w:pStyle w:val="ListBullet"/>
      </w:pPr>
      <w:r>
        <w:t>WC-05 Whitney-a numerical/symbolic test; WC-06 Whitney-b test; WC-07 control data; WC-08 properness flag;</w:t>
      </w:r>
    </w:p>
    <w:p>
      <w:pPr>
        <w:pStyle w:val="ListBullet"/>
      </w:pPr>
      <w:r>
        <w:t>WC-09 discriminant elimination; WC-10 wall equations; WC-11 chamber decomposition; WC-12 coorientation;</w:t>
      </w:r>
    </w:p>
    <w:p>
      <w:pPr>
        <w:pStyle w:val="ListBullet"/>
      </w:pPr>
      <w:r>
        <w:t>WC-13 branch normalization; WC-14 branch ledger; WC-15 ramification locus; WC-16 multiplicity;</w:t>
      </w:r>
    </w:p>
    <w:p>
      <w:pPr>
        <w:pStyle w:val="ListBullet"/>
      </w:pPr>
      <w:r>
        <w:t>WC-17 continuation along paths; WC-18 monodromy permutations; WC-19 linear local-system monodromy;</w:t>
      </w:r>
    </w:p>
    <w:p>
      <w:pPr>
        <w:pStyle w:val="ListBullet"/>
      </w:pPr>
      <w:r>
        <w:t>WC-20 wall operator typing; WC-21 cocycle/braid tests; WC-22 invariant stability bounds;</w:t>
      </w:r>
    </w:p>
    <w:p>
      <w:pPr>
        <w:pStyle w:val="ListBullet"/>
      </w:pPr>
      <w:r>
        <w:t>WC-23 blocker-safe verdict; WC-24 sources, code, environment and artifact hashes.</w:t>
      </w:r>
    </w:p>
    <w:p>
      <w:pPr>
        <w:pStyle w:val="Heading2"/>
        <w:keepNext/>
      </w:pPr>
      <w:r>
        <w:t>Псевдокод</w:t>
      </w:r>
    </w:p>
    <w:p>
      <w:pPr>
        <w:pStyle w:val="Quote"/>
        <w:jc w:val="center"/>
      </w:pPr>
      <w:r>
        <w:t>INPUT family K_t, stratification candidate, path γ, branch data, invariant I, D/Dom</w:t>
        <w:br/>
        <w:t>CHECK Kuranishi charts; verify frontier/Whitney/control data; compute discriminant and chambers</w:t>
        <w:br/>
        <w:t>NORMALIZE zero locus; assign branch_id; continue branches; compute Mon and wall operators</w:t>
        <w:br/>
        <w:t>VERIFY transport typing, cocycle relations, stability margins, Evidence-D/Dom</w:t>
        <w:br/>
        <w:t>IF blockers != ∅: ABSTAIN</w:t>
        <w:br/>
        <w:t>ELIF γ∩Δ_safe^{v0.14}=∅: NO-WALL-CROSSING-IN-MODEL</w:t>
        <w:br/>
        <w:t>ELSE: CANDIDATE-WALL-CROSSING + required post-wall tests.                       (17.19)</w:t>
      </w:r>
    </w:p>
    <w:p>
      <w:pPr>
        <w:pStyle w:val="Heading1"/>
        <w:keepNext/>
      </w:pPr>
      <w:r>
        <w:t>192. Доказательные обязательства T2-PO-197-T2-PO-222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2438"/>
            <w:shd w:fill="1F4E78"/>
            <w:tcMar>
              <w:top w:w="100" w:type="dxa"/>
              <w:start w:w="100" w:type="dxa"/>
              <w:bottom w:w="100" w:type="dxa"/>
              <w:end w:w="100" w:type="dxa"/>
            </w:tcMar>
          </w:tcPr>
          <w:p>
            <w:r>
              <w:rPr>
                <w:b/>
                <w:color w:val="FFFFFF"/>
              </w:rPr>
              <w:t>PO</w:t>
            </w:r>
          </w:p>
        </w:tc>
        <w:tc>
          <w:tcPr>
            <w:tcW w:type="dxa" w:w="2438"/>
            <w:shd w:fill="1F4E78"/>
            <w:tcMar>
              <w:top w:w="100" w:type="dxa"/>
              <w:start w:w="100" w:type="dxa"/>
              <w:bottom w:w="100" w:type="dxa"/>
              <w:end w:w="100" w:type="dxa"/>
            </w:tcMar>
          </w:tcPr>
          <w:p>
            <w:r>
              <w:rPr>
                <w:b/>
                <w:color w:val="FFFFFF"/>
              </w:rPr>
              <w:t>Обязательство</w:t>
            </w:r>
          </w:p>
        </w:tc>
        <w:tc>
          <w:tcPr>
            <w:tcW w:type="dxa" w:w="2438"/>
            <w:shd w:fill="1F4E78"/>
            <w:tcMar>
              <w:top w:w="100" w:type="dxa"/>
              <w:start w:w="100" w:type="dxa"/>
              <w:bottom w:w="100" w:type="dxa"/>
              <w:end w:w="100" w:type="dxa"/>
            </w:tcMar>
          </w:tcPr>
          <w:p>
            <w:r>
              <w:rPr>
                <w:b/>
                <w:color w:val="FFFFFF"/>
              </w:rPr>
              <w:t>Статус</w:t>
            </w:r>
          </w:p>
        </w:tc>
        <w:tc>
          <w:tcPr>
            <w:tcW w:type="dxa" w:w="2438"/>
            <w:shd w:fill="1F4E78"/>
            <w:tcMar>
              <w:top w:w="100" w:type="dxa"/>
              <w:start w:w="100" w:type="dxa"/>
              <w:bottom w:w="100" w:type="dxa"/>
              <w:end w:w="100" w:type="dxa"/>
            </w:tcMar>
          </w:tcPr>
          <w:p>
            <w:r>
              <w:rPr>
                <w:b/>
                <w:color w:val="FFFFFF"/>
              </w:rPr>
              <w:t>Следующее действие</w:t>
            </w:r>
          </w:p>
        </w:tc>
      </w:tr>
      <w:tr>
        <w:tc>
          <w:tcPr>
            <w:tcW w:type="dxa" w:w="2438"/>
            <w:tcMar>
              <w:top w:w="80" w:type="dxa"/>
              <w:start w:w="90" w:type="dxa"/>
              <w:bottom w:w="80" w:type="dxa"/>
              <w:end w:w="90" w:type="dxa"/>
            </w:tcMar>
            <w:vAlign w:val="center"/>
          </w:tcPr>
          <w:p>
            <w:pPr>
              <w:jc w:val="center"/>
            </w:pPr>
            <w:r>
              <w:t>T2-PO-197</w:t>
            </w:r>
          </w:p>
        </w:tc>
        <w:tc>
          <w:tcPr>
            <w:tcW w:type="dxa" w:w="2438"/>
            <w:tcMar>
              <w:top w:w="80" w:type="dxa"/>
              <w:start w:w="90" w:type="dxa"/>
              <w:bottom w:w="80" w:type="dxa"/>
              <w:end w:w="90" w:type="dxa"/>
            </w:tcMar>
            <w:vAlign w:val="center"/>
          </w:tcPr>
          <w:p>
            <w:r>
              <w:t>Построить конечную допустимую стратификацию moduli carrier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T2-PO-198</w:t>
            </w:r>
          </w:p>
        </w:tc>
        <w:tc>
          <w:tcPr>
            <w:tcW w:type="dxa" w:w="2438"/>
            <w:tcMar>
              <w:top w:w="80" w:type="dxa"/>
              <w:start w:w="90" w:type="dxa"/>
              <w:bottom w:w="80" w:type="dxa"/>
              <w:end w:w="90" w:type="dxa"/>
            </w:tcMar>
            <w:vAlign w:val="center"/>
          </w:tcPr>
          <w:p>
            <w:r>
              <w:t>Проверить frontier condition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T2-PO-199</w:t>
            </w:r>
          </w:p>
        </w:tc>
        <w:tc>
          <w:tcPr>
            <w:tcW w:type="dxa" w:w="2438"/>
            <w:tcMar>
              <w:top w:w="80" w:type="dxa"/>
              <w:start w:w="90" w:type="dxa"/>
              <w:bottom w:w="80" w:type="dxa"/>
              <w:end w:w="90" w:type="dxa"/>
            </w:tcMar>
            <w:vAlign w:val="center"/>
          </w:tcPr>
          <w:p>
            <w:r>
              <w:t>Доказать Whitney (a)</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T2-PO-200</w:t>
            </w:r>
          </w:p>
        </w:tc>
        <w:tc>
          <w:tcPr>
            <w:tcW w:type="dxa" w:w="2438"/>
            <w:tcMar>
              <w:top w:w="80" w:type="dxa"/>
              <w:start w:w="90" w:type="dxa"/>
              <w:bottom w:w="80" w:type="dxa"/>
              <w:end w:w="90" w:type="dxa"/>
            </w:tcMar>
            <w:vAlign w:val="center"/>
          </w:tcPr>
          <w:p>
            <w:r>
              <w:t>Доказать Whitney (b) либо заменяющий control package</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T2-PO-201</w:t>
            </w:r>
          </w:p>
        </w:tc>
        <w:tc>
          <w:tcPr>
            <w:tcW w:type="dxa" w:w="2438"/>
            <w:tcMar>
              <w:top w:w="80" w:type="dxa"/>
              <w:start w:w="90" w:type="dxa"/>
              <w:bottom w:w="80" w:type="dxa"/>
              <w:end w:w="90" w:type="dxa"/>
            </w:tcMar>
            <w:vAlign w:val="center"/>
          </w:tcPr>
          <w:p>
            <w:r>
              <w:t>Построить StratTriv вне discriminant</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T2-PO-202</w:t>
            </w:r>
          </w:p>
        </w:tc>
        <w:tc>
          <w:tcPr>
            <w:tcW w:type="dxa" w:w="2438"/>
            <w:tcMar>
              <w:top w:w="80" w:type="dxa"/>
              <w:start w:w="90" w:type="dxa"/>
              <w:bottom w:w="80" w:type="dxa"/>
              <w:end w:w="90" w:type="dxa"/>
            </w:tcMar>
            <w:vAlign w:val="center"/>
          </w:tcPr>
          <w:p>
            <w:r>
              <w:t>Определить wall equations и coorientation</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T2-PO-203</w:t>
            </w:r>
          </w:p>
        </w:tc>
        <w:tc>
          <w:tcPr>
            <w:tcW w:type="dxa" w:w="2438"/>
            <w:tcMar>
              <w:top w:w="80" w:type="dxa"/>
              <w:start w:w="90" w:type="dxa"/>
              <w:bottom w:w="80" w:type="dxa"/>
              <w:end w:w="90" w:type="dxa"/>
            </w:tcMar>
            <w:vAlign w:val="center"/>
          </w:tcPr>
          <w:p>
            <w:r>
              <w:t>Доказать chamber constancy</w:t>
            </w:r>
          </w:p>
        </w:tc>
        <w:tc>
          <w:tcPr>
            <w:tcW w:type="dxa" w:w="2438"/>
            <w:tcMar>
              <w:top w:w="80" w:type="dxa"/>
              <w:start w:w="90" w:type="dxa"/>
              <w:bottom w:w="80" w:type="dxa"/>
              <w:end w:w="90" w:type="dxa"/>
            </w:tcMar>
            <w:vAlign w:val="center"/>
          </w:tcPr>
          <w:p>
            <w:pPr>
              <w:jc w:val="center"/>
            </w:pPr>
            <w:r>
              <w:t>THM при ModTriv</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T2-PO-204</w:t>
            </w:r>
          </w:p>
        </w:tc>
        <w:tc>
          <w:tcPr>
            <w:tcW w:type="dxa" w:w="2438"/>
            <w:tcMar>
              <w:top w:w="80" w:type="dxa"/>
              <w:start w:w="90" w:type="dxa"/>
              <w:bottom w:w="80" w:type="dxa"/>
              <w:end w:w="90" w:type="dxa"/>
            </w:tcMar>
            <w:vAlign w:val="center"/>
          </w:tcPr>
          <w:p>
            <w:r>
              <w:t>Типизировать wall operator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T2-PO-205</w:t>
            </w:r>
          </w:p>
        </w:tc>
        <w:tc>
          <w:tcPr>
            <w:tcW w:type="dxa" w:w="2438"/>
            <w:tcMar>
              <w:top w:w="80" w:type="dxa"/>
              <w:start w:w="90" w:type="dxa"/>
              <w:bottom w:w="80" w:type="dxa"/>
              <w:end w:w="90" w:type="dxa"/>
            </w:tcMar>
            <w:vAlign w:val="center"/>
          </w:tcPr>
          <w:p>
            <w:r>
              <w:t>Доказать branch normalization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T2-PO-206</w:t>
            </w:r>
          </w:p>
        </w:tc>
        <w:tc>
          <w:tcPr>
            <w:tcW w:type="dxa" w:w="2438"/>
            <w:tcMar>
              <w:top w:w="80" w:type="dxa"/>
              <w:start w:w="90" w:type="dxa"/>
              <w:bottom w:w="80" w:type="dxa"/>
              <w:end w:w="90" w:type="dxa"/>
            </w:tcMar>
            <w:vAlign w:val="center"/>
          </w:tcPr>
          <w:p>
            <w:r>
              <w:t>Сертифицировать multiplicities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T2-PO-207</w:t>
            </w:r>
          </w:p>
        </w:tc>
        <w:tc>
          <w:tcPr>
            <w:tcW w:type="dxa" w:w="2438"/>
            <w:tcMar>
              <w:top w:w="80" w:type="dxa"/>
              <w:start w:w="90" w:type="dxa"/>
              <w:bottom w:w="80" w:type="dxa"/>
              <w:end w:w="90" w:type="dxa"/>
            </w:tcMar>
            <w:vAlign w:val="center"/>
          </w:tcPr>
          <w:p>
            <w:r>
              <w:t>Построить ramification locus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T2-PO-208</w:t>
            </w:r>
          </w:p>
        </w:tc>
        <w:tc>
          <w:tcPr>
            <w:tcW w:type="dxa" w:w="2438"/>
            <w:tcMar>
              <w:top w:w="80" w:type="dxa"/>
              <w:start w:w="90" w:type="dxa"/>
              <w:bottom w:w="80" w:type="dxa"/>
              <w:end w:w="90" w:type="dxa"/>
            </w:tcMar>
            <w:vAlign w:val="center"/>
          </w:tcPr>
          <w:p>
            <w:r>
              <w:t>Вычислить branch monodromy</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T2-PO-209</w:t>
            </w:r>
          </w:p>
        </w:tc>
        <w:tc>
          <w:tcPr>
            <w:tcW w:type="dxa" w:w="2438"/>
            <w:tcMar>
              <w:top w:w="80" w:type="dxa"/>
              <w:start w:w="90" w:type="dxa"/>
              <w:bottom w:w="80" w:type="dxa"/>
              <w:end w:w="90" w:type="dxa"/>
            </w:tcMar>
            <w:vAlign w:val="center"/>
          </w:tcPr>
          <w:p>
            <w:r>
              <w:t>Доказать homotopy invariance продолжения</w:t>
            </w:r>
          </w:p>
        </w:tc>
        <w:tc>
          <w:tcPr>
            <w:tcW w:type="dxa" w:w="2438"/>
            <w:tcMar>
              <w:top w:w="80" w:type="dxa"/>
              <w:start w:w="90" w:type="dxa"/>
              <w:bottom w:w="80" w:type="dxa"/>
              <w:end w:w="90" w:type="dxa"/>
            </w:tcMar>
            <w:vAlign w:val="center"/>
          </w:tcPr>
          <w:p>
            <w:pPr>
              <w:jc w:val="center"/>
            </w:pPr>
            <w:r>
              <w:t>THM при cover</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T2-PO-210</w:t>
            </w:r>
          </w:p>
        </w:tc>
        <w:tc>
          <w:tcPr>
            <w:tcW w:type="dxa" w:w="2438"/>
            <w:tcMar>
              <w:top w:w="80" w:type="dxa"/>
              <w:start w:w="90" w:type="dxa"/>
              <w:bottom w:w="80" w:type="dxa"/>
              <w:end w:w="90" w:type="dxa"/>
            </w:tcMar>
            <w:vAlign w:val="center"/>
          </w:tcPr>
          <w:p>
            <w:r>
              <w:t>Проверить no-global-label criterion</w:t>
            </w:r>
          </w:p>
        </w:tc>
        <w:tc>
          <w:tcPr>
            <w:tcW w:type="dxa" w:w="2438"/>
            <w:tcMar>
              <w:top w:w="80" w:type="dxa"/>
              <w:start w:w="90" w:type="dxa"/>
              <w:bottom w:w="80" w:type="dxa"/>
              <w:end w:w="90" w:type="dxa"/>
            </w:tcMar>
            <w:vAlign w:val="center"/>
          </w:tcPr>
          <w:p>
            <w:pPr>
              <w:jc w:val="center"/>
            </w:pPr>
            <w:r>
              <w:t>THM</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T2-PO-211</w:t>
            </w:r>
          </w:p>
        </w:tc>
        <w:tc>
          <w:tcPr>
            <w:tcW w:type="dxa" w:w="2438"/>
            <w:tcMar>
              <w:top w:w="80" w:type="dxa"/>
              <w:start w:w="90" w:type="dxa"/>
              <w:bottom w:w="80" w:type="dxa"/>
              <w:end w:w="90" w:type="dxa"/>
            </w:tcMar>
            <w:vAlign w:val="center"/>
          </w:tcPr>
          <w:p>
            <w:r>
              <w:t>Различить wall и bifurcation loci</w:t>
            </w:r>
          </w:p>
        </w:tc>
        <w:tc>
          <w:tcPr>
            <w:tcW w:type="dxa" w:w="2438"/>
            <w:tcMar>
              <w:top w:w="80" w:type="dxa"/>
              <w:start w:w="90" w:type="dxa"/>
              <w:bottom w:w="80" w:type="dxa"/>
              <w:end w:w="90" w:type="dxa"/>
            </w:tcMar>
            <w:vAlign w:val="center"/>
          </w:tcPr>
          <w:p>
            <w:pPr>
              <w:jc w:val="center"/>
            </w:pPr>
            <w:r>
              <w:t>THM/EX</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T2-PO-212</w:t>
            </w:r>
          </w:p>
        </w:tc>
        <w:tc>
          <w:tcPr>
            <w:tcW w:type="dxa" w:w="2438"/>
            <w:tcMar>
              <w:top w:w="80" w:type="dxa"/>
              <w:start w:w="90" w:type="dxa"/>
              <w:bottom w:w="80" w:type="dxa"/>
              <w:end w:w="90" w:type="dxa"/>
            </w:tcMar>
            <w:vAlign w:val="center"/>
          </w:tcPr>
          <w:p>
            <w:r>
              <w:t>Доказать reduced bifurcation normal form</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T2-PO-213</w:t>
            </w:r>
          </w:p>
        </w:tc>
        <w:tc>
          <w:tcPr>
            <w:tcW w:type="dxa" w:w="2438"/>
            <w:tcMar>
              <w:top w:w="80" w:type="dxa"/>
              <w:start w:w="90" w:type="dxa"/>
              <w:bottom w:w="80" w:type="dxa"/>
              <w:end w:w="90" w:type="dxa"/>
            </w:tcMar>
            <w:vAlign w:val="center"/>
          </w:tcPr>
          <w:p>
            <w:r>
              <w:t>Проверить path-independence либо braid relations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T2-PO-214</w:t>
            </w:r>
          </w:p>
        </w:tc>
        <w:tc>
          <w:tcPr>
            <w:tcW w:type="dxa" w:w="2438"/>
            <w:tcMar>
              <w:top w:w="80" w:type="dxa"/>
              <w:start w:w="90" w:type="dxa"/>
              <w:bottom w:w="80" w:type="dxa"/>
              <w:end w:w="90" w:type="dxa"/>
            </w:tcMar>
            <w:vAlign w:val="center"/>
          </w:tcPr>
          <w:p>
            <w:r>
              <w:t>Построить transport для переходного инварианта</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T2-PO-215</w:t>
            </w:r>
          </w:p>
        </w:tc>
        <w:tc>
          <w:tcPr>
            <w:tcW w:type="dxa" w:w="2438"/>
            <w:tcMar>
              <w:top w:w="80" w:type="dxa"/>
              <w:start w:w="90" w:type="dxa"/>
              <w:bottom w:w="80" w:type="dxa"/>
              <w:end w:w="90" w:type="dxa"/>
            </w:tcMar>
            <w:vAlign w:val="center"/>
          </w:tcPr>
          <w:p>
            <w:r>
              <w:t>Сертифицировать уровень устойчивости S0-S3</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T2-PO-216</w:t>
            </w:r>
          </w:p>
        </w:tc>
        <w:tc>
          <w:tcPr>
            <w:tcW w:type="dxa" w:w="2438"/>
            <w:tcMar>
              <w:top w:w="80" w:type="dxa"/>
              <w:start w:w="90" w:type="dxa"/>
              <w:bottom w:w="80" w:type="dxa"/>
              <w:end w:w="90" w:type="dxa"/>
            </w:tcMar>
            <w:vAlign w:val="center"/>
          </w:tcPr>
          <w:p>
            <w:r>
              <w:t>Согласовать λ с branch transport</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T2-PO-217</w:t>
            </w:r>
          </w:p>
        </w:tc>
        <w:tc>
          <w:tcPr>
            <w:tcW w:type="dxa" w:w="2438"/>
            <w:tcMar>
              <w:top w:w="80" w:type="dxa"/>
              <w:start w:w="90" w:type="dxa"/>
              <w:bottom w:w="80" w:type="dxa"/>
              <w:end w:w="90" w:type="dxa"/>
            </w:tcMar>
            <w:vAlign w:val="center"/>
          </w:tcPr>
          <w:p>
            <w:r>
              <w:t>Согласовать Δ_WB с Δ_mod</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T2-PO-218</w:t>
            </w:r>
          </w:p>
        </w:tc>
        <w:tc>
          <w:tcPr>
            <w:tcW w:type="dxa" w:w="2438"/>
            <w:tcMar>
              <w:top w:w="80" w:type="dxa"/>
              <w:start w:w="90" w:type="dxa"/>
              <w:bottom w:w="80" w:type="dxa"/>
              <w:end w:w="90" w:type="dxa"/>
            </w:tcMar>
            <w:vAlign w:val="center"/>
          </w:tcPr>
          <w:p>
            <w:r>
              <w:t>Интервально сертифицировать расстояние до wall</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T2-PO-219</w:t>
            </w:r>
          </w:p>
        </w:tc>
        <w:tc>
          <w:tcPr>
            <w:tcW w:type="dxa" w:w="2438"/>
            <w:tcMar>
              <w:top w:w="80" w:type="dxa"/>
              <w:start w:w="90" w:type="dxa"/>
              <w:bottom w:w="80" w:type="dxa"/>
              <w:end w:w="90" w:type="dxa"/>
            </w:tcMar>
            <w:vAlign w:val="center"/>
          </w:tcPr>
          <w:p>
            <w:r>
              <w:t>Согласовать wall layer с Π_E и β_Ass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T2-PO-220</w:t>
            </w:r>
          </w:p>
        </w:tc>
        <w:tc>
          <w:tcPr>
            <w:tcW w:type="dxa" w:w="2438"/>
            <w:tcMar>
              <w:top w:w="80" w:type="dxa"/>
              <w:start w:w="90" w:type="dxa"/>
              <w:bottom w:w="80" w:type="dxa"/>
              <w:end w:w="90" w:type="dxa"/>
            </w:tcMar>
            <w:vAlign w:val="center"/>
          </w:tcPr>
          <w:p>
            <w:r>
              <w:t>Построить независимый domain wall-run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T2-PO-221</w:t>
            </w:r>
          </w:p>
        </w:tc>
        <w:tc>
          <w:tcPr>
            <w:tcW w:type="dxa" w:w="2438"/>
            <w:tcMar>
              <w:top w:w="80" w:type="dxa"/>
              <w:start w:w="90" w:type="dxa"/>
              <w:bottom w:w="80" w:type="dxa"/>
              <w:end w:w="90" w:type="dxa"/>
            </w:tcMar>
            <w:vAlign w:val="center"/>
          </w:tcPr>
          <w:p>
            <w:r>
              <w:t>Проверить физическую редукцию отдельно</w:t>
            </w:r>
          </w:p>
        </w:tc>
        <w:tc>
          <w:tcPr>
            <w:tcW w:type="dxa" w:w="2438"/>
            <w:tcMar>
              <w:top w:w="80" w:type="dxa"/>
              <w:start w:w="90" w:type="dxa"/>
              <w:bottom w:w="80" w:type="dxa"/>
              <w:end w:w="90" w:type="dxa"/>
            </w:tcMar>
            <w:vAlign w:val="center"/>
          </w:tcPr>
          <w:p>
            <w:pPr>
              <w:jc w:val="center"/>
            </w:pPr>
            <w:r>
              <w:t>PHY-HYP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T2-PO-222</w:t>
            </w:r>
          </w:p>
        </w:tc>
        <w:tc>
          <w:tcPr>
            <w:tcW w:type="dxa" w:w="2438"/>
            <w:tcMar>
              <w:top w:w="80" w:type="dxa"/>
              <w:start w:w="90" w:type="dxa"/>
              <w:bottom w:w="80" w:type="dxa"/>
              <w:end w:w="90" w:type="dxa"/>
            </w:tcMar>
            <w:vAlign w:val="center"/>
          </w:tcPr>
          <w:p>
            <w:r>
              <w:t>Заморозить WC-MON certificate и хеши</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bl>
    <w:p>
      <w:pPr>
        <w:pStyle w:val="Heading1"/>
        <w:keepNext/>
      </w:pPr>
      <w:r>
        <w:t>193. Prior art, граница авторского вклада и контрольная точка</w:t>
      </w:r>
    </w:p>
    <w:p>
      <w:pPr/>
      <w:r>
        <w:t>Классический prior art включает стратификации Уитни и условия (a)/(b); леммы изотопии Тома и стратифицированную локальную тривиальность; дискриминанты и монодромию особенностей; variation of GIT и wall-crossing; bifurcation theory и Lyapunov-Schmidt reduction; локальные системы и продолжение ветвей. Эти конструкции не заявляются как новые.</w:t>
      </w:r>
    </w:p>
    <w:p>
      <w:pPr/>
      <w:r>
        <w:t>Авторский слой Курпишева в главе состоит в их типизированном соединении с NAPG/KLT-RBD: wall и bifurcation loci включаются в совокупный blocker-safe горизонт; ветви получают Reper/D/Dom ledger; монодромия отделяется от голономии и физической динамики; отрицательный прогноз формулируется через отсутствие пересечения сертифицированного горизонта; положительный выход ограничивается статусом candidate.</w:t>
      </w:r>
    </w:p>
    <w:p>
      <w:pPr/>
      <w:r>
        <w:t>[V0.14-1] Whitney, H. Tangents to an Analytic Variety. Annals of Mathematics 81 (1965), 496-549.</w:t>
      </w:r>
    </w:p>
    <w:p>
      <w:pPr/>
      <w:r>
        <w:t>[V0.14-2] Thom, R. Ensembles et morphismes stratifiés. Bulletin of the AMS 75 (1969), 240-284.</w:t>
      </w:r>
    </w:p>
    <w:p>
      <w:pPr/>
      <w:r>
        <w:t>[V0.14-3] Mather, J. N. Notes on Topological Stability. Harvard notes (1970); published survey editions.</w:t>
      </w:r>
    </w:p>
    <w:p>
      <w:pPr/>
      <w:r>
        <w:t>[V0.14-4] Milnor, J. Singular Points of Complex Hypersurfaces. Annals of Mathematics Studies 61, Princeton, 1968.</w:t>
      </w:r>
    </w:p>
    <w:p>
      <w:pPr/>
      <w:r>
        <w:t>[V0.14-5] Goresky, M.; MacPherson, R. Stratified Morse Theory. Springer, 1988.</w:t>
      </w:r>
    </w:p>
    <w:p>
      <w:pPr/>
      <w:r>
        <w:t>[V0.14-6] Dolgachev, I.; Hu, Y. Variation of Geometric Invariant Theory Quotients. IHES Publ. Math. 87 (1998), 5-56.</w:t>
      </w:r>
    </w:p>
    <w:p>
      <w:pPr/>
      <w:r>
        <w:t>[V0.14-7] Thaddeus, M. Geometric Invariant Theory and Flips. JAMS 9 (1996), 691-723.</w:t>
      </w:r>
    </w:p>
    <w:p>
      <w:pPr/>
      <w:r>
        <w:t>[V0.14-8] Golubitsky, M.; Schaeffer, D. Singularities and Groups in Bifurcation Theory. Springer, 1985.</w:t>
      </w:r>
    </w:p>
    <w:p>
      <w:pPr/>
      <w:r>
        <w:t>[V0.14-9] Kurpishev, I. B. Том I v197 RU; Том II T2-RP-v0.1-v0.13.</w:t>
      </w:r>
    </w:p>
    <w:p>
      <w:pPr>
        <w:pStyle w:val="Quote"/>
        <w:jc w:val="center"/>
      </w:pPr>
      <w:r>
        <w:t>truth_layer_promotion=0; checkpoint=T2-RP-v0.14; next=T2-RP-v0.15.          (17.20)</w:t>
      </w:r>
    </w:p>
    <w:p>
      <w:pPr>
        <w:pStyle w:val="Lead"/>
      </w:pPr>
      <w:r>
        <w:t>Глава 17 построила стратифицированно-ветвящуюся машину предсказательного метода: chamber constancy, wall certificates, bifurcation loci, branch normalization, monodromy и transport stability сведены в единый blocker-safe контур. Главный доказательный результат остаётся отрицательным: вне сертифицированного горизонта переход данного типа невозможен внутри модели.</w:t>
      </w:r>
    </w:p>
    <w:p>
      <w:pPr>
        <w:pStyle w:val="Small"/>
      </w:pPr>
      <w:r>
        <w:t>Следующая сборка tom2_v0_15 развивает главу 18: derived/stacky global moduli, gluing local Kuranishi charts, descent of obstruction theories, virtual tangent/obstruction complexes и условия существования глобального предсказательного носителя.</w:t>
      </w:r>
    </w:p>
    <w:p>
      <w:pPr>
        <w:pStyle w:val="Small"/>
      </w:pPr>
      <w:r>
        <w:t>checkpoint=T2-RP-v0.14; source=T2-RP-v0.13; truth_layer_promotion=0; next=T2-RP-v0.15.</w:t>
      </w:r>
    </w:p>
    <w:p>
      <w:r>
        <w:br w:type="page"/>
      </w:r>
    </w:p>
    <w:p>
      <w:pPr>
        <w:pStyle w:val="Heading1"/>
        <w:keepNext/>
      </w:pPr>
      <w:r>
        <w:t>Глава 18. Глобальные derived/stacky-пространства модулей и предсказательный носитель</w:t>
      </w:r>
    </w:p>
    <w:tbl>
      <w:tblPr>
        <w:tblStyle w:val="TableGrid"/>
        <w:tblW w:type="auto" w:w="0"/>
        <w:jc w:val="center"/>
        <w:tblLook w:firstColumn="1" w:firstRow="1" w:lastColumn="0" w:lastRow="0" w:noHBand="0" w:noVBand="1" w:val="04A0"/>
      </w:tblPr>
      <w:tblGrid>
        <w:gridCol w:w="4876"/>
        <w:gridCol w:w="4876"/>
      </w:tblGrid>
      <w:tr>
        <w:tc>
          <w:tcPr>
            <w:tcW w:type="dxa" w:w="4876"/>
            <w:vAlign w:val="center"/>
            <w:shd w:fill="173D67"/>
            <w:tcMar>
              <w:top w:w="120" w:type="dxa"/>
              <w:start w:w="140" w:type="dxa"/>
              <w:bottom w:w="120" w:type="dxa"/>
              <w:end w:w="140" w:type="dxa"/>
            </w:tcMar>
          </w:tcPr>
          <w:p>
            <w:pPr>
              <w:spacing w:after="0"/>
              <w:jc w:val="center"/>
            </w:pPr>
            <w:r>
              <w:rPr>
                <w:b/>
                <w:color w:val="FFFFFF"/>
              </w:rPr>
            </w:r>
            <w:r>
              <w:rPr>
                <w:b/>
                <w:color w:val="FFFFFF"/>
              </w:rPr>
              <w:t>ОНТОЛОГИЯ</w:t>
            </w:r>
          </w:p>
        </w:tc>
        <w:tc>
          <w:tcPr>
            <w:tcW w:type="dxa" w:w="4876"/>
            <w:vAlign w:val="center"/>
            <w:shd w:fill="F4F7FA"/>
            <w:tcMar>
              <w:top w:w="120" w:type="dxa"/>
              <w:start w:w="140" w:type="dxa"/>
              <w:bottom w:w="120" w:type="dxa"/>
              <w:end w:w="140" w:type="dxa"/>
            </w:tcMar>
          </w:tcPr>
          <w:p>
            <w:pPr>
              <w:spacing w:after="0"/>
            </w:pPr>
            <w:r/>
            <w:r>
              <w:t>Глобальный объект модулей в общем случае является не множеством решений, а группоидом, стеком или derived-объектом, сохраняющим автоморфизмы, несовершенную трансверсальность и направления препятствий.</w:t>
            </w:r>
          </w:p>
        </w:tc>
      </w:tr>
      <w:tr>
        <w:tc>
          <w:tcPr>
            <w:tcW w:type="dxa" w:w="4876"/>
            <w:vAlign w:val="center"/>
            <w:shd w:fill="2F65A0"/>
            <w:tcMar>
              <w:top w:w="120" w:type="dxa"/>
              <w:start w:w="140" w:type="dxa"/>
              <w:bottom w:w="120" w:type="dxa"/>
              <w:end w:w="140" w:type="dxa"/>
            </w:tcMar>
          </w:tcPr>
          <w:p>
            <w:pPr>
              <w:spacing w:after="0"/>
              <w:jc w:val="center"/>
            </w:pPr>
            <w:r>
              <w:rPr>
                <w:b/>
                <w:color w:val="FFFFFF"/>
              </w:rPr>
            </w:r>
            <w:r>
              <w:rPr>
                <w:b/>
                <w:color w:val="FFFFFF"/>
              </w:rPr>
              <w:t>ГНОСЕОЛОГИЯ</w:t>
            </w:r>
          </w:p>
        </w:tc>
        <w:tc>
          <w:tcPr>
            <w:tcW w:type="dxa" w:w="4876"/>
            <w:vAlign w:val="center"/>
            <w:shd w:fill="F4F7FA"/>
            <w:tcMar>
              <w:top w:w="120" w:type="dxa"/>
              <w:start w:w="140" w:type="dxa"/>
              <w:bottom w:w="120" w:type="dxa"/>
              <w:end w:w="140" w:type="dxa"/>
            </w:tcMar>
          </w:tcPr>
          <w:p>
            <w:pPr>
              <w:spacing w:after="0"/>
            </w:pPr>
            <w:r/>
            <w:r>
              <w:t>Локальная карта Кураниши является представлением знания, но не самим глобальным объектом. Достоверность глобального вывода требует склейки, тройной и высшей когерентности, а также независимости от выбранного атласа.</w:t>
            </w:r>
          </w:p>
        </w:tc>
      </w:tr>
      <w:tr>
        <w:tc>
          <w:tcPr>
            <w:tcW w:type="dxa" w:w="4876"/>
            <w:vAlign w:val="center"/>
            <w:shd w:fill="A67217"/>
            <w:tcMar>
              <w:top w:w="120" w:type="dxa"/>
              <w:start w:w="140" w:type="dxa"/>
              <w:bottom w:w="120" w:type="dxa"/>
              <w:end w:w="140" w:type="dxa"/>
            </w:tcMar>
          </w:tcPr>
          <w:p>
            <w:pPr>
              <w:spacing w:after="0"/>
              <w:jc w:val="center"/>
            </w:pPr>
            <w:r>
              <w:rPr>
                <w:b/>
                <w:color w:val="FFFFFF"/>
              </w:rPr>
            </w:r>
            <w:r>
              <w:rPr>
                <w:b/>
                <w:color w:val="FFFFFF"/>
              </w:rPr>
              <w:t>ФЕНОМЕНОЛОГИЯ</w:t>
            </w:r>
          </w:p>
        </w:tc>
        <w:tc>
          <w:tcPr>
            <w:tcW w:type="dxa" w:w="4876"/>
            <w:vAlign w:val="center"/>
            <w:shd w:fill="F4F7FA"/>
            <w:tcMar>
              <w:top w:w="120" w:type="dxa"/>
              <w:start w:w="140" w:type="dxa"/>
              <w:bottom w:w="120" w:type="dxa"/>
              <w:end w:w="140" w:type="dxa"/>
            </w:tcMar>
          </w:tcPr>
          <w:p>
            <w:pPr>
              <w:spacing w:after="0"/>
            </w:pPr>
            <w:r/>
            <w:r>
              <w:t>Наблюдаемая ветвь является локальным проявлением moduli carrier. При обходе дискриминанта её метка может измениться посредством монодромии, хотя сам глобальный stack остаётся тем же.</w:t>
            </w:r>
          </w:p>
        </w:tc>
      </w:tr>
      <w:tr>
        <w:tc>
          <w:tcPr>
            <w:tcW w:type="dxa" w:w="4876"/>
            <w:vAlign w:val="center"/>
            <w:shd w:fill="A43636"/>
            <w:tcMar>
              <w:top w:w="120" w:type="dxa"/>
              <w:start w:w="140" w:type="dxa"/>
              <w:bottom w:w="120" w:type="dxa"/>
              <w:end w:w="140" w:type="dxa"/>
            </w:tcMar>
          </w:tcPr>
          <w:p>
            <w:pPr>
              <w:spacing w:after="0"/>
              <w:jc w:val="center"/>
            </w:pPr>
            <w:r>
              <w:rPr>
                <w:b/>
                <w:color w:val="FFFFFF"/>
              </w:rPr>
            </w:r>
            <w:r>
              <w:rPr>
                <w:b/>
                <w:color w:val="FFFFFF"/>
              </w:rPr>
              <w:t>ГРАНИЦА</w:t>
            </w:r>
          </w:p>
        </w:tc>
        <w:tc>
          <w:tcPr>
            <w:tcW w:type="dxa" w:w="4876"/>
            <w:vAlign w:val="center"/>
            <w:shd w:fill="F4F7FA"/>
            <w:tcMar>
              <w:top w:w="120" w:type="dxa"/>
              <w:start w:w="140" w:type="dxa"/>
              <w:bottom w:w="120" w:type="dxa"/>
              <w:end w:w="140" w:type="dxa"/>
            </w:tcMar>
          </w:tcPr>
          <w:p>
            <w:pPr>
              <w:spacing w:after="0"/>
            </w:pPr>
            <w:r/>
            <w:r>
              <w:t>Derived-структура, perfect obstruction theory и virtual class являются математическими носителями. Они не задают физическое время, вероятность события, причинность или экспериментальное подтверждение.</w:t>
            </w:r>
          </w:p>
        </w:tc>
      </w:tr>
    </w:tbl>
    <w:p>
      <w:pPr>
        <w:pStyle w:val="Heading1"/>
        <w:keepNext/>
      </w:pPr>
      <w:r>
        <w:t>194. Три уровня глобального пространства модулей</w:t>
      </w:r>
    </w:p>
    <w:p>
      <w:pPr/>
      <w:r>
        <w:t>Для одной и той же задачи необходимо различать три уровня. Coarse moduli space |𝔐| хранит классы изоморфизма как точки, но обычно забывает стабилизаторы и высшие морфизмы. Stack 𝔐 сохраняет объекты, изоморфизмы и descent. Derived stack 𝔐ᵈᵉʳ дополнительно сохраняет не transverse-пересечения, cotangent complex и высшие obstruction directions.</w:t>
      </w:r>
    </w:p>
    <w:p>
      <w:pPr>
        <w:pStyle w:val="Quote"/>
        <w:jc w:val="center"/>
      </w:pPr>
      <w:r>
        <w:rPr>
          <w:rFonts w:ascii="Cambria Math" w:hAnsi="Cambria Math"/>
          <w:sz w:val="21"/>
        </w:rPr>
        <w:t>|𝔐|  ←  𝔐  ←  𝔐ᵈᵉʳ.                                                     (18.1)</w:t>
      </w:r>
    </w:p>
    <w:p>
      <w:pPr/>
      <w:r>
        <w:t>Отображения в (18.1) являются забывающими. Восстановление справа налево в общем случае невозможно: одинаковый coarse space может соответствовать различным стабилизаторам и различным derived enhancements.</w:t>
      </w:r>
    </w:p>
    <w:p>
      <w:pPr/>
      <w:r>
        <w:t>Определение 18.1. Глобальным NAPG-moduli object называется stacky/derived-объект 𝔐_N вместе с атласом, виртуальным касательным комплексом и структурами D/Dom, удовлетворяющими условиям разделов 195-205. До их проверки термин «глобальное пространство модулей» используется только как рабочее обозначение.</w:t>
      </w:r>
    </w:p>
    <w:p>
      <w:pPr>
        <w:pStyle w:val="Heading1"/>
        <w:keepNext/>
      </w:pPr>
      <w:r>
        <w:t>195. Локальные карты Кураниши и footprints</w:t>
      </w:r>
    </w:p>
    <w:p>
      <w:pPr/>
      <w:r>
        <w:t>Локальная карта задаётся пятёркой</w:t>
      </w:r>
    </w:p>
    <w:p>
      <w:pPr>
        <w:pStyle w:val="Quote"/>
        <w:jc w:val="center"/>
      </w:pPr>
      <w:r>
        <w:rPr>
          <w:rFonts w:ascii="Cambria Math" w:hAnsi="Cambria Math"/>
          <w:sz w:val="21"/>
        </w:rPr>
        <w:t>𝒦ᵢ=(Uᵢ,Eᵢ,sᵢ,Gᵢ,ψᵢ),                                              (18.2)</w:t>
      </w:r>
    </w:p>
    <w:p>
      <w:pPr/>
      <w:r>
        <w:t>где Uᵢ - гладкое конечномерное пространство или орбифолдная карта; Eᵢ→Uᵢ - obstruction bundle; sᵢ - секция; Gᵢ - конечная или Lie-группа допустимых симметрий; ψᵢ:sᵢ⁻¹(0)/Gᵢ→Fᵢ⊂|𝔐| - homeomorphism на footprint. В NAPG-карте дополнительно фиксируются допустимая частичная операция, структурные данные 𝔊, Reper-слой и Evidence-D.</w:t>
      </w:r>
    </w:p>
    <w:p>
      <w:pPr>
        <w:pStyle w:val="Quote"/>
        <w:jc w:val="center"/>
      </w:pPr>
      <w:r>
        <w:rPr>
          <w:rFonts w:ascii="Cambria Math" w:hAnsi="Cambria Math"/>
          <w:sz w:val="21"/>
        </w:rPr>
        <w:t>vdim(𝒦ᵢ)=dim Uᵢ-rank Eᵢ-dim Gᵢ                           (18.3)</w:t>
      </w:r>
    </w:p>
    <w:p>
      <w:pPr/>
      <w:r>
        <w:t>в регулярном локальном секторе. Формула (18.3) является Euler characteristic виртуального tangent complex, но не утверждает гладкость нулевого локуса.</w:t>
      </w:r>
    </w:p>
    <w:p>
      <w:pPr>
        <w:pStyle w:val="Heading1"/>
        <w:keepNext/>
      </w:pPr>
      <w:r>
        <w:t>196. Coordinate changes и слабая 2-когерентность</w:t>
      </w:r>
    </w:p>
    <w:p>
      <w:pPr/>
      <w:r>
        <w:t>На overlap Fᵢⱼ требуется coordinate change Φᵢⱼ, включающий базовое отображение φᵢⱼ, отображение obstruction bundles ĥφᵢⱼ, гомоморфизм стабилизаторов и совместимость секций:</w:t>
      </w:r>
    </w:p>
    <w:p>
      <w:pPr>
        <w:pStyle w:val="Quote"/>
        <w:jc w:val="center"/>
      </w:pPr>
      <w:r>
        <w:rPr>
          <w:rFonts w:ascii="Cambria Math" w:hAnsi="Cambria Math"/>
          <w:sz w:val="21"/>
        </w:rPr>
        <w:t>sⱼ∘φᵢⱼ = ĥφᵢⱼ∘sᵢ.                                             (18.4)</w:t>
      </w:r>
    </w:p>
    <w:p>
      <w:pPr/>
      <w:r>
        <w:t>На тройном overlap обычного равенства карт обычно слишком много. Требуется 2-изоморфизм</w:t>
      </w:r>
    </w:p>
    <w:p>
      <w:pPr>
        <w:pStyle w:val="Quote"/>
        <w:jc w:val="center"/>
      </w:pPr>
      <w:r>
        <w:rPr>
          <w:rFonts w:ascii="Cambria Math" w:hAnsi="Cambria Math"/>
          <w:sz w:val="21"/>
        </w:rPr>
        <w:t>αᵢⱼₖ: Φⱼₖ∘Φᵢⱼ ⇒ Φᵢₖ,                                           (18.5)</w:t>
      </w:r>
    </w:p>
    <w:p>
      <w:pPr/>
      <w:r>
        <w:t>а на четверных overlap - pentagon/coherence condition для α. Пара попарно согласованных карт без (18.5) и высшей когерентности не задаёт глобальный stack.</w:t>
      </w:r>
    </w:p>
    <w:p>
      <w:pPr>
        <w:jc w:val="center"/>
      </w:pPr>
      <w:r>
        <w:drawing>
          <wp:inline xmlns:a="http://schemas.openxmlformats.org/drawingml/2006/main" xmlns:pic="http://schemas.openxmlformats.org/drawingml/2006/picture">
            <wp:extent cx="6080760" cy="3547110"/>
            <wp:docPr id="46" name="Picture 46" descr="Рисунок 18.1. Homotopy-coherent descent локальных карт Кураниши к глобальному derived/stacky-носителю. Собственная схема Тома II." title="Рисунок 18.1. Homotopy-coherent descent локальных карт Кураниши к глобальному derived/stacky-носителю. Собственная схема Тома II."/>
            <wp:cNvGraphicFramePr>
              <a:graphicFrameLocks noChangeAspect="1"/>
            </wp:cNvGraphicFramePr>
            <a:graphic>
              <a:graphicData uri="http://schemas.openxmlformats.org/drawingml/2006/picture">
                <pic:pic>
                  <pic:nvPicPr>
                    <pic:cNvPr id="0" name="fig18_1.png"/>
                    <pic:cNvPicPr/>
                  </pic:nvPicPr>
                  <pic:blipFill>
                    <a:blip r:embed="rId74"/>
                    <a:stretch>
                      <a:fillRect/>
                    </a:stretch>
                  </pic:blipFill>
                  <pic:spPr>
                    <a:xfrm>
                      <a:off x="0" y="0"/>
                      <a:ext cx="6080760" cy="3547110"/>
                    </a:xfrm>
                    <a:prstGeom prst="rect"/>
                  </pic:spPr>
                </pic:pic>
              </a:graphicData>
            </a:graphic>
          </wp:inline>
        </w:drawing>
      </w:r>
    </w:p>
    <w:p>
      <w:pPr>
        <w:pStyle w:val="Caption"/>
        <w:keepNext/>
        <w:jc w:val="center"/>
      </w:pPr>
      <w:r>
        <w:t>Рисунок 18.1. Homotopy-coherent descent локальных карт Кураниши к глобальному derived/stacky-носителю. Собственная схема Тома II.</w:t>
      </w:r>
    </w:p>
    <w:p>
      <w:pPr>
        <w:pStyle w:val="Heading1"/>
        <w:keepNext/>
      </w:pPr>
      <w:r>
        <w:t>197. Čech nerve и effective descent</w:t>
      </w:r>
    </w:p>
    <w:p>
      <w:pPr/>
      <w:r>
        <w:t>Пусть U₀=⨿ᵢUᵢ, а U_• - Čech nerve атласа. Глобальность формулируется как эквивалентность объекта с totalization косимплициальной диаграммы:</w:t>
      </w:r>
    </w:p>
    <w:p>
      <w:pPr>
        <w:pStyle w:val="Quote"/>
        <w:jc w:val="center"/>
      </w:pPr>
      <w:r>
        <w:rPr>
          <w:rFonts w:ascii="Cambria Math" w:hAnsi="Cambria Math"/>
          <w:sz w:val="21"/>
        </w:rPr>
        <w:t>𝔐(U)  ≃  Tot(𝔐(U_•)).                                            (18.6)</w:t>
      </w:r>
    </w:p>
    <w:p>
      <w:pPr/>
      <w:r>
        <w:t>Условие (18.6) включает существование локальных объектов, equivalences на двойных overlap, 2-morphisms на тройных overlap и все higher coherences. В 1-категориальном секторе оно редуцируется к обычному cocycle gluing; в stacky/derived-секторе требуется homotopy-coherent descent.</w:t>
      </w:r>
    </w:p>
    <w:p>
      <w:pPr/>
      <w:r>
        <w:t>Теорема 18.2 (Descent no-shortcut). [THM в выбранной 2-категории] Если данные ограничены только объектами на Uᵢ и эквивалентностями на Uᵢⱼ, но тройная когерентность не задана, то из них не следует существование глобального объекта. Доказательство: obstruction to descent находится именно в несогласованности композиций на Uᵢⱼₖ; без её тривиализации totalization не определён.</w:t>
      </w:r>
    </w:p>
    <w:p>
      <w:pPr>
        <w:pStyle w:val="Heading1"/>
        <w:keepNext/>
      </w:pPr>
      <w:r>
        <w:t>198. Виртуальный касательный комплекс</w:t>
      </w:r>
    </w:p>
    <w:p>
      <w:pPr/>
      <w:r>
        <w:t>В точке x локальной quotient/Kuranishi-карты естественно возникает трёхчленный комплекс</w:t>
      </w:r>
    </w:p>
    <w:p>
      <w:pPr>
        <w:pStyle w:val="Quote"/>
        <w:jc w:val="center"/>
      </w:pPr>
      <w:r>
        <w:rPr>
          <w:rFonts w:ascii="Cambria Math" w:hAnsi="Cambria Math"/>
          <w:sz w:val="21"/>
        </w:rPr>
        <w:t>𝕋ₓᵛⁱʳ=[ 𝔤ₓ  →  TₓUᵢ  →  Eᵢ,ₓ ],                               (18.7)</w:t>
      </w:r>
    </w:p>
    <w:p>
      <w:pPr/>
      <w:r>
        <w:t>размещённый в степенях -1,0,+1. Его когомологии имеют строго различные роли:</w:t>
      </w:r>
    </w:p>
    <w:p>
      <w:pPr>
        <w:pStyle w:val="ListBullet"/>
      </w:pPr>
      <w:r>
        <w:t>H⁻¹(𝕋ₓᵛⁱʳ) - инфинитезимальные автоморфизмы и стабилизаторы;</w:t>
      </w:r>
    </w:p>
    <w:p>
      <w:pPr>
        <w:pStyle w:val="ListBullet"/>
      </w:pPr>
      <w:r>
        <w:t>H⁰(𝕋ₓᵛⁱʳ) - допустимые инфинитезимальные деформации по модулю gauge;</w:t>
      </w:r>
    </w:p>
    <w:p>
      <w:pPr>
        <w:pStyle w:val="ListBullet"/>
      </w:pPr>
      <w:r>
        <w:t>H¹(𝕋ₓᵛⁱʳ) - первичные obstruction directions.</w:t>
      </w:r>
    </w:p>
    <w:p>
      <w:pPr>
        <w:pStyle w:val="Quote"/>
        <w:jc w:val="center"/>
      </w:pPr>
      <w:r>
        <w:rPr>
          <w:rFonts w:ascii="Cambria Math" w:hAnsi="Cambria Math"/>
          <w:sz w:val="21"/>
        </w:rPr>
        <w:t>vdimₓ = -dim H⁻¹ + dim H⁰ - dim H¹.                         (18.8)</w:t>
      </w:r>
    </w:p>
    <w:p>
      <w:pPr/>
      <w:r>
        <w:t>Квазиизоморфные комплексы имеют одинаковые когомологии и Euler characteristic. Поэтому предсказательный профиль должен зависеть от quasi-isomorphism class, а не от выбранного числа локальных переменных и уравнений.</w:t>
      </w:r>
    </w:p>
    <w:p>
      <w:pPr>
        <w:jc w:val="center"/>
      </w:pPr>
      <w:r>
        <w:drawing>
          <wp:inline xmlns:a="http://schemas.openxmlformats.org/drawingml/2006/main" xmlns:pic="http://schemas.openxmlformats.org/drawingml/2006/picture">
            <wp:extent cx="6080760" cy="3547110"/>
            <wp:docPr id="47" name="Picture 47" descr="Рисунок 18.2. Трёхчленный виртуальный касательный комплекс: автоморфизмы, деформации и препятствия. Собственная схема Тома II." title="Рисунок 18.2. Трёхчленный виртуальный касательный комплекс: автоморфизмы, деформации и препятствия. Собственная схема Тома II."/>
            <wp:cNvGraphicFramePr>
              <a:graphicFrameLocks noChangeAspect="1"/>
            </wp:cNvGraphicFramePr>
            <a:graphic>
              <a:graphicData uri="http://schemas.openxmlformats.org/drawingml/2006/picture">
                <pic:pic>
                  <pic:nvPicPr>
                    <pic:cNvPr id="0" name="fig18_2.png"/>
                    <pic:cNvPicPr/>
                  </pic:nvPicPr>
                  <pic:blipFill>
                    <a:blip r:embed="rId75"/>
                    <a:stretch>
                      <a:fillRect/>
                    </a:stretch>
                  </pic:blipFill>
                  <pic:spPr>
                    <a:xfrm>
                      <a:off x="0" y="0"/>
                      <a:ext cx="6080760" cy="3547110"/>
                    </a:xfrm>
                    <a:prstGeom prst="rect"/>
                  </pic:spPr>
                </pic:pic>
              </a:graphicData>
            </a:graphic>
          </wp:inline>
        </w:drawing>
      </w:r>
    </w:p>
    <w:p>
      <w:pPr>
        <w:pStyle w:val="Caption"/>
        <w:keepNext/>
        <w:jc w:val="center"/>
      </w:pPr>
      <w:r>
        <w:t>Рисунок 18.2. Трёхчленный виртуальный касательный комплекс: автоморфизмы, деформации и препятствия. Собственная схема Тома II.</w:t>
      </w:r>
    </w:p>
    <w:p>
      <w:pPr>
        <w:pStyle w:val="Heading1"/>
        <w:keepNext/>
      </w:pPr>
      <w:r>
        <w:t>199. Perfect obstruction theory и intrinsic normal cone</w:t>
      </w:r>
    </w:p>
    <w:p>
      <w:pPr/>
      <w:r>
        <w:t>В Deligne-Mumford-подобном алгебро-геометрическом секторе perfect obstruction theory задаётся морфизмом</w:t>
      </w:r>
    </w:p>
    <w:p>
      <w:pPr>
        <w:pStyle w:val="Quote"/>
        <w:jc w:val="center"/>
      </w:pPr>
      <w:r>
        <w:rPr>
          <w:rFonts w:ascii="Cambria Math" w:hAnsi="Cambria Math"/>
          <w:sz w:val="21"/>
        </w:rPr>
        <w:t>φ:E•→L_𝔐,   E• perfect,   amp(E•)⊂[-1,0],                  (18.9)</w:t>
      </w:r>
    </w:p>
    <w:p>
      <w:pPr/>
      <w:r>
        <w:t>для которого h⁰(φ) является изоморфизмом, а h⁻¹(φ) - эпиморфизмом. Виртуальный tangent complex равен (E•)∨; obstruction sheaf задаётся h¹((E•)∨). Для общих Artin/stacky-задач амплитуда может включать степень -1 tangent automorphisms и требует более широкого комплекса.</w:t>
      </w:r>
    </w:p>
    <w:p>
      <w:pPr>
        <w:pStyle w:val="Quote"/>
        <w:jc w:val="center"/>
      </w:pPr>
      <w:r>
        <w:rPr>
          <w:rFonts w:ascii="Cambria Math" w:hAnsi="Cambria Math"/>
          <w:sz w:val="21"/>
        </w:rPr>
        <w:t>Ob_𝔐 = h¹((E•)∨),    𝔑_𝔐=h¹/h⁰(L_𝔐∨).                         (18.10)</w:t>
      </w:r>
    </w:p>
    <w:p>
      <w:pPr/>
      <w:r>
        <w:t>Intrinsic normal cone 𝔠_𝔐 вкладывается в соответствующий vector-bundle stack после выбора perfect obstruction theory. Этот аппарат позволяет строить virtual fundamental class при дополнительных properness/orientation гипотезах. В Томе II он используется как глобальный носитель препятствий, а не как свидетельство физической реализации.</w:t>
      </w:r>
    </w:p>
    <w:p>
      <w:pPr>
        <w:pStyle w:val="Heading1"/>
        <w:keepNext/>
      </w:pPr>
      <w:r>
        <w:t>200. Склейка локальных obstruction theories</w:t>
      </w:r>
    </w:p>
    <w:p>
      <w:pPr/>
      <w:r>
        <w:t>Пусть на Uᵢ заданы perfect complexes Eᵢ• и quasi-isomorphisms qᵢⱼ:Eᵢ•|Uᵢⱼ→Eⱼ•|Uᵢⱼ. На тройных overlap требуется гомотопия</w:t>
      </w:r>
    </w:p>
    <w:p>
      <w:pPr>
        <w:pStyle w:val="Quote"/>
        <w:jc w:val="center"/>
      </w:pPr>
      <w:r>
        <w:rPr>
          <w:rFonts w:ascii="Cambria Math" w:hAnsi="Cambria Math"/>
          <w:sz w:val="21"/>
        </w:rPr>
        <w:t>qⱼₖ∘qᵢⱼ  ≃  qᵢₖ,                                               (18.11)</w:t>
      </w:r>
    </w:p>
    <w:p>
      <w:pPr/>
      <w:r>
        <w:t>совместимая с higher coherences. В stable ∞-category perfect complexes удовлетворяют descent, но выбранные строгие модели не склеиваются одним равенством матриц.</w:t>
      </w:r>
    </w:p>
    <w:p>
      <w:pPr/>
      <w:r>
        <w:t>В центрально-абелевом секторе дефект строгой склейки можно записать как</w:t>
      </w:r>
    </w:p>
    <w:p>
      <w:pPr>
        <w:pStyle w:val="Quote"/>
        <w:jc w:val="center"/>
      </w:pPr>
      <w:r>
        <w:rPr>
          <w:rFonts w:ascii="Cambria Math" w:hAnsi="Cambria Math"/>
          <w:sz w:val="21"/>
        </w:rPr>
        <w:t>cᵢⱼₖ=qᵢₖ⁻¹ qⱼₖ qᵢⱼ ∈ Z,    [c]∈Čech H²(X,Z).                  (18.12)</w:t>
      </w:r>
    </w:p>
    <w:p>
      <w:pPr/>
      <w:r>
        <w:t>При указанных central-band гипотезах исчезновение [c] является условием strictification. В общем nonabelian/higher случае универсальный один класс H² не заявляется: корректным объектом остаётся homotopy totalization.</w:t>
      </w:r>
    </w:p>
    <w:p>
      <w:pPr>
        <w:pStyle w:val="Heading1"/>
        <w:keepNext/>
      </w:pPr>
      <w:r>
        <w:t>201. Детерминант, ориентация и виртуальная размерность</w:t>
      </w:r>
    </w:p>
    <w:p>
      <w:pPr>
        <w:pStyle w:val="Quote"/>
        <w:jc w:val="center"/>
      </w:pPr>
      <w:r>
        <w:rPr>
          <w:rFonts w:ascii="Cambria Math" w:hAnsi="Cambria Math"/>
          <w:sz w:val="21"/>
        </w:rPr>
        <w:t>det(𝕋ᵛⁱʳ)=⊗ⱼ(det Hʲ(𝕋ᵛⁱʳ))^{(-1)ʲ}.                         (18.13)</w:t>
      </w:r>
    </w:p>
    <w:p>
      <w:pPr/>
      <w:r>
        <w:t>Ориентация является дополнительной структурой на determinant line и необходима для знаковых virtual invariants. Равенство vdim=0 не означает отсутствие obstruction или stabilizer: вклады H⁻¹ и H¹ могут взаимно компенсироваться в Euler characteristic.</w:t>
      </w:r>
    </w:p>
    <w:p>
      <w:pPr/>
      <w:r>
        <w:t>Теорема 18.3 (Presentation invariance). [THM] Quasi-isomorphism виртуальных комплексов сохраняет их cohomology dimensions, Euler characteristic и determinant line up to canonical isomorphism. Следовательно, эти данные допустимы как инварианты moduli presentation при наличии согласованного descent.</w:t>
      </w:r>
    </w:p>
    <w:p>
      <w:pPr>
        <w:pStyle w:val="Heading1"/>
        <w:keepNext/>
      </w:pPr>
      <w:r>
        <w:t>202. Branch stack и монодромия</w:t>
      </w:r>
    </w:p>
    <w:p>
      <w:pPr/>
      <w:r>
        <w:t>В регулярном ветвящемся секторе локальные ветви собираются не обязательно в глобально пронумерованное множество, а в étale/covering stack 𝔅→P\Δ. Монодромия задаёт действие</w:t>
      </w:r>
    </w:p>
    <w:p>
      <w:pPr>
        <w:pStyle w:val="Quote"/>
        <w:jc w:val="center"/>
      </w:pPr>
      <w:r>
        <w:rPr>
          <w:rFonts w:ascii="Cambria Math" w:hAnsi="Cambria Math"/>
          <w:sz w:val="21"/>
        </w:rPr>
        <w:t>Mon:π₁(P\Δ,p₀)→Perm(𝔅_{p₀}).                                 (18.14)</w:t>
      </w:r>
    </w:p>
    <w:p>
      <w:pPr/>
      <w:r>
        <w:t>Нетривиальное действие запрещает глобальную маркировку ветвей. Stacky branch carrier хранит орбиты и stabilizers, тогда как coarse branch count их забывает. Это продолжает главу 17, но теперь branch ledger является частью глобального descent package.</w:t>
      </w:r>
    </w:p>
    <w:p>
      <w:pPr>
        <w:pStyle w:val="Heading1"/>
        <w:keepNext/>
      </w:pPr>
      <w:r>
        <w:t>203. Глобальный предсказательный носитель KLT-RBD</w:t>
      </w:r>
    </w:p>
    <w:p>
      <w:pPr/>
      <w:r>
        <w:t>Определение 18.4. Глобальный предсказательный носитель задаётся кортежем</w:t>
      </w:r>
    </w:p>
    <w:p>
      <w:pPr>
        <w:pStyle w:val="Quote"/>
        <w:jc w:val="center"/>
      </w:pPr>
      <w:r>
        <w:rPr>
          <w:rFonts w:ascii="Cambria Math" w:hAnsi="Cambria Math"/>
          <w:sz w:val="21"/>
        </w:rPr>
        <w:t>PredCar_N=(𝔐_Nᵈᵉʳ→P, 𝕋ᵛⁱʳ, Ob_N, 𝔠_N, 𝔅_N, Rep_N, λ_N, D_N, Dom_N, E_N). (18.15)</w:t>
      </w:r>
    </w:p>
    <w:p>
      <w:pPr/>
      <w:r>
        <w:t>Компоненты имеют следующие роли: 𝔐_Nᵈᵉʳ - глобальный moduli object; 𝕋ᵛⁱʳ - virtual tangent complex; Ob_N и 𝔠_N - obstruction sheaf/cone; 𝔅_N - branch stack; Rep_N - Reper atlas; λ_N - проективно-гармоническая координата; D_N - Evidence-D; Dom_N - admissible domain; E_N - внешний комплекс и мост Π_E.</w:t>
      </w:r>
    </w:p>
    <w:p>
      <w:pPr/>
      <w:r>
        <w:t>Существование PredCar_N разрешается только при десяти сертификатах: effective atlas descent; coordinate-change coherence; derived/perfect enhancement; perfectness и фиксированная amplitude; branch descent; Reper descent; Evidence-D descent; Dom compatibility; глобальная определённость λ вне полюсов; независимый воспроизводимый вычислительный пакет.</w:t>
      </w:r>
    </w:p>
    <w:p>
      <w:pPr>
        <w:pStyle w:val="Heading1"/>
        <w:keepNext/>
      </w:pPr>
      <w:r>
        <w:t>204. Local-to-global no-go theorem</w:t>
      </w:r>
    </w:p>
    <w:p>
      <w:pPr/>
      <w:r>
        <w:t>Теорема 18.5. [THM] Исчезновение всех локальных obstruction classes не влечёт существование глобального объекта. Пусть локальные объекты ξᵢ существуют и локально liftable, а на overlap выбраны equivalences gᵢⱼ. На тройном overlap возникает</w:t>
      </w:r>
    </w:p>
    <w:p>
      <w:pPr>
        <w:pStyle w:val="Quote"/>
        <w:jc w:val="center"/>
      </w:pPr>
      <w:r>
        <w:rPr>
          <w:rFonts w:ascii="Cambria Math" w:hAnsi="Cambria Math"/>
          <w:sz w:val="21"/>
        </w:rPr>
        <w:t>cᵢⱼₖ=gₖᵢ gⱼₖ gᵢⱼ.                                              (18.16)</w:t>
      </w:r>
    </w:p>
    <w:p>
      <w:pPr/>
      <w:r>
        <w:t>Если cᵢⱼₖ задаёт нетривиальный descent class или не допускает coherent trivialization, глобальный объект отсутствует, хотя все локальные Kuranishi residuals равны нулю. Следовательно:</w:t>
      </w:r>
    </w:p>
    <w:p>
      <w:pPr>
        <w:pStyle w:val="Quote"/>
        <w:jc w:val="center"/>
      </w:pPr>
      <w:r>
        <w:rPr>
          <w:rFonts w:ascii="Cambria Math" w:hAnsi="Cambria Math"/>
          <w:sz w:val="21"/>
        </w:rPr>
        <w:t>local lift + local obstruction=0  ⇏  global lift.                    (18.17)</w:t>
      </w:r>
    </w:p>
    <w:p>
      <w:pPr/>
      <w:r>
        <w:t>Это основной запрет главы: локальная разрешимость не является глобальным событием. Иначе атлас превращается в империю независимых районов, каждый из которых объявил себя всей планетой.</w:t>
      </w:r>
    </w:p>
    <w:p>
      <w:pPr>
        <w:pStyle w:val="Heading1"/>
        <w:keepNext/>
      </w:pPr>
      <w:r>
        <w:t>205. Coarse-moduli no-go theorem</w:t>
      </w:r>
    </w:p>
    <w:p>
      <w:pPr/>
      <w:r>
        <w:t>Теорема 18.6. [THM] Coarse moduli space не определяет stacky/derived moduli object. Например, quotient stack [A¹/μ₂] имеет coarse space A¹, но сохраняет нетривиальный stabilizer μ₂ в образе нуля; обычное A¹ имеет тот же coarse тип без такого stabilizer. Их virtual tangent profiles различаются.</w:t>
      </w:r>
    </w:p>
    <w:p>
      <w:pPr>
        <w:pStyle w:val="Quote"/>
        <w:jc w:val="center"/>
      </w:pPr>
      <w:r>
        <w:rPr>
          <w:rFonts w:ascii="Cambria Math" w:hAnsi="Cambria Math"/>
          <w:sz w:val="21"/>
        </w:rPr>
        <w:t>|𝔐₁|≅|𝔐₂|  ⇏  𝔐₁≃𝔐₂  и  ⇏  𝔐₁ᵈᵉʳ≃𝔐₂ᵈᵉʳ.                (18.18)</w:t>
      </w:r>
    </w:p>
    <w:p>
      <w:pPr>
        <w:pStyle w:val="Heading1"/>
        <w:keepNext/>
      </w:pPr>
      <w:r>
        <w:t>206. Глобальные невязки и условная численная реализация</w:t>
      </w:r>
    </w:p>
    <w:p>
      <w:pPr/>
      <w:r>
        <w:t>После выбора метрик, тривиализаций и uniform spectral gap вводятся три раздельные невязки:</w:t>
      </w:r>
    </w:p>
    <w:p>
      <w:pPr>
        <w:pStyle w:val="Quote"/>
        <w:jc w:val="center"/>
      </w:pPr>
      <w:r>
        <w:rPr>
          <w:rFonts w:ascii="Cambria Math" w:hAnsi="Cambria Math"/>
          <w:sz w:val="21"/>
        </w:rPr>
        <w:t>η_desc = ||defect of higher descent||,   η_ob = ||h(ob)||,   η_ext = ||Π_E(ob)||. (18.19)</w:t>
      </w:r>
    </w:p>
    <w:p>
      <w:pPr/>
      <w:r>
        <w:t>Их нельзя складывать без нормировки, потому что они живут в разных носителях. Для решения используется blocker vector, а не одно магическое число. Численная малость η_desc не заменяет точную 2-когерентность, если interval certificate не исключает ноль/неноль однозначно.</w:t>
      </w:r>
    </w:p>
    <w:p>
      <w:pPr>
        <w:pStyle w:val="Heading1"/>
        <w:keepNext/>
      </w:pPr>
      <w:r>
        <w:t>207. Глобальный переходный горизонт</w:t>
      </w:r>
    </w:p>
    <w:p>
      <w:pPr>
        <w:pStyle w:val="Quote"/>
        <w:jc w:val="center"/>
      </w:pPr>
      <w:r>
        <w:rPr>
          <w:rFonts w:ascii="Cambria Math" w:hAnsi="Cambria Math"/>
          <w:sz w:val="21"/>
        </w:rPr>
        <w:t>Δ_stack = Δ_desc ∪ Δ_coh ∪ Δ_perf ∪ Δ_amp ∪ Δ_vrank ∪ Δ_orient ∪ Δ_branch ∪ Δ_mon ∪ Δ_Rep ∪ Δ_D ∪ Δ_Dom ∪ Δ_ext ∪ Δ_ind. (18.20)</w:t>
      </w:r>
    </w:p>
    <w:p>
      <w:pPr>
        <w:pStyle w:val="Quote"/>
        <w:jc w:val="center"/>
      </w:pPr>
      <w:r>
        <w:rPr>
          <w:rFonts w:ascii="Cambria Math" w:hAnsi="Cambria Math"/>
          <w:sz w:val="21"/>
        </w:rPr>
        <w:t>Δ_safe^{v0.15}=Δ_safe^{v0.14}∪Δ_stack.                              (18.21)</w:t>
      </w:r>
    </w:p>
    <w:p>
      <w:pPr/>
      <w:r>
        <w:t>Здесь Δ_desc - отказ effective descent; Δ_coh - нарушение higher coherence; Δ_perf - потеря perfectness; Δ_amp - изменение Tor-amplitude; Δ_vrank - изменение virtual cohomology ranks; Δ_orient - потеря orientation data; Δ_branch и Δ_mon - ветвление и монодромия; остальные компоненты фиксируют Reper, D/Dom, внешний E-мост и независимость проверки.</w:t>
      </w:r>
    </w:p>
    <w:p>
      <w:pPr>
        <w:pStyle w:val="Heading1"/>
        <w:keepNext/>
      </w:pPr>
      <w:r>
        <w:t>208. Глобальный структурный профиль</w:t>
      </w:r>
    </w:p>
    <w:p>
      <w:pPr>
        <w:pStyle w:val="Quote"/>
        <w:jc w:val="center"/>
      </w:pPr>
      <w:r>
        <w:rPr>
          <w:rFonts w:ascii="Cambria Math" w:hAnsi="Cambria Math"/>
          <w:sz w:val="21"/>
        </w:rPr>
        <w:t>P_stack(p)=([amp 𝕋ᵛⁱʳ], h⁻¹,h⁰,h¹, vdim, [det], [desc], MonOrb, η_ob, η_ext, λ, CGI). (18.22)</w:t>
      </w:r>
    </w:p>
    <w:p>
      <w:pPr/>
      <w:r>
        <w:t>Профиль сравнивается только после transport между fibres и идентификации ветвей. Сырые координаты Kuranishi charts, число локальных уравнений и имена ветвей не являются глобальными инвариантами.</w:t>
      </w:r>
    </w:p>
    <w:p>
      <w:pPr>
        <w:pStyle w:val="Heading1"/>
        <w:keepNext/>
      </w:pPr>
      <w:r>
        <w:t>209. Главная условная теорема T2-RP-v0.15</w:t>
      </w:r>
    </w:p>
    <w:p>
      <w:pPr/>
      <w:r>
        <w:t>Теорема 18.7 (Global-stack-safe predictive theorem). [COND] Пусть над связной камерой U параметрического пространства выполнены условия:</w:t>
      </w:r>
    </w:p>
    <w:p>
      <w:pPr/>
      <w:r>
        <w:t>1. задан proper или контролируемо локально тривиальный stacky/derived family 𝔐ᵈᵉʳ→U;</w:t>
      </w:r>
    </w:p>
    <w:p>
      <w:pPr/>
      <w:r>
        <w:t>2. локальные Kuranishi charts образуют effective homotopy-coherent descent datum;</w:t>
      </w:r>
    </w:p>
    <w:p>
      <w:pPr/>
      <w:r>
        <w:t>3. виртуальные tangent complexes perfect и связаны quasi-isomorphisms постоянной amplitude;</w:t>
      </w:r>
    </w:p>
    <w:p>
      <w:pPr/>
      <w:r>
        <w:t>4. cohomology ranks, determinant/orientation class и branch monodromy orbit сертифицированы;</w:t>
      </w:r>
    </w:p>
    <w:p>
      <w:pPr/>
      <w:r>
        <w:t>5. Reper atlas, λ, Evidence-D, Dom и внешний E-мост спускаются и совместимы;</w:t>
      </w:r>
    </w:p>
    <w:p>
      <w:pPr/>
      <w:r>
        <w:t>6. предыдущие Hodge-Green, Kuranishi, wall-crossing и globalization blockers закрыты;</w:t>
      </w:r>
    </w:p>
    <w:p>
      <w:pPr/>
      <w:r>
        <w:t>7. путь γ⊂U не пересекает Δ_safe^{v0.15};</w:t>
      </w:r>
    </w:p>
    <w:p>
      <w:pPr/>
      <w:r>
        <w:t>8. для запрещающего вывода существует uniform positive residual margin соответствующего obstruction class.</w:t>
      </w:r>
    </w:p>
    <w:p>
      <w:pPr/>
      <w:r>
        <w:t>Тогда глобальный профиль P_stack постоянен вдоль γ с точностью до доказанного transport, и переход, требующий изменения этого профиля или исчезновения uniformly nonzero global obstruction, невозможен внутри заявленной модели.</w:t>
      </w:r>
    </w:p>
    <w:p>
      <w:pPr>
        <w:pStyle w:val="Quote"/>
        <w:jc w:val="center"/>
      </w:pPr>
      <w:r>
        <w:rPr>
          <w:rFonts w:ascii="Cambria Math" w:hAnsi="Cambria Math"/>
          <w:sz w:val="21"/>
        </w:rPr>
        <w:t>γ∩Δ_safe^{v0.15}=∅  ⇒  NO-GLOBAL-TRANSITION-IN-MODEL.             (18.23)</w:t>
      </w:r>
    </w:p>
    <w:p>
      <w:pPr/>
      <w:r>
        <w:t>Если γ пересекает Δ_stack либо глобальная obstruction residual допускает ноль, система возвращает только CANDIDATE-GLOBAL-TRANSITION. Положительный вывод требует существования post-transition global object, branch matching и независимой проверки.</w:t>
      </w:r>
    </w:p>
    <w:p>
      <w:pPr>
        <w:pStyle w:val="Heading1"/>
        <w:keepNext/>
      </w:pPr>
      <w:r>
        <w:t>210. Blocker-safe вердикт</w:t>
      </w:r>
    </w:p>
    <w:p>
      <w:pPr>
        <w:pStyle w:val="Quote"/>
        <w:jc w:val="center"/>
      </w:pPr>
      <w:r>
        <w:rPr>
          <w:rFonts w:ascii="Cambria Math" w:hAnsi="Cambria Math"/>
          <w:sz w:val="21"/>
        </w:rPr>
        <w:t>Block_stack=B_atlas∪B_2coc∪B_eff∪B_perf∪B_amp∪B_vtan∪B_branch∪B_Rep∪B_D∪B_Dom∪B_E∪B_ind. (18.24)</w:t>
      </w:r>
    </w:p>
    <w:p>
      <w:pPr/>
      <w:r>
        <w:t>Допустимы ровно три результата: NO-GLOBAL-TRANSITION-IN-MODEL; CANDIDATE-GLOBAL-TRANSITION; ABSTAIN. Наличие локального zero-locus при ненулевом Block_stack всегда приводит к ABSTAIN.</w:t>
      </w:r>
    </w:p>
    <w:p>
      <w:pPr>
        <w:jc w:val="center"/>
      </w:pPr>
      <w:r>
        <w:drawing>
          <wp:inline xmlns:a="http://schemas.openxmlformats.org/drawingml/2006/main" xmlns:pic="http://schemas.openxmlformats.org/drawingml/2006/picture">
            <wp:extent cx="6080760" cy="3716020"/>
            <wp:docPr id="48" name="Picture 48" descr="Рисунок 18.3. Глобальный predictive carrier и blocker-safe трёхзначный вердикт. Собственная схема Тома II." title="Рисунок 18.3. Глобальный predictive carrier и blocker-safe трёхзначный вердикт. Собственная схема Тома II."/>
            <wp:cNvGraphicFramePr>
              <a:graphicFrameLocks noChangeAspect="1"/>
            </wp:cNvGraphicFramePr>
            <a:graphic>
              <a:graphicData uri="http://schemas.openxmlformats.org/drawingml/2006/picture">
                <pic:pic>
                  <pic:nvPicPr>
                    <pic:cNvPr id="0" name="fig18_3.png"/>
                    <pic:cNvPicPr/>
                  </pic:nvPicPr>
                  <pic:blipFill>
                    <a:blip r:embed="rId76"/>
                    <a:stretch>
                      <a:fillRect/>
                    </a:stretch>
                  </pic:blipFill>
                  <pic:spPr>
                    <a:xfrm>
                      <a:off x="0" y="0"/>
                      <a:ext cx="6080760" cy="3716020"/>
                    </a:xfrm>
                    <a:prstGeom prst="rect"/>
                  </pic:spPr>
                </pic:pic>
              </a:graphicData>
            </a:graphic>
          </wp:inline>
        </w:drawing>
      </w:r>
    </w:p>
    <w:p>
      <w:pPr>
        <w:pStyle w:val="Caption"/>
        <w:keepNext/>
        <w:jc w:val="center"/>
      </w:pPr>
      <w:r>
        <w:t>Рисунок 18.3. Глобальный predictive carrier и blocker-safe трёхзначный вердикт. Собственная схема Тома II.</w:t>
      </w:r>
    </w:p>
    <w:p>
      <w:pPr>
        <w:pStyle w:val="Heading1"/>
        <w:keepNext/>
      </w:pPr>
      <w:r>
        <w:t>211. Контрпримеры и разделяющие модели</w:t>
      </w:r>
    </w:p>
    <w:p>
      <w:pPr>
        <w:pStyle w:val="ListBullet"/>
      </w:pPr>
      <w:r>
        <w:t>Локальные нулевые Kuranishi maps при нетривиальном gerbe/descent class: локальные решения есть, глобального объекта нет.</w:t>
      </w:r>
    </w:p>
    <w:p>
      <w:pPr>
        <w:pStyle w:val="ListBullet"/>
      </w:pPr>
      <w:r>
        <w:t>Одинаковый coarse space при различных stabilizers: stacky тип различается.</w:t>
      </w:r>
    </w:p>
    <w:p>
      <w:pPr>
        <w:pStyle w:val="ListBullet"/>
      </w:pPr>
      <w:r>
        <w:t>Одинаковая virtual dimension при различных H⁻¹ и H¹: cancellation скрывает автоморфизмы и obstruction directions.</w:t>
      </w:r>
    </w:p>
    <w:p>
      <w:pPr>
        <w:pStyle w:val="ListBullet"/>
      </w:pPr>
      <w:r>
        <w:t>Perfect complexes одной Euler characteristic, но не quasi-isomorphic: предсказательный tangent type различается.</w:t>
      </w:r>
    </w:p>
    <w:p>
      <w:pPr>
        <w:pStyle w:val="ListBullet"/>
      </w:pPr>
      <w:r>
        <w:t>Склеенный stack без склеенного Evidence-D: математический объект существует, авторизованный Reper-кандидат отсутствует.</w:t>
      </w:r>
    </w:p>
    <w:p>
      <w:pPr>
        <w:pStyle w:val="ListBullet"/>
      </w:pPr>
      <w:r>
        <w:t>Глобальный λ=-1 при невалидном Dom: harmonic selector определён формально, но prediction gate закрыт.</w:t>
      </w:r>
    </w:p>
    <w:p>
      <w:pPr>
        <w:pStyle w:val="ListBullet"/>
      </w:pPr>
      <w:r>
        <w:t>Нетривиальный virtual class без временной динамики: enumerative invariant не является событием.</w:t>
      </w:r>
    </w:p>
    <w:p>
      <w:pPr>
        <w:pStyle w:val="ListBullet"/>
      </w:pPr>
      <w:r>
        <w:t>Численно малый descent defect без интервального сертификата: нельзя отличить ноль от плохо обусловленного ненуля.</w:t>
      </w:r>
    </w:p>
    <w:p>
      <w:pPr>
        <w:pStyle w:val="Heading1"/>
        <w:keepNext/>
      </w:pPr>
      <w:r>
        <w:t>212. Вычислительный сертификат STACK-GLOB v0.15</w:t>
      </w:r>
    </w:p>
    <w:p>
      <w:pPr>
        <w:pStyle w:val="ListBullet"/>
      </w:pPr>
      <w:r>
        <w:t>STACK-01 atlas inventory; STACK-02 footprint cover; STACK-03 coordinate-change typing; STACK-04 pairwise compatibility;</w:t>
      </w:r>
    </w:p>
    <w:p>
      <w:pPr>
        <w:pStyle w:val="ListBullet"/>
      </w:pPr>
      <w:r>
        <w:t>STACK-05 triple 2-cocycle; STACK-06 quadruple coherence; STACK-07 stabilizer groups; STACK-08 Morita/equivalence checks;</w:t>
      </w:r>
    </w:p>
    <w:p>
      <w:pPr>
        <w:pStyle w:val="ListBullet"/>
      </w:pPr>
      <w:r>
        <w:t>STACK-09 Čech nerve; STACK-10 totalization/effective descent; STACK-11 local tangent complexes; STACK-12 quasi-isomorphisms;</w:t>
      </w:r>
    </w:p>
    <w:p>
      <w:pPr>
        <w:pStyle w:val="ListBullet"/>
      </w:pPr>
      <w:r>
        <w:t>STACK-13 amplitude; STACK-14 cohomology ranks; STACK-15 virtual dimension; STACK-16 determinant/orientation;</w:t>
      </w:r>
    </w:p>
    <w:p>
      <w:pPr>
        <w:pStyle w:val="ListBullet"/>
      </w:pPr>
      <w:r>
        <w:t>STACK-17 local obstruction sections; STACK-18 global obstruction sheaf/cone; STACK-19 branch stack; STACK-20 monodromy;</w:t>
      </w:r>
    </w:p>
    <w:p>
      <w:pPr>
        <w:pStyle w:val="ListBullet"/>
      </w:pPr>
      <w:r>
        <w:t>STACK-21 Reper descent; STACK-22 Evidence-D descent; STACK-23 Dom descent; STACK-24 λ invariance and pole checks;</w:t>
      </w:r>
    </w:p>
    <w:p>
      <w:pPr>
        <w:pStyle w:val="ListBullet"/>
      </w:pPr>
      <w:r>
        <w:t>STACK-25 external E/Π_E compatibility; STACK-26 global horizon; STACK-27 blocker-safe verdict; STACK-28 code/data/environment hashes.</w:t>
      </w:r>
    </w:p>
    <w:p>
      <w:pPr>
        <w:pStyle w:val="Heading2"/>
        <w:keepNext/>
      </w:pPr>
      <w:r>
        <w:t>Псевдокод</w:t>
      </w:r>
    </w:p>
    <w:p>
      <w:pPr>
        <w:pStyle w:val="Quote"/>
        <w:jc w:val="center"/>
      </w:pPr>
      <w:r>
        <w:rPr>
          <w:rFonts w:ascii="Cambria Math" w:hAnsi="Cambria Math"/>
          <w:sz w:val="21"/>
        </w:rPr>
        <w:t>INPUT local charts 𝒦ᵢ, coordinate changes Φᵢⱼ, 2-morphisms αᵢⱼₖ, virtual complexes, path γ, Reper/D/Dom/E data</w:t>
        <w:br/>
        <w:t>CHECK footprints; verify pairwise maps; verify triple and quadruple coherence</w:t>
        <w:br/>
        <w:t>BUILD Čech nerve and test effective descent</w:t>
        <w:br/>
        <w:t>GLUE virtual complexes up to quasi-isomorphism; compute H⁻¹,H⁰,H¹, vdim, determinant</w:t>
        <w:br/>
        <w:t>BUILD branch stack and monodromy; descend Reper, D, Dom and λ</w:t>
        <w:br/>
        <w:t>COMPUTE Δ_stack and residual margins</w:t>
        <w:br/>
        <w:t>IF blockers≠∅: ABSTAIN</w:t>
        <w:br/>
        <w:t>ELSE IF γ∩Δ_safe=∅ and residual≥ε: NO-GLOBAL-TRANSITION-IN-MODEL</w:t>
        <w:br/>
        <w:t>ELSE: CANDIDATE-GLOBAL-TRANSITION</w:t>
      </w:r>
    </w:p>
    <w:p>
      <w:pPr>
        <w:pStyle w:val="Heading1"/>
        <w:keepNext/>
      </w:pPr>
      <w:r>
        <w:t>213. Доказательные обязательства T2-PO-223-T2-PO-252</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2438"/>
            <w:vAlign w:val="center"/>
            <w:shd w:fill="173D67"/>
          </w:tcPr>
          <w:p>
            <w:pPr>
              <w:spacing w:after="0"/>
            </w:pPr>
            <w:r>
              <w:rPr>
                <w:b/>
                <w:color w:val="FFFFFF"/>
              </w:rPr>
            </w:r>
            <w:r>
              <w:rPr>
                <w:b/>
                <w:color w:val="FFFFFF"/>
              </w:rPr>
              <w:t>PO</w:t>
            </w:r>
          </w:p>
        </w:tc>
        <w:tc>
          <w:tcPr>
            <w:tcW w:type="dxa" w:w="2438"/>
            <w:vAlign w:val="center"/>
            <w:shd w:fill="173D67"/>
          </w:tcPr>
          <w:p>
            <w:pPr>
              <w:spacing w:after="0"/>
            </w:pPr>
            <w:r>
              <w:rPr>
                <w:b/>
                <w:color w:val="FFFFFF"/>
              </w:rPr>
            </w:r>
            <w:r>
              <w:rPr>
                <w:b/>
                <w:color w:val="FFFFFF"/>
              </w:rPr>
              <w:t>Обязательство</w:t>
            </w:r>
          </w:p>
        </w:tc>
        <w:tc>
          <w:tcPr>
            <w:tcW w:type="dxa" w:w="2438"/>
            <w:vAlign w:val="center"/>
            <w:shd w:fill="173D67"/>
          </w:tcPr>
          <w:p>
            <w:pPr>
              <w:spacing w:after="0"/>
            </w:pPr>
            <w:r>
              <w:rPr>
                <w:b/>
                <w:color w:val="FFFFFF"/>
              </w:rPr>
            </w:r>
            <w:r>
              <w:rPr>
                <w:b/>
                <w:color w:val="FFFFFF"/>
              </w:rPr>
              <w:t>Статус</w:t>
            </w:r>
          </w:p>
        </w:tc>
        <w:tc>
          <w:tcPr>
            <w:tcW w:type="dxa" w:w="2438"/>
            <w:vAlign w:val="center"/>
            <w:shd w:fill="173D67"/>
          </w:tcPr>
          <w:p>
            <w:pPr>
              <w:spacing w:after="0"/>
            </w:pPr>
            <w:r>
              <w:rPr>
                <w:b/>
                <w:color w:val="FFFFFF"/>
              </w:rPr>
            </w:r>
            <w:r>
              <w:rPr>
                <w:b/>
                <w:color w:val="FFFFFF"/>
              </w:rPr>
              <w:t>Условие закрытия</w:t>
            </w:r>
          </w:p>
        </w:tc>
      </w:tr>
      <w:tr>
        <w:trPr>
          <w:cantSplit/>
        </w:trPr>
        <w:tc>
          <w:tcPr>
            <w:tcW w:type="dxa" w:w="2438"/>
            <w:vAlign w:val="center"/>
            <w:tcMar>
              <w:top w:w="80" w:type="dxa"/>
              <w:start w:w="100" w:type="dxa"/>
              <w:bottom w:w="80" w:type="dxa"/>
              <w:end w:w="100" w:type="dxa"/>
            </w:tcMar>
          </w:tcPr>
          <w:p>
            <w:pPr>
              <w:spacing w:after="0"/>
              <w:jc w:val="center"/>
            </w:pPr>
            <w:r/>
            <w:r>
              <w:t>T2-PO-223</w:t>
            </w:r>
          </w:p>
        </w:tc>
        <w:tc>
          <w:tcPr>
            <w:tcW w:type="dxa" w:w="2438"/>
            <w:vAlign w:val="center"/>
            <w:tcMar>
              <w:top w:w="80" w:type="dxa"/>
              <w:start w:w="100" w:type="dxa"/>
              <w:bottom w:w="80" w:type="dxa"/>
              <w:end w:w="100" w:type="dxa"/>
            </w:tcMar>
          </w:tcPr>
          <w:p>
            <w:pPr>
              <w:spacing w:after="0"/>
            </w:pPr>
            <w:r/>
            <w:r>
              <w:t>Определить 2-категорию локальных NAPG-Kuranishi charts.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Полная спецификация объектов, 1- и 2-морфизмов.</w:t>
            </w:r>
          </w:p>
        </w:tc>
      </w:tr>
      <w:tr>
        <w:trPr>
          <w:cantSplit/>
        </w:trPr>
        <w:tc>
          <w:tcPr>
            <w:tcW w:type="dxa" w:w="2438"/>
            <w:vAlign w:val="center"/>
            <w:tcMar>
              <w:top w:w="80" w:type="dxa"/>
              <w:start w:w="100" w:type="dxa"/>
              <w:bottom w:w="80" w:type="dxa"/>
              <w:end w:w="100" w:type="dxa"/>
            </w:tcMar>
          </w:tcPr>
          <w:p>
            <w:pPr>
              <w:spacing w:after="0"/>
              <w:jc w:val="center"/>
            </w:pPr>
            <w:r/>
            <w:r>
              <w:t>T2-PO-224</w:t>
            </w:r>
          </w:p>
        </w:tc>
        <w:tc>
          <w:tcPr>
            <w:tcW w:type="dxa" w:w="2438"/>
            <w:vAlign w:val="center"/>
            <w:tcMar>
              <w:top w:w="80" w:type="dxa"/>
              <w:start w:w="100" w:type="dxa"/>
              <w:bottom w:w="80" w:type="dxa"/>
              <w:end w:w="100" w:type="dxa"/>
            </w:tcMar>
          </w:tcPr>
          <w:p>
            <w:pPr>
              <w:spacing w:after="0"/>
            </w:pPr>
            <w:r/>
            <w:r>
              <w:t>Доказать покрытие footprints.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atlas certificate.</w:t>
            </w:r>
          </w:p>
        </w:tc>
      </w:tr>
      <w:tr>
        <w:trPr>
          <w:cantSplit/>
        </w:trPr>
        <w:tc>
          <w:tcPr>
            <w:tcW w:type="dxa" w:w="2438"/>
            <w:vAlign w:val="center"/>
            <w:tcMar>
              <w:top w:w="80" w:type="dxa"/>
              <w:start w:w="100" w:type="dxa"/>
              <w:bottom w:w="80" w:type="dxa"/>
              <w:end w:w="100" w:type="dxa"/>
            </w:tcMar>
          </w:tcPr>
          <w:p>
            <w:pPr>
              <w:spacing w:after="0"/>
              <w:jc w:val="center"/>
            </w:pPr>
            <w:r/>
            <w:r>
              <w:t>T2-PO-225</w:t>
            </w:r>
          </w:p>
        </w:tc>
        <w:tc>
          <w:tcPr>
            <w:tcW w:type="dxa" w:w="2438"/>
            <w:vAlign w:val="center"/>
            <w:tcMar>
              <w:top w:w="80" w:type="dxa"/>
              <w:start w:w="100" w:type="dxa"/>
              <w:bottom w:w="80" w:type="dxa"/>
              <w:end w:w="100" w:type="dxa"/>
            </w:tcMar>
          </w:tcPr>
          <w:p>
            <w:pPr>
              <w:spacing w:after="0"/>
            </w:pPr>
            <w:r/>
            <w:r>
              <w:t>Типизировать coordinate changes.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Проверка (18.4) на каждой модели.</w:t>
            </w:r>
          </w:p>
        </w:tc>
      </w:tr>
      <w:tr>
        <w:trPr>
          <w:cantSplit/>
        </w:trPr>
        <w:tc>
          <w:tcPr>
            <w:tcW w:type="dxa" w:w="2438"/>
            <w:vAlign w:val="center"/>
            <w:tcMar>
              <w:top w:w="80" w:type="dxa"/>
              <w:start w:w="100" w:type="dxa"/>
              <w:bottom w:w="80" w:type="dxa"/>
              <w:end w:w="100" w:type="dxa"/>
            </w:tcMar>
          </w:tcPr>
          <w:p>
            <w:pPr>
              <w:spacing w:after="0"/>
              <w:jc w:val="center"/>
            </w:pPr>
            <w:r/>
            <w:r>
              <w:t>T2-PO-226</w:t>
            </w:r>
          </w:p>
        </w:tc>
        <w:tc>
          <w:tcPr>
            <w:tcW w:type="dxa" w:w="2438"/>
            <w:vAlign w:val="center"/>
            <w:tcMar>
              <w:top w:w="80" w:type="dxa"/>
              <w:start w:w="100" w:type="dxa"/>
              <w:bottom w:w="80" w:type="dxa"/>
              <w:end w:w="100" w:type="dxa"/>
            </w:tcMar>
          </w:tcPr>
          <w:p>
            <w:pPr>
              <w:spacing w:after="0"/>
            </w:pPr>
            <w:r/>
            <w:r>
              <w:t>Построить triple 2-cocycle.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Явные αᵢⱼₖ.</w:t>
            </w:r>
          </w:p>
        </w:tc>
      </w:tr>
      <w:tr>
        <w:trPr>
          <w:cantSplit/>
        </w:trPr>
        <w:tc>
          <w:tcPr>
            <w:tcW w:type="dxa" w:w="2438"/>
            <w:vAlign w:val="center"/>
            <w:tcMar>
              <w:top w:w="80" w:type="dxa"/>
              <w:start w:w="100" w:type="dxa"/>
              <w:bottom w:w="80" w:type="dxa"/>
              <w:end w:w="100" w:type="dxa"/>
            </w:tcMar>
          </w:tcPr>
          <w:p>
            <w:pPr>
              <w:spacing w:after="0"/>
              <w:jc w:val="center"/>
            </w:pPr>
            <w:r/>
            <w:r>
              <w:t>T2-PO-227</w:t>
            </w:r>
          </w:p>
        </w:tc>
        <w:tc>
          <w:tcPr>
            <w:tcW w:type="dxa" w:w="2438"/>
            <w:vAlign w:val="center"/>
            <w:tcMar>
              <w:top w:w="80" w:type="dxa"/>
              <w:start w:w="100" w:type="dxa"/>
              <w:bottom w:w="80" w:type="dxa"/>
              <w:end w:w="100" w:type="dxa"/>
            </w:tcMar>
          </w:tcPr>
          <w:p>
            <w:pPr>
              <w:spacing w:after="0"/>
            </w:pPr>
            <w:r/>
            <w:r>
              <w:t>Проверить quadruple coherence.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Pentagon/higher homotopy certificate.</w:t>
            </w:r>
          </w:p>
        </w:tc>
      </w:tr>
      <w:tr>
        <w:trPr>
          <w:cantSplit/>
        </w:trPr>
        <w:tc>
          <w:tcPr>
            <w:tcW w:type="dxa" w:w="2438"/>
            <w:vAlign w:val="center"/>
            <w:tcMar>
              <w:top w:w="80" w:type="dxa"/>
              <w:start w:w="100" w:type="dxa"/>
              <w:bottom w:w="80" w:type="dxa"/>
              <w:end w:w="100" w:type="dxa"/>
            </w:tcMar>
          </w:tcPr>
          <w:p>
            <w:pPr>
              <w:spacing w:after="0"/>
              <w:jc w:val="center"/>
            </w:pPr>
            <w:r/>
            <w:r>
              <w:t>T2-PO-228</w:t>
            </w:r>
          </w:p>
        </w:tc>
        <w:tc>
          <w:tcPr>
            <w:tcW w:type="dxa" w:w="2438"/>
            <w:vAlign w:val="center"/>
            <w:tcMar>
              <w:top w:w="80" w:type="dxa"/>
              <w:start w:w="100" w:type="dxa"/>
              <w:bottom w:w="80" w:type="dxa"/>
              <w:end w:w="100" w:type="dxa"/>
            </w:tcMar>
          </w:tcPr>
          <w:p>
            <w:pPr>
              <w:spacing w:after="0"/>
            </w:pPr>
            <w:r/>
            <w:r>
              <w:t>Классифицировать stabilizers.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Stacky local models.</w:t>
            </w:r>
          </w:p>
        </w:tc>
      </w:tr>
      <w:tr>
        <w:trPr>
          <w:cantSplit/>
        </w:trPr>
        <w:tc>
          <w:tcPr>
            <w:tcW w:type="dxa" w:w="2438"/>
            <w:vAlign w:val="center"/>
            <w:tcMar>
              <w:top w:w="80" w:type="dxa"/>
              <w:start w:w="100" w:type="dxa"/>
              <w:bottom w:w="80" w:type="dxa"/>
              <w:end w:w="100" w:type="dxa"/>
            </w:tcMar>
          </w:tcPr>
          <w:p>
            <w:pPr>
              <w:spacing w:after="0"/>
              <w:jc w:val="center"/>
            </w:pPr>
            <w:r/>
            <w:r>
              <w:t>T2-PO-229</w:t>
            </w:r>
          </w:p>
        </w:tc>
        <w:tc>
          <w:tcPr>
            <w:tcW w:type="dxa" w:w="2438"/>
            <w:vAlign w:val="center"/>
            <w:tcMar>
              <w:top w:w="80" w:type="dxa"/>
              <w:start w:w="100" w:type="dxa"/>
              <w:bottom w:w="80" w:type="dxa"/>
              <w:end w:w="100" w:type="dxa"/>
            </w:tcMar>
          </w:tcPr>
          <w:p>
            <w:pPr>
              <w:spacing w:after="0"/>
            </w:pPr>
            <w:r/>
            <w:r>
              <w:t>Доказать Morita/presentation invariance.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Equivalence of atlases.</w:t>
            </w:r>
          </w:p>
        </w:tc>
      </w:tr>
      <w:tr>
        <w:trPr>
          <w:cantSplit/>
        </w:trPr>
        <w:tc>
          <w:tcPr>
            <w:tcW w:type="dxa" w:w="2438"/>
            <w:vAlign w:val="center"/>
            <w:tcMar>
              <w:top w:w="80" w:type="dxa"/>
              <w:start w:w="100" w:type="dxa"/>
              <w:bottom w:w="80" w:type="dxa"/>
              <w:end w:w="100" w:type="dxa"/>
            </w:tcMar>
          </w:tcPr>
          <w:p>
            <w:pPr>
              <w:spacing w:after="0"/>
              <w:jc w:val="center"/>
            </w:pPr>
            <w:r/>
            <w:r>
              <w:t>T2-PO-230</w:t>
            </w:r>
          </w:p>
        </w:tc>
        <w:tc>
          <w:tcPr>
            <w:tcW w:type="dxa" w:w="2438"/>
            <w:vAlign w:val="center"/>
            <w:tcMar>
              <w:top w:w="80" w:type="dxa"/>
              <w:start w:w="100" w:type="dxa"/>
              <w:bottom w:w="80" w:type="dxa"/>
              <w:end w:w="100" w:type="dxa"/>
            </w:tcMar>
          </w:tcPr>
          <w:p>
            <w:pPr>
              <w:spacing w:after="0"/>
            </w:pPr>
            <w:r/>
            <w:r>
              <w:t>Построить global derived enhancement.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Controlling ∞/L∞-model.</w:t>
            </w:r>
          </w:p>
        </w:tc>
      </w:tr>
      <w:tr>
        <w:trPr>
          <w:cantSplit/>
        </w:trPr>
        <w:tc>
          <w:tcPr>
            <w:tcW w:type="dxa" w:w="2438"/>
            <w:vAlign w:val="center"/>
            <w:tcMar>
              <w:top w:w="80" w:type="dxa"/>
              <w:start w:w="100" w:type="dxa"/>
              <w:bottom w:w="80" w:type="dxa"/>
              <w:end w:w="100" w:type="dxa"/>
            </w:tcMar>
          </w:tcPr>
          <w:p>
            <w:pPr>
              <w:spacing w:after="0"/>
              <w:jc w:val="center"/>
            </w:pPr>
            <w:r/>
            <w:r>
              <w:t>T2-PO-231</w:t>
            </w:r>
          </w:p>
        </w:tc>
        <w:tc>
          <w:tcPr>
            <w:tcW w:type="dxa" w:w="2438"/>
            <w:vAlign w:val="center"/>
            <w:tcMar>
              <w:top w:w="80" w:type="dxa"/>
              <w:start w:w="100" w:type="dxa"/>
              <w:bottom w:w="80" w:type="dxa"/>
              <w:end w:w="100" w:type="dxa"/>
            </w:tcMar>
          </w:tcPr>
          <w:p>
            <w:pPr>
              <w:spacing w:after="0"/>
            </w:pPr>
            <w:r/>
            <w:r>
              <w:t>Построить virtual tangent complex.</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Локальный трёхчленный сектор.</w:t>
            </w:r>
          </w:p>
        </w:tc>
      </w:tr>
      <w:tr>
        <w:trPr>
          <w:cantSplit/>
        </w:trPr>
        <w:tc>
          <w:tcPr>
            <w:tcW w:type="dxa" w:w="2438"/>
            <w:vAlign w:val="center"/>
            <w:tcMar>
              <w:top w:w="80" w:type="dxa"/>
              <w:start w:w="100" w:type="dxa"/>
              <w:bottom w:w="80" w:type="dxa"/>
              <w:end w:w="100" w:type="dxa"/>
            </w:tcMar>
          </w:tcPr>
          <w:p>
            <w:pPr>
              <w:spacing w:after="0"/>
              <w:jc w:val="center"/>
            </w:pPr>
            <w:r/>
            <w:r>
              <w:t>T2-PO-232</w:t>
            </w:r>
          </w:p>
        </w:tc>
        <w:tc>
          <w:tcPr>
            <w:tcW w:type="dxa" w:w="2438"/>
            <w:vAlign w:val="center"/>
            <w:tcMar>
              <w:top w:w="80" w:type="dxa"/>
              <w:start w:w="100" w:type="dxa"/>
              <w:bottom w:w="80" w:type="dxa"/>
              <w:end w:w="100" w:type="dxa"/>
            </w:tcMar>
          </w:tcPr>
          <w:p>
            <w:pPr>
              <w:spacing w:after="0"/>
            </w:pPr>
            <w:r/>
            <w:r>
              <w:t>Доказать существование perfect obstruction theory.</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BF-type morphism E•→L_𝔐.</w:t>
            </w:r>
          </w:p>
        </w:tc>
      </w:tr>
      <w:tr>
        <w:trPr>
          <w:cantSplit/>
        </w:trPr>
        <w:tc>
          <w:tcPr>
            <w:tcW w:type="dxa" w:w="2438"/>
            <w:vAlign w:val="center"/>
            <w:tcMar>
              <w:top w:w="80" w:type="dxa"/>
              <w:start w:w="100" w:type="dxa"/>
              <w:bottom w:w="80" w:type="dxa"/>
              <w:end w:w="100" w:type="dxa"/>
            </w:tcMar>
          </w:tcPr>
          <w:p>
            <w:pPr>
              <w:spacing w:after="0"/>
              <w:jc w:val="center"/>
            </w:pPr>
            <w:r/>
            <w:r>
              <w:t>T2-PO-233</w:t>
            </w:r>
          </w:p>
        </w:tc>
        <w:tc>
          <w:tcPr>
            <w:tcW w:type="dxa" w:w="2438"/>
            <w:vAlign w:val="center"/>
            <w:tcMar>
              <w:top w:w="80" w:type="dxa"/>
              <w:start w:w="100" w:type="dxa"/>
              <w:bottom w:w="80" w:type="dxa"/>
              <w:end w:w="100" w:type="dxa"/>
            </w:tcMar>
          </w:tcPr>
          <w:p>
            <w:pPr>
              <w:spacing w:after="0"/>
            </w:pPr>
            <w:r/>
            <w:r>
              <w:t>Зафиксировать Tor-amplitude.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Проверка perfectness.</w:t>
            </w:r>
          </w:p>
        </w:tc>
      </w:tr>
      <w:tr>
        <w:trPr>
          <w:cantSplit/>
        </w:trPr>
        <w:tc>
          <w:tcPr>
            <w:tcW w:type="dxa" w:w="2438"/>
            <w:vAlign w:val="center"/>
            <w:tcMar>
              <w:top w:w="80" w:type="dxa"/>
              <w:start w:w="100" w:type="dxa"/>
              <w:bottom w:w="80" w:type="dxa"/>
              <w:end w:w="100" w:type="dxa"/>
            </w:tcMar>
          </w:tcPr>
          <w:p>
            <w:pPr>
              <w:spacing w:after="0"/>
              <w:jc w:val="center"/>
            </w:pPr>
            <w:r/>
            <w:r>
              <w:t>T2-PO-234</w:t>
            </w:r>
          </w:p>
        </w:tc>
        <w:tc>
          <w:tcPr>
            <w:tcW w:type="dxa" w:w="2438"/>
            <w:vAlign w:val="center"/>
            <w:tcMar>
              <w:top w:w="80" w:type="dxa"/>
              <w:start w:w="100" w:type="dxa"/>
              <w:bottom w:w="80" w:type="dxa"/>
              <w:end w:w="100" w:type="dxa"/>
            </w:tcMar>
          </w:tcPr>
          <w:p>
            <w:pPr>
              <w:spacing w:after="0"/>
            </w:pPr>
            <w:r/>
            <w:r>
              <w:t>Построить obstruction sheaf и cone.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Global POT/derived enhancement.</w:t>
            </w:r>
          </w:p>
        </w:tc>
      </w:tr>
      <w:tr>
        <w:trPr>
          <w:cantSplit/>
        </w:trPr>
        <w:tc>
          <w:tcPr>
            <w:tcW w:type="dxa" w:w="2438"/>
            <w:vAlign w:val="center"/>
            <w:tcMar>
              <w:top w:w="80" w:type="dxa"/>
              <w:start w:w="100" w:type="dxa"/>
              <w:bottom w:w="80" w:type="dxa"/>
              <w:end w:w="100" w:type="dxa"/>
            </w:tcMar>
          </w:tcPr>
          <w:p>
            <w:pPr>
              <w:spacing w:after="0"/>
              <w:jc w:val="center"/>
            </w:pPr>
            <w:r/>
            <w:r>
              <w:t>T2-PO-235</w:t>
            </w:r>
          </w:p>
        </w:tc>
        <w:tc>
          <w:tcPr>
            <w:tcW w:type="dxa" w:w="2438"/>
            <w:vAlign w:val="center"/>
            <w:tcMar>
              <w:top w:w="80" w:type="dxa"/>
              <w:start w:w="100" w:type="dxa"/>
              <w:bottom w:w="80" w:type="dxa"/>
              <w:end w:w="100" w:type="dxa"/>
            </w:tcMar>
          </w:tcPr>
          <w:p>
            <w:pPr>
              <w:spacing w:after="0"/>
            </w:pPr>
            <w:r/>
            <w:r>
              <w:t>Склеить local obstruction theories.</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Homotopy-coherent quasi-isomorphisms.</w:t>
            </w:r>
          </w:p>
        </w:tc>
      </w:tr>
      <w:tr>
        <w:trPr>
          <w:cantSplit/>
        </w:trPr>
        <w:tc>
          <w:tcPr>
            <w:tcW w:type="dxa" w:w="2438"/>
            <w:vAlign w:val="center"/>
            <w:tcMar>
              <w:top w:w="80" w:type="dxa"/>
              <w:start w:w="100" w:type="dxa"/>
              <w:bottom w:w="80" w:type="dxa"/>
              <w:end w:w="100" w:type="dxa"/>
            </w:tcMar>
          </w:tcPr>
          <w:p>
            <w:pPr>
              <w:spacing w:after="0"/>
              <w:jc w:val="center"/>
            </w:pPr>
            <w:r/>
            <w:r>
              <w:t>T2-PO-236</w:t>
            </w:r>
          </w:p>
        </w:tc>
        <w:tc>
          <w:tcPr>
            <w:tcW w:type="dxa" w:w="2438"/>
            <w:vAlign w:val="center"/>
            <w:tcMar>
              <w:top w:w="80" w:type="dxa"/>
              <w:start w:w="100" w:type="dxa"/>
              <w:bottom w:w="80" w:type="dxa"/>
              <w:end w:w="100" w:type="dxa"/>
            </w:tcMar>
          </w:tcPr>
          <w:p>
            <w:pPr>
              <w:spacing w:after="0"/>
            </w:pPr>
            <w:r/>
            <w:r>
              <w:t>Вычислить descent obstruction.</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Central band либо full totalization.</w:t>
            </w:r>
          </w:p>
        </w:tc>
      </w:tr>
      <w:tr>
        <w:trPr>
          <w:cantSplit/>
        </w:trPr>
        <w:tc>
          <w:tcPr>
            <w:tcW w:type="dxa" w:w="2438"/>
            <w:vAlign w:val="center"/>
            <w:tcMar>
              <w:top w:w="80" w:type="dxa"/>
              <w:start w:w="100" w:type="dxa"/>
              <w:bottom w:w="80" w:type="dxa"/>
              <w:end w:w="100" w:type="dxa"/>
            </w:tcMar>
          </w:tcPr>
          <w:p>
            <w:pPr>
              <w:spacing w:after="0"/>
              <w:jc w:val="center"/>
            </w:pPr>
            <w:r/>
            <w:r>
              <w:t>T2-PO-237</w:t>
            </w:r>
          </w:p>
        </w:tc>
        <w:tc>
          <w:tcPr>
            <w:tcW w:type="dxa" w:w="2438"/>
            <w:vAlign w:val="center"/>
            <w:tcMar>
              <w:top w:w="80" w:type="dxa"/>
              <w:start w:w="100" w:type="dxa"/>
              <w:bottom w:w="80" w:type="dxa"/>
              <w:end w:w="100" w:type="dxa"/>
            </w:tcMar>
          </w:tcPr>
          <w:p>
            <w:pPr>
              <w:spacing w:after="0"/>
            </w:pPr>
            <w:r/>
            <w:r>
              <w:t>Доказать сохранение perfectness при descent.</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Derived descent theorem в выбранной категории.</w:t>
            </w:r>
          </w:p>
        </w:tc>
      </w:tr>
      <w:tr>
        <w:trPr>
          <w:cantSplit/>
        </w:trPr>
        <w:tc>
          <w:tcPr>
            <w:tcW w:type="dxa" w:w="2438"/>
            <w:vAlign w:val="center"/>
            <w:tcMar>
              <w:top w:w="80" w:type="dxa"/>
              <w:start w:w="100" w:type="dxa"/>
              <w:bottom w:w="80" w:type="dxa"/>
              <w:end w:w="100" w:type="dxa"/>
            </w:tcMar>
          </w:tcPr>
          <w:p>
            <w:pPr>
              <w:spacing w:after="0"/>
              <w:jc w:val="center"/>
            </w:pPr>
            <w:r/>
            <w:r>
              <w:t>T2-PO-238</w:t>
            </w:r>
          </w:p>
        </w:tc>
        <w:tc>
          <w:tcPr>
            <w:tcW w:type="dxa" w:w="2438"/>
            <w:vAlign w:val="center"/>
            <w:tcMar>
              <w:top w:w="80" w:type="dxa"/>
              <w:start w:w="100" w:type="dxa"/>
              <w:bottom w:w="80" w:type="dxa"/>
              <w:end w:w="100" w:type="dxa"/>
            </w:tcMar>
          </w:tcPr>
          <w:p>
            <w:pPr>
              <w:spacing w:after="0"/>
            </w:pPr>
            <w:r/>
            <w:r>
              <w:t>Построить determinant/orientation data.</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Orientation line certificate.</w:t>
            </w:r>
          </w:p>
        </w:tc>
      </w:tr>
      <w:tr>
        <w:trPr>
          <w:cantSplit/>
        </w:trPr>
        <w:tc>
          <w:tcPr>
            <w:tcW w:type="dxa" w:w="2438"/>
            <w:vAlign w:val="center"/>
            <w:tcMar>
              <w:top w:w="80" w:type="dxa"/>
              <w:start w:w="100" w:type="dxa"/>
              <w:bottom w:w="80" w:type="dxa"/>
              <w:end w:w="100" w:type="dxa"/>
            </w:tcMar>
          </w:tcPr>
          <w:p>
            <w:pPr>
              <w:spacing w:after="0"/>
              <w:jc w:val="center"/>
            </w:pPr>
            <w:r/>
            <w:r>
              <w:t>T2-PO-239</w:t>
            </w:r>
          </w:p>
        </w:tc>
        <w:tc>
          <w:tcPr>
            <w:tcW w:type="dxa" w:w="2438"/>
            <w:vAlign w:val="center"/>
            <w:tcMar>
              <w:top w:w="80" w:type="dxa"/>
              <w:start w:w="100" w:type="dxa"/>
              <w:bottom w:w="80" w:type="dxa"/>
              <w:end w:w="100" w:type="dxa"/>
            </w:tcMar>
          </w:tcPr>
          <w:p>
            <w:pPr>
              <w:spacing w:after="0"/>
            </w:pPr>
            <w:r/>
            <w:r>
              <w:t>Построить branch stack.</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Normalization/étale sector.</w:t>
            </w:r>
          </w:p>
        </w:tc>
      </w:tr>
      <w:tr>
        <w:trPr>
          <w:cantSplit/>
        </w:trPr>
        <w:tc>
          <w:tcPr>
            <w:tcW w:type="dxa" w:w="2438"/>
            <w:vAlign w:val="center"/>
            <w:tcMar>
              <w:top w:w="80" w:type="dxa"/>
              <w:start w:w="100" w:type="dxa"/>
              <w:bottom w:w="80" w:type="dxa"/>
              <w:end w:w="100" w:type="dxa"/>
            </w:tcMar>
          </w:tcPr>
          <w:p>
            <w:pPr>
              <w:spacing w:after="0"/>
              <w:jc w:val="center"/>
            </w:pPr>
            <w:r/>
            <w:r>
              <w:t>T2-PO-240</w:t>
            </w:r>
          </w:p>
        </w:tc>
        <w:tc>
          <w:tcPr>
            <w:tcW w:type="dxa" w:w="2438"/>
            <w:vAlign w:val="center"/>
            <w:tcMar>
              <w:top w:w="80" w:type="dxa"/>
              <w:start w:w="100" w:type="dxa"/>
              <w:bottom w:w="80" w:type="dxa"/>
              <w:end w:w="100" w:type="dxa"/>
            </w:tcMar>
          </w:tcPr>
          <w:p>
            <w:pPr>
              <w:spacing w:after="0"/>
            </w:pPr>
            <w:r/>
            <w:r>
              <w:t>Вычислить monodromy.</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branch cover.</w:t>
            </w:r>
          </w:p>
        </w:tc>
      </w:tr>
      <w:tr>
        <w:trPr>
          <w:cantSplit/>
        </w:trPr>
        <w:tc>
          <w:tcPr>
            <w:tcW w:type="dxa" w:w="2438"/>
            <w:vAlign w:val="center"/>
            <w:tcMar>
              <w:top w:w="80" w:type="dxa"/>
              <w:start w:w="100" w:type="dxa"/>
              <w:bottom w:w="80" w:type="dxa"/>
              <w:end w:w="100" w:type="dxa"/>
            </w:tcMar>
          </w:tcPr>
          <w:p>
            <w:pPr>
              <w:spacing w:after="0"/>
              <w:jc w:val="center"/>
            </w:pPr>
            <w:r/>
            <w:r>
              <w:t>T2-PO-241</w:t>
            </w:r>
          </w:p>
        </w:tc>
        <w:tc>
          <w:tcPr>
            <w:tcW w:type="dxa" w:w="2438"/>
            <w:vAlign w:val="center"/>
            <w:tcMar>
              <w:top w:w="80" w:type="dxa"/>
              <w:start w:w="100" w:type="dxa"/>
              <w:bottom w:w="80" w:type="dxa"/>
              <w:end w:w="100" w:type="dxa"/>
            </w:tcMar>
          </w:tcPr>
          <w:p>
            <w:pPr>
              <w:spacing w:after="0"/>
            </w:pPr>
            <w:r/>
            <w:r>
              <w:t>Доказать Reper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четырёх точек.</w:t>
            </w:r>
          </w:p>
        </w:tc>
      </w:tr>
      <w:tr>
        <w:trPr>
          <w:cantSplit/>
        </w:trPr>
        <w:tc>
          <w:tcPr>
            <w:tcW w:type="dxa" w:w="2438"/>
            <w:vAlign w:val="center"/>
            <w:tcMar>
              <w:top w:w="80" w:type="dxa"/>
              <w:start w:w="100" w:type="dxa"/>
              <w:bottom w:w="80" w:type="dxa"/>
              <w:end w:w="100" w:type="dxa"/>
            </w:tcMar>
          </w:tcPr>
          <w:p>
            <w:pPr>
              <w:spacing w:after="0"/>
              <w:jc w:val="center"/>
            </w:pPr>
            <w:r/>
            <w:r>
              <w:t>T2-PO-242</w:t>
            </w:r>
          </w:p>
        </w:tc>
        <w:tc>
          <w:tcPr>
            <w:tcW w:type="dxa" w:w="2438"/>
            <w:vAlign w:val="center"/>
            <w:tcMar>
              <w:top w:w="80" w:type="dxa"/>
              <w:start w:w="100" w:type="dxa"/>
              <w:bottom w:w="80" w:type="dxa"/>
              <w:end w:w="100" w:type="dxa"/>
            </w:tcMar>
          </w:tcPr>
          <w:p>
            <w:pPr>
              <w:spacing w:after="0"/>
            </w:pPr>
            <w:r/>
            <w:r>
              <w:t>Доказать Evidence-D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Provenance functor и cocycle.</w:t>
            </w:r>
          </w:p>
        </w:tc>
      </w:tr>
      <w:tr>
        <w:trPr>
          <w:cantSplit/>
        </w:trPr>
        <w:tc>
          <w:tcPr>
            <w:tcW w:type="dxa" w:w="2438"/>
            <w:vAlign w:val="center"/>
            <w:tcMar>
              <w:top w:w="80" w:type="dxa"/>
              <w:start w:w="100" w:type="dxa"/>
              <w:bottom w:w="80" w:type="dxa"/>
              <w:end w:w="100" w:type="dxa"/>
            </w:tcMar>
          </w:tcPr>
          <w:p>
            <w:pPr>
              <w:spacing w:after="0"/>
              <w:jc w:val="center"/>
            </w:pPr>
            <w:r/>
            <w:r>
              <w:t>T2-PO-243</w:t>
            </w:r>
          </w:p>
        </w:tc>
        <w:tc>
          <w:tcPr>
            <w:tcW w:type="dxa" w:w="2438"/>
            <w:vAlign w:val="center"/>
            <w:tcMar>
              <w:top w:w="80" w:type="dxa"/>
              <w:start w:w="100" w:type="dxa"/>
              <w:bottom w:w="80" w:type="dxa"/>
              <w:end w:w="100" w:type="dxa"/>
            </w:tcMar>
          </w:tcPr>
          <w:p>
            <w:pPr>
              <w:spacing w:after="0"/>
            </w:pPr>
            <w:r/>
            <w:r>
              <w:t>Доказать Dom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admissible domains.</w:t>
            </w:r>
          </w:p>
        </w:tc>
      </w:tr>
      <w:tr>
        <w:trPr>
          <w:cantSplit/>
        </w:trPr>
        <w:tc>
          <w:tcPr>
            <w:tcW w:type="dxa" w:w="2438"/>
            <w:vAlign w:val="center"/>
            <w:tcMar>
              <w:top w:w="80" w:type="dxa"/>
              <w:start w:w="100" w:type="dxa"/>
              <w:bottom w:w="80" w:type="dxa"/>
              <w:end w:w="100" w:type="dxa"/>
            </w:tcMar>
          </w:tcPr>
          <w:p>
            <w:pPr>
              <w:spacing w:after="0"/>
              <w:jc w:val="center"/>
            </w:pPr>
            <w:r/>
            <w:r>
              <w:t>T2-PO-244</w:t>
            </w:r>
          </w:p>
        </w:tc>
        <w:tc>
          <w:tcPr>
            <w:tcW w:type="dxa" w:w="2438"/>
            <w:vAlign w:val="center"/>
            <w:tcMar>
              <w:top w:w="80" w:type="dxa"/>
              <w:start w:w="100" w:type="dxa"/>
              <w:bottom w:w="80" w:type="dxa"/>
              <w:end w:w="100" w:type="dxa"/>
            </w:tcMar>
          </w:tcPr>
          <w:p>
            <w:pPr>
              <w:spacing w:after="0"/>
            </w:pPr>
            <w:r/>
            <w:r>
              <w:t>Доказать глобальность λ.</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Projective transitions и pole exclusion.</w:t>
            </w:r>
          </w:p>
        </w:tc>
      </w:tr>
      <w:tr>
        <w:trPr>
          <w:cantSplit/>
        </w:trPr>
        <w:tc>
          <w:tcPr>
            <w:tcW w:type="dxa" w:w="2438"/>
            <w:vAlign w:val="center"/>
            <w:tcMar>
              <w:top w:w="80" w:type="dxa"/>
              <w:start w:w="100" w:type="dxa"/>
              <w:bottom w:w="80" w:type="dxa"/>
              <w:end w:w="100" w:type="dxa"/>
            </w:tcMar>
          </w:tcPr>
          <w:p>
            <w:pPr>
              <w:spacing w:after="0"/>
              <w:jc w:val="center"/>
            </w:pPr>
            <w:r/>
            <w:r>
              <w:t>T2-PO-245</w:t>
            </w:r>
          </w:p>
        </w:tc>
        <w:tc>
          <w:tcPr>
            <w:tcW w:type="dxa" w:w="2438"/>
            <w:vAlign w:val="center"/>
            <w:tcMar>
              <w:top w:w="80" w:type="dxa"/>
              <w:start w:w="100" w:type="dxa"/>
              <w:bottom w:w="80" w:type="dxa"/>
              <w:end w:w="100" w:type="dxa"/>
            </w:tcMar>
          </w:tcPr>
          <w:p>
            <w:pPr>
              <w:spacing w:after="0"/>
            </w:pPr>
            <w:r/>
            <w:r>
              <w:t>Согласовать global carrier с Π_E.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Natural transformation on stack.</w:t>
            </w:r>
          </w:p>
        </w:tc>
      </w:tr>
      <w:tr>
        <w:trPr>
          <w:cantSplit/>
        </w:trPr>
        <w:tc>
          <w:tcPr>
            <w:tcW w:type="dxa" w:w="2438"/>
            <w:vAlign w:val="center"/>
            <w:tcMar>
              <w:top w:w="80" w:type="dxa"/>
              <w:start w:w="100" w:type="dxa"/>
              <w:bottom w:w="80" w:type="dxa"/>
              <w:end w:w="100" w:type="dxa"/>
            </w:tcMar>
          </w:tcPr>
          <w:p>
            <w:pPr>
              <w:spacing w:after="0"/>
              <w:jc w:val="center"/>
            </w:pPr>
            <w:r/>
            <w:r>
              <w:t>T2-PO-246</w:t>
            </w:r>
          </w:p>
        </w:tc>
        <w:tc>
          <w:tcPr>
            <w:tcW w:type="dxa" w:w="2438"/>
            <w:vAlign w:val="center"/>
            <w:tcMar>
              <w:top w:w="80" w:type="dxa"/>
              <w:start w:w="100" w:type="dxa"/>
              <w:bottom w:w="80" w:type="dxa"/>
              <w:end w:w="100" w:type="dxa"/>
            </w:tcMar>
          </w:tcPr>
          <w:p>
            <w:pPr>
              <w:spacing w:after="0"/>
            </w:pPr>
            <w:r/>
            <w:r>
              <w:t>Доказать существование PredCar_N.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Закрыть PO-223-245.</w:t>
            </w:r>
          </w:p>
        </w:tc>
      </w:tr>
      <w:tr>
        <w:trPr>
          <w:cantSplit/>
        </w:trPr>
        <w:tc>
          <w:tcPr>
            <w:tcW w:type="dxa" w:w="2438"/>
            <w:vAlign w:val="center"/>
            <w:tcMar>
              <w:top w:w="80" w:type="dxa"/>
              <w:start w:w="100" w:type="dxa"/>
              <w:bottom w:w="80" w:type="dxa"/>
              <w:end w:w="100" w:type="dxa"/>
            </w:tcMar>
          </w:tcPr>
          <w:p>
            <w:pPr>
              <w:spacing w:after="0"/>
              <w:jc w:val="center"/>
            </w:pPr>
            <w:r/>
            <w:r>
              <w:t>T2-PO-247</w:t>
            </w:r>
          </w:p>
        </w:tc>
        <w:tc>
          <w:tcPr>
            <w:tcW w:type="dxa" w:w="2438"/>
            <w:vAlign w:val="center"/>
            <w:tcMar>
              <w:top w:w="80" w:type="dxa"/>
              <w:start w:w="100" w:type="dxa"/>
              <w:bottom w:w="80" w:type="dxa"/>
              <w:end w:w="100" w:type="dxa"/>
            </w:tcMar>
          </w:tcPr>
          <w:p>
            <w:pPr>
              <w:spacing w:after="0"/>
            </w:pPr>
            <w:r/>
            <w:r>
              <w:t>Доказать invariant profile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Local triviality + transport.</w:t>
            </w:r>
          </w:p>
        </w:tc>
      </w:tr>
      <w:tr>
        <w:trPr>
          <w:cantSplit/>
        </w:trPr>
        <w:tc>
          <w:tcPr>
            <w:tcW w:type="dxa" w:w="2438"/>
            <w:vAlign w:val="center"/>
            <w:tcMar>
              <w:top w:w="80" w:type="dxa"/>
              <w:start w:w="100" w:type="dxa"/>
              <w:bottom w:w="80" w:type="dxa"/>
              <w:end w:w="100" w:type="dxa"/>
            </w:tcMar>
          </w:tcPr>
          <w:p>
            <w:pPr>
              <w:spacing w:after="0"/>
              <w:jc w:val="center"/>
            </w:pPr>
            <w:r/>
            <w:r>
              <w:t>T2-PO-248</w:t>
            </w:r>
          </w:p>
        </w:tc>
        <w:tc>
          <w:tcPr>
            <w:tcW w:type="dxa" w:w="2438"/>
            <w:vAlign w:val="center"/>
            <w:tcMar>
              <w:top w:w="80" w:type="dxa"/>
              <w:start w:w="100" w:type="dxa"/>
              <w:bottom w:w="80" w:type="dxa"/>
              <w:end w:w="100" w:type="dxa"/>
            </w:tcMar>
          </w:tcPr>
          <w:p>
            <w:pPr>
              <w:spacing w:after="0"/>
            </w:pPr>
            <w:r/>
            <w:r>
              <w:t>Зафиксировать local-to-global no-go.</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Теорема 18.5.</w:t>
            </w:r>
          </w:p>
        </w:tc>
      </w:tr>
      <w:tr>
        <w:trPr>
          <w:cantSplit/>
        </w:trPr>
        <w:tc>
          <w:tcPr>
            <w:tcW w:type="dxa" w:w="2438"/>
            <w:vAlign w:val="center"/>
            <w:tcMar>
              <w:top w:w="80" w:type="dxa"/>
              <w:start w:w="100" w:type="dxa"/>
              <w:bottom w:w="80" w:type="dxa"/>
              <w:end w:w="100" w:type="dxa"/>
            </w:tcMar>
          </w:tcPr>
          <w:p>
            <w:pPr>
              <w:spacing w:after="0"/>
              <w:jc w:val="center"/>
            </w:pPr>
            <w:r/>
            <w:r>
              <w:t>T2-PO-249</w:t>
            </w:r>
          </w:p>
        </w:tc>
        <w:tc>
          <w:tcPr>
            <w:tcW w:type="dxa" w:w="2438"/>
            <w:vAlign w:val="center"/>
            <w:tcMar>
              <w:top w:w="80" w:type="dxa"/>
              <w:start w:w="100" w:type="dxa"/>
              <w:bottom w:w="80" w:type="dxa"/>
              <w:end w:w="100" w:type="dxa"/>
            </w:tcMar>
          </w:tcPr>
          <w:p>
            <w:pPr>
              <w:spacing w:after="0"/>
            </w:pPr>
            <w:r/>
            <w:r>
              <w:t>Доказать global horizon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Uniform family hypotheses.</w:t>
            </w:r>
          </w:p>
        </w:tc>
      </w:tr>
      <w:tr>
        <w:trPr>
          <w:cantSplit/>
        </w:trPr>
        <w:tc>
          <w:tcPr>
            <w:tcW w:type="dxa" w:w="2438"/>
            <w:vAlign w:val="center"/>
            <w:tcMar>
              <w:top w:w="80" w:type="dxa"/>
              <w:start w:w="100" w:type="dxa"/>
              <w:bottom w:w="80" w:type="dxa"/>
              <w:end w:w="100" w:type="dxa"/>
            </w:tcMar>
          </w:tcPr>
          <w:p>
            <w:pPr>
              <w:spacing w:after="0"/>
              <w:jc w:val="center"/>
            </w:pPr>
            <w:r/>
            <w:r>
              <w:t>T2-PO-250</w:t>
            </w:r>
          </w:p>
        </w:tc>
        <w:tc>
          <w:tcPr>
            <w:tcW w:type="dxa" w:w="2438"/>
            <w:vAlign w:val="center"/>
            <w:tcMar>
              <w:top w:w="80" w:type="dxa"/>
              <w:start w:w="100" w:type="dxa"/>
              <w:bottom w:w="80" w:type="dxa"/>
              <w:end w:w="100" w:type="dxa"/>
            </w:tcMar>
          </w:tcPr>
          <w:p>
            <w:pPr>
              <w:spacing w:after="0"/>
            </w:pPr>
            <w:r/>
            <w:r>
              <w:t>Построить interval/numerical descent certificate.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Validated numerics.</w:t>
            </w:r>
          </w:p>
        </w:tc>
      </w:tr>
      <w:tr>
        <w:trPr>
          <w:cantSplit/>
        </w:trPr>
        <w:tc>
          <w:tcPr>
            <w:tcW w:type="dxa" w:w="2438"/>
            <w:vAlign w:val="center"/>
            <w:tcMar>
              <w:top w:w="80" w:type="dxa"/>
              <w:start w:w="100" w:type="dxa"/>
              <w:bottom w:w="80" w:type="dxa"/>
              <w:end w:w="100" w:type="dxa"/>
            </w:tcMar>
          </w:tcPr>
          <w:p>
            <w:pPr>
              <w:spacing w:after="0"/>
              <w:jc w:val="center"/>
            </w:pPr>
            <w:r/>
            <w:r>
              <w:t>T2-PO-251</w:t>
            </w:r>
          </w:p>
        </w:tc>
        <w:tc>
          <w:tcPr>
            <w:tcW w:type="dxa" w:w="2438"/>
            <w:vAlign w:val="center"/>
            <w:tcMar>
              <w:top w:w="80" w:type="dxa"/>
              <w:start w:w="100" w:type="dxa"/>
              <w:bottom w:w="80" w:type="dxa"/>
              <w:end w:w="100" w:type="dxa"/>
            </w:tcMar>
          </w:tcPr>
          <w:p>
            <w:pPr>
              <w:spacing w:after="0"/>
            </w:pPr>
            <w:r/>
            <w:r>
              <w:t>Выполнить независимый STACK-RUN.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Независимый код, данные и hashes.</w:t>
            </w:r>
          </w:p>
        </w:tc>
      </w:tr>
      <w:tr>
        <w:trPr>
          <w:cantSplit/>
        </w:trPr>
        <w:tc>
          <w:tcPr>
            <w:tcW w:type="dxa" w:w="2438"/>
            <w:vAlign w:val="center"/>
            <w:tcMar>
              <w:top w:w="80" w:type="dxa"/>
              <w:start w:w="100" w:type="dxa"/>
              <w:bottom w:w="80" w:type="dxa"/>
              <w:end w:w="100" w:type="dxa"/>
            </w:tcMar>
          </w:tcPr>
          <w:p>
            <w:pPr>
              <w:spacing w:after="0"/>
              <w:jc w:val="center"/>
            </w:pPr>
            <w:r/>
            <w:r>
              <w:t>T2-PO-252</w:t>
            </w:r>
          </w:p>
        </w:tc>
        <w:tc>
          <w:tcPr>
            <w:tcW w:type="dxa" w:w="2438"/>
            <w:vAlign w:val="center"/>
            <w:tcMar>
              <w:top w:w="80" w:type="dxa"/>
              <w:start w:w="100" w:type="dxa"/>
              <w:bottom w:w="80" w:type="dxa"/>
              <w:end w:w="100" w:type="dxa"/>
            </w:tcMar>
          </w:tcPr>
          <w:p>
            <w:pPr>
              <w:spacing w:after="0"/>
            </w:pPr>
            <w:r/>
            <w:r>
              <w:t>Заблокировать автоматический физический экспорт.</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truth_layer_promotion=0; B8.</w:t>
            </w:r>
          </w:p>
        </w:tc>
      </w:tr>
    </w:tbl>
    <w:p>
      <w:pPr>
        <w:pStyle w:val="Heading1"/>
        <w:keepNext/>
      </w:pPr>
      <w:r>
        <w:t>214. Prior art и граница авторского вклада</w:t>
      </w:r>
    </w:p>
    <w:p>
      <w:pPr/>
      <w:r>
        <w:t>Классический prior art главы включает cotangent complexes и obstruction theories; intrinsic normal cone и perfect obstruction theory; homotopical/derived algebraic geometry; derived smooth manifolds; Kuranishi atlases и Kuranishi 2-categories. Авторский слой Курпишева состоит в blocker-safe соединении этих аппаратов с NAPG/KLT-RBD: глобальный carrier обязан одновременно сохранять derived tangent type, branch monodromy, Reper-четвёрку, Evidence-D, Dom, внешний E-мост и отрицательный режим воздержания.</w:t>
      </w:r>
    </w:p>
    <w:p>
      <w:pPr/>
      <w:r>
        <w:t xml:space="preserve">[V0.15-1] Behrend, K.; Fantechi, B. The Intrinsic Normal Cone. Invent. Math. 128 (1997), 45-88. arXiv: alg-geom/9601010. </w:t>
      </w:r>
      <w:hyperlink r:id="rId77">
        <w:r>
          <w:rPr>
            <w:color w:val="2F65A0"/>
            <w:u w:val="single"/>
          </w:rPr>
          <w:t>[источник]</w:t>
        </w:r>
      </w:hyperlink>
    </w:p>
    <w:p>
      <w:pPr/>
      <w:r>
        <w:t xml:space="preserve">[V0.15-2] Toën, B.; Vezzosi, G. Homotopical Algebraic Geometry II: Geometric Stacks and Applications. Mem. AMS 193 (2008), no. 902. arXiv: math/0404373. </w:t>
      </w:r>
      <w:hyperlink r:id="rId78">
        <w:r>
          <w:rPr>
            <w:color w:val="2F65A0"/>
            <w:u w:val="single"/>
          </w:rPr>
          <w:t>[источник]</w:t>
        </w:r>
      </w:hyperlink>
    </w:p>
    <w:p>
      <w:pPr/>
      <w:r>
        <w:t xml:space="preserve">[V0.15-3] Spivak, D. I. Derived Smooth Manifolds. Duke Math. J. 153 (2010), 55-128. arXiv: 0810.5174. </w:t>
      </w:r>
      <w:hyperlink r:id="rId79">
        <w:r>
          <w:rPr>
            <w:color w:val="2F65A0"/>
            <w:u w:val="single"/>
          </w:rPr>
          <w:t>[источник]</w:t>
        </w:r>
      </w:hyperlink>
    </w:p>
    <w:p>
      <w:pPr/>
      <w:r>
        <w:t xml:space="preserve">[V0.15-4] Joyce, D. A New Definition of Kuranishi Space. arXiv: 1409.6908. </w:t>
      </w:r>
      <w:hyperlink r:id="rId80">
        <w:r>
          <w:rPr>
            <w:color w:val="2F65A0"/>
            <w:u w:val="single"/>
          </w:rPr>
          <w:t>[источник]</w:t>
        </w:r>
      </w:hyperlink>
    </w:p>
    <w:p>
      <w:pPr/>
      <w:r>
        <w:t xml:space="preserve">[V0.15-5] Joyce, D. Kuranishi Spaces as a 2-Category. arXiv: 1510.07444. </w:t>
      </w:r>
      <w:hyperlink r:id="rId81">
        <w:r>
          <w:rPr>
            <w:color w:val="2F65A0"/>
            <w:u w:val="single"/>
          </w:rPr>
          <w:t>[источник]</w:t>
        </w:r>
      </w:hyperlink>
    </w:p>
    <w:p>
      <w:pPr/>
      <w:r>
        <w:t xml:space="preserve">[V0.15-6] McDuff, D.; Wehrheim, K. Smooth Kuranishi Atlases with Isotropy. arXiv: 1508.01556. </w:t>
      </w:r>
      <w:hyperlink r:id="rId82">
        <w:r>
          <w:rPr>
            <w:color w:val="2F65A0"/>
            <w:u w:val="single"/>
          </w:rPr>
          <w:t>[источник]</w:t>
        </w:r>
      </w:hyperlink>
    </w:p>
    <w:p>
      <w:pPr/>
      <w:r>
        <w:t xml:space="preserve">[V0.15-7] Illusie, L. Complexe cotangent et déformations I-II. Lecture Notes in Mathematics 239, 283. Springer, 1971-1972. </w:t>
      </w:r>
      <w:hyperlink r:id="rId83">
        <w:r>
          <w:rPr>
            <w:color w:val="2F65A0"/>
            <w:u w:val="single"/>
          </w:rPr>
          <w:t>[источник]</w:t>
        </w:r>
      </w:hyperlink>
    </w:p>
    <w:p>
      <w:pPr/>
      <w:r>
        <w:t xml:space="preserve">[V0.15-8] Stacks Project. Cotangent Complex; Obstruction Theories; Algebraic Stacks. </w:t>
      </w:r>
      <w:hyperlink r:id="rId84">
        <w:r>
          <w:rPr>
            <w:color w:val="2F65A0"/>
            <w:u w:val="single"/>
          </w:rPr>
          <w:t>[источник]</w:t>
        </w:r>
      </w:hyperlink>
    </w:p>
    <w:p>
      <w:pPr/>
      <w:r>
        <w:t xml:space="preserve">[V0.15-9] Kurpishev, I. B. Том I v197 RU; Том II T2-RP-v0.1-v0.14. </w:t>
      </w:r>
      <w:hyperlink r:id="rId85">
        <w:r>
          <w:rPr>
            <w:color w:val="2F65A0"/>
            <w:u w:val="single"/>
          </w:rPr>
          <w:t>[источник]</w:t>
        </w:r>
      </w:hyperlink>
    </w:p>
    <w:p>
      <w:pPr>
        <w:pStyle w:val="Heading1"/>
        <w:keepNext/>
      </w:pPr>
      <w:r>
        <w:t>215. Контрольная точка и граница вывода</w:t>
      </w:r>
    </w:p>
    <w:p>
      <w:pPr>
        <w:pStyle w:val="Quote"/>
        <w:jc w:val="center"/>
      </w:pPr>
      <w:r>
        <w:rPr>
          <w:rFonts w:ascii="Cambria Math" w:hAnsi="Cambria Math"/>
          <w:sz w:val="21"/>
        </w:rPr>
        <w:t>truth_layer_promotion=0; checkpoint=T2-RP-v0.15; next=T2-RP-v0.16.      (18.25)</w:t>
      </w:r>
    </w:p>
    <w:p>
      <w:pPr/>
      <w:r>
        <w:t>Глава 18 построила глобализационный слой предсказательного метода: локальные карты, 2-когерентность, virtual tangent complexes, perfect obstruction data, branch stacks, Reper/D/Dom descent и внешний E-мост сведены в один типизированный carrier. Основной доказанный запрет состоит в том, что local lift и coarse moduli не определяют global derived/stacky object.</w:t>
      </w:r>
    </w:p>
    <w:p>
      <w:pPr>
        <w:pStyle w:val="Small"/>
      </w:pPr>
      <w:r>
        <w:t>Следующая сборка tom2_v0_16 развивает виртуальные циклы, интегрирование по moduli carrier, intersection-theoretic и enumerative invariants, а также строгий запрет превращать virtual count в вероятность будущего события.</w:t>
      </w:r>
    </w:p>
    <w:p>
      <w:pPr>
        <w:pStyle w:val="Small"/>
      </w:pPr>
      <w:r>
        <w:t>checkpoint=T2-RP-v0.15; source=T2-RP-v0.14; truth_layer_promotion=0; next=T2-RP-v0.16.</w:t>
      </w:r>
    </w:p>
    <w:sectPr w:rsidR="00FC693F" w:rsidRPr="0006063C" w:rsidSect="00034616">
      <w:headerReference w:type="default" r:id="rId64"/>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v0.15</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v0.15</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v0.15</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image" Target="media/image34.png"/><Relationship Id="rId62" Type="http://schemas.openxmlformats.org/officeDocument/2006/relationships/image" Target="media/image35.png"/><Relationship Id="rId63" Type="http://schemas.openxmlformats.org/officeDocument/2006/relationships/header" Target="header4.xml"/><Relationship Id="rId64" Type="http://schemas.openxmlformats.org/officeDocument/2006/relationships/header" Target="header5.xml"/><Relationship Id="rId65" Type="http://schemas.openxmlformats.org/officeDocument/2006/relationships/image" Target="media/image36.png"/><Relationship Id="rId66" Type="http://schemas.openxmlformats.org/officeDocument/2006/relationships/image" Target="media/image37.png"/><Relationship Id="rId67" Type="http://schemas.openxmlformats.org/officeDocument/2006/relationships/image" Target="media/image38.png"/><Relationship Id="rId68" Type="http://schemas.openxmlformats.org/officeDocument/2006/relationships/image" Target="media/image39.png"/><Relationship Id="rId69" Type="http://schemas.openxmlformats.org/officeDocument/2006/relationships/image" Target="media/image40.png"/><Relationship Id="rId70" Type="http://schemas.openxmlformats.org/officeDocument/2006/relationships/image" Target="media/image41.png"/><Relationship Id="rId71" Type="http://schemas.openxmlformats.org/officeDocument/2006/relationships/image" Target="media/image42.png"/><Relationship Id="rId72" Type="http://schemas.openxmlformats.org/officeDocument/2006/relationships/image" Target="media/image43.png"/><Relationship Id="rId73" Type="http://schemas.openxmlformats.org/officeDocument/2006/relationships/image" Target="media/image44.png"/><Relationship Id="rId74" Type="http://schemas.openxmlformats.org/officeDocument/2006/relationships/image" Target="media/image45.png"/><Relationship Id="rId75" Type="http://schemas.openxmlformats.org/officeDocument/2006/relationships/image" Target="media/image46.png"/><Relationship Id="rId76" Type="http://schemas.openxmlformats.org/officeDocument/2006/relationships/image" Target="media/image47.png"/><Relationship Id="rId77" Type="http://schemas.openxmlformats.org/officeDocument/2006/relationships/hyperlink" Target="https://arxiv.org/abs/alg-geom/9601010" TargetMode="External"/><Relationship Id="rId78" Type="http://schemas.openxmlformats.org/officeDocument/2006/relationships/hyperlink" Target="https://arxiv.org/abs/math/0404373" TargetMode="External"/><Relationship Id="rId79" Type="http://schemas.openxmlformats.org/officeDocument/2006/relationships/hyperlink" Target="https://arxiv.org/abs/0810.5174" TargetMode="External"/><Relationship Id="rId80" Type="http://schemas.openxmlformats.org/officeDocument/2006/relationships/hyperlink" Target="https://arxiv.org/abs/1409.6908" TargetMode="External"/><Relationship Id="rId81" Type="http://schemas.openxmlformats.org/officeDocument/2006/relationships/hyperlink" Target="https://arxiv.org/abs/1510.07444" TargetMode="External"/><Relationship Id="rId82" Type="http://schemas.openxmlformats.org/officeDocument/2006/relationships/hyperlink" Target="https://arxiv.org/abs/1508.01556" TargetMode="External"/><Relationship Id="rId83" Type="http://schemas.openxmlformats.org/officeDocument/2006/relationships/hyperlink" Target="https://link.springer.com/book/10.1007/BFb0059052" TargetMode="External"/><Relationship Id="rId84" Type="http://schemas.openxmlformats.org/officeDocument/2006/relationships/hyperlink" Target="https://stacks.math.columbia.edu/" TargetMode="External"/><Relationship Id="rId85" Type="http://schemas.openxmlformats.org/officeDocument/2006/relationships/hyperlink" Target="https://kurpish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tom2_v0_15</dc:title>
  <dc:subject>T2-RP-v0.15: global derived/stacky moduli and predictive carrier</dc:subject>
  <dc:creator>Курпишев Иван Борисович</dc:creator>
  <cp:keywords>KLT-RBD, NAPG 3.0, derived moduli, stacks, Kuranishi, obstruction theory, virtual tangent complex</cp:keywords>
  <dc:description>Кумулятивная редакция T2-RP-v0.13; truth_layer_promotion=0</dc:description>
  <cp:lastModifiedBy/>
  <cp:revision>1</cp:revision>
  <dcterms:created xsi:type="dcterms:W3CDTF">2013-12-23T23:15:00Z</dcterms:created>
  <dcterms:modified xsi:type="dcterms:W3CDTF">2013-12-23T23:15:00Z</dcterms:modified>
  <cp:category/>
</cp:coreProperties>
</file>