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drawing>
          <wp:inline xmlns:a="http://schemas.openxmlformats.org/drawingml/2006/main" xmlns:pic="http://schemas.openxmlformats.org/drawingml/2006/picture">
            <wp:extent cx="1440000" cy="1440000"/>
            <wp:docPr id="1" name="Picture 1"/>
            <wp:cNvGraphicFramePr>
              <a:graphicFrameLocks noChangeAspect="1"/>
            </wp:cNvGraphicFramePr>
            <a:graphic>
              <a:graphicData uri="http://schemas.openxmlformats.org/drawingml/2006/picture">
                <pic:pic>
                  <pic:nvPicPr>
                    <pic:cNvPr id="0" name="ivan.jpg"/>
                    <pic:cNvPicPr/>
                  </pic:nvPicPr>
                  <pic:blipFill>
                    <a:blip r:embed="rId9"/>
                    <a:stretch>
                      <a:fillRect/>
                    </a:stretch>
                  </pic:blipFill>
                  <pic:spPr>
                    <a:xfrm>
                      <a:off x="0" y="0"/>
                      <a:ext cx="1440000" cy="1440000"/>
                    </a:xfrm>
                    <a:prstGeom prst="rect"/>
                  </pic:spPr>
                </pic:pic>
              </a:graphicData>
            </a:graphic>
          </wp:inline>
        </w:drawing>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0"/>
        <w:widowControl/>
      </w:pPr>
    </w:p>
    <w:p>
      <w:pPr>
        <w:jc w:val="center"/>
        <w:widowControl/>
      </w:pPr>
      <w:r>
        <w:t>Контрольная точка T2-RP-v0.13 · выпуск tom2_v0_13</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br w:type="page"/>
      </w:r>
    </w:p>
    <w:p>
      <w:pPr>
        <w:pStyle w:val="Heading1"/>
        <w:widowControl/>
        <w:keepNext/>
      </w:pPr>
      <w:r>
        <w:t>Паспорт выпуска tom2_v0_13</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Контрольная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T2-RP-v0.13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Кумулятивная рабочая редакция: v0.1-v0.12 сохранены; глава 16 углублена до theorem/conditional moduli-Kuranishi package v0.13.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Каноническая нулевая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tom1_v197.docx + tom1_v197_ru.pdf; Том I не редактируется и не пересобирается.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Обязательный регламент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tom2_chat_guide_v1.docx, SHA-256 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Состав выпуска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Карта источников и правовое досье; master-skeleton 24 глав; слои v0.2-v0.12; deformation functor, derived tangent, miniversal/Kuranishi package и обновлённая матрица PO.</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Форматы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Нативно редактируемый DOCX и поисковый PDF. ZIP/CSV/JSON/HTML не формируются.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Статус-замок</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COND, MODEL, COMP, CONJ и PHY-HYP не повышаются без нового доказательства или независимого свидетельства.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Следующая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tom2_v0_14: глава 17 - стратифицированные пространства модулей, wall-crossing, bifurcation и устойчивые переходные инварианты.</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t>Выпуск tom2_v0_13 является кумулятивным продолжением v0.12 и развивает каноническую главу 16 Тома II: деформационные функторы, группоиды и пространства модулей, derived tangent structures, Schlessinger hull, miniversal families, отображение Кураниши, высшие obstruction classes и их аналитическую связь с Green-оператором. Построены типизированные lifting-правила, локальный модульный горизонт и blocker-safe прогноз. Условные, физические и экспериментальные статусы не повышаются.</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t>8. Контрольная точка T2-RP-v0.1; 9-17. Математическое углубление v0.2; 18-23. Ассоциаторная геометрия v0.3; 24-34. Пакетно-реперная алгебро-геометрическая двойственность v0.4; 35-45. Атласы, расслоения и препятствия глобализации v0.5; 46-57. Касательные и кокасательные объекты, гладкость и интегрируемость v0.6; 58-69. Связности, кривизна, голономия и ассоциаторный мост v0.7; 70-82. Дифференциальные формы, precomplex и Hodge-слой v0.8; 83-96. Внутренний минимальный комплекс, obstruction section и предсказательный шлюз v0.9; 100-115. Внешний E-комплекс, Π_E, mapping cone и безопасная детекция v0.10. 116-132. Пространства препятствий, projectivization, Fano barrier и projective transition horizon v0.11.; 132-148. Hodge-Fredholm аналитический слой v0.12; 149-173. Деформационные функторы, moduli, Kuranishi и derived tangent structures v0.13</w:t>
      </w:r>
    </w:p>
    <w:p>
      <w:pPr>
        <w:pStyle w:val="Small"/>
        <w:widowControl/>
      </w:pPr>
      <w:r>
        <w:t>Примечание: выпуск v0.13 является кумулятивным. Материалы v0.1-v0.12 сохранены как точки отката. Новый строгий текст использует Hodge-Green слой v0.12 только после проверки operator domains, uniform gap и совместимости controlling brackets; наличие tangent class или нулевого первичного препятствия не объявляется доказательством полной деформации либо события.</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drawing>
          <wp:inline xmlns:a="http://schemas.openxmlformats.org/drawingml/2006/main" xmlns:pic="http://schemas.openxmlformats.org/drawingml/2006/picture">
            <wp:extent cx="5940000" cy="870170"/>
            <wp:docPr id="2" name="Picture 2"/>
            <wp:cNvGraphicFramePr>
              <a:graphicFrameLocks noChangeAspect="1"/>
            </wp:cNvGraphicFramePr>
            <a:graphic>
              <a:graphicData uri="http://schemas.openxmlformats.org/drawingml/2006/picture">
                <pic:pic>
                  <pic:nvPicPr>
                    <pic:cNvPr id="0" name="sources.png"/>
                    <pic:cNvPicPr/>
                  </pic:nvPicPr>
                  <pic:blipFill>
                    <a:blip r:embed="rId10"/>
                    <a:stretch>
                      <a:fillRect/>
                    </a:stretch>
                  </pic:blipFill>
                  <pic:spPr>
                    <a:xfrm>
                      <a:off x="0" y="0"/>
                      <a:ext cx="5940000" cy="870170"/>
                    </a:xfrm>
                    <a:prstGeom prst="rect"/>
                  </pic:spPr>
                </pic:pic>
              </a:graphicData>
            </a:graphic>
          </wp:inline>
        </w:drawing>
      </w:r>
    </w:p>
    <w:p>
      <w:pPr>
        <w:pStyle w:val="Caption"/>
        <w:jc w:val="center"/>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headerReference w:type="even" r:id="rId53"/>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headerReference w:type="default" r:id="rId63"/>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pPr>
        <w:pStyle w:val="Heading1"/>
        <w:pageBreakBefore w:val="0"/>
        <w:spacing w:before="200" w:after="100"/>
        <w:keepNext/>
      </w:pPr>
      <w:r>
        <w:t>58. 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wp:cNvGraphicFramePr>
              <a:graphicFrameLocks noChangeAspect="1"/>
            </wp:cNvGraphicFramePr>
            <a:graphic>
              <a:graphicData uri="http://schemas.openxmlformats.org/drawingml/2006/picture">
                <pic:pic>
                  <pic:nvPicPr>
                    <pic:cNvPr id="0" name="fig17_bridge.png"/>
                    <pic:cNvPicPr/>
                  </pic:nvPicPr>
                  <pic:blipFill>
                    <a:blip r:embed="rId47"/>
                    <a:stretch>
                      <a:fillRect/>
                    </a:stretch>
                  </pic:blipFill>
                  <pic:spPr>
                    <a:xfrm>
                      <a:off x="0" y="0"/>
                      <a:ext cx="6172200" cy="3597091"/>
                    </a:xfrm>
                    <a:prstGeom prst="rect"/>
                  </pic:spPr>
                </pic:pic>
              </a:graphicData>
            </a:graphic>
          </wp:inline>
        </w:drawing>
      </w:r>
    </w:p>
    <w:p>
      <w:pPr>
        <w:pStyle w:val="Caption"/>
        <w:spacing w:after="120"/>
        <w:jc w:val="center"/>
      </w:pPr>
      <w:r>
        <w:t>Рисунок 17. Два слоя и четыре допустимых моста: C_∇, ∇Ass, K_Ass и H_Ass. Собственная схема Тома II.</w:t>
      </w:r>
    </w:p>
    <w:p>
      <w:pPr>
        <w:pStyle w:val="Heading1"/>
        <w:pageBreakBefore w:val="0"/>
        <w:spacing w:before="200" w:after="100"/>
        <w:keepNext/>
      </w:pPr>
      <w:r>
        <w:t>59. Типизированная NAPG-связность и D-допустимые пути</w:t>
      </w:r>
    </w:p>
    <w:p>
      <w:pPr>
        <w:pStyle w:val="Heading2"/>
        <w:pageBreakBefore w:val="0"/>
        <w:spacing w:before="140" w:after="100"/>
        <w:keepNext/>
      </w:pPr>
      <w:r>
        <w:t>59.1. Алгебраическое расслоение</w:t>
      </w:r>
    </w:p>
    <w:p>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p>
    <w:p>
      <w:pPr>
        <w:spacing w:before="60" w:after="100"/>
        <w:jc w:val="center"/>
      </w:pPr>
      <w:r>
        <w:rPr>
          <w:rFonts w:ascii="Cambria Math" w:hAnsi="Cambria Math" w:eastAsia="Cambria Math"/>
          <w:sz w:val="22"/>
        </w:rPr>
        <w:t>∇ : Γ(A) → Ω¹(X;A),     ∇(f s)=d f ⊗ s + f ∇s.</w:t>
      </w:r>
    </w:p>
    <w:p>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p>
    <w:p>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p>
    <w:p>
      <w:pPr>
        <w:pStyle w:val="Heading1"/>
        <w:pageBreakBefore w:val="0"/>
        <w:spacing w:before="200" w:after="100"/>
        <w:keepNext/>
      </w:pPr>
      <w:r>
        <w:t>60. Кривизна, малые контуры и D-голономия</w:t>
      </w:r>
    </w:p>
    <w:p>
      <w:pPr>
        <w:pStyle w:val="Heading2"/>
        <w:pageBreakBefore w:val="0"/>
        <w:spacing w:before="140" w:after="100"/>
        <w:keepNext/>
      </w:pPr>
      <w:r>
        <w:t>60.1. Кривизна связности</w:t>
      </w:r>
    </w:p>
    <w:p>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p>
    <w:p>
      <w:pPr>
        <w:spacing w:before="60" w:after="100"/>
        <w:jc w:val="center"/>
      </w:pPr>
      <w:r>
        <w:rPr>
          <w:rFonts w:ascii="Cambria Math" w:hAnsi="Cambria Math" w:eastAsia="Cambria Math"/>
          <w:sz w:val="22"/>
        </w:rPr>
        <w:t>R_∇ ∈ Ω²(X;End(A)),     R_∇(X,Y)=[∇_X,∇_Y]-∇_[X,Y].</w:t>
      </w:r>
    </w:p>
    <w:p>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p>
    <w:p>
      <w:pPr>
        <w:pStyle w:val="Heading2"/>
        <w:pageBreakBefore w:val="0"/>
        <w:spacing w:before="140" w:after="100"/>
        <w:keepNext/>
      </w:pPr>
      <w:r>
        <w:t>60.2. D-голономия</w:t>
      </w:r>
    </w:p>
    <w:p>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p>
    <w:p>
      <w:pPr>
        <w:spacing w:before="60" w:after="100"/>
        <w:jc w:val="center"/>
      </w:pPr>
      <w:r>
        <w:rPr>
          <w:rFonts w:ascii="Cambria Math" w:hAnsi="Cambria Math" w:eastAsia="Cambria Math"/>
          <w:sz w:val="22"/>
        </w:rPr>
        <w:t>Hol_D(x) ⊂ GL(A_x).</w:t>
      </w:r>
    </w:p>
    <w:p>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p>
    <w:p>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p>
    <w:p>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p>
    <w:p>
      <w:pPr>
        <w:pStyle w:val="Heading1"/>
        <w:pageBreakBefore w:val="0"/>
        <w:spacing w:before="200" w:after="100"/>
        <w:keepNext/>
      </w:pPr>
      <w:r>
        <w:t>61. Совместимость связности с пакетным умножением</w:t>
      </w:r>
    </w:p>
    <w:p>
      <w:pPr>
        <w:pStyle w:val="Heading2"/>
        <w:pageBreakBefore w:val="0"/>
        <w:spacing w:before="140" w:after="100"/>
        <w:keepNext/>
      </w:pPr>
      <w:r>
        <w:t>61.1. Дефект Лейбница для ⊙</w:t>
      </w:r>
    </w:p>
    <w:p>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p>
    <w:p>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p>
    <w:p>
      <w:pPr>
        <w:pStyle w:val="Heading2"/>
        <w:pageBreakBefore w:val="0"/>
        <w:spacing w:before="140" w:after="100"/>
        <w:keepNext/>
      </w:pPr>
      <w:r>
        <w:t>61.2. Дефекты конечного переноса</w:t>
      </w:r>
    </w:p>
    <w:p>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p>
    <w:p>
      <w:pPr>
        <w:spacing w:before="60" w:after="100"/>
        <w:jc w:val="center"/>
      </w:pPr>
      <w:r>
        <w:rPr>
          <w:rFonts w:ascii="Cambria Math" w:hAnsi="Cambria Math" w:eastAsia="Cambria Math"/>
          <w:sz w:val="22"/>
        </w:rPr>
        <w:t>H_⊙(γ;a,b)=P_γ(a⊙_x b)-P_γ(a)⊙_yP_γ(b).</w:t>
      </w:r>
    </w:p>
    <w:p>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pPr>
        <w:pStyle w:val="Heading1"/>
        <w:pageBreakBefore w:val="0"/>
        <w:spacing w:before="200" w:after="100"/>
        <w:keepNext/>
      </w:pPr>
      <w:r>
        <w:t>62. Ковариантная производная и ассоциаторная кривизна</w:t>
      </w:r>
    </w:p>
    <w:p>
      <w:pPr>
        <w:pStyle w:val="Heading2"/>
        <w:pageBreakBefore w:val="0"/>
        <w:spacing w:before="140" w:after="100"/>
        <w:keepNext/>
      </w:pPr>
      <w:r>
        <w:t>62.1. Точная формула для ∇Ass</w:t>
      </w:r>
    </w:p>
    <w:p>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p>
    <w:p>
      <w:pPr>
        <w:pStyle w:val="Heading2"/>
        <w:pageBreakBefore w:val="0"/>
        <w:spacing w:before="140" w:after="100"/>
        <w:keepNext/>
      </w:pPr>
      <w:r>
        <w:t>62.2. Индуцированная кривизна на тернарных тензорах</w:t>
      </w:r>
    </w:p>
    <w:p>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pPr>
        <w:pStyle w:val="Heading1"/>
        <w:pageBreakBefore w:val="0"/>
        <w:spacing w:before="200" w:after="100"/>
        <w:keepNext/>
      </w:pPr>
      <w:r>
        <w:t>63. Контрмодели и нетривиальная совместимая модель</w:t>
      </w:r>
    </w:p>
    <w:p>
      <w:pPr>
        <w:spacing w:before="100" w:after="40"/>
        <w:jc w:val="center"/>
      </w:pPr>
      <w:r>
        <w:drawing>
          <wp:inline xmlns:a="http://schemas.openxmlformats.org/drawingml/2006/main" xmlns:pic="http://schemas.openxmlformats.org/drawingml/2006/picture">
            <wp:extent cx="6172200" cy="3526639"/>
            <wp:docPr id="22" name="Picture 22"/>
            <wp:cNvGraphicFramePr>
              <a:graphicFrameLocks noChangeAspect="1"/>
            </wp:cNvGraphicFramePr>
            <a:graphic>
              <a:graphicData uri="http://schemas.openxmlformats.org/drawingml/2006/picture">
                <pic:pic>
                  <pic:nvPicPr>
                    <pic:cNvPr id="0" name="fig18_models.png"/>
                    <pic:cNvPicPr/>
                  </pic:nvPicPr>
                  <pic:blipFill>
                    <a:blip r:embed="rId48"/>
                    <a:stretch>
                      <a:fillRect/>
                    </a:stretch>
                  </pic:blipFill>
                  <pic:spPr>
                    <a:xfrm>
                      <a:off x="0" y="0"/>
                      <a:ext cx="6172200" cy="3526639"/>
                    </a:xfrm>
                    <a:prstGeom prst="rect"/>
                  </pic:spPr>
                </pic:pic>
              </a:graphicData>
            </a:graphic>
          </wp:inline>
        </w:drawing>
      </w:r>
    </w:p>
    <w:p>
      <w:pPr>
        <w:pStyle w:val="Caption"/>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p>
    <w:p>
      <w:pPr>
        <w:pStyle w:val="Heading1"/>
        <w:pageBreakBefore w:val="0"/>
        <w:spacing w:before="200" w:after="100"/>
        <w:keepNext/>
      </w:pPr>
      <w:r>
        <w:t>64. Akivis/Sabinin-мост и его доказательные обязательства</w:t>
      </w:r>
    </w:p>
    <w:p>
      <w:pPr>
        <w:pStyle w:val="Heading2"/>
        <w:pageBreakBefore w:val="0"/>
        <w:spacing w:before="140" w:after="100"/>
        <w:keepNext/>
      </w:pPr>
      <w:r>
        <w:t>64.1. Классический локально-петлевой слой</w:t>
      </w:r>
    </w:p>
    <w:p>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pPr>
        <w:pStyle w:val="Heading1"/>
        <w:pageBreakBefore w:val="0"/>
        <w:spacing w:before="200" w:after="100"/>
        <w:keepNext/>
      </w:pPr>
      <w:r>
        <w:t>65. Голономные инварианты предсказательного метода</w:t>
      </w:r>
    </w:p>
    <w:p>
      <w:pPr>
        <w:pStyle w:val="Heading2"/>
        <w:pageBreakBefore w:val="0"/>
        <w:spacing w:before="140" w:after="100"/>
        <w:keepNext/>
      </w:pPr>
      <w:r>
        <w:t>65.1. Инвариантная сигнатура</w:t>
      </w:r>
    </w:p>
    <w:p>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p>
    <w:p>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p>
    <w:p>
      <w:pPr>
        <w:spacing w:before="60" w:after="100"/>
        <w:jc w:val="center"/>
      </w:pPr>
      <w:r>
        <w:rPr>
          <w:rFonts w:ascii="Cambria Math" w:hAnsi="Cambria Math" w:eastAsia="Cambria Math"/>
          <w:sz w:val="22"/>
        </w:rPr>
        <w:t>Δ_conn = Δ_safe ∪ Δ_Hol,N ∪ Δ_bridge.</w:t>
      </w:r>
    </w:p>
    <w:p>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pPr>
        <w:pStyle w:val="Heading1"/>
        <w:pageBreakBefore w:val="0"/>
        <w:spacing w:before="200" w:after="100"/>
        <w:keepNext/>
      </w:pPr>
      <w:r>
        <w:t>66. Проективный перенос Reper и невозможность изменения λ общим PGL₂-движением</w:t>
      </w:r>
    </w:p>
    <w:p>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p>
    <w:p>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pPr>
        <w:pStyle w:val="Heading1"/>
        <w:pageBreakBefore w:val="0"/>
        <w:spacing w:before="200" w:after="100"/>
        <w:keepNext/>
      </w:pPr>
      <w:r>
        <w:t>67. Главная условная теорема v0.7</w:t>
      </w:r>
    </w:p>
    <w:p>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wp:cNvGraphicFramePr>
              <a:graphicFrameLocks noChangeAspect="1"/>
            </wp:cNvGraphicFramePr>
            <a:graphic>
              <a:graphicData uri="http://schemas.openxmlformats.org/drawingml/2006/picture">
                <pic:pic>
                  <pic:nvPicPr>
                    <pic:cNvPr id="0" name="fig19_gate.png"/>
                    <pic:cNvPicPr/>
                  </pic:nvPicPr>
                  <pic:blipFill>
                    <a:blip r:embed="rId49"/>
                    <a:stretch>
                      <a:fillRect/>
                    </a:stretch>
                  </pic:blipFill>
                  <pic:spPr>
                    <a:xfrm>
                      <a:off x="0" y="0"/>
                      <a:ext cx="6172200" cy="3775495"/>
                    </a:xfrm>
                    <a:prstGeom prst="rect"/>
                  </pic:spPr>
                </pic:pic>
              </a:graphicData>
            </a:graphic>
          </wp:inline>
        </w:drawing>
      </w:r>
    </w:p>
    <w:p>
      <w:pPr>
        <w:pStyle w:val="Caption"/>
        <w:spacing w:after="120"/>
        <w:jc w:val="center"/>
      </w:pPr>
      <w:r>
        <w:t>Рисунок 19. Blocker-safe шлюз голономно-ассоциаторного прогноза. Собственная схема Тома II.</w:t>
      </w:r>
    </w:p>
    <w:p>
      <w:pPr>
        <w:pStyle w:val="Heading1"/>
        <w:pageBreakBefore w:val="0"/>
        <w:spacing w:before="200" w:after="100"/>
        <w:keepNext/>
      </w:pPr>
      <w:r>
        <w:t>68. Вычислительный сертификат HOL-ASS v0.7</w:t>
      </w:r>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pPr>
        <w:pStyle w:val="Heading1"/>
        <w:pageBreakBefore w:val="0"/>
        <w:spacing w:before="200" w:after="100"/>
        <w:keepNext/>
      </w:pPr>
      <w:r>
        <w:t>69. Доказательные обязательства, библиография и контрольная точка v0.7</w:t>
      </w:r>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pPr>
        <w:pStyle w:val="Heading1"/>
        <w:pageBreakBefore w:val="0"/>
        <w:spacing w:before="200" w:after="100"/>
        <w:keepNext/>
      </w:pPr>
      <w:r>
        <w:t>70. Глава 10: дифференциальные формы NAPG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wp:cNvGraphicFramePr>
              <a:graphicFrameLocks noChangeAspect="1"/>
            </wp:cNvGraphicFramePr>
            <a:graphic>
              <a:graphicData uri="http://schemas.openxmlformats.org/drawingml/2006/picture">
                <pic:pic>
                  <pic:nvPicPr>
                    <pic:cNvPr id="0" name="fig20_diff_layers.png"/>
                    <pic:cNvPicPr/>
                  </pic:nvPicPr>
                  <pic:blipFill>
                    <a:blip r:embed="rId50"/>
                    <a:stretch>
                      <a:fillRect/>
                    </a:stretch>
                  </pic:blipFill>
                  <pic:spPr>
                    <a:xfrm>
                      <a:off x="0" y="0"/>
                      <a:ext cx="6172200" cy="3587591"/>
                    </a:xfrm>
                    <a:prstGeom prst="rect"/>
                  </pic:spPr>
                </pic:pic>
              </a:graphicData>
            </a:graphic>
          </wp:inline>
        </w:drawing>
      </w:r>
    </w:p>
    <w:p>
      <w:pPr>
        <w:pStyle w:val="Caption"/>
        <w:spacing w:after="120"/>
        <w:jc w:val="center"/>
      </w:pPr>
      <w:r>
        <w:t>Рисунок 20. Три дифференциальных слоя NAPG и разложение полного дефекта. Собственная схема Тома II.</w:t>
      </w:r>
    </w:p>
    <w:p>
      <w:pPr>
        <w:pStyle w:val="Heading1"/>
        <w:pageBreakBefore w:val="0"/>
        <w:spacing w:before="200" w:after="100"/>
        <w:keepNext/>
      </w:pPr>
      <w:r>
        <w:t>71. Замороженная нотация и четыре типа операторов</w:t>
      </w:r>
    </w:p>
    <w:p>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p>
    <w:p>
      <w:pPr>
        <w:spacing w:before="60" w:after="100"/>
        <w:jc w:val="center"/>
      </w:pPr>
      <w:r>
        <w:rPr>
          <w:rFonts w:ascii="Cambria Math" w:hAnsi="Cambria Math" w:eastAsia="Cambria Math"/>
          <w:sz w:val="22"/>
        </w:rPr>
        <w:t>Ω_N^• = ⊕_{p≥0} Ω_N^p,     |α|=p для α∈Ω_N^p.                                      (10.1)</w:t>
      </w:r>
    </w:p>
    <w:p>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p>
    <w:p>
      <w:pPr>
        <w:spacing w:before="60" w:after="100"/>
        <w:jc w:val="center"/>
      </w:pPr>
      <w:r>
        <w:rPr>
          <w:rFonts w:ascii="Cambria Math" w:hAnsi="Cambria Math" w:eastAsia="Cambria Math"/>
          <w:sz w:val="22"/>
        </w:rPr>
        <w:t>d_N^p : Dom(d_N^p) ⊂ Ω_N^p → Ω_N^{p+1}.                                    (10.2)</w:t>
      </w:r>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p>
    <w:p>
      <w:pPr>
        <w:spacing w:before="60" w:after="100"/>
        <w:jc w:val="center"/>
      </w:pPr>
      <w:r>
        <w:rPr>
          <w:rFonts w:ascii="Cambria Math" w:hAnsi="Cambria Math" w:eastAsia="Cambria Math"/>
          <w:sz w:val="22"/>
        </w:rPr>
        <w:t>δ_E : E^q → E^{q+1},     δ_E²=0 only after certificate.                         (10.3)</w:t>
      </w:r>
    </w:p>
    <w:p>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p>
    <w:p>
      <w:pPr>
        <w:pStyle w:val="Heading1"/>
        <w:pageBreakBefore w:val="0"/>
        <w:spacing w:before="200" w:after="100"/>
        <w:keepNext/>
      </w:pPr>
      <w:r>
        <w:t>72. Graded Leibniz calculus и дефект дифференцирования</w:t>
      </w:r>
    </w:p>
    <w:p>
      <w:pPr>
        <w:pStyle w:val="Heading2"/>
        <w:pageBreakBefore w:val="0"/>
        <w:spacing w:before="140" w:after="100"/>
        <w:keepNext/>
      </w:pPr>
      <w:r>
        <w:t>72.1. Градуированное пакетное произведение</w:t>
      </w:r>
    </w:p>
    <w:p>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p>
    <w:p>
      <w:pPr>
        <w:spacing w:before="60" w:after="100"/>
        <w:jc w:val="center"/>
      </w:pPr>
      <w:r>
        <w:rPr>
          <w:rFonts w:ascii="Cambria Math" w:hAnsi="Cambria Math" w:eastAsia="Cambria Math"/>
          <w:sz w:val="22"/>
        </w:rPr>
        <w:t>L_d(α,β)=d_N(α⊙β)-d_Nα⊙β-(-1)^{|α|}α⊙d_Nβ.                   (10.4)</w:t>
      </w:r>
    </w:p>
    <w:p>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p>
    <w:p>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p>
    <w:p>
      <w:pPr>
        <w:pStyle w:val="Heading2"/>
        <w:pageBreakBefore w:val="0"/>
        <w:spacing w:before="140" w:after="100"/>
        <w:keepNext/>
      </w:pPr>
      <w:r>
        <w:t>72.2. Коммутатор дериваций и квадрат</w:t>
      </w:r>
    </w:p>
    <w:p>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p>
    <w:p>
      <w:pPr>
        <w:spacing w:before="60" w:after="100"/>
        <w:jc w:val="center"/>
      </w:pPr>
      <w:r>
        <w:rPr>
          <w:rFonts w:ascii="Cambria Math" w:hAnsi="Cambria Math" w:eastAsia="Cambria Math"/>
          <w:sz w:val="22"/>
        </w:rPr>
        <w:t>[D,E]=D∘E-(-1)^{|D||E|}E∘D                                          (10.5)</w:t>
      </w:r>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p>
    <w:p>
      <w:pPr>
        <w:spacing w:before="60" w:after="100"/>
        <w:jc w:val="center"/>
      </w:pPr>
      <w:r>
        <w:rPr>
          <w:rFonts w:ascii="Cambria Math" w:hAnsi="Cambria Math" w:eastAsia="Cambria Math"/>
          <w:sz w:val="22"/>
        </w:rPr>
        <w:t>d_N²(α⊙β)=d_N²α⊙β+α⊙d_N²β.                                  (10.6)</w:t>
      </w:r>
    </w:p>
    <w:p>
      <w:pPr>
        <w:pStyle w:val="Heading2"/>
        <w:pageBreakBefore w:val="0"/>
        <w:spacing w:before="140" w:after="100"/>
        <w:keepNext/>
      </w:pPr>
      <w:r>
        <w:t>72.3. Дифференцирование ассоциатора</w:t>
      </w:r>
    </w:p>
    <w:p>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p>
    <w:p>
      <w:pPr>
        <w:spacing w:before="60" w:after="100"/>
        <w:jc w:val="center"/>
      </w:pPr>
      <w:r>
        <w:rPr>
          <w:rFonts w:ascii="Cambria Math" w:hAnsi="Cambria Math" w:eastAsia="Cambria Math"/>
          <w:sz w:val="22"/>
        </w:rPr>
        <w:t>d_N Ass(α,β,γ)=Ass(d_Nα,β,γ)+(-1)^{|α|}Ass(α,d_Nβ,γ)+(-1)^{|α|+|β|}Ass(α,β,d_Nγ).     (10.7)</w:t>
      </w:r>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p>
    <w:p>
      <w:pPr>
        <w:pStyle w:val="Heading1"/>
        <w:pageBreakBefore w:val="0"/>
        <w:spacing w:before="200" w:after="100"/>
        <w:keepNext/>
      </w:pPr>
      <w:r>
        <w:t>73. Почему d²=0 не является автоматическим</w:t>
      </w:r>
    </w:p>
    <w:p>
      <w:pPr>
        <w:spacing w:before="100" w:after="40"/>
        <w:jc w:val="center"/>
      </w:pPr>
      <w:r>
        <w:drawing>
          <wp:inline xmlns:a="http://schemas.openxmlformats.org/drawingml/2006/main" xmlns:pic="http://schemas.openxmlformats.org/drawingml/2006/picture">
            <wp:extent cx="6172200" cy="3780473"/>
            <wp:docPr id="25" name="Picture 25"/>
            <wp:cNvGraphicFramePr>
              <a:graphicFrameLocks noChangeAspect="1"/>
            </wp:cNvGraphicFramePr>
            <a:graphic>
              <a:graphicData uri="http://schemas.openxmlformats.org/drawingml/2006/picture">
                <pic:pic>
                  <pic:nvPicPr>
                    <pic:cNvPr id="0" name="fig21_d2_models.png"/>
                    <pic:cNvPicPr/>
                  </pic:nvPicPr>
                  <pic:blipFill>
                    <a:blip r:embed="rId51"/>
                    <a:stretch>
                      <a:fillRect/>
                    </a:stretch>
                  </pic:blipFill>
                  <pic:spPr>
                    <a:xfrm>
                      <a:off x="0" y="0"/>
                      <a:ext cx="6172200" cy="3780473"/>
                    </a:xfrm>
                    <a:prstGeom prst="rect"/>
                  </pic:spPr>
                </pic:pic>
              </a:graphicData>
            </a:graphic>
          </wp:inline>
        </w:drawing>
      </w:r>
    </w:p>
    <w:p>
      <w:pPr>
        <w:pStyle w:val="Caption"/>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p>
    <w:p>
      <w:pPr>
        <w:spacing w:before="60" w:after="100"/>
        <w:jc w:val="center"/>
      </w:pPr>
      <w:r>
        <w:rPr>
          <w:rFonts w:ascii="Cambria Math" w:hAnsi="Cambria Math" w:eastAsia="Cambria Math"/>
          <w:sz w:val="22"/>
        </w:rPr>
        <w:t>Ω_d := d_N² : Ω_N^p → Ω_N^{p+2}.                                  (10.8)</w:t>
      </w:r>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p>
    <w:p>
      <w:pPr>
        <w:spacing w:before="60" w:after="100"/>
        <w:jc w:val="center"/>
      </w:pPr>
      <w:r>
        <w:rPr>
          <w:rFonts w:ascii="Cambria Math" w:hAnsi="Cambria Math" w:eastAsia="Cambria Math"/>
          <w:sz w:val="22"/>
        </w:rPr>
        <w:t>[d_N,Ω_d]=0.                                                               (10.9)</w:t>
      </w:r>
    </w:p>
    <w:p>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pPr>
        <w:spacing w:before="60" w:after="100"/>
        <w:jc w:val="center"/>
      </w:pPr>
      <w:r>
        <w:rPr>
          <w:rFonts w:ascii="Cambria Math" w:hAnsi="Cambria Math" w:eastAsia="Cambria Math"/>
          <w:sz w:val="22"/>
        </w:rPr>
        <w:t>d²(a)=c≠0.                                                               (10.10)</w:t>
      </w:r>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pPr>
        <w:spacing w:before="60" w:after="100"/>
        <w:jc w:val="center"/>
      </w:pPr>
      <w:r>
        <w:rPr>
          <w:rFonts w:ascii="Cambria Math" w:hAnsi="Cambria Math" w:eastAsia="Cambria Math"/>
          <w:sz w:val="22"/>
        </w:rPr>
        <w:t>d_∇² α = R_∇ ∧ α.                                                        (10.11)</w:t>
      </w:r>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pPr>
        <w:spacing w:before="60" w:after="100"/>
        <w:jc w:val="center"/>
      </w:pPr>
      <w:r>
        <w:rPr>
          <w:rFonts w:ascii="Cambria Math" w:hAnsi="Cambria Math" w:eastAsia="Cambria Math"/>
          <w:sz w:val="22"/>
        </w:rPr>
        <w:t>A² = dω + ω∧ω.                                                           (10.12)</w:t>
      </w:r>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pPr>
        <w:pStyle w:val="Heading1"/>
        <w:pageBreakBefore w:val="0"/>
        <w:spacing w:before="200" w:after="100"/>
        <w:keepNext/>
      </w:pPr>
      <w:r>
        <w:t>74. Локальность, ограничения и склейка дифференциалов</w:t>
      </w:r>
    </w:p>
    <w:p>
      <w:pPr>
        <w:pStyle w:val="Heading2"/>
        <w:pageBreakBefore w:val="0"/>
        <w:spacing w:before="140" w:after="100"/>
        <w:keepNext/>
      </w:pPr>
      <w:r>
        <w:t>74.1. Sheaf-locality</w:t>
      </w:r>
    </w:p>
    <w:p>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p>
    <w:p>
      <w:pPr>
        <w:spacing w:before="60" w:after="100"/>
        <w:jc w:val="center"/>
      </w:pPr>
      <w:r>
        <w:rPr>
          <w:rFonts w:ascii="Cambria Math" w:hAnsi="Cambria Math" w:eastAsia="Cambria Math"/>
          <w:sz w:val="22"/>
        </w:rPr>
        <w:t>(d_U α)|_V = d_V(α|_V).                                                 (10.13)</w:t>
      </w:r>
    </w:p>
    <w:p>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p>
    <w:p>
      <w:pPr>
        <w:pStyle w:val="Heading2"/>
        <w:pageBreakBefore w:val="0"/>
        <w:spacing w:before="140" w:after="100"/>
        <w:keepNext/>
      </w:pPr>
      <w:r>
        <w:t>74.2. Склейка</w:t>
      </w:r>
    </w:p>
    <w:p>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p>
    <w:p>
      <w:pPr>
        <w:spacing w:before="60" w:after="100"/>
        <w:jc w:val="center"/>
      </w:pPr>
      <w:r>
        <w:rPr>
          <w:rFonts w:ascii="Cambria Math" w:hAnsi="Cambria Math" w:eastAsia="Cambria Math"/>
          <w:sz w:val="22"/>
        </w:rPr>
        <w:t>g_ij ∘ d_j = d_i ∘ g_ij,                                                (10.14)</w:t>
      </w:r>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p>
    <w:p>
      <w:pPr>
        <w:spacing w:before="60" w:after="100"/>
        <w:jc w:val="center"/>
      </w:pPr>
      <w:r>
        <w:rPr>
          <w:rFonts w:ascii="Cambria Math" w:hAnsi="Cambria Math" w:eastAsia="Cambria Math"/>
          <w:sz w:val="22"/>
        </w:rPr>
        <w:t>K_ij := g_ij d_j - d_i g_ij.                                            (10.15)</w:t>
      </w:r>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pPr>
        <w:pStyle w:val="Heading1"/>
        <w:pageBreakBefore w:val="0"/>
        <w:spacing w:before="200" w:after="100"/>
        <w:keepNext/>
      </w:pPr>
      <w:r>
        <w:t>75. Внутренний и внешний слои: total operator и mixed defect</w:t>
      </w:r>
    </w:p>
    <w:p>
      <w:pPr>
        <w:pStyle w:val="Heading2"/>
        <w:pageBreakBefore w:val="0"/>
        <w:spacing w:before="140" w:after="100"/>
        <w:keepNext/>
      </w:pPr>
      <w:r>
        <w:t>75.1. Биградуированная конструкция</w:t>
      </w:r>
    </w:p>
    <w:p>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p>
    <w:p>
      <w:pPr>
        <w:spacing w:before="60" w:after="100"/>
        <w:jc w:val="center"/>
      </w:pPr>
      <w:r>
        <w:rPr>
          <w:rFonts w:ascii="Cambria Math" w:hAnsi="Cambria Math" w:eastAsia="Cambria Math"/>
          <w:sz w:val="22"/>
        </w:rPr>
        <w:t>D_tot = d_N + (-1)^p δ_E.                                               (10.16)</w:t>
      </w:r>
    </w:p>
    <w:p>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p>
    <w:p>
      <w:pPr>
        <w:spacing w:before="60" w:after="100"/>
        <w:jc w:val="center"/>
      </w:pPr>
      <w:r>
        <w:rPr>
          <w:rFonts w:ascii="Cambria Math" w:hAnsi="Cambria Math" w:eastAsia="Cambria Math"/>
          <w:sz w:val="22"/>
        </w:rPr>
        <w:t>D_tot² = Ω_int + Ω_E + (-1)^p M_mix,                                    (10.17)</w:t>
      </w:r>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p>
    <w:p>
      <w:pPr>
        <w:spacing w:before="60" w:after="100"/>
        <w:jc w:val="center"/>
      </w:pPr>
      <w:r>
        <w:rPr>
          <w:rFonts w:ascii="Cambria Math" w:hAnsi="Cambria Math" w:eastAsia="Cambria Math"/>
          <w:sz w:val="22"/>
        </w:rPr>
        <w:t>Cert_E=(δ_E²=0, well-defined Π_E, representative independence, naturality, mixed compatibility).     (10.18)</w:t>
      </w:r>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pPr>
        <w:pStyle w:val="Heading1"/>
        <w:pageBreakBefore w:val="0"/>
        <w:spacing w:before="200" w:after="100"/>
        <w:keepNext/>
      </w:pPr>
      <w:r>
        <w:t>76. Hodge-слой: кодифференциал и лапласиан без подмены обозначений</w:t>
      </w:r>
    </w:p>
    <w:p>
      <w:pPr>
        <w:pStyle w:val="Heading2"/>
        <w:pageBreakBefore w:val="0"/>
        <w:spacing w:before="140" w:after="100"/>
        <w:keepNext/>
      </w:pPr>
      <w:r>
        <w:t>76.1. Условия существования</w:t>
      </w:r>
    </w:p>
    <w:p>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p>
    <w:p>
      <w:pPr>
        <w:spacing w:before="60" w:after="100"/>
        <w:jc w:val="center"/>
      </w:pPr>
      <w:r>
        <w:rPr>
          <w:rFonts w:ascii="Cambria Math" w:hAnsi="Cambria Math" w:eastAsia="Cambria Math"/>
          <w:sz w:val="22"/>
        </w:rPr>
        <w:t>⋆_Hdg : Ω^p(U) → Ω^{n-p}(U).                                             (10.19)</w:t>
      </w:r>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p>
    <w:p>
      <w:pPr>
        <w:spacing w:before="60" w:after="100"/>
        <w:jc w:val="center"/>
      </w:pPr>
      <w:r>
        <w:rPr>
          <w:rFonts w:ascii="Cambria Math" w:hAnsi="Cambria Math" w:eastAsia="Cambria Math"/>
          <w:sz w:val="22"/>
        </w:rPr>
        <w:t>δ_Hdg = (-1)^{n(p+1)+1} ⋆_Hdg d_N ⋆_Hdg.                               (10.20)</w:t>
      </w:r>
    </w:p>
    <w:p>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p>
    <w:p>
      <w:pPr>
        <w:spacing w:before="60" w:after="100"/>
        <w:jc w:val="center"/>
      </w:pPr>
      <w:r>
        <w:rPr>
          <w:rFonts w:ascii="Cambria Math" w:hAnsi="Cambria Math" w:eastAsia="Cambria Math"/>
          <w:sz w:val="22"/>
        </w:rPr>
        <w:t>Δ_Hdg = d_N δ_Hdg + δ_Hdg d_N.                                          (10.21)</w:t>
      </w:r>
    </w:p>
    <w:p>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p>
    <w:p>
      <w:pPr>
        <w:spacing w:before="60" w:after="100"/>
        <w:jc w:val="center"/>
      </w:pPr>
      <w:r>
        <w:rPr>
          <w:rFonts w:ascii="Cambria Math" w:hAnsi="Cambria Math" w:eastAsia="Cambria Math"/>
          <w:sz w:val="22"/>
        </w:rPr>
        <w:t>H_ij = g_ij ⋆_j - ⋆_i g_ij.                                              (10.22)</w:t>
      </w:r>
    </w:p>
    <w:p>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p>
    <w:p>
      <w:pPr>
        <w:spacing w:before="60" w:after="100"/>
        <w:jc w:val="center"/>
      </w:pPr>
      <w:r>
        <w:rPr>
          <w:rFonts w:ascii="Cambria Math" w:hAnsi="Cambria Math" w:eastAsia="Cambria Math"/>
          <w:sz w:val="22"/>
        </w:rPr>
        <w:t>A_Hdg = δ_Hdg - d_N^*.                                                   (10.23)</w:t>
      </w:r>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pPr>
        <w:pStyle w:val="Heading1"/>
        <w:pageBreakBefore w:val="0"/>
        <w:spacing w:before="200" w:after="100"/>
        <w:keepNext/>
      </w:pPr>
      <w:r>
        <w:t>77. Differential Reper и λ-гармония</w:t>
      </w:r>
    </w:p>
    <w:p>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p>
    <w:p>
      <w:pPr>
        <w:spacing w:before="60" w:after="100"/>
        <w:jc w:val="center"/>
      </w:pPr>
      <w:r>
        <w:rPr>
          <w:rFonts w:ascii="Cambria Math" w:hAnsi="Cambria Math" w:eastAsia="Cambria Math"/>
          <w:sz w:val="22"/>
        </w:rPr>
        <w:t>Rep_diff(d_N)=(R_d,I_d,U_d;D_d),                                       (10.24)</w:t>
      </w:r>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p>
    <w:p>
      <w:pPr>
        <w:spacing w:before="60" w:after="100"/>
        <w:jc w:val="center"/>
      </w:pPr>
      <w:r>
        <w:rPr>
          <w:rFonts w:ascii="Cambria Math" w:hAnsi="Cambria Math" w:eastAsia="Cambria Math"/>
          <w:sz w:val="22"/>
        </w:rPr>
        <w:t>Def_diff=(||L_d||,||Ω_d||,||K_glue||,||M_mix||,||H||,pole_λ,Block_Dom).     (10.25)</w:t>
      </w:r>
    </w:p>
    <w:p>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p>
    <w:p>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p>
    <w:p>
      <w:pPr>
        <w:spacing w:before="60" w:after="100"/>
        <w:jc w:val="center"/>
      </w:pPr>
      <w:r>
        <w:rPr>
          <w:rFonts w:ascii="Cambria Math" w:hAnsi="Cambria Math" w:eastAsia="Cambria Math"/>
          <w:sz w:val="22"/>
        </w:rPr>
        <w:t>C_diff(τ,η)={x: δ_truth(x)≤τ, ||Def_diff(x)||≤η, Valid(D)=1, Dom=1}.       (10.26)</w:t>
      </w:r>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pPr>
        <w:pStyle w:val="Heading1"/>
        <w:pageBreakBefore w:val="0"/>
        <w:spacing w:before="200" w:after="100"/>
        <w:keepNext/>
      </w:pPr>
      <w:r>
        <w:t>78. Дифференциальный переходный горизонт</w:t>
      </w:r>
    </w:p>
    <w:p>
      <w:pPr>
        <w:pStyle w:val="Heading2"/>
        <w:pageBreakBefore w:val="0"/>
        <w:spacing w:before="140" w:after="100"/>
        <w:keepNext/>
      </w:pPr>
      <w:r>
        <w:t>78.1. Аналитические семейства</w:t>
      </w:r>
    </w:p>
    <w:p>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p>
    <w:p>
      <w:pPr>
        <w:spacing w:before="60" w:after="100"/>
        <w:jc w:val="center"/>
      </w:pPr>
      <w:r>
        <w:rPr>
          <w:rFonts w:ascii="Cambria Math" w:hAnsi="Cambria Math" w:eastAsia="Cambria Math"/>
          <w:sz w:val="22"/>
        </w:rPr>
        <w:t>Σ_diff(t)=(rank d_t^p, rank(d_t^{p+1}d_t^p), rank L_{d_t}, rank K_t, rank M_t, rank H_t, dim H_t^p when defined).     (10.27)</w:t>
      </w:r>
    </w:p>
    <w:p>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p>
    <w:p>
      <w:pPr>
        <w:spacing w:before="60" w:after="100"/>
        <w:jc w:val="center"/>
      </w:pPr>
      <w:r>
        <w:rPr>
          <w:rFonts w:ascii="Cambria Math" w:hAnsi="Cambria Math" w:eastAsia="Cambria Math"/>
          <w:sz w:val="22"/>
        </w:rPr>
        <w:t>Δ_safe^{++} = Δ_safe^+ ∪ Δ_diff.                                        (10.28)</w:t>
      </w:r>
    </w:p>
    <w:p>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p>
    <w:p>
      <w:pPr>
        <w:spacing w:before="60" w:after="100"/>
        <w:jc w:val="center"/>
      </w:pPr>
      <w:r>
        <w:rPr>
          <w:rFonts w:ascii="Cambria Math" w:hAnsi="Cambria Math" w:eastAsia="Cambria Math"/>
          <w:sz w:val="22"/>
        </w:rPr>
        <w:t>dim H_t^p = dim Ω^p - rank d_t^p - rank d_t^{p-1}                       (10.29)</w:t>
      </w:r>
    </w:p>
    <w:p>
      <w:pPr>
        <w:spacing w:before="0" w:after="100" w:line="259" w:lineRule="auto"/>
      </w:pPr>
      <w:r>
        <w:rPr>
          <w:rFonts w:ascii="Liberation Serif" w:hAnsi="Liberation Serif" w:eastAsia="Liberation Serif"/>
          <w:b w:val="0"/>
          <w:sz w:val="22"/>
        </w:rPr>
        <w:t>также постоянно.</w:t>
      </w:r>
    </w:p>
    <w:p>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p>
    <w:p>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p>
    <w:p>
      <w:pPr>
        <w:pStyle w:val="Heading1"/>
        <w:pageBreakBefore w:val="0"/>
        <w:spacing w:before="200" w:after="100"/>
        <w:keepNext/>
      </w:pPr>
      <w:r>
        <w:t>79. Разделяющие модели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p>
    <w:p>
      <w:pPr>
        <w:pStyle w:val="Heading1"/>
        <w:pageBreakBefore w:val="0"/>
        <w:spacing w:before="200" w:after="100"/>
        <w:keepNext/>
      </w:pPr>
      <w:r>
        <w:t>80. Главная условная теорема v0.8</w:t>
      </w:r>
    </w:p>
    <w:p>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wp:cNvGraphicFramePr>
              <a:graphicFrameLocks noChangeAspect="1"/>
            </wp:cNvGraphicFramePr>
            <a:graphic>
              <a:graphicData uri="http://schemas.openxmlformats.org/drawingml/2006/picture">
                <pic:pic>
                  <pic:nvPicPr>
                    <pic:cNvPr id="0" name="fig22_diff_gate.png"/>
                    <pic:cNvPicPr/>
                  </pic:nvPicPr>
                  <pic:blipFill>
                    <a:blip r:embed="rId52"/>
                    <a:stretch>
                      <a:fillRect/>
                    </a:stretch>
                  </pic:blipFill>
                  <pic:spPr>
                    <a:xfrm>
                      <a:off x="0" y="0"/>
                      <a:ext cx="6172200" cy="3549015"/>
                    </a:xfrm>
                    <a:prstGeom prst="rect"/>
                  </pic:spPr>
                </pic:pic>
              </a:graphicData>
            </a:graphic>
          </wp:inline>
        </w:drawing>
      </w:r>
    </w:p>
    <w:p>
      <w:pPr>
        <w:pStyle w:val="Caption"/>
        <w:spacing w:after="120"/>
        <w:jc w:val="center"/>
      </w:pPr>
      <w:r>
        <w:t>Рисунок 22. Blocker-safe шлюз дифференциального прогноза. Собственная схема Тома II.</w:t>
      </w:r>
    </w:p>
    <w:p>
      <w:pPr>
        <w:pStyle w:val="Heading1"/>
        <w:pageBreakBefore w:val="0"/>
        <w:spacing w:before="200" w:after="100"/>
        <w:keepNext/>
      </w:pPr>
      <w:r>
        <w:t>81. Вычислительный сертификат DIFF-NAPG v0.8</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pPr>
        <w:pStyle w:val="Heading1"/>
        <w:pageBreakBefore w:val="0"/>
        <w:spacing w:before="200" w:after="100"/>
        <w:keepNext/>
      </w:pPr>
      <w:r>
        <w:t>82. Доказательные обязательства, источники и контрольная точка v0.8</w:t>
      </w:r>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T2-PO-086</w:t>
            </w:r>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p>
      <w:r>
        <w:br w:type="page"/>
      </w:r>
    </w:p>
    <w:p>
      <w:pPr>
        <w:pStyle w:val="Heading1"/>
        <w:keepNext/>
      </w:pPr>
      <w:r>
        <w:t>83. Глава 12. Внутренняя конструкция C_min^•, δ_min и Θ_min</w:t>
      </w:r>
    </w:p>
    <w:p>
      <w:pPr>
        <w:pStyle w:val="Lead"/>
      </w:pPr>
      <w:r>
        <w:t>Каноническое углубление запрошенного пакета T2-RP-v0.9</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Минимальный комплекс существует как внутренняя форма различения между формальным выражением и его вычисленным квадратичным результатом. Его объектом является не физическое поле и не внешняя топология, а строго типизированная возможность снять вычисленный дефект разрешённым формальным прообразом.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Познание препятствия требует не одного числа и не красивого сходства формул, а факторизации: что уже объясняется образом Ψ²_N, а что остаётся классом в факторпространстве. Только класс [q], независимый от представителя, допускается как внутренний сертификат препятствия.</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 вычислении конструкция проявляется как остаток после решения линейной задачи Ψf=q. Ненулевой ортогональный остаток означает отсутствие подъёма в данной модели; нулевой остаток открывает семейство подъёмов, но ещё не создаёт глобальную деформацию или событие.</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H³(C_min) является канонической упаковкой O_B и не отождествляется с H³(E), de Rham-, Hochschild-, Chevalley-Eilenberg- или физической когомологией. Нулевой внутренний класс закрывает только заявленный квадратичный этап. truth_layer_promotion=0.</w:t>
            </w:r>
          </w:p>
        </w:tc>
      </w:tr>
    </w:tbl>
    <w:p>
      <w:pPr>
        <w:pStyle w:val="Heading2"/>
        <w:keepNext/>
      </w:pPr>
      <w:r>
        <w:t>83.1. Цель, статус и каноническая нумерация</w:t>
      </w:r>
    </w:p>
    <w:p>
      <w:pPr/>
      <w:r>
        <w:t>По обязательному master-skeleton оператор Ходжа образует главу 11, а внутренняя конструкция C_min^• - главу 12. В текущем диалоге выражение «глава 11 углубления» возникло как номер следующего математического пакета после v0.8. В тексте монографии сохраняется каноническая нумерация главы 12, поскольку нумерация 24 глав заморожена регламентом.</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Импорт P0</w:t>
            </w:r>
          </w:p>
        </w:tc>
        <w:tc>
          <w:tcPr>
            <w:tcW w:type="dxa" w:w="6520"/>
            <w:shd w:fill="FFFFFF"/>
            <w:tcMar>
              <w:top w:w="110" w:type="dxa"/>
              <w:start w:w="130" w:type="dxa"/>
              <w:bottom w:w="110" w:type="dxa"/>
              <w:end w:w="130" w:type="dxa"/>
            </w:tcMar>
            <w:vAlign w:val="center"/>
          </w:tcPr>
          <w:p>
            <w:r>
              <w:rPr>
                <w:rFonts w:ascii="Liberation Serif" w:hAnsi="Liberation Serif"/>
                <w:sz w:val="18"/>
              </w:rPr>
              <w:t>Том I v197 RU, §§52.9-52.18 и статус 26.36: F077-F080, естественность, A11-A14 и таблица DT-01-DT-12.</w:t>
            </w:r>
          </w:p>
        </w:tc>
      </w:tr>
      <w:tr>
        <w:tc>
          <w:tcPr>
            <w:tcW w:type="dxa" w:w="2835"/>
            <w:shd w:fill="EEF3F8"/>
            <w:tcMar>
              <w:top w:w="110" w:type="dxa"/>
              <w:start w:w="130" w:type="dxa"/>
              <w:bottom w:w="110" w:type="dxa"/>
              <w:end w:w="130" w:type="dxa"/>
            </w:tcMar>
            <w:vAlign w:val="center"/>
          </w:tcPr>
          <w:p>
            <w:r>
              <w:rPr>
                <w:rFonts w:ascii="Liberation Sans" w:hAnsi="Liberation Sans"/>
                <w:b/>
                <w:sz w:val="18"/>
              </w:rPr>
              <w:t>Новый результат v0.9</w:t>
            </w:r>
          </w:p>
        </w:tc>
        <w:tc>
          <w:tcPr>
            <w:tcW w:type="dxa" w:w="6520"/>
            <w:shd w:fill="F8FAFC"/>
            <w:tcMar>
              <w:top w:w="110" w:type="dxa"/>
              <w:start w:w="130" w:type="dxa"/>
              <w:bottom w:w="110" w:type="dxa"/>
              <w:end w:w="130" w:type="dxa"/>
            </w:tcMar>
            <w:vAlign w:val="center"/>
          </w:tcPr>
          <w:p>
            <w:r>
              <w:rPr>
                <w:rFonts w:ascii="Liberation Serif" w:hAnsi="Liberation Serif"/>
                <w:sz w:val="18"/>
              </w:rPr>
              <w:t>Точная последовательность; lift-torsor; universal chain-map property; field base-change; аналитический obstruction section; устойчивый отрицательный прогноз.</w:t>
            </w:r>
          </w:p>
        </w:tc>
      </w:tr>
      <w:tr>
        <w:tc>
          <w:tcPr>
            <w:tcW w:type="dxa" w:w="2835"/>
            <w:shd w:fill="DCE6F1"/>
            <w:tcMar>
              <w:top w:w="110" w:type="dxa"/>
              <w:start w:w="130" w:type="dxa"/>
              <w:bottom w:w="110" w:type="dxa"/>
              <w:end w:w="130" w:type="dxa"/>
            </w:tcMar>
            <w:vAlign w:val="center"/>
          </w:tcPr>
          <w:p>
            <w:r>
              <w:rPr>
                <w:rFonts w:ascii="Liberation Sans" w:hAnsi="Liberation Sans"/>
                <w:b/>
                <w:sz w:val="18"/>
              </w:rPr>
              <w:t>Условный слой</w:t>
            </w:r>
          </w:p>
        </w:tc>
        <w:tc>
          <w:tcPr>
            <w:tcW w:type="dxa" w:w="6520"/>
            <w:shd w:fill="FFFFFF"/>
            <w:tcMar>
              <w:top w:w="110" w:type="dxa"/>
              <w:start w:w="130" w:type="dxa"/>
              <w:bottom w:w="110" w:type="dxa"/>
              <w:end w:w="130" w:type="dxa"/>
            </w:tcMar>
            <w:vAlign w:val="center"/>
          </w:tcPr>
          <w:p>
            <w:r>
              <w:rPr>
                <w:rFonts w:ascii="Liberation Serif" w:hAnsi="Liberation Serif"/>
                <w:sz w:val="18"/>
              </w:rPr>
              <w:t>Переход к внешнему E-комплексу, высшим препятствиям, глобальной деформации, аналитике и физике.</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Открытая граница</w:t>
            </w:r>
          </w:p>
        </w:tc>
        <w:tc>
          <w:tcPr>
            <w:tcW w:type="dxa" w:w="6520"/>
            <w:shd w:fill="F8FAFC"/>
            <w:tcMar>
              <w:top w:w="110" w:type="dxa"/>
              <w:start w:w="130" w:type="dxa"/>
              <w:bottom w:w="110" w:type="dxa"/>
              <w:end w:w="130" w:type="dxa"/>
            </w:tcMar>
            <w:vAlign w:val="center"/>
          </w:tcPr>
          <w:p>
            <w:r>
              <w:rPr>
                <w:rFonts w:ascii="Liberation Serif" w:hAnsi="Liberation Serif"/>
                <w:sz w:val="18"/>
              </w:rPr>
              <w:t>Miniversal/derived realization, Banach/Hilbert-завершение, независимый доменный запуск и связь с F-1-F-14.</w:t>
            </w:r>
          </w:p>
        </w:tc>
      </w:tr>
    </w:tbl>
    <w:p>
      <w:pPr>
        <w:pStyle w:val="Heading1"/>
        <w:keepNext/>
      </w:pPr>
      <w:r>
        <w:t>84. Definition Core: квадратичный кадр и минимальный комплекс</w:t>
      </w:r>
    </w:p>
    <w:p>
      <w:pPr>
        <w:pStyle w:val="Heading2"/>
        <w:keepNext/>
      </w:pPr>
      <w:r>
        <w:t>84.1. Квадратичный кадр NAPG_q</w:t>
      </w:r>
    </w:p>
    <w:p>
      <w:pPr/>
      <w:r>
        <w:t>Определение 12.1 (квадратичный кадр NAPG). [DEF-A] Объект N состоит из поля K, градуированного носителя A^•, допустимой операции ⊙, структурных данных G, класса реперных генераторов R, формального пространства F²_N, вычисленного пространства X²_N и линейной карты вычисления Ψ²_N:F²_N→X²_N. Все пространства, степени, Dom и Cod включаются в паспорт объекта.</w:t>
      </w:r>
    </w:p>
    <w:p>
      <w:pPr>
        <w:keepLines/>
        <w:spacing w:before="80" w:after="80"/>
        <w:jc w:val="center"/>
      </w:pPr>
      <w:r>
        <w:rPr>
          <w:rFonts w:ascii="Liberation Serif" w:hAnsi="Liberation Serif"/>
          <w:i/>
          <w:sz w:val="23"/>
        </w:rPr>
        <w:t>N=(K,A^•,⊙,G,R; F²_N, X²_N, Ψ²_N).</w:t>
      </w:r>
      <w:r>
        <w:rPr>
          <w:sz w:val="21"/>
        </w:rPr>
        <w:t xml:space="preserve">     (12.1)</w:t>
      </w:r>
    </w:p>
    <w:p>
      <w:pPr/>
      <w:r>
        <w:t>Морфизм φ:N→N′ содержит компоненты φ_F:F²_N→F²_N′ и φ_X:X²_N→X²_N′, удовлетворяющие коммутативности квадрата вычисления.</w:t>
      </w:r>
    </w:p>
    <w:p>
      <w:pPr>
        <w:keepLines/>
        <w:spacing w:before="80" w:after="80"/>
        <w:jc w:val="center"/>
      </w:pPr>
      <w:r>
        <w:rPr>
          <w:rFonts w:ascii="Liberation Serif" w:hAnsi="Liberation Serif"/>
          <w:i/>
          <w:sz w:val="23"/>
        </w:rPr>
        <w:t>φ_X ∘ Ψ²_N = Ψ²_N′ ∘ φ_F.</w:t>
      </w:r>
      <w:r>
        <w:rPr>
          <w:sz w:val="21"/>
        </w:rPr>
        <w:t xml:space="preserve">     (12.2)</w:t>
      </w:r>
    </w:p>
    <w:p>
      <w:pPr>
        <w:pStyle w:val="Heading2"/>
        <w:keepNext/>
      </w:pPr>
      <w:r>
        <w:t>84.2. Минимальный коцепной комплекс</w:t>
      </w:r>
    </w:p>
    <w:p>
      <w:pPr/>
      <w:r>
        <w:t>Определение 12.2 (внутренний минимальный комплекс). [THM/IMPORT] Для каждого N∈NAPG_q положим</w:t>
      </w:r>
    </w:p>
    <w:p>
      <w:pPr>
        <w:keepLines/>
        <w:spacing w:before="80" w:after="80"/>
        <w:jc w:val="center"/>
      </w:pPr>
      <w:r>
        <w:rPr>
          <w:rFonts w:ascii="Liberation Serif" w:hAnsi="Liberation Serif"/>
          <w:i/>
          <w:sz w:val="23"/>
        </w:rPr>
        <w:t>C_min^n(N)=F²_N при n=2;  C_min^n(N)=X²_N при n=3;  C_min^n(N)=0 при n≠2,3.</w:t>
      </w:r>
      <w:r>
        <w:rPr>
          <w:sz w:val="21"/>
        </w:rPr>
        <w:t xml:space="preserve">     (12.3)</w:t>
      </w:r>
    </w:p>
    <w:p>
      <w:pPr>
        <w:keepLines/>
        <w:spacing w:before="80" w:after="80"/>
        <w:jc w:val="center"/>
      </w:pPr>
      <w:r>
        <w:rPr>
          <w:rFonts w:ascii="Liberation Serif" w:hAnsi="Liberation Serif"/>
          <w:i/>
          <w:sz w:val="23"/>
        </w:rPr>
        <w:t>δ_min²(N)=Ψ²_N;  δ_min^n(N)=0 при n≠2.</w:t>
      </w:r>
      <w:r>
        <w:rPr>
          <w:sz w:val="21"/>
        </w:rPr>
        <w:t xml:space="preserve">     (12.4)</w:t>
      </w:r>
    </w:p>
    <w:p>
      <w:pPr/>
      <w:r>
        <w:t>Лемма 12.1 (нильпотентность). [THM] Семейство (C_min^•(N),δ_min(N)) является коцепным комплексом. Доказательство. Единственная потенциальная композиция после Ψ²_N попадает в C_min^4=0, поэтому δ_min³δ_min²=0. Все прочие последовательные композиции содержат нулевую стрелку. □</w:t>
      </w:r>
    </w:p>
    <w:p>
      <w:pPr>
        <w:pStyle w:val="Heading2"/>
        <w:keepNext/>
      </w:pPr>
      <w:r>
        <w:t>84.3. Две разные карты: Θ_min и obstruction class</w:t>
      </w:r>
    </w:p>
    <w:p>
      <w:pPr/>
      <w:r>
        <w:t>Определение 12.3 (каноническая карта в третью степень). [THM/IMPORT]</w:t>
      </w:r>
    </w:p>
    <w:p>
      <w:pPr>
        <w:keepLines/>
        <w:spacing w:before="80" w:after="80"/>
        <w:jc w:val="center"/>
      </w:pPr>
      <w:r>
        <w:rPr>
          <w:rFonts w:ascii="Liberation Serif" w:hAnsi="Liberation Serif"/>
          <w:i/>
          <w:sz w:val="23"/>
        </w:rPr>
        <w:t>Θ_min,N:X²_N→C_min³(N),   Θ_min,N=id_{X²_N}.</w:t>
      </w:r>
      <w:r>
        <w:rPr>
          <w:sz w:val="21"/>
        </w:rPr>
        <w:t xml:space="preserve">     (12.5)</w:t>
      </w:r>
    </w:p>
    <w:p>
      <w:pPr/>
      <w:r>
        <w:t>Определение 12.4 (класс препятствия). [DEF-A] Пусть π_N:X²_N→X²_N/Im Ψ²_N - фактор-проекция. Для q∈X²_N внутренний класс препятствия определяется как</w:t>
      </w:r>
    </w:p>
    <w:p>
      <w:pPr>
        <w:keepLines/>
        <w:spacing w:before="80" w:after="80"/>
        <w:jc w:val="center"/>
      </w:pPr>
      <w:r>
        <w:rPr>
          <w:rFonts w:ascii="Liberation Serif" w:hAnsi="Liberation Serif"/>
          <w:i/>
          <w:sz w:val="23"/>
        </w:rPr>
        <w:t>o_min,N(q)=π_N(Θ_min,N(q))=[q] ∈ H³(C_min^•(N)).</w:t>
      </w:r>
      <w:r>
        <w:rPr>
          <w:sz w:val="21"/>
        </w:rPr>
        <w:t xml:space="preserve">     (12.6)</w:t>
      </w:r>
    </w:p>
    <w:p>
      <w:pPr/>
      <w:r>
        <w:t>Это различение принципиально: Θ_min является тождественной картой в коцепную группу, тогда как o_min является фактор-классом. Называть сам q «когомологическим классом» до применения π_N нельзя.</w:t>
      </w:r>
    </w:p>
    <w:p>
      <w:pPr>
        <w:keepNext/>
        <w:jc w:val="center"/>
      </w:pPr>
      <w:r>
        <w:drawing>
          <wp:inline xmlns:a="http://schemas.openxmlformats.org/drawingml/2006/main" xmlns:pic="http://schemas.openxmlformats.org/drawingml/2006/picture">
            <wp:extent cx="5760000" cy="2275709"/>
            <wp:docPr id="27" name="Picture 27"/>
            <wp:cNvGraphicFramePr>
              <a:graphicFrameLocks noChangeAspect="1"/>
            </wp:cNvGraphicFramePr>
            <a:graphic>
              <a:graphicData uri="http://schemas.openxmlformats.org/drawingml/2006/picture">
                <pic:pic>
                  <pic:nvPicPr>
                    <pic:cNvPr id="0" name="fig23_min_complex.png"/>
                    <pic:cNvPicPr/>
                  </pic:nvPicPr>
                  <pic:blipFill>
                    <a:blip r:embed="rId54"/>
                    <a:stretch>
                      <a:fillRect/>
                    </a:stretch>
                  </pic:blipFill>
                  <pic:spPr>
                    <a:xfrm>
                      <a:off x="0" y="0"/>
                      <a:ext cx="5760000" cy="2275709"/>
                    </a:xfrm>
                    <a:prstGeom prst="rect"/>
                  </pic:spPr>
                </pic:pic>
              </a:graphicData>
            </a:graphic>
          </wp:inline>
        </w:drawing>
      </w:r>
    </w:p>
    <w:p>
      <w:pPr>
        <w:pStyle w:val="Caption"/>
        <w:jc w:val="center"/>
      </w:pPr>
      <w:r>
        <w:t>Рисунок 23. Минимальный комплекс и естественная точная последовательность. Собственная схема Тома II.</w:t>
      </w:r>
    </w:p>
    <w:p>
      <w:pPr>
        <w:pStyle w:val="Heading1"/>
        <w:keepNext/>
      </w:pPr>
      <w:r>
        <w:t>85. Когомологии, точная последовательность и эйлеров инвариант</w:t>
      </w:r>
    </w:p>
    <w:p>
      <w:pPr/>
      <w:r>
        <w:t>Теорема 12.2 (внутренние H² и H³). [THM] Для каждого квадратичного кадра N</w:t>
      </w:r>
    </w:p>
    <w:p>
      <w:pPr>
        <w:keepLines/>
        <w:spacing w:before="80" w:after="80"/>
        <w:jc w:val="center"/>
      </w:pPr>
      <w:r>
        <w:rPr>
          <w:rFonts w:ascii="Liberation Serif" w:hAnsi="Liberation Serif"/>
          <w:i/>
          <w:sz w:val="23"/>
        </w:rPr>
        <w:t>H²(C_min(N))=Ker Ψ²_N,     H³(C_min(N))=Coker Ψ²_N=O_B(N).</w:t>
      </w:r>
      <w:r>
        <w:rPr>
          <w:sz w:val="21"/>
        </w:rPr>
        <w:t xml:space="preserve">     (12.7)</w:t>
      </w:r>
    </w:p>
    <w:p>
      <w:pPr/>
      <w:r>
        <w:t>Доказательство. В степени 2 входящая граница равна нулю, поэтому H²=Ker δ²_min/Im δ¹_min=Ker Ψ²_N. В степени 3 δ³_min=0, поэтому H³=X²_N/Im Ψ²_N. Последнее факторпространство по определению равно O_B(N). □</w:t>
      </w:r>
    </w:p>
    <w:p>
      <w:pPr/>
      <w:r>
        <w:t>Теорема 12.3 (естественная точная последовательность). [THM] Имеется естественная точная последовательность</w:t>
      </w:r>
    </w:p>
    <w:p>
      <w:pPr>
        <w:keepLines/>
        <w:spacing w:before="80" w:after="80"/>
        <w:jc w:val="center"/>
      </w:pPr>
      <w:r>
        <w:rPr>
          <w:rFonts w:ascii="Liberation Serif" w:hAnsi="Liberation Serif"/>
          <w:i/>
          <w:sz w:val="23"/>
        </w:rPr>
        <w:t>0→H²(C_min)→F²_N —Ψ²_N→ X²_N —π_N→ H³(C_min)→0.</w:t>
      </w:r>
      <w:r>
        <w:rPr>
          <w:sz w:val="21"/>
        </w:rPr>
        <w:t xml:space="preserve">     (12.8)</w:t>
      </w:r>
    </w:p>
    <w:p>
      <w:pPr/>
      <w:r>
        <w:t>Точность в F²_N означает Ker Ψ²_N=H²; точность в X²_N означает Ker π_N=Im Ψ²_N; сюръективность π_N следует из определения факторпространства. Естественность вытекает из (12.2).</w:t>
      </w:r>
    </w:p>
    <w:p>
      <w:pPr/>
      <w:r>
        <w:t>Следствие 12.3.1 (конечномерный ранг). [THM] Если dim F²_N=f, dim X²_N=x и rank Ψ²_N=r, то</w:t>
      </w:r>
    </w:p>
    <w:p>
      <w:pPr>
        <w:keepLines/>
        <w:spacing w:before="80" w:after="80"/>
        <w:jc w:val="center"/>
      </w:pPr>
      <w:r>
        <w:rPr>
          <w:rFonts w:ascii="Liberation Serif" w:hAnsi="Liberation Serif"/>
          <w:i/>
          <w:sz w:val="23"/>
        </w:rPr>
        <w:t>dim H²=f-r,     dim H³=x-r,     dim H²-dim H³=f-x.</w:t>
      </w:r>
      <w:r>
        <w:rPr>
          <w:sz w:val="21"/>
        </w:rPr>
        <w:t xml:space="preserve">     (12.9)</w:t>
      </w:r>
    </w:p>
    <w:p>
      <w:pPr/>
      <w:r>
        <w:t>Последнее равенство является эйлеровым инвариантом двухчленного комплекса. Оно не зависит от ранга и полезно как автоматический контроль вычислительного сертификата.</w:t>
      </w:r>
    </w:p>
    <w:p>
      <w:pPr>
        <w:pStyle w:val="Heading1"/>
        <w:keepNext/>
      </w:pPr>
      <w:r>
        <w:t>86. Функториальность и естественная каноничность</w:t>
      </w:r>
    </w:p>
    <w:p>
      <w:pPr/>
      <w:r>
        <w:t>Теорема 12.4 (функтор минимального комплекса). [THM] Назначение N↦C_min^•(N), φ↦(φ_F,φ_X) задаёт функтор</w:t>
      </w:r>
    </w:p>
    <w:p>
      <w:pPr>
        <w:keepLines/>
        <w:spacing w:before="80" w:after="80"/>
        <w:jc w:val="center"/>
      </w:pPr>
      <w:r>
        <w:rPr>
          <w:rFonts w:ascii="Liberation Serif" w:hAnsi="Liberation Serif"/>
          <w:i/>
          <w:sz w:val="23"/>
        </w:rPr>
        <w:t>C_min^•:NAPG_q→CoCh_K.</w:t>
      </w:r>
      <w:r>
        <w:rPr>
          <w:sz w:val="21"/>
        </w:rPr>
        <w:t xml:space="preserve">     (12.10)</w:t>
      </w:r>
    </w:p>
    <w:p>
      <w:pPr/>
      <w:r>
        <w:t>Доказательство. Условие (12.2) является ровно условием коцепного отображения в единственной нетривиальной степени. Тождества и композиции наследуются от линейных отображений. □</w:t>
      </w:r>
    </w:p>
    <w:p>
      <w:pPr/>
      <w:r>
        <w:t>Теорема 12.5 (естественный изоморфизм). [THM] Функтор O_B=Coker Ψ² естественно изоморфен функтору H³∘C_min. Компонента изоморфизма</w:t>
      </w:r>
    </w:p>
    <w:p>
      <w:pPr>
        <w:keepLines/>
        <w:spacing w:before="80" w:after="80"/>
        <w:jc w:val="center"/>
      </w:pPr>
      <w:r>
        <w:rPr>
          <w:rFonts w:ascii="Liberation Serif" w:hAnsi="Liberation Serif"/>
          <w:i/>
          <w:sz w:val="23"/>
        </w:rPr>
        <w:t>κ_N:O_B(N)→H³(C_min(N)),     κ_N([x])=[x],</w:t>
      </w:r>
      <w:r>
        <w:rPr>
          <w:sz w:val="21"/>
        </w:rPr>
        <w:t xml:space="preserve">     (12.11)</w:t>
      </w:r>
    </w:p>
    <w:p>
      <w:pPr/>
      <w:r>
        <w:t>корректна, биективна и независима от представителя. Для морфизма φ коммутирует квадрат κ_N′∘O_B(φ)=H³(C_min(φ))∘κ_N.</w:t>
      </w:r>
    </w:p>
    <w:p>
      <w:pPr/>
      <w:r>
        <w:t>Следствие 12.5.1. [THM] Нулевость внутреннего класса препятствия сохраняется всеми изоморфизмами NAPG_q. Численная норма выбранного представителя не обязана сохраняться, если морфизм не изометричен.</w:t>
      </w:r>
    </w:p>
    <w:p>
      <w:pPr>
        <w:pStyle w:val="Heading1"/>
        <w:keepNext/>
      </w:pPr>
      <w:r>
        <w:t>87. Критерий подъёма и H²-торсор решений</w:t>
      </w:r>
    </w:p>
    <w:p>
      <w:pPr/>
      <w:r>
        <w:t>Определение 12.5 (подъём). [DEF-A] Для q∈X²_N подъёмом называется f∈F²_N, удовлетворяющий Ψ²_N(f)=q. Множество всех подъёмов обозначается Lift_N(q).</w:t>
      </w:r>
    </w:p>
    <w:p>
      <w:pPr/>
      <w:r>
        <w:t>Теорема 12.6 (полный внутренний критерий подъёма). [THM] Для q∈X²_N эквивалентны:</w:t>
      </w:r>
    </w:p>
    <w:p>
      <w:pPr>
        <w:pStyle w:val="ListNumber"/>
      </w:pPr>
      <w:r>
        <w:t>o_min,N(q)=0 в H³(C_min(N));</w:t>
      </w:r>
    </w:p>
    <w:p>
      <w:pPr>
        <w:pStyle w:val="ListNumber"/>
      </w:pPr>
      <w:r>
        <w:t>q∈Im Ψ²_N;</w:t>
      </w:r>
    </w:p>
    <w:p>
      <w:pPr>
        <w:pStyle w:val="ListNumber"/>
      </w:pPr>
      <w:r>
        <w:t>существует f∈F²_N с Ψ²_N(f)=q;</w:t>
      </w:r>
    </w:p>
    <w:p>
      <w:pPr>
        <w:pStyle w:val="ListNumber"/>
      </w:pPr>
      <w:r>
        <w:t>Lift_N(q) непусто.</w:t>
      </w:r>
    </w:p>
    <w:p>
      <w:pPr/>
      <w:r>
        <w:t>Доказательство. Равенство [q]=0 в факторпространстве эквивалентно принадлежности q образу Ψ²_N, а это по определению эквивалентно существованию прообраза. □</w:t>
      </w:r>
    </w:p>
    <w:p>
      <w:pPr/>
      <w:r>
        <w:t>Теорема 12.7 (торсор подъёмов). [THM] Если Lift_N(q) непусто и f₀ - один подъём, то</w:t>
      </w:r>
    </w:p>
    <w:p>
      <w:pPr>
        <w:keepLines/>
        <w:spacing w:before="80" w:after="80"/>
        <w:jc w:val="center"/>
      </w:pPr>
      <w:r>
        <w:rPr>
          <w:rFonts w:ascii="Liberation Serif" w:hAnsi="Liberation Serif"/>
          <w:i/>
          <w:sz w:val="23"/>
        </w:rPr>
        <w:t>Lift_N(q)=f₀+Ker Ψ²_N=f₀+H²(C_min(N)).</w:t>
      </w:r>
      <w:r>
        <w:rPr>
          <w:sz w:val="21"/>
        </w:rPr>
        <w:t xml:space="preserve">     (12.12)</w:t>
      </w:r>
    </w:p>
    <w:p>
      <w:pPr/>
      <w:r>
        <w:t>Следовательно, H² измеряет не препятствие, а неоднозначность разрешения уже снятого препятствия. Нулевой H³ отвечает существованию подъёма для всякого q; нулевой H² отвечает его единственности.</w:t>
      </w:r>
    </w:p>
    <w:p>
      <w:pPr>
        <w:keepNext/>
        <w:jc w:val="center"/>
      </w:pPr>
      <w:r>
        <w:drawing>
          <wp:inline xmlns:a="http://schemas.openxmlformats.org/drawingml/2006/main" xmlns:pic="http://schemas.openxmlformats.org/drawingml/2006/picture">
            <wp:extent cx="5760000" cy="2275709"/>
            <wp:docPr id="28" name="Picture 28"/>
            <wp:cNvGraphicFramePr>
              <a:graphicFrameLocks noChangeAspect="1"/>
            </wp:cNvGraphicFramePr>
            <a:graphic>
              <a:graphicData uri="http://schemas.openxmlformats.org/drawingml/2006/picture">
                <pic:pic>
                  <pic:nvPicPr>
                    <pic:cNvPr id="0" name="fig24_lift_torsor.png"/>
                    <pic:cNvPicPr/>
                  </pic:nvPicPr>
                  <pic:blipFill>
                    <a:blip r:embed="rId55"/>
                    <a:stretch>
                      <a:fillRect/>
                    </a:stretch>
                  </pic:blipFill>
                  <pic:spPr>
                    <a:xfrm>
                      <a:off x="0" y="0"/>
                      <a:ext cx="5760000" cy="2275709"/>
                    </a:xfrm>
                    <a:prstGeom prst="rect"/>
                  </pic:spPr>
                </pic:pic>
              </a:graphicData>
            </a:graphic>
          </wp:inline>
        </w:drawing>
      </w:r>
    </w:p>
    <w:p>
      <w:pPr>
        <w:pStyle w:val="Caption"/>
        <w:jc w:val="center"/>
      </w:pPr>
      <w:r>
        <w:t>Рисунок 24. Критерий подъёма и H²-торсор решений. Собственная схема Тома II.</w:t>
      </w:r>
    </w:p>
    <w:p>
      <w:pPr>
        <w:pStyle w:val="Heading1"/>
        <w:keepNext/>
      </w:pPr>
      <w:r>
        <w:t>88. Универсальное свойство двухчленного ядра</w:t>
      </w:r>
    </w:p>
    <w:p>
      <w:pPr/>
      <w:r>
        <w:t>Теорема 12.8 (универсальное продолжение в заданный комплекс). [THM] Пусть E^• - коцепной комплекс, а заданы линейные карты J²:F²_N→E² и J³:X²_N→E³, удовлетворяющие</w:t>
      </w:r>
    </w:p>
    <w:p>
      <w:pPr>
        <w:keepLines/>
        <w:spacing w:before="80" w:after="80"/>
        <w:jc w:val="center"/>
      </w:pPr>
      <w:r>
        <w:rPr>
          <w:rFonts w:ascii="Liberation Serif" w:hAnsi="Liberation Serif"/>
          <w:i/>
          <w:sz w:val="23"/>
        </w:rPr>
        <w:t>δ_E²∘J² = J³∘Ψ²_N.</w:t>
      </w:r>
      <w:r>
        <w:rPr>
          <w:sz w:val="21"/>
        </w:rPr>
        <w:t xml:space="preserve">     (12.13)</w:t>
      </w:r>
    </w:p>
    <w:p>
      <w:pPr/>
      <w:r>
        <w:t>Тогда существует единственное коцепное отображение J:C_min^•(N)→E^•, компоненты которого в степенях 2 и 3 равны J² и J³, а в остальных степенях нулевые.</w:t>
      </w:r>
    </w:p>
    <w:p>
      <w:pPr/>
      <w:r>
        <w:t>Доказательство. Компоненты комплекса C_min вне степеней 2 и 3 нулевые, поэтому единственная проверка цепности совпадает с (12.13). Единственность следует из заранее заданных компонент. □</w:t>
      </w:r>
    </w:p>
    <w:p>
      <w:pPr/>
      <w:r>
        <w:t>Ограничение. Теорема не утверждает существование J²,J³ и не делает внешний комплекс каноническим. Именно существование, естественность и детектирующая полнота такого J образуют обязательства главы 13.</w:t>
      </w:r>
    </w:p>
    <w:p>
      <w:pPr>
        <w:pStyle w:val="Heading1"/>
        <w:keepNext/>
      </w:pPr>
      <w:r>
        <w:t>89. Base-change, прямые суммы и предел каноничности</w:t>
      </w:r>
    </w:p>
    <w:p>
      <w:pPr/>
      <w:r>
        <w:t>Теорема 12.9 (расширение поля). [THM] Пусть L/K - расширение полей. Тогда</w:t>
      </w:r>
    </w:p>
    <w:p>
      <w:pPr>
        <w:keepLines/>
        <w:spacing w:before="80" w:after="80"/>
        <w:jc w:val="center"/>
      </w:pPr>
      <w:r>
        <w:rPr>
          <w:rFonts w:ascii="Liberation Serif" w:hAnsi="Liberation Serif"/>
          <w:i/>
          <w:sz w:val="23"/>
        </w:rPr>
        <w:t>H^i(C_min(N)⊗_K L) ≅ H^i(C_min(N))⊗_K L,   i=2,3.</w:t>
      </w:r>
      <w:r>
        <w:rPr>
          <w:sz w:val="21"/>
        </w:rPr>
        <w:t xml:space="preserve">     (12.14)</w:t>
      </w:r>
    </w:p>
    <w:p>
      <w:pPr/>
      <w:r>
        <w:t>Доказательство. Тензорное умножение на поле L является точным, поэтому сохраняет ядра и факторпространства конечной длины. Так как L/K faithfully flat, [q]⊗1=0 тогда и только тогда, когда [q]=0. □</w:t>
      </w:r>
    </w:p>
    <w:p>
      <w:pPr/>
      <w:r>
        <w:t>Теорема 12.10 (блочно-диагональная аддитивность). [THM] Для прямой суммы кадров с Ψ²_{N⊕M}=Ψ²_N⊕Ψ²_M</w:t>
      </w:r>
    </w:p>
    <w:p>
      <w:pPr>
        <w:keepLines/>
        <w:spacing w:before="80" w:after="80"/>
        <w:jc w:val="center"/>
      </w:pPr>
      <w:r>
        <w:rPr>
          <w:rFonts w:ascii="Liberation Serif" w:hAnsi="Liberation Serif"/>
          <w:i/>
          <w:sz w:val="23"/>
        </w:rPr>
        <w:t>H^i(C_min(N⊕M)) ≅ H^i(C_min(N))⊕H^i(C_min(M)),   i=2,3.</w:t>
      </w:r>
      <w:r>
        <w:rPr>
          <w:sz w:val="21"/>
        </w:rPr>
        <w:t xml:space="preserve">     (12.15)</w:t>
      </w:r>
    </w:p>
    <w:p>
      <w:pPr/>
      <w:r>
        <w:t>Контрграница. Для склеек с перекрёстными членами Ψ_{NM} блочная формула неверна: новые связи могут как уничтожать старые классы, так и создавать смешанные препятствия.</w:t>
      </w:r>
    </w:p>
    <w:p>
      <w:pPr>
        <w:pStyle w:val="Heading1"/>
        <w:keepNext/>
      </w:pPr>
      <w:r>
        <w:t>90. Канонический класс и неканонический численный остаток</w:t>
      </w:r>
    </w:p>
    <w:p>
      <w:pPr/>
      <w:r>
        <w:t>Смысл трудного перехода. Фактор-класс [q] не требует метрики и является каноническим. Однако компьютеру нужен измеримый остаток. Для этого выбираются скалярные произведения на F²_N и X²_N. Выбор создаёт ортогональную проекцию, псевдообратную матрицу и численную норму, но не меняет нулевость класса. Поэтому сертификат обязан хранить как канонический verdict, так и неканонические convention-поля.</w:t>
      </w:r>
    </w:p>
    <w:p>
      <w:pPr/>
      <w:r>
        <w:t>Определение 12.6 (ортогональный obstruction residual). [DEF-A/COMP] В конечномерном вещественном или комплексном секторе пусть Ψ† - псевдообратная Мура-Пенроуза. Положим</w:t>
      </w:r>
    </w:p>
    <w:p>
      <w:pPr>
        <w:keepLines/>
        <w:spacing w:before="80" w:after="80"/>
        <w:jc w:val="center"/>
      </w:pPr>
      <w:r>
        <w:rPr>
          <w:rFonts w:ascii="Liberation Serif" w:hAnsi="Liberation Serif"/>
          <w:i/>
          <w:sz w:val="23"/>
        </w:rPr>
        <w:t>r_min(q)=(I-Ψ²_N(Ψ²_N)†)q.</w:t>
      </w:r>
      <w:r>
        <w:rPr>
          <w:sz w:val="21"/>
        </w:rPr>
        <w:t xml:space="preserve">     (12.16)</w:t>
      </w:r>
    </w:p>
    <w:p>
      <w:pPr/>
      <w:r>
        <w:t>Теорема 12.11 (остаточный критерий). [THM] r_min(q)=0 тогда и только тогда, когда [q]=0 в H³(C_min). Если класс нулевой, f*=Ψ†q является подъёмом минимальной нормы.</w:t>
      </w:r>
    </w:p>
    <w:p>
      <w:pPr>
        <w:keepLines/>
        <w:spacing w:before="80" w:after="80"/>
        <w:jc w:val="center"/>
      </w:pPr>
      <w:r>
        <w:rPr>
          <w:rFonts w:ascii="Liberation Serif" w:hAnsi="Liberation Serif"/>
          <w:i/>
          <w:sz w:val="23"/>
        </w:rPr>
        <w:t>||f*|| ≤ ||q||/σ⁺(Ψ²_N),</w:t>
      </w:r>
      <w:r>
        <w:rPr>
          <w:sz w:val="21"/>
        </w:rPr>
        <w:t xml:space="preserve">     (12.17)</w:t>
      </w:r>
    </w:p>
    <w:p>
      <w:pPr/>
      <w:r>
        <w:t>где σ⁺ - наименьшее положительное сингулярное значение. При σ⁺→0 подъём может становиться неустойчивым, хотя obstruction class остаётся нулевым.</w:t>
      </w:r>
    </w:p>
    <w:p>
      <w:pPr/>
      <w:r>
        <w:t>Определение 12.7 (нормированный индекс внутренней обструкции). [DEF-A/DIAGNOSTIC]</w:t>
      </w:r>
    </w:p>
    <w:p>
      <w:pPr>
        <w:keepLines/>
        <w:spacing w:before="80" w:after="80"/>
        <w:jc w:val="center"/>
      </w:pPr>
      <w:r>
        <w:rPr>
          <w:rFonts w:ascii="Liberation Serif" w:hAnsi="Liberation Serif"/>
          <w:i/>
          <w:sz w:val="23"/>
        </w:rPr>
        <w:t>OCI_min(q)=||r_min(q)||/(||q||+ε),     ε&gt;0.</w:t>
      </w:r>
      <w:r>
        <w:rPr>
          <w:sz w:val="21"/>
        </w:rPr>
        <w:t xml:space="preserve">     (12.18)</w:t>
      </w:r>
    </w:p>
    <w:p>
      <w:pPr/>
      <w:r>
        <w:t>OCI_min зависит от выбранных норм и не является заменой класса [q]. Его назначение - ранжировать численно сертифицированные кандидаты внутри одной convention.</w:t>
      </w:r>
    </w:p>
    <w:p>
      <w:pPr>
        <w:pStyle w:val="Heading1"/>
        <w:keepNext/>
      </w:pPr>
      <w:r>
        <w:t>91. Аналитические семейства и obstruction section</w:t>
      </w:r>
    </w:p>
    <w:p>
      <w:pPr/>
      <w:r>
        <w:t>Пусть t∈I, а F_t, X_t образуют конечномерные аналитические векторные расслоения над интервалом I. Пусть Ψ_t:F_t→X_t и q_t∈X_t аналитичны. После локальной тривиализации это аналитические матрицы и вектор-функции.</w:t>
      </w:r>
    </w:p>
    <w:p>
      <w:pPr/>
      <w:r>
        <w:t>Теорема 12.12 (когомологические расслоения постоянного ранга). [THM] Если rank Ψ_t постоянен на связном открытом J⊂I, то Ker Ψ_t и Im Ψ_t являются аналитическими подрасслоениями, а</w:t>
      </w:r>
    </w:p>
    <w:p>
      <w:pPr>
        <w:keepLines/>
        <w:spacing w:before="80" w:after="80"/>
        <w:jc w:val="center"/>
      </w:pPr>
      <w:r>
        <w:rPr>
          <w:rFonts w:ascii="Liberation Serif" w:hAnsi="Liberation Serif"/>
          <w:i/>
          <w:sz w:val="23"/>
        </w:rPr>
        <w:t>H²_t=Ker Ψ_t,     H³_t=X_t/Im Ψ_t</w:t>
      </w:r>
      <w:r>
        <w:rPr>
          <w:sz w:val="21"/>
        </w:rPr>
        <w:t xml:space="preserve">     (12.19)</w:t>
      </w:r>
    </w:p>
    <w:p>
      <w:pPr/>
      <w:r>
        <w:t>образуют аналитические векторные расслоения постоянных рангов. Классы o_t=[q_t] задают аналитическое сечение obstruction bundle H³→J.</w:t>
      </w:r>
    </w:p>
    <w:p>
      <w:pPr/>
      <w:r>
        <w:t>Следствие 12.12.1. [THM] Для одномерного параметра, если obstruction section не тождественно нулево, его нулевые точки не имеют внутренней точки накопления. Накопление нулей внутри J означает тождественное исчезновение section на связной компоненте.</w:t>
      </w:r>
    </w:p>
    <w:p>
      <w:pPr/>
      <w:r>
        <w:t>Определение 12.8 (внутренний переходный горизонт). [DEF-A]</w:t>
      </w:r>
    </w:p>
    <w:p>
      <w:pPr>
        <w:keepLines/>
        <w:spacing w:before="80" w:after="80"/>
        <w:jc w:val="center"/>
      </w:pPr>
      <w:r>
        <w:rPr>
          <w:rFonts w:ascii="Liberation Serif" w:hAnsi="Liberation Serif"/>
          <w:i/>
          <w:sz w:val="23"/>
        </w:rPr>
        <w:t>Δ_min = Δ_rank ∪ Δ_cond ∪ Δ_Dom ∪ Δ_D ∪ Pole(λ),</w:t>
      </w:r>
      <w:r>
        <w:rPr>
          <w:sz w:val="21"/>
        </w:rPr>
        <w:t xml:space="preserve">     (12.20)</w:t>
      </w:r>
    </w:p>
    <w:p>
      <w:pPr/>
      <w:r>
        <w:t>где Δ_rank - точки изменения rank Ψ_t, а Δ_cond - точки, где σ⁺(Ψ_t) падает ниже заранее зарегистрированного порога устойчивости. Нулевой locus Z_min={t:o_t=0} хранится отдельно: это множество кандидатов подъёма, а не автоматически «горизонт события».</w:t>
      </w:r>
    </w:p>
    <w:p>
      <w:pPr>
        <w:pStyle w:val="Heading1"/>
        <w:keepNext/>
      </w:pPr>
      <w:r>
        <w:t>92. Устойчивый отрицательный прогноз</w:t>
      </w:r>
    </w:p>
    <w:p>
      <w:pPr/>
      <w:r>
        <w:t>Лемма 12.13 (оценка движения остатка). [THM] Пусть P_t=Ψ_tΨ_t† - ортогональная проекция на Im Ψ_t в секторе постоянного ранга. Тогда для r_t=(I-P_t)q_t</w:t>
      </w:r>
    </w:p>
    <w:p>
      <w:pPr>
        <w:keepLines/>
        <w:spacing w:before="80" w:after="80"/>
        <w:jc w:val="center"/>
      </w:pPr>
      <w:r>
        <w:rPr>
          <w:rFonts w:ascii="Liberation Serif" w:hAnsi="Liberation Serif"/>
          <w:i/>
          <w:sz w:val="23"/>
        </w:rPr>
        <w:t>||r_t-r_s|| ≤ ||q_t-q_s|| + ||P_t-P_s||·||q_s||.</w:t>
      </w:r>
      <w:r>
        <w:rPr>
          <w:sz w:val="21"/>
        </w:rPr>
        <w:t xml:space="preserve">     (12.21)</w:t>
      </w:r>
    </w:p>
    <w:p>
      <w:pPr/>
      <w:r>
        <w:t>Доказательство. r_t-r_s=(I-P_t)(q_t-q_s)+(P_s-P_t)q_s. Норма ортогональной проекции не превосходит 1. □</w:t>
      </w:r>
    </w:p>
    <w:p>
      <w:pPr/>
      <w:r>
        <w:t>Теорема 12.14 (сертифицированная зона отсутствия подъёма). [THM/COMP] Если в точке t₀ известно ||r_{t₀}||=ρ&gt;0 и на окрестности U выполнено</w:t>
      </w:r>
    </w:p>
    <w:p>
      <w:pPr>
        <w:keepLines/>
        <w:spacing w:before="80" w:after="80"/>
        <w:jc w:val="center"/>
      </w:pPr>
      <w:r>
        <w:rPr>
          <w:rFonts w:ascii="Liberation Serif" w:hAnsi="Liberation Serif"/>
          <w:i/>
          <w:sz w:val="23"/>
        </w:rPr>
        <w:t>||q_t-q_{t₀}|| + ||P_t-P_{t₀}||·||q_{t₀}|| &lt; ρ,</w:t>
      </w:r>
      <w:r>
        <w:rPr>
          <w:sz w:val="21"/>
        </w:rPr>
        <w:t xml:space="preserve">     (12.22)</w:t>
      </w:r>
    </w:p>
    <w:p>
      <w:pPr/>
      <w:r>
        <w:t>то r_t≠0 для всех t∈U, а значит, подъём Ψ_t f=q_t внутри модели невозможен.</w:t>
      </w:r>
    </w:p>
    <w:p>
      <w:pPr/>
      <w:r>
        <w:t>Это первый строгий локальный отрицательный прогноз внутреннего obstruction-слоя: он исключает не событие вообще, а конкретный класс структурного перехода, который требует существования данного подъёма.</w:t>
      </w:r>
    </w:p>
    <w:p>
      <w:pPr>
        <w:pStyle w:val="Heading1"/>
        <w:keepNext/>
      </w:pPr>
      <w:r>
        <w:t>93. Главная условная теорема предсказательного метода v0.9</w:t>
      </w:r>
    </w:p>
    <w:p>
      <w:pPr/>
      <w:r>
        <w:t>Теорема 12.15 (minimal-obstruction-safe predictive theorem). [COND] Рассмотрим семейство</w:t>
      </w:r>
    </w:p>
    <w:p>
      <w:pPr>
        <w:keepLines/>
        <w:spacing w:before="80" w:after="80"/>
        <w:jc w:val="center"/>
      </w:pPr>
      <w:r>
        <w:rPr>
          <w:rFonts w:ascii="Liberation Serif" w:hAnsi="Liberation Serif"/>
          <w:i/>
          <w:sz w:val="23"/>
        </w:rPr>
        <w:t>F_t=(N_t,Ψ_t,q_t,ρ_t,D_t,Dom_t),     t∈I,</w:t>
      </w:r>
      <w:r>
        <w:rPr>
          <w:sz w:val="21"/>
        </w:rPr>
        <w:t xml:space="preserve">     (12.23)</w:t>
      </w:r>
    </w:p>
    <w:p>
      <w:pPr/>
      <w:r>
        <w:t>и предположим:</w:t>
      </w:r>
    </w:p>
    <w:p>
      <w:pPr>
        <w:pStyle w:val="ListBullet"/>
      </w:pPr>
      <w:r>
        <w:t>H1. Размерности F²_t и X²_t фиксированы на анализируемом секторе, а все тривиализации и базисы версионированы.</w:t>
      </w:r>
    </w:p>
    <w:p>
      <w:pPr>
        <w:pStyle w:val="ListBullet"/>
      </w:pPr>
      <w:r>
        <w:t>H2. Ψ_t и q_t аналитичны либо заданы сертифицированной интервальной арифметикой.</w:t>
      </w:r>
    </w:p>
    <w:p>
      <w:pPr>
        <w:pStyle w:val="ListBullet"/>
      </w:pPr>
      <w:r>
        <w:t>H3. Rank Ψ_t постоянен вне зарегистрированного Δ_rank; σ⁺(Ψ_t) отделено от нуля вне Δ_cond.</w:t>
      </w:r>
    </w:p>
    <w:p>
      <w:pPr>
        <w:pStyle w:val="ListBullet"/>
      </w:pPr>
      <w:r>
        <w:t>H4. Квадратичный класс q_t действительно относится к X²_t и не подменяет трёхлинейный ассоциатор без отдельной карты β_Ass.</w:t>
      </w:r>
    </w:p>
    <w:p>
      <w:pPr>
        <w:pStyle w:val="ListBullet"/>
      </w:pPr>
      <w:r>
        <w:t>H5. D_t валиден, Dom_t непуст и сохраняется на всём заявленном интервале.</w:t>
      </w:r>
    </w:p>
    <w:p>
      <w:pPr>
        <w:pStyle w:val="ListBullet"/>
      </w:pPr>
      <w:r>
        <w:t>H6. Реперная координата ρ_t=(R_t,I_t,U_t;D_t) определена вне полюсов; λ используется только как независимый диагностический слой.</w:t>
      </w:r>
    </w:p>
    <w:p>
      <w:pPr>
        <w:pStyle w:val="ListBullet"/>
      </w:pPr>
      <w:r>
        <w:t>H7. Атласный, tangent-, globalization-, holonomy- и differential-certificate предыдущих выпусков не содержат блокеров, необходимых для заявленного вывода.</w:t>
      </w:r>
    </w:p>
    <w:p>
      <w:pPr>
        <w:pStyle w:val="ListBullet"/>
      </w:pPr>
      <w:r>
        <w:t>H8. Вывод ограничен внутренним квадратичным подъёмом; внешний Π_E, высшие препятствия и физическая интерпретация не используются без своих сертификатов.</w:t>
      </w:r>
    </w:p>
    <w:p>
      <w:pPr/>
      <w:r>
        <w:t>Тогда на каждой связной компоненте I\Δ_min: (i) H²_t и H³_t образуют расслоения постоянных рангов; (ii) o_t=[q_t] является корректным аналитическим сечением; (iii) o_t=0 эквивалентно существованию внутреннего подъёма; (iv) множество подъёмов является H²_t-торсором; (v) на каждом сертифицированном компакте, где ||r_t||≥ε_ob&gt;0, переход, требующий такого подъёма, невозможен внутри модели; (vi) точки o_t=0 создают только CANDIDATE-LIFT-TO-ORDER-2.</w:t>
      </w:r>
    </w:p>
    <w:p>
      <w:pPr/>
      <w:r>
        <w:t>Доказательство. Пункты (i)-(iv) следуют из теорем 12.6-12.12. Пункт (v) следует из непрерывности остатка и нижней границы либо непосредственно из теоремы 12.14. Пункт (vi) следует из того, что C_min контролирует только внутренний квадратичный фактор и не содержит данных о высших, глобальных или внешних препятствиях. □</w:t>
      </w:r>
    </w:p>
    <w:p>
      <w:pPr>
        <w:keepNext/>
        <w:jc w:val="center"/>
      </w:pPr>
      <w:r>
        <w:drawing>
          <wp:inline xmlns:a="http://schemas.openxmlformats.org/drawingml/2006/main" xmlns:pic="http://schemas.openxmlformats.org/drawingml/2006/picture">
            <wp:extent cx="5760000" cy="2824155"/>
            <wp:docPr id="29" name="Picture 29"/>
            <wp:cNvGraphicFramePr>
              <a:graphicFrameLocks noChangeAspect="1"/>
            </wp:cNvGraphicFramePr>
            <a:graphic>
              <a:graphicData uri="http://schemas.openxmlformats.org/drawingml/2006/picture">
                <pic:pic>
                  <pic:nvPicPr>
                    <pic:cNvPr id="0" name="fig25_predictive_gate.png"/>
                    <pic:cNvPicPr/>
                  </pic:nvPicPr>
                  <pic:blipFill>
                    <a:blip r:embed="rId56"/>
                    <a:stretch>
                      <a:fillRect/>
                    </a:stretch>
                  </pic:blipFill>
                  <pic:spPr>
                    <a:xfrm>
                      <a:off x="0" y="0"/>
                      <a:ext cx="5760000" cy="2824155"/>
                    </a:xfrm>
                    <a:prstGeom prst="rect"/>
                  </pic:spPr>
                </pic:pic>
              </a:graphicData>
            </a:graphic>
          </wp:inline>
        </w:drawing>
      </w:r>
    </w:p>
    <w:p>
      <w:pPr>
        <w:pStyle w:val="Caption"/>
        <w:jc w:val="center"/>
      </w:pPr>
      <w:r>
        <w:t>Рисунок 25. Blocker-safe шлюз внутреннего obstruction-прогноза. Собственная схема Тома II.</w:t>
      </w:r>
    </w:p>
    <w:p>
      <w:pPr>
        <w:pStyle w:val="Heading1"/>
        <w:keepNext/>
      </w:pPr>
      <w:r>
        <w:t>94. Проективно-гармонический Reper-шлюз</w:t>
      </w:r>
    </w:p>
    <w:p>
      <w:pPr/>
      <w:r>
        <w:t>Определение 12.9 (совместный сертификат). [DEF-A] Для структурного кандидата x_t задаётся</w:t>
      </w:r>
    </w:p>
    <w:p>
      <w:pPr>
        <w:keepLines/>
        <w:spacing w:before="80" w:after="80"/>
        <w:jc w:val="center"/>
      </w:pPr>
      <w:r>
        <w:rPr>
          <w:rFonts w:ascii="Liberation Serif" w:hAnsi="Liberation Serif"/>
          <w:i/>
          <w:sz w:val="23"/>
        </w:rPr>
        <w:t>Cert_min(t)=(type_ok, [q_t], ||r_t||, σ⁺_t, Valid(D_t), Dom_t, δ_truth(t), Block_t).</w:t>
      </w:r>
      <w:r>
        <w:rPr>
          <w:sz w:val="21"/>
        </w:rPr>
        <w:t xml:space="preserve">     (12.24)</w:t>
      </w:r>
    </w:p>
    <w:p>
      <w:pPr/>
      <w:r>
        <w:t>Строгий селектор допускает кандидат внутреннего подъёма только при одновременном выполнении</w:t>
      </w:r>
    </w:p>
    <w:p>
      <w:pPr>
        <w:keepLines/>
        <w:spacing w:before="80" w:after="80"/>
        <w:jc w:val="center"/>
      </w:pPr>
      <w:r>
        <w:rPr>
          <w:rFonts w:ascii="Liberation Serif" w:hAnsi="Liberation Serif"/>
          <w:i/>
          <w:sz w:val="23"/>
        </w:rPr>
        <w:t>[q_t]=0,  ||r_t||≤ε_num,  σ⁺_t≥s₀,  Valid(D_t)=1,  Dom_t=1,  Block_t=∅.</w:t>
      </w:r>
      <w:r>
        <w:rPr>
          <w:sz w:val="21"/>
        </w:rPr>
        <w:t xml:space="preserve">     (12.25)</w:t>
      </w:r>
    </w:p>
    <w:p>
      <w:pPr/>
      <w:r>
        <w:t>Условие λ=-1 или δ_truth≤τ может добавляться как проективно-гармонический фильтр, но не заменяет ни одного условия (12.25). Поэтому</w:t>
      </w:r>
    </w:p>
    <w:p>
      <w:pPr>
        <w:keepLines/>
        <w:spacing w:before="80" w:after="80"/>
        <w:jc w:val="center"/>
      </w:pPr>
      <w:r>
        <w:rPr>
          <w:rFonts w:ascii="Liberation Serif" w:hAnsi="Liberation Serif"/>
          <w:i/>
          <w:sz w:val="23"/>
        </w:rPr>
        <w:t>λ=-1  ⇏  [q]=0,      [q]=0  ⇏  λ=-1.</w:t>
      </w:r>
      <w:r>
        <w:rPr>
          <w:sz w:val="21"/>
        </w:rPr>
        <w:t xml:space="preserve">     (12.26)</w:t>
      </w:r>
    </w:p>
    <w:p>
      <w:pPr/>
      <w:r>
        <w:t>Две координаты логически независимы: λ описывает конфигурационную гармонию репера, а [q] - разрешимость внутренней линейной задачи вычисления.</w:t>
      </w:r>
    </w:p>
    <w:p>
      <w:pPr>
        <w:pStyle w:val="Heading1"/>
        <w:keepNext/>
      </w:pPr>
      <w:r>
        <w:t>95. Контрпримеры и граничные случаи</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6"/>
              </w:rPr>
              <w:t>ID</w:t>
            </w:r>
          </w:p>
        </w:tc>
        <w:tc>
          <w:tcPr>
            <w:tcW w:type="dxa" w:w="2381"/>
            <w:shd w:fill="1F4E79"/>
            <w:tcMar>
              <w:top w:w="90" w:type="dxa"/>
              <w:start w:w="90" w:type="dxa"/>
              <w:bottom w:w="90" w:type="dxa"/>
              <w:end w:w="90" w:type="dxa"/>
            </w:tcMar>
            <w:vAlign w:val="center"/>
          </w:tcPr>
          <w:p>
            <w:pPr>
              <w:jc w:val="center"/>
            </w:pPr>
            <w:r>
              <w:rPr>
                <w:rFonts w:ascii="Liberation Sans" w:hAnsi="Liberation Sans"/>
                <w:b/>
                <w:color w:val="FFFFFF"/>
                <w:sz w:val="16"/>
              </w:rPr>
              <w:t>Модель</w:t>
            </w:r>
          </w:p>
        </w:tc>
        <w:tc>
          <w:tcPr>
            <w:tcW w:type="dxa" w:w="2324"/>
            <w:shd w:fill="1F4E79"/>
            <w:tcMar>
              <w:top w:w="90" w:type="dxa"/>
              <w:start w:w="90" w:type="dxa"/>
              <w:bottom w:w="90" w:type="dxa"/>
              <w:end w:w="90" w:type="dxa"/>
            </w:tcMar>
            <w:vAlign w:val="center"/>
          </w:tcPr>
          <w:p>
            <w:pPr>
              <w:jc w:val="center"/>
            </w:pPr>
            <w:r>
              <w:rPr>
                <w:rFonts w:ascii="Liberation Sans" w:hAnsi="Liberation Sans"/>
                <w:b/>
                <w:color w:val="FFFFFF"/>
                <w:sz w:val="16"/>
              </w:rPr>
              <w:t>Когомология</w:t>
            </w:r>
          </w:p>
        </w:tc>
        <w:tc>
          <w:tcPr>
            <w:tcW w:type="dxa" w:w="3969"/>
            <w:shd w:fill="1F4E79"/>
            <w:tcMar>
              <w:top w:w="90" w:type="dxa"/>
              <w:start w:w="90" w:type="dxa"/>
              <w:bottom w:w="90" w:type="dxa"/>
              <w:end w:w="90" w:type="dxa"/>
            </w:tcMar>
            <w:vAlign w:val="center"/>
          </w:tcPr>
          <w:p>
            <w:pPr>
              <w:jc w:val="center"/>
            </w:pPr>
            <w:r>
              <w:rPr>
                <w:rFonts w:ascii="Liberation Sans" w:hAnsi="Liberation Sans"/>
                <w:b/>
                <w:color w:val="FFFFFF"/>
                <w:sz w:val="16"/>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M1</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Ψ=diag(1,0): K²→K²</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q=(a,b) поднимается ⇔ b=0; Lift(q)={(a,s)}.</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M2</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Ψ:[u,v]↦u+v</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H²≅K, H³=0</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Все q поднимаются, но подъём неединственен.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M3</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Ψ=0:K→K</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q=1 не поднимается; q=0 имеет все f как подъёмы.</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M4</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Ψ_t=[t], q_t=1</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t≠0: H³=0; t=0: H³≅K</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Подъём f=1/t взрывается при t→0; rank/condition horizon обязателен.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M5</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H³≠0, q∈Im Ψ</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Конкретный [q]=0</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Ненулевое пространство препятствий не означает, что каждый кандидат препятствован.</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M6</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Первичный q₂=0, следующий q₃≠0</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C_min не видит q₃</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Нулевой внутренний класс не гарантирует полный формальный lift.</w:t>
            </w:r>
          </w:p>
        </w:tc>
      </w:tr>
    </w:tbl>
    <w:p>
      <w:pPr/>
      <w:r>
        <w:t>Контртеорема 12.16 (четыре запрета). [THM] В общем случае неверны импликации:</w:t>
      </w:r>
    </w:p>
    <w:p>
      <w:pPr>
        <w:pStyle w:val="ListBullet"/>
      </w:pPr>
      <w:r>
        <w:t>H³(C_min)≠0 ⇒ конкретный q препятствован;</w:t>
      </w:r>
    </w:p>
    <w:p>
      <w:pPr>
        <w:pStyle w:val="ListBullet"/>
      </w:pPr>
      <w:r>
        <w:t>[q]=0 ⇒ существует единственная деформация;</w:t>
      </w:r>
    </w:p>
    <w:p>
      <w:pPr>
        <w:pStyle w:val="ListBullet"/>
      </w:pPr>
      <w:r>
        <w:t>[q]=0 ⇒ исчезают высшие или глобальные препятствия;</w:t>
      </w:r>
    </w:p>
    <w:p>
      <w:pPr>
        <w:pStyle w:val="ListBullet"/>
      </w:pPr>
      <w:r>
        <w:t>H³(C_min)≠0 ⇒ существует физическая кривизна, голономия или наблюдаемый эффект.</w:t>
      </w:r>
    </w:p>
    <w:p>
      <w:pPr/>
      <w:r>
        <w:t>Доказательство дают модели M2, M5, M6 и чисто формальная модель M3 без геометрической или физической структуры. □</w:t>
      </w:r>
    </w:p>
    <w:p>
      <w:pPr>
        <w:pStyle w:val="Heading1"/>
        <w:keepNext/>
      </w:pPr>
      <w:r>
        <w:t>96. Вычислительный сертификат MIN-OB v0.9</w:t>
      </w:r>
    </w:p>
    <w:p>
      <w:pPr>
        <w:pStyle w:val="Heading2"/>
        <w:keepNext/>
      </w:pPr>
      <w:r>
        <w:t>96.1. Обязательные стадии</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107"/>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типы, степени, Dom/Cod F²_N, X²_N и Ψ²_N.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Построить точную матрицу Ψ в зарегистрированном базисе.</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Вычислить rank, ker, image и coker exact/rational arithmetic.</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δ_min²=Ψ и δ_min³δ_min²=0.</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MIN-05</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Построить q и класс [q]; не смешивать representative и quotient class.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MIN-06</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Решить Ψf=q и вернуть lift torsor f₀+ker Ψ либо NO-LIFT.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MIN-07</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 численном секторе вычислить Ψ†, residual r и σ⁺.</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MIN-08</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Сертифицировать rank/condition horizon интервальными minors или SVD-bound.</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MIN-09</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и сменах базиса.</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MIN-10</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field base-change на тестовом расширении.</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Сопоставить [q] с λ, D/Dom без логической подмены.</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предыдущие globalization/tangent/holonomy/differential blockers.</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Сформировать verdict NO-LIFT / CANDIDATE-LIFT / ABSTAIN.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Сохранить basis ledger, conventions, proof objects и SHA-256.</w:t>
            </w:r>
          </w:p>
        </w:tc>
      </w:tr>
    </w:tbl>
    <w:p>
      <w:pPr>
        <w:pStyle w:val="Heading2"/>
        <w:keepNext/>
      </w:pPr>
      <w:r>
        <w:t>96.2. Псевдокод</w:t>
      </w:r>
    </w:p>
    <w:p>
      <w:pPr>
        <w:pStyle w:val="Quote"/>
      </w:pPr>
      <w:r>
        <w:t>INPUT frame N=(F2,X2,Psi), candidate q, reper rho, evidence D</w:t>
        <w:br/>
        <w:t>CHECK types, domains, basis ledger</w:t>
        <w:br/>
        <w:t>COMPUTE exact rank, kernel, image, coker</w:t>
        <w:br/>
        <w:t>COMPUTE obstruction class [q]</w:t>
        <w:br/>
        <w:t>IF q not in image(Psi): RETURN NO-LIFT-IN-MODEL</w:t>
        <w:br/>
        <w:t>COMPUTE lift torsor f0 + kernel(Psi)</w:t>
        <w:br/>
        <w:t>COMPUTE pseudoinverse residual and sigma_plus when numeric</w:t>
        <w:br/>
        <w:t>IF rank/condition/D/Dom/bridge uncertified: RETURN ABSTAIN</w:t>
        <w:br/>
        <w:t>CHECK lambda only as independent reper filter</w:t>
        <w:br/>
        <w:t>RETURN CANDIDATE-LIFT-TO-ORDER-2</w:t>
      </w:r>
    </w:p>
    <w:p>
      <w:pPr>
        <w:pStyle w:val="Heading1"/>
        <w:keepNext/>
      </w:pPr>
      <w:r>
        <w:t>97. Доказательные обязательства T2-RP-v0.9</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551"/>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871"/>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438"/>
            <w:shd w:fill="1F4E79"/>
            <w:tcMar>
              <w:top w:w="90" w:type="dxa"/>
              <w:start w:w="90" w:type="dxa"/>
              <w:bottom w:w="90" w:type="dxa"/>
              <w:end w:w="90" w:type="dxa"/>
            </w:tcMar>
            <w:vAlign w:val="center"/>
          </w:tcPr>
          <w:p>
            <w:pPr>
              <w:jc w:val="center"/>
            </w:pPr>
            <w:r>
              <w:rPr>
                <w:rFonts w:ascii="Liberation Sans" w:hAnsi="Liberation Sans"/>
                <w:b/>
                <w:color w:val="FFFFFF"/>
                <w:sz w:val="15"/>
              </w:rPr>
              <w:t>Blocker/граница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Типизированный C_min и nilpotency</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§84; F077-F078</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T2-PO-088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H²=ker Ψ и H³=coker Ψ</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Естественная точная последовательность</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12.3</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Функториальность C_min</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12.4</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Естественность κ:O_B≅H³</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12.5</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Критерий подъёма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12.6</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H²-торсор подъёмов</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12.7</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Универсальное chain-map property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12.8</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существование внешних J²,J³ отдельно</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Field base-change</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12.9</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кольцевой non-flat base-change не охвачен</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T2-PO-096</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Block-sum additivity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12.10</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смешанные блоки открыты</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Residual и minimal-norm 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12.11</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нужны нормы/convention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Obstruction bundle постоянного ранга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бесконечномерный случай открыт</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Устойчивая зона NO-LIFT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12.14</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требует сертифицированных 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Главная predictive theorem v0.9</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COND</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12.15</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H1-H8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Высшие препятствия после C_min</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Глава 16</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нужна obstruction tower / MC-package</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Внешний E-мост Π_E</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Следующая сборка</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B1-B8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Banach/Hilbert Fredholm-версия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замкнутый образ, complemented kernels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данные и preregistration</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Физическая интерпретация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независимая проверка</w:t>
            </w:r>
          </w:p>
        </w:tc>
      </w:tr>
    </w:tbl>
    <w:p>
      <w:pPr>
        <w:pStyle w:val="Heading1"/>
        <w:keepNext/>
      </w:pPr>
      <w:r>
        <w:t>98. Prior art и граница авторской новизны</w:t>
      </w:r>
    </w:p>
    <w:p>
      <w:pPr/>
      <w:r>
        <w:t>Классический prior art включает коцепные комплексы, ядра и коядра, deformation-obstruction теорию, tangent functors и условия представимости. Авторская линия Тома II состоит не в заявлении новизны этих общих объектов, а в их типизированной сборке вокруг квадратичного кадра NAPG_q, Reper(R,I,U;D), λ-диагностики, blocker-safe verdict и вычислительного KLT-RBD-контура.</w:t>
      </w:r>
    </w:p>
    <w:p>
      <w:pPr/>
      <w:r>
        <w:t>[V0.9-1] Gerstenhaber, M. On the Deformation of Rings and Algebras. Annals of Mathematics 79 (1964), 59-103. JSTOR 1970484.</w:t>
      </w:r>
    </w:p>
    <w:p>
      <w:pPr/>
      <w:r>
        <w:t>[V0.9-2] Nijenhuis, A.; Richardson, R. W. Deformations of Lie Algebra Structures. Journal of Mathematics and Mechanics 17 (1968), 89-105.</w:t>
      </w:r>
    </w:p>
    <w:p>
      <w:pPr/>
      <w:r>
        <w:t>[V0.9-3] Schlessinger, M. Functors of Artin Rings. Transactions of the AMS 130 (1968), 208-222. DOI 10.1090/S0002-9947-1968-0217093-3.</w:t>
      </w:r>
    </w:p>
    <w:p>
      <w:pPr/>
      <w:r>
        <w:t>[V0.9-4] The Stacks Project. Part 6: Deformation Theory; Chapters 90-93, including Schlessinger conditions, lifts and cotangent complexes. Tag 0ELW.</w:t>
      </w:r>
    </w:p>
    <w:p>
      <w:pPr/>
      <w:r>
        <w:t>[V0.9-5] Kurpishev, I. B. Том I v197 RU, §§52.9-52.18 и статус 26.36; Том II T2-RP-v0.1-v0.8; PILOT-01.</w:t>
      </w:r>
    </w:p>
    <w:p>
      <w:pPr/>
      <w:r>
        <w:t>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p>
      <w:pPr>
        <w:pStyle w:val="Heading1"/>
        <w:keepNext/>
      </w:pPr>
      <w:r>
        <w:t>99. Итог главы и контрольная точка T2-RP-v0.9</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C_min является функториальным двухчленным комплексом; H²=ker Ψ; H³=coker Ψ=O_B; точная последовательность; критерий и торсор подъёмов; base-change над полями; аналитический obstruction bundle постоянного ранга.</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Предсказательный вывод действует только при H1-H8, сертифицированной устойчивости, D/Dom и отсутствии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импликации H³≠0⇒каждый q препятствован; [q]=0⇒единственная/полная деформация; внутреннее H³⇒физический эффект.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Внешний Π_E, higher obstruction tower, miniversal/derived model, Banach/Hilbert-слой, независимый доменный тест.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T2-RP-v0.10: глава 13 - внешний E-слой, цепной мост J, well-definedness Π_E, односторонняя детекция и контрпримеры к обратному выводу.</w:t>
            </w:r>
          </w:p>
        </w:tc>
      </w:tr>
    </w:tbl>
    <w:p>
      <w:pPr>
        <w:keepLines/>
        <w:spacing w:before="80" w:after="80"/>
        <w:jc w:val="center"/>
      </w:pPr>
      <w:r>
        <w:rPr>
          <w:rFonts w:ascii="Liberation Serif" w:hAnsi="Liberation Serif"/>
          <w:i/>
          <w:sz w:val="23"/>
        </w:rPr>
        <w:t>truth_layer_promotion=0;     checkpoint=T2-RP-v0.9;     next=T2-RP-v0.10.</w:t>
      </w:r>
      <w:r>
        <w:rPr>
          <w:sz w:val="21"/>
        </w:rPr>
        <w:t xml:space="preserve">     (12.27)</w:t>
      </w:r>
    </w:p>
    <w:p>
      <w:pPr>
        <w:pStyle w:val="Lead"/>
      </w:pPr>
      <w:r>
        <w:t>Следующая сборка tom2_v0_10 развивает внешний E-слой и условный мост Π_E без отождествления внутреннего H³(C_min) с внешней когомологией.</w:t>
      </w:r>
    </w:p>
    <w:p>
      <w:pPr>
        <w:pStyle w:val="Small"/>
      </w:pPr>
      <w:r>
        <w:t>checkpoint=T2-RP-v0.9; source=T2-RP-v0.8; truth_layer_promotion=0; next=T2-RP-v0.10.</w:t>
      </w:r>
    </w:p>
    <w:p>
      <w:r>
        <w:br w:type="page"/>
      </w:r>
    </w:p>
    <w:p>
      <w:pPr>
        <w:pStyle w:val="Heading1"/>
        <w:keepNext/>
      </w:pPr>
      <w:r>
        <w:t>100. Глава 13. Внешний E-комплекс и условный мост Π_E</w:t>
      </w:r>
    </w:p>
    <w:p>
      <w:pPr>
        <w:pStyle w:val="Lead"/>
      </w:pPr>
      <w:r>
        <w:t>Контрольная точка T2-RP-v0.10: внешняя детекция без отождествления когомологий</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Внутреннее препятствие получает внешний смысл не потому, что обе конструкции используют символ H³, а потому, что между ними построено отображение комплексов. Внешняя онтология начинается с моста J и исчезает вместе с ним.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Условия B1-B8 образуют эпистемический контракт. Они различают существование комплекса, корректность цепной карты, естественность, полноту детекции, отдельный ассоциаторный канал и право на прикладную интерпретацию.</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Феноменологически внешний комплекс расширяет поле наблюдения: один и тот же внутренний остаток может быть видим, потерян или дополнен внешними классами. Mapping cone делает эту потерю измеримой.</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Ненулевой внешний класс доказывает ненулевой внутренний класс только для элементов образа Π_E. Нулевой внешний класс ничего не говорит обратно без инъективности. Ни один из этих выводов сам по себе не является физическим событием. truth_layer_promotion=0.</w:t>
            </w:r>
          </w:p>
        </w:tc>
      </w:tr>
    </w:tbl>
    <w:p>
      <w:pPr>
        <w:pStyle w:val="Heading2"/>
        <w:keepNext/>
      </w:pPr>
      <w:r>
        <w:t>100.1. Входы, цель и граница</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Канонический вход</w:t>
            </w:r>
          </w:p>
        </w:tc>
        <w:tc>
          <w:tcPr>
            <w:tcW w:type="dxa" w:w="6520"/>
            <w:shd w:fill="FFFFFF"/>
            <w:tcMar>
              <w:top w:w="110" w:type="dxa"/>
              <w:start w:w="130" w:type="dxa"/>
              <w:bottom w:w="110" w:type="dxa"/>
              <w:end w:w="130" w:type="dxa"/>
            </w:tcMar>
            <w:vAlign w:val="center"/>
          </w:tcPr>
          <w:p>
            <w:r>
              <w:rPr>
                <w:rFonts w:ascii="Liberation Serif" w:hAnsi="Liberation Serif"/>
                <w:sz w:val="18"/>
              </w:rPr>
              <w:t>C_min^•(N): F²_N -&gt; X²_N, H²=ker Ψ²_N, H³=coker Ψ²_N=O_B(N), естественный κ_N.</w:t>
            </w:r>
          </w:p>
        </w:tc>
      </w:tr>
      <w:tr>
        <w:tc>
          <w:tcPr>
            <w:tcW w:type="dxa" w:w="2835"/>
            <w:shd w:fill="EEF3F8"/>
            <w:tcMar>
              <w:top w:w="110" w:type="dxa"/>
              <w:start w:w="130" w:type="dxa"/>
              <w:bottom w:w="110" w:type="dxa"/>
              <w:end w:w="130" w:type="dxa"/>
            </w:tcMar>
            <w:vAlign w:val="center"/>
          </w:tcPr>
          <w:p>
            <w:r>
              <w:rPr>
                <w:rFonts w:ascii="Liberation Sans" w:hAnsi="Liberation Sans"/>
                <w:b/>
                <w:sz w:val="18"/>
              </w:rPr>
              <w:t>Цель v0.10</w:t>
            </w:r>
          </w:p>
        </w:tc>
        <w:tc>
          <w:tcPr>
            <w:tcW w:type="dxa" w:w="6520"/>
            <w:shd w:fill="F8FAFC"/>
            <w:tcMar>
              <w:top w:w="110" w:type="dxa"/>
              <w:start w:w="130" w:type="dxa"/>
              <w:bottom w:w="110" w:type="dxa"/>
              <w:end w:w="130" w:type="dxa"/>
            </w:tcMar>
            <w:vAlign w:val="center"/>
          </w:tcPr>
          <w:p>
            <w:r>
              <w:rPr>
                <w:rFonts w:ascii="Liberation Serif" w:hAnsi="Liberation Serif"/>
                <w:sz w:val="18"/>
              </w:rPr>
              <w:t>Построить внешний комплекс E^•(N), цепной мост J_N и корректное Π_E,N:O_B(N)-&gt;H³(E^•(N)).</w:t>
            </w:r>
          </w:p>
        </w:tc>
      </w:tr>
      <w:tr>
        <w:tc>
          <w:tcPr>
            <w:tcW w:type="dxa" w:w="2835"/>
            <w:shd w:fill="DCE6F1"/>
            <w:tcMar>
              <w:top w:w="110" w:type="dxa"/>
              <w:start w:w="130" w:type="dxa"/>
              <w:bottom w:w="110" w:type="dxa"/>
              <w:end w:w="130" w:type="dxa"/>
            </w:tcMar>
            <w:vAlign w:val="center"/>
          </w:tcPr>
          <w:p>
            <w:r>
              <w:rPr>
                <w:rFonts w:ascii="Liberation Sans" w:hAnsi="Liberation Sans"/>
                <w:b/>
                <w:sz w:val="18"/>
              </w:rPr>
              <w:t>Новый строгий слой</w:t>
            </w:r>
          </w:p>
        </w:tc>
        <w:tc>
          <w:tcPr>
            <w:tcW w:type="dxa" w:w="6520"/>
            <w:shd w:fill="FFFFFF"/>
            <w:tcMar>
              <w:top w:w="110" w:type="dxa"/>
              <w:start w:w="130" w:type="dxa"/>
              <w:bottom w:w="110" w:type="dxa"/>
              <w:end w:w="130" w:type="dxa"/>
            </w:tcMar>
            <w:vAlign w:val="center"/>
          </w:tcPr>
          <w:p>
            <w:r>
              <w:rPr>
                <w:rFonts w:ascii="Liberation Serif" w:hAnsi="Liberation Serif"/>
                <w:sz w:val="18"/>
              </w:rPr>
              <w:t>Well-definedness, naturality, mapping cone, blind/excess defects, stable injective detection и параметрический горизонт.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Запрет</w:t>
            </w:r>
          </w:p>
        </w:tc>
        <w:tc>
          <w:tcPr>
            <w:tcW w:type="dxa" w:w="6520"/>
            <w:shd w:fill="F8FAFC"/>
            <w:tcMar>
              <w:top w:w="110" w:type="dxa"/>
              <w:start w:w="130" w:type="dxa"/>
              <w:bottom w:w="110" w:type="dxa"/>
              <w:end w:w="130" w:type="dxa"/>
            </w:tcMar>
            <w:vAlign w:val="center"/>
          </w:tcPr>
          <w:p>
            <w:r>
              <w:rPr>
                <w:rFonts w:ascii="Liberation Serif" w:hAnsi="Liberation Serif"/>
                <w:sz w:val="18"/>
              </w:rPr>
              <w:t>Не отождествлять O_B с H³(E), не выводить ассоциатор, голономию или физическое наблюдаемое без отдельных карт.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Следующий потребитель</w:t>
            </w:r>
          </w:p>
        </w:tc>
        <w:tc>
          <w:tcPr>
            <w:tcW w:type="dxa" w:w="6520"/>
            <w:shd w:fill="FFFFFF"/>
            <w:tcMar>
              <w:top w:w="110" w:type="dxa"/>
              <w:start w:w="130" w:type="dxa"/>
              <w:bottom w:w="110" w:type="dxa"/>
              <w:end w:w="130" w:type="dxa"/>
            </w:tcMar>
            <w:vAlign w:val="center"/>
          </w:tcPr>
          <w:p>
            <w:r>
              <w:rPr>
                <w:rFonts w:ascii="Liberation Serif" w:hAnsi="Liberation Serif"/>
                <w:sz w:val="18"/>
              </w:rPr>
              <w:t>Глава 14: пространства препятствий, проектирование и projectivized obstruction carriers.</w:t>
            </w:r>
          </w:p>
        </w:tc>
      </w:tr>
    </w:tbl>
    <w:p>
      <w:pPr>
        <w:pStyle w:val="Heading1"/>
        <w:keepNext/>
      </w:pPr>
      <w:r>
        <w:t>101. Definition Core внешней реализации</w:t>
      </w:r>
    </w:p>
    <w:p>
      <w:pPr>
        <w:pStyle w:val="Heading2"/>
        <w:keepNext/>
      </w:pPr>
      <w:r>
        <w:t>101.1. Внешний комплекс</w:t>
      </w:r>
    </w:p>
    <w:p>
      <w:pPr/>
      <w:r>
        <w:t>Определение 13.1 (внешняя реализация). [DEF-A] Для объекта N∈NAPG_q внешней реализацией называется набор</w:t>
      </w:r>
    </w:p>
    <w:p>
      <w:pPr>
        <w:keepLines/>
        <w:spacing w:before="80" w:after="80"/>
        <w:jc w:val="center"/>
      </w:pPr>
      <w:r>
        <w:rPr>
          <w:rFonts w:ascii="Liberation Serif" w:hAnsi="Liberation Serif"/>
          <w:i/>
          <w:sz w:val="23"/>
        </w:rPr>
        <w:t>E(N)=(E^•(N), d_E, Dom_E, G_E),</w:t>
      </w:r>
      <w:r>
        <w:rPr>
          <w:sz w:val="21"/>
        </w:rPr>
        <w:t xml:space="preserve">     (13.1)</w:t>
      </w:r>
    </w:p>
    <w:p>
      <w:pPr/>
      <w:r>
        <w:t>где E^n(N) являются K-модулями или векторными пространствами, d_E^n:E^n-&gt;E^{n+1}, а Dom_E и G_E фиксируют допустимость, регулярность, градуировку, нормы и дополнительные структуры.</w:t>
      </w:r>
    </w:p>
    <w:p>
      <w:pPr>
        <w:keepLines/>
        <w:spacing w:before="80" w:after="80"/>
        <w:jc w:val="center"/>
      </w:pPr>
      <w:r>
        <w:rPr>
          <w:rFonts w:ascii="Liberation Serif" w:hAnsi="Liberation Serif"/>
          <w:i/>
          <w:sz w:val="23"/>
        </w:rPr>
        <w:t>d_E^{n+1} ∘ d_E^n = 0  для всех n.</w:t>
      </w:r>
      <w:r>
        <w:rPr>
          <w:sz w:val="21"/>
        </w:rPr>
        <w:t xml:space="preserve">     (13.2)</w:t>
      </w:r>
    </w:p>
    <w:p>
      <w:pPr/>
      <w:r>
        <w:t>Без (13.2) внешний объект является precomplex и H³(E^•) не определяется. Само наличие трёх последовательных стрелок, вопреки человеческой традиции, не создаёт когомологию.</w:t>
      </w:r>
    </w:p>
    <w:p>
      <w:pPr>
        <w:pStyle w:val="Heading2"/>
        <w:keepNext/>
      </w:pPr>
      <w:r>
        <w:t>101.2. Цепной мост</w:t>
      </w:r>
    </w:p>
    <w:p>
      <w:pPr/>
      <w:r>
        <w:t>Определение 13.2 (chain bridge J). [DEF-A] Цепным мостом от C_min^•(N) к E^•(N) называется морфизм коцепных комплексов J_N, чьи единственные существенные компоненты имеют типы</w:t>
      </w:r>
    </w:p>
    <w:p>
      <w:pPr>
        <w:keepLines/>
        <w:spacing w:before="80" w:after="80"/>
        <w:jc w:val="center"/>
      </w:pPr>
      <w:r>
        <w:rPr>
          <w:rFonts w:ascii="Liberation Serif" w:hAnsi="Liberation Serif"/>
          <w:i/>
          <w:sz w:val="23"/>
        </w:rPr>
        <w:t>J²_N:F²_N-&gt;E²(N),     J³_N:X²_N-&gt;E³(N),</w:t>
      </w:r>
      <w:r>
        <w:rPr>
          <w:sz w:val="21"/>
        </w:rPr>
        <w:t xml:space="preserve">     (13.3)</w:t>
      </w:r>
    </w:p>
    <w:p>
      <w:pPr>
        <w:keepLines/>
        <w:spacing w:before="80" w:after="80"/>
        <w:jc w:val="center"/>
      </w:pPr>
      <w:r>
        <w:rPr>
          <w:rFonts w:ascii="Liberation Serif" w:hAnsi="Liberation Serif"/>
          <w:i/>
          <w:sz w:val="23"/>
        </w:rPr>
        <w:t>d_E² J²_N = J³_N Ψ²_N,     d_E³ J³_N = 0.</w:t>
      </w:r>
      <w:r>
        <w:rPr>
          <w:sz w:val="21"/>
        </w:rPr>
        <w:t xml:space="preserve">     (13.4)</w:t>
      </w:r>
    </w:p>
    <w:p>
      <w:pPr/>
      <w:r>
        <w:t>Первое равенство означает перенос внутренних границ во внешние границы. Второе означает, что каждый внешний образ вычисленного квадратичного объекта является 3-коциклом.</w:t>
      </w:r>
    </w:p>
    <w:p>
      <w:pPr>
        <w:pStyle w:val="Heading2"/>
        <w:keepNext/>
      </w:pPr>
      <w:r>
        <w:t>101.3. Полный контракт B1-B8</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850"/>
            <w:shd w:fill="1F4E79"/>
            <w:tcMar>
              <w:top w:w="90" w:type="dxa"/>
              <w:start w:w="90" w:type="dxa"/>
              <w:bottom w:w="90" w:type="dxa"/>
              <w:end w:w="90" w:type="dxa"/>
            </w:tcMar>
            <w:vAlign w:val="center"/>
          </w:tcPr>
          <w:p>
            <w:pPr>
              <w:jc w:val="center"/>
            </w:pPr>
            <w:r>
              <w:rPr>
                <w:rFonts w:ascii="Liberation Sans" w:hAnsi="Liberation Sans"/>
                <w:b/>
                <w:color w:val="FFFFFF"/>
                <w:sz w:val="16"/>
              </w:rPr>
              <w:t>Условие</w:t>
            </w:r>
          </w:p>
        </w:tc>
        <w:tc>
          <w:tcPr>
            <w:tcW w:type="dxa" w:w="6690"/>
            <w:shd w:fill="1F4E79"/>
            <w:tcMar>
              <w:top w:w="90" w:type="dxa"/>
              <w:start w:w="90" w:type="dxa"/>
              <w:bottom w:w="90" w:type="dxa"/>
              <w:end w:w="90" w:type="dxa"/>
            </w:tcMar>
            <w:vAlign w:val="center"/>
          </w:tcPr>
          <w:p>
            <w:pPr>
              <w:jc w:val="center"/>
            </w:pPr>
            <w:r>
              <w:rPr>
                <w:rFonts w:ascii="Liberation Sans" w:hAnsi="Liberation Sans"/>
                <w:b/>
                <w:color w:val="FFFFFF"/>
                <w:sz w:val="16"/>
              </w:rPr>
              <w:t>Содержание</w:t>
            </w:r>
          </w:p>
        </w:tc>
        <w:tc>
          <w:tcPr>
            <w:tcW w:type="dxa" w:w="1814"/>
            <w:shd w:fill="1F4E79"/>
            <w:tcMar>
              <w:top w:w="90" w:type="dxa"/>
              <w:start w:w="90" w:type="dxa"/>
              <w:bottom w:w="90" w:type="dxa"/>
              <w:end w:w="90" w:type="dxa"/>
            </w:tcMar>
            <w:vAlign w:val="center"/>
          </w:tcPr>
          <w:p>
            <w:pPr>
              <w:jc w:val="center"/>
            </w:pPr>
            <w:r>
              <w:rPr>
                <w:rFonts w:ascii="Liberation Sans" w:hAnsi="Liberation Sans"/>
                <w:b/>
                <w:color w:val="FFFFFF"/>
                <w:sz w:val="16"/>
              </w:rPr>
              <w:t>Статус</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B1</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E^•(N) является коцепным комплексом: d_E²=0 во всех степенях.</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B2</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J_N является цепной картой и имеет явно заданные Dom/Cod.</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B3</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Назначение N↦E^•(N) функториально относительно выбранного класса морфизмов NAPG.</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B4</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 является естественным преобразованием C_min^•⇒E^•.</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B5</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Факторизация через κ_N и H³(J_N) согласована с морфизмами и сменой допустимых представлений.</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 при B1-B4</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B6</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Для обратной детекции требуется инъективность Π_E либо сертифицированный левый обратный оператор.</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EXTRA</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B7</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Ассоциаторный канал β_Ass задаётся отдельно; Π_E не объявляется ассоциатором.</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OPEN/SEPARATE</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B8</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Физическая, аналитическая или предметная интерпретация требует редукции, наблюдаемой, данных и независимой проверки.</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PHY-HYP/OPEN</w:t>
            </w:r>
          </w:p>
        </w:tc>
      </w:tr>
    </w:tbl>
    <w:p>
      <w:pPr>
        <w:keepNext/>
        <w:jc w:val="center"/>
      </w:pPr>
      <w:r>
        <w:drawing>
          <wp:inline xmlns:a="http://schemas.openxmlformats.org/drawingml/2006/main" xmlns:pic="http://schemas.openxmlformats.org/drawingml/2006/picture">
            <wp:extent cx="5760000" cy="2635554"/>
            <wp:docPr id="30" name="Picture 30"/>
            <wp:cNvGraphicFramePr>
              <a:graphicFrameLocks noChangeAspect="1"/>
            </wp:cNvGraphicFramePr>
            <a:graphic>
              <a:graphicData uri="http://schemas.openxmlformats.org/drawingml/2006/picture">
                <pic:pic>
                  <pic:nvPicPr>
                    <pic:cNvPr id="0" name="fig26_e_bridge.png"/>
                    <pic:cNvPicPr/>
                  </pic:nvPicPr>
                  <pic:blipFill>
                    <a:blip r:embed="rId57"/>
                    <a:stretch>
                      <a:fillRect/>
                    </a:stretch>
                  </pic:blipFill>
                  <pic:spPr>
                    <a:xfrm>
                      <a:off x="0" y="0"/>
                      <a:ext cx="5760000" cy="2635554"/>
                    </a:xfrm>
                    <a:prstGeom prst="rect"/>
                  </pic:spPr>
                </pic:pic>
              </a:graphicData>
            </a:graphic>
          </wp:inline>
        </w:drawing>
      </w:r>
    </w:p>
    <w:p>
      <w:pPr>
        <w:pStyle w:val="Caption"/>
        <w:jc w:val="center"/>
      </w:pPr>
      <w:r>
        <w:t>Рисунок 26. Цепной мост J и индуцированное отображение Π_E. Собственная схема Тома II.</w:t>
      </w:r>
    </w:p>
    <w:p>
      <w:pPr>
        <w:pStyle w:val="Heading1"/>
        <w:keepNext/>
      </w:pPr>
      <w:r>
        <w:t>102. Существование и корректность индуцированной карты</w:t>
      </w:r>
    </w:p>
    <w:p>
      <w:pPr>
        <w:pStyle w:val="Heading2"/>
        <w:keepNext/>
      </w:pPr>
      <w:r>
        <w:t>102.1. Критерий спуска на фактор</w:t>
      </w:r>
    </w:p>
    <w:p>
      <w:pPr/>
      <w:r>
        <w:t>Теорема 13.1 (well-definedness criterion). [THM] Пусть d_E³J³=0. Формула</w:t>
      </w:r>
    </w:p>
    <w:p>
      <w:pPr>
        <w:keepLines/>
        <w:spacing w:before="80" w:after="80"/>
        <w:jc w:val="center"/>
      </w:pPr>
      <w:r>
        <w:rPr>
          <w:rFonts w:ascii="Liberation Serif" w:hAnsi="Liberation Serif"/>
          <w:i/>
          <w:sz w:val="23"/>
        </w:rPr>
        <w:t>[x] ↦ [J³_N x]</w:t>
      </w:r>
      <w:r>
        <w:rPr>
          <w:sz w:val="21"/>
        </w:rPr>
        <w:t xml:space="preserve">     (13.5)</w:t>
      </w:r>
    </w:p>
    <w:p>
      <w:pPr/>
      <w:r>
        <w:t>задаёт линейное отображение coker Ψ²_N-&gt;H³(E^•(N)) тогда и только тогда, когда</w:t>
      </w:r>
    </w:p>
    <w:p>
      <w:pPr>
        <w:keepLines/>
        <w:spacing w:before="80" w:after="80"/>
        <w:jc w:val="center"/>
      </w:pPr>
      <w:r>
        <w:rPr>
          <w:rFonts w:ascii="Liberation Serif" w:hAnsi="Liberation Serif"/>
          <w:i/>
          <w:sz w:val="23"/>
        </w:rPr>
        <w:t>J³_N(Im Ψ²_N) ⊆ Im d_E².</w:t>
      </w:r>
      <w:r>
        <w:rPr>
          <w:sz w:val="21"/>
        </w:rPr>
        <w:t xml:space="preserve">     (13.6)</w:t>
      </w:r>
    </w:p>
    <w:p>
      <w:pPr/>
      <w:r>
        <w:t>Доказательство. Два представителя x и x+Ψ²f задают один внутренний класс. Их внешние классы совпадают тогда и только тогда, когда J³Ψ²f является внешней границей для всякого f. Это и есть (13.6). Условие d_E³J³=0 обеспечивает замкнутость образов. □</w:t>
      </w:r>
    </w:p>
    <w:p>
      <w:pPr/>
      <w:r>
        <w:t>Следствие 13.1.1. [THM] Цепное равенство d_E²J²=J³Ψ² автоматически влечёт (13.6).</w:t>
      </w:r>
    </w:p>
    <w:p>
      <w:pPr/>
      <w:r>
        <w:t>Обратное построение J² из (13.6) возможно над векторными пространствами после выбора линейного сечения d_E² на его образе. Над произвольными модулями требуется проектность или расщепление; без него существование J² остаётся отдельным обязательством.</w:t>
      </w:r>
    </w:p>
    <w:p>
      <w:pPr>
        <w:pStyle w:val="Heading2"/>
        <w:keepNext/>
      </w:pPr>
      <w:r>
        <w:t>102.2. Определение Π_E</w:t>
      </w:r>
    </w:p>
    <w:p>
      <w:pPr/>
      <w:r>
        <w:t>Определение 13.3 (внешняя карта препятствий). [COND/THM при B1-B5]</w:t>
      </w:r>
    </w:p>
    <w:p>
      <w:pPr>
        <w:keepLines/>
        <w:spacing w:before="80" w:after="80"/>
        <w:jc w:val="center"/>
      </w:pPr>
      <w:r>
        <w:rPr>
          <w:rFonts w:ascii="Liberation Serif" w:hAnsi="Liberation Serif"/>
          <w:i/>
          <w:sz w:val="23"/>
        </w:rPr>
        <w:t>Π_E,N := H³(J_N) ∘ κ_N : O_B(N) -&gt; H³(E^•(N)),</w:t>
      </w:r>
      <w:r>
        <w:rPr>
          <w:sz w:val="21"/>
        </w:rPr>
        <w:t xml:space="preserve">     (13.7)</w:t>
      </w:r>
    </w:p>
    <w:p>
      <w:pPr>
        <w:keepLines/>
        <w:spacing w:before="80" w:after="80"/>
        <w:jc w:val="center"/>
      </w:pPr>
      <w:r>
        <w:rPr>
          <w:rFonts w:ascii="Liberation Serif" w:hAnsi="Liberation Serif"/>
          <w:i/>
          <w:sz w:val="23"/>
        </w:rPr>
        <w:t>Π_E,N([x]) = [J³_N x].</w:t>
      </w:r>
      <w:r>
        <w:rPr>
          <w:sz w:val="21"/>
        </w:rPr>
        <w:t xml:space="preserve">     (13.8)</w:t>
      </w:r>
    </w:p>
    <w:p>
      <w:pPr/>
      <w:r>
        <w:t>Теорема 13.2 (естественность Π_E). [THM при B3-B5] Для морфизма f:N-&gt;N′ коммутирует квадрат</w:t>
      </w:r>
    </w:p>
    <w:p>
      <w:pPr>
        <w:keepLines/>
        <w:spacing w:before="80" w:after="80"/>
        <w:jc w:val="center"/>
      </w:pPr>
      <w:r>
        <w:rPr>
          <w:rFonts w:ascii="Liberation Serif" w:hAnsi="Liberation Serif"/>
          <w:i/>
          <w:sz w:val="23"/>
        </w:rPr>
        <w:t>H³(E(f)) Π_E,N = Π_E,N′ O_B(f).</w:t>
      </w:r>
      <w:r>
        <w:rPr>
          <w:sz w:val="21"/>
        </w:rPr>
        <w:t xml:space="preserve">     (13.9)</w:t>
      </w:r>
    </w:p>
    <w:p>
      <w:pPr/>
      <w:r>
        <w:t>Это равенство является точным критерием независимости внешней детекции от допустимого изоморфного представления.</w:t>
      </w:r>
    </w:p>
    <w:p>
      <w:pPr>
        <w:pStyle w:val="Heading1"/>
        <w:keepNext/>
      </w:pPr>
      <w:r>
        <w:t>103. Односторонняя, обратная и полная детекция</w:t>
      </w:r>
    </w:p>
    <w:p>
      <w:pPr/>
      <w:r>
        <w:t>Теорема 13.3 (односторонняя детекция). [THM] Для любого корректного Π_E</w:t>
      </w:r>
    </w:p>
    <w:p>
      <w:pPr>
        <w:keepLines/>
        <w:spacing w:before="80" w:after="80"/>
        <w:jc w:val="center"/>
      </w:pPr>
      <w:r>
        <w:rPr>
          <w:rFonts w:ascii="Liberation Serif" w:hAnsi="Liberation Serif"/>
          <w:i/>
          <w:sz w:val="23"/>
        </w:rPr>
        <w:t>Π_E(o) ≠ 0  =&gt;  o ≠ 0.</w:t>
      </w:r>
      <w:r>
        <w:rPr>
          <w:sz w:val="21"/>
        </w:rPr>
        <w:t xml:space="preserve">     (13.10)</w:t>
      </w:r>
    </w:p>
    <w:p>
      <w:pPr/>
      <w:r>
        <w:t>Доказательство. Линейное отображение переводит нулевой класс в нулевой. Поэтому ненулевой образ не может происходить от нулевого класса. □</w:t>
      </w:r>
    </w:p>
    <w:p>
      <w:pPr/>
      <w:r>
        <w:t>Следствие. Ненулевой внешний класс свидетельствует о ненулевом внутреннем препятствии только тогда, когда установлено, что рассматриваемый внешний класс действительно равен Π_E(o), а не является произвольным элементом H³(E).</w:t>
      </w:r>
    </w:p>
    <w:p>
      <w:pPr/>
      <w:r>
        <w:t>Теорема 13.4 (критерий обратной детекции). [THM] Следующие условия эквивалентны:</w:t>
      </w:r>
    </w:p>
    <w:p>
      <w:pPr>
        <w:pStyle w:val="ListBullet"/>
      </w:pPr>
      <w:r>
        <w:t>Π_E инъективно;</w:t>
      </w:r>
    </w:p>
    <w:p>
      <w:pPr>
        <w:pStyle w:val="ListBullet"/>
      </w:pPr>
      <w:r>
        <w:t>Π_E(o)=0 влечёт o=0;</w:t>
      </w:r>
    </w:p>
    <w:p>
      <w:pPr>
        <w:pStyle w:val="ListBullet"/>
      </w:pPr>
      <w:r>
        <w:t>o≠0 влечёт Π_E(o)≠0;</w:t>
      </w:r>
    </w:p>
    <w:p>
      <w:pPr>
        <w:pStyle w:val="ListBullet"/>
      </w:pPr>
      <w:r>
        <w:t>если J³x∈Im d_E², то x∈Im Ψ².</w:t>
      </w:r>
    </w:p>
    <w:p>
      <w:pPr/>
      <w:r>
        <w:t>В конечномерных векторных пространствах они также эквивалентны существованию линейного левого обратного S:H³(E)-&gt;O_B с SΠ_E=id, однако такой S обычно неканоничен.</w:t>
      </w:r>
    </w:p>
    <w:p>
      <w:pPr/>
      <w:r>
        <w:t>Определение 13.4 (качество моста). [DEF-A] Мост называется:</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701"/>
            <w:shd w:fill="1F4E79"/>
            <w:tcMar>
              <w:top w:w="90" w:type="dxa"/>
              <w:start w:w="90" w:type="dxa"/>
              <w:bottom w:w="90" w:type="dxa"/>
              <w:end w:w="90" w:type="dxa"/>
            </w:tcMar>
            <w:vAlign w:val="center"/>
          </w:tcPr>
          <w:p>
            <w:pPr>
              <w:jc w:val="center"/>
            </w:pPr>
            <w:r>
              <w:rPr>
                <w:rFonts w:ascii="Liberation Sans" w:hAnsi="Liberation Sans"/>
                <w:b/>
                <w:color w:val="FFFFFF"/>
                <w:sz w:val="17"/>
              </w:rPr>
              <w:t>Тип</w:t>
            </w:r>
          </w:p>
        </w:tc>
        <w:tc>
          <w:tcPr>
            <w:tcW w:type="dxa" w:w="2891"/>
            <w:shd w:fill="1F4E79"/>
            <w:tcMar>
              <w:top w:w="90" w:type="dxa"/>
              <w:start w:w="90" w:type="dxa"/>
              <w:bottom w:w="90" w:type="dxa"/>
              <w:end w:w="90" w:type="dxa"/>
            </w:tcMar>
            <w:vAlign w:val="center"/>
          </w:tcPr>
          <w:p>
            <w:pPr>
              <w:jc w:val="center"/>
            </w:pPr>
            <w:r>
              <w:rPr>
                <w:rFonts w:ascii="Liberation Sans" w:hAnsi="Liberation Sans"/>
                <w:b/>
                <w:color w:val="FFFFFF"/>
                <w:sz w:val="17"/>
              </w:rPr>
              <w:t>Условие</w:t>
            </w:r>
          </w:p>
        </w:tc>
        <w:tc>
          <w:tcPr>
            <w:tcW w:type="dxa" w:w="4762"/>
            <w:shd w:fill="1F4E79"/>
            <w:tcMar>
              <w:top w:w="90" w:type="dxa"/>
              <w:start w:w="90" w:type="dxa"/>
              <w:bottom w:w="90" w:type="dxa"/>
              <w:end w:w="90" w:type="dxa"/>
            </w:tcMar>
            <w:vAlign w:val="center"/>
          </w:tcPr>
          <w:p>
            <w:pPr>
              <w:jc w:val="center"/>
            </w:pPr>
            <w:r>
              <w:rPr>
                <w:rFonts w:ascii="Liberation Sans" w:hAnsi="Liberation Sans"/>
                <w:b/>
                <w:color w:val="FFFFFF"/>
                <w:sz w:val="17"/>
              </w:rPr>
              <w:t>Смысл</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faithful</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инъективно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внешний ноль допускает обратный вывод</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complete</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Π_E сюръективно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каждый внешний H³-класс объясняется внутренним</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exact</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изоморфно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 степени 3 информация совпадает</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degree-3 quasi-isomorphism</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H³(J) изоморфно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не утверждает изоморфизм других степеней</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quasi-isomorphism</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H^n(J) изоморфно для всех n</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полный гомологический эквивалент</w:t>
            </w:r>
          </w:p>
        </w:tc>
      </w:tr>
    </w:tbl>
    <w:p>
      <w:pPr>
        <w:pStyle w:val="Heading1"/>
        <w:keepNext/>
      </w:pPr>
      <w:r>
        <w:t>104. Mapping cone и измерение потери информации</w:t>
      </w:r>
    </w:p>
    <w:p>
      <w:pPr>
        <w:pStyle w:val="Heading2"/>
        <w:keepNext/>
      </w:pPr>
      <w:r>
        <w:t>104.1. Конус цепного моста</w:t>
      </w:r>
    </w:p>
    <w:p>
      <w:pPr/>
      <w:r>
        <w:t>Определение 13.5 (mapping cone). [CL] Для цепной карты J:C_min^•-&gt;E^• положим</w:t>
      </w:r>
    </w:p>
    <w:p>
      <w:pPr>
        <w:keepLines/>
        <w:spacing w:before="80" w:after="80"/>
        <w:jc w:val="center"/>
      </w:pPr>
      <w:r>
        <w:rPr>
          <w:rFonts w:ascii="Liberation Serif" w:hAnsi="Liberation Serif"/>
          <w:i/>
          <w:sz w:val="23"/>
        </w:rPr>
        <w:t>Cone(J)^n = E^n ⊕ C_min^{n+1},</w:t>
      </w:r>
      <w:r>
        <w:rPr>
          <w:sz w:val="21"/>
        </w:rPr>
        <w:t xml:space="preserve">     (13.11)</w:t>
      </w:r>
    </w:p>
    <w:p>
      <w:pPr>
        <w:keepLines/>
        <w:spacing w:before="80" w:after="80"/>
        <w:jc w:val="center"/>
      </w:pPr>
      <w:r>
        <w:rPr>
          <w:rFonts w:ascii="Liberation Serif" w:hAnsi="Liberation Serif"/>
          <w:i/>
          <w:sz w:val="23"/>
        </w:rPr>
        <w:t>D_J(e,c) = (d_E e + Jc, -δ_min c).</w:t>
      </w:r>
      <w:r>
        <w:rPr>
          <w:sz w:val="21"/>
        </w:rPr>
        <w:t xml:space="preserve">     (13.12)</w:t>
      </w:r>
    </w:p>
    <w:p>
      <w:pPr/>
      <w:r>
        <w:t>Стандартное вычисление даёт D_J²=0 именно благодаря тому, что J является цепной картой.</w:t>
      </w:r>
    </w:p>
    <w:p>
      <w:pPr/>
      <w:r>
        <w:t>Теорема 13.5 (точная последовательность детекции). [THM] Конус порождает длинную точную последовательность, фрагмент которой имеет вид</w:t>
      </w:r>
    </w:p>
    <w:p>
      <w:pPr>
        <w:keepLines/>
        <w:spacing w:before="80" w:after="80"/>
        <w:jc w:val="center"/>
      </w:pPr>
      <w:r>
        <w:rPr>
          <w:rFonts w:ascii="Liberation Serif" w:hAnsi="Liberation Serif"/>
          <w:i/>
          <w:sz w:val="23"/>
        </w:rPr>
        <w:t>H²(C_min)-&gt;H²(E)-&gt;H²(Cone J)-&gt;O_B --Π_E--&gt; H³(E)-&gt;H³(Cone J)-&gt;0.</w:t>
      </w:r>
      <w:r>
        <w:rPr>
          <w:sz w:val="21"/>
        </w:rPr>
        <w:t xml:space="preserve">     (13.13)</w:t>
      </w:r>
    </w:p>
    <w:p>
      <w:pPr/>
      <w:r>
        <w:t>Последний ноль возникает из H⁴(C_min)=0.</w:t>
      </w:r>
    </w:p>
    <w:p>
      <w:pPr>
        <w:pStyle w:val="Heading2"/>
        <w:keepNext/>
      </w:pPr>
      <w:r>
        <w:t>104.2. Blind и Excess defects</w:t>
      </w:r>
    </w:p>
    <w:p>
      <w:pPr>
        <w:keepLines/>
        <w:spacing w:before="80" w:after="80"/>
        <w:jc w:val="center"/>
      </w:pPr>
      <w:r>
        <w:rPr>
          <w:rFonts w:ascii="Liberation Serif" w:hAnsi="Liberation Serif"/>
          <w:i/>
          <w:sz w:val="23"/>
        </w:rPr>
        <w:t>Blind_E(N) := Ker Π_E,N,</w:t>
      </w:r>
      <w:r>
        <w:rPr>
          <w:sz w:val="21"/>
        </w:rPr>
        <w:t xml:space="preserve">     (13.14)</w:t>
      </w:r>
    </w:p>
    <w:p>
      <w:pPr>
        <w:keepLines/>
        <w:spacing w:before="80" w:after="80"/>
        <w:jc w:val="center"/>
      </w:pPr>
      <w:r>
        <w:rPr>
          <w:rFonts w:ascii="Liberation Serif" w:hAnsi="Liberation Serif"/>
          <w:i/>
          <w:sz w:val="23"/>
        </w:rPr>
        <w:t>Excess_E(N) := Coker Π_E,N.</w:t>
      </w:r>
      <w:r>
        <w:rPr>
          <w:sz w:val="21"/>
        </w:rPr>
        <w:t xml:space="preserve">     (13.15)</w:t>
      </w:r>
    </w:p>
    <w:p>
      <w:pPr/>
      <w:r>
        <w:t>Из точности (13.13) следуют</w:t>
      </w:r>
    </w:p>
    <w:p>
      <w:pPr>
        <w:keepLines/>
        <w:spacing w:before="80" w:after="80"/>
        <w:jc w:val="center"/>
      </w:pPr>
      <w:r>
        <w:rPr>
          <w:rFonts w:ascii="Liberation Serif" w:hAnsi="Liberation Serif"/>
          <w:i/>
          <w:sz w:val="23"/>
        </w:rPr>
        <w:t>Blind_E = Im(H²(Cone J)-&gt;O_B),</w:t>
      </w:r>
      <w:r>
        <w:rPr>
          <w:sz w:val="21"/>
        </w:rPr>
        <w:t xml:space="preserve">     (13.16)</w:t>
      </w:r>
    </w:p>
    <w:p>
      <w:pPr>
        <w:keepLines/>
        <w:spacing w:before="80" w:after="80"/>
        <w:jc w:val="center"/>
      </w:pPr>
      <w:r>
        <w:rPr>
          <w:rFonts w:ascii="Liberation Serif" w:hAnsi="Liberation Serif"/>
          <w:i/>
          <w:sz w:val="23"/>
        </w:rPr>
        <w:t>Excess_E ≅ H³(Cone J).</w:t>
      </w:r>
      <w:r>
        <w:rPr>
          <w:sz w:val="21"/>
        </w:rPr>
        <w:t xml:space="preserve">     (13.17)</w:t>
      </w:r>
    </w:p>
    <w:p>
      <w:pPr/>
      <w:r>
        <w:t>Blind_E измеряет внутренние препятствия, невидимые выбранной внешней реализацией. Excess_E измеряет внешние классы, не объясняемые внутренним квадратичным слоем. Это разные дефекты, и один не компенсирует другой.</w:t>
      </w:r>
    </w:p>
    <w:p>
      <w:pPr>
        <w:keepNext/>
        <w:jc w:val="center"/>
      </w:pPr>
      <w:r>
        <w:drawing>
          <wp:inline xmlns:a="http://schemas.openxmlformats.org/drawingml/2006/main" xmlns:pic="http://schemas.openxmlformats.org/drawingml/2006/picture">
            <wp:extent cx="5760000" cy="2635554"/>
            <wp:docPr id="31" name="Picture 31"/>
            <wp:cNvGraphicFramePr>
              <a:graphicFrameLocks noChangeAspect="1"/>
            </wp:cNvGraphicFramePr>
            <a:graphic>
              <a:graphicData uri="http://schemas.openxmlformats.org/drawingml/2006/picture">
                <pic:pic>
                  <pic:nvPicPr>
                    <pic:cNvPr id="0" name="fig27_cone_defects.png"/>
                    <pic:cNvPicPr/>
                  </pic:nvPicPr>
                  <pic:blipFill>
                    <a:blip r:embed="rId58"/>
                    <a:stretch>
                      <a:fillRect/>
                    </a:stretch>
                  </pic:blipFill>
                  <pic:spPr>
                    <a:xfrm>
                      <a:off x="0" y="0"/>
                      <a:ext cx="5760000" cy="2635554"/>
                    </a:xfrm>
                    <a:prstGeom prst="rect"/>
                  </pic:spPr>
                </pic:pic>
              </a:graphicData>
            </a:graphic>
          </wp:inline>
        </w:drawing>
      </w:r>
    </w:p>
    <w:p>
      <w:pPr>
        <w:pStyle w:val="Caption"/>
        <w:jc w:val="center"/>
      </w:pPr>
      <w:r>
        <w:t>Рисунок 27. Mapping cone и два дефекта внешней детекции. Собственная схема Тома II.</w:t>
      </w:r>
    </w:p>
    <w:p>
      <w:pPr>
        <w:pStyle w:val="Heading1"/>
        <w:keepNext/>
      </w:pPr>
      <w:r>
        <w:t>105. Зависимость от выбора внешней реализации</w:t>
      </w:r>
    </w:p>
    <w:p>
      <w:pPr>
        <w:pStyle w:val="Heading2"/>
        <w:keepNext/>
      </w:pPr>
      <w:r>
        <w:t>105.1. Гомотопическая инвариантность</w:t>
      </w:r>
    </w:p>
    <w:p>
      <w:pPr/>
      <w:r>
        <w:t>Теорема 13.6 (chain-homotopy invariance). [CL/THM] Если цепные карты J,K:C_min^•-&gt;E^• гомотопны, то</w:t>
      </w:r>
    </w:p>
    <w:p>
      <w:pPr>
        <w:keepLines/>
        <w:spacing w:before="80" w:after="80"/>
        <w:jc w:val="center"/>
      </w:pPr>
      <w:r>
        <w:rPr>
          <w:rFonts w:ascii="Liberation Serif" w:hAnsi="Liberation Serif"/>
          <w:i/>
          <w:sz w:val="23"/>
        </w:rPr>
        <w:t>H^n(J)=H^n(K)  для всех n;  следовательно Π_E^J=Π_E^K.</w:t>
      </w:r>
      <w:r>
        <w:rPr>
          <w:sz w:val="21"/>
        </w:rPr>
        <w:t xml:space="preserve">     (13.18)</w:t>
      </w:r>
    </w:p>
    <w:p>
      <w:pPr/>
      <w:r>
        <w:t>В двухчленном секторе достаточно предъявить операторы h²:F²_N-&gt;E¹ и h³:X²_N-&gt;E², для которых</w:t>
      </w:r>
    </w:p>
    <w:p>
      <w:pPr>
        <w:keepLines/>
        <w:spacing w:before="80" w:after="80"/>
        <w:jc w:val="center"/>
      </w:pPr>
      <w:r>
        <w:rPr>
          <w:rFonts w:ascii="Liberation Serif" w:hAnsi="Liberation Serif"/>
          <w:i/>
          <w:sz w:val="23"/>
        </w:rPr>
        <w:t>J²-K² = d_E¹ h² + h³ Ψ²,     J³-K³ = d_E² h³.</w:t>
      </w:r>
      <w:r>
        <w:rPr>
          <w:sz w:val="21"/>
        </w:rPr>
        <w:t xml:space="preserve">     (13.19)</w:t>
      </w:r>
    </w:p>
    <w:p>
      <w:pPr/>
      <w:r>
        <w:t>Таким образом, Π_E зависит не от буквальной цепной карты, а от её класса в гомотопической категории. Не гомотопные мосты могут давать различные внешние детекции.</w:t>
      </w:r>
    </w:p>
    <w:p>
      <w:pPr>
        <w:pStyle w:val="Heading2"/>
        <w:keepNext/>
      </w:pPr>
      <w:r>
        <w:t>105.2. Сравнение двух внешних комплексов</w:t>
      </w:r>
    </w:p>
    <w:p>
      <w:pPr/>
      <w:r>
        <w:t>Пусть E и F являются двумя внешними реализациями, а Q:E^•-&gt;F^• - цепная карта. Если J_F=QJ_E, то</w:t>
      </w:r>
    </w:p>
    <w:p>
      <w:pPr>
        <w:keepLines/>
        <w:spacing w:before="80" w:after="80"/>
        <w:jc w:val="center"/>
      </w:pPr>
      <w:r>
        <w:rPr>
          <w:rFonts w:ascii="Liberation Serif" w:hAnsi="Liberation Serif"/>
          <w:i/>
          <w:sz w:val="23"/>
        </w:rPr>
        <w:t>Π_F = H³(Q) Π_E.</w:t>
      </w:r>
      <w:r>
        <w:rPr>
          <w:sz w:val="21"/>
        </w:rPr>
        <w:t xml:space="preserve">     (13.20)</w:t>
      </w:r>
    </w:p>
    <w:p>
      <w:pPr/>
      <w:r>
        <w:t>Если H³(Q) инъективно на Im Π_E, внешний переход E-&gt;F не теряет уже обнаруженные внутренние классы. Если H³(Q) имеет ненулевое ядро на Im Π_E, появляется дополнительный blind defect.</w:t>
      </w:r>
    </w:p>
    <w:p>
      <w:pPr>
        <w:pStyle w:val="Heading1"/>
        <w:keepNext/>
      </w:pPr>
      <w:r>
        <w:t>106. Функториальная внешняя теория</w:t>
      </w:r>
    </w:p>
    <w:p>
      <w:pPr/>
      <w:r>
        <w:t>Определение 13.6 (категория внешних реализаций). [DEF-A] Объектом ExtReal(N) является пара (E,J), удовлетворяющая B1-B2. Морфизмом (E,J)-&gt;(F,K) является цепная карта Q:E-&gt;F с QJ=K.</w:t>
      </w:r>
    </w:p>
    <w:p>
      <w:pPr/>
      <w:r>
        <w:t>Теорема 13.7. [THM] Назначение</w:t>
      </w:r>
    </w:p>
    <w:p>
      <w:pPr>
        <w:keepLines/>
        <w:spacing w:before="80" w:after="80"/>
        <w:jc w:val="center"/>
      </w:pPr>
      <w:r>
        <w:rPr>
          <w:rFonts w:ascii="Liberation Serif" w:hAnsi="Liberation Serif"/>
          <w:i/>
          <w:sz w:val="23"/>
        </w:rPr>
        <w:t>(E,J) ↦ Π_E:O_B(N)-&gt;H³(E)</w:t>
      </w:r>
      <w:r>
        <w:rPr>
          <w:sz w:val="21"/>
        </w:rPr>
        <w:t xml:space="preserve">     (13.21)</w:t>
      </w:r>
    </w:p>
    <w:p>
      <w:pPr/>
      <w:r>
        <w:t>функториально относительно морфизмов внешних реализаций. Следовательно, сравнение внешних моделей должно выполняться через явные цепные карты, а не через совпадение размерностей или названий когомологий.</w:t>
      </w:r>
    </w:p>
    <w:p>
      <w:pPr/>
      <w:r>
        <w:t>Определение 13.7 (canonical external class). [COND] Внешний класс называется каноническим относительно подкатегории R_ext, если все допустимые реализации связаны квазиизоморфизмами, согласованными с J, и полученные H³-классы совпадают под этими изоморфизмами.</w:t>
      </w:r>
    </w:p>
    <w:p>
      <w:pPr/>
      <w:r>
        <w:t>Без такого контракта выражение «внешний класс препятствия» зависит от выбора E и не обладает абсолютным смыслом.</w:t>
      </w:r>
    </w:p>
    <w:p>
      <w:pPr>
        <w:pStyle w:val="Heading1"/>
        <w:keepNext/>
      </w:pPr>
      <w:r>
        <w:t>107. Конечномерная численная реализация</w:t>
      </w:r>
    </w:p>
    <w:p>
      <w:pPr>
        <w:pStyle w:val="Heading2"/>
        <w:keepNext/>
      </w:pPr>
      <w:r>
        <w:t>107.1. Ортогональные модели факторпространств</w:t>
      </w:r>
    </w:p>
    <w:p>
      <w:pPr/>
      <w:r>
        <w:t>В конечномерном евклидовом или эрмитовом секторе выбираются ортогональные разложения</w:t>
      </w:r>
    </w:p>
    <w:p>
      <w:pPr>
        <w:keepLines/>
        <w:spacing w:before="80" w:after="80"/>
        <w:jc w:val="center"/>
      </w:pPr>
      <w:r>
        <w:rPr>
          <w:rFonts w:ascii="Liberation Serif" w:hAnsi="Liberation Serif"/>
          <w:i/>
          <w:sz w:val="23"/>
        </w:rPr>
        <w:t>X²_N = Im Ψ²_N ⊕ O_N,     Ker d_E³ = Im d_E² ⊕ H_E³.</w:t>
      </w:r>
      <w:r>
        <w:rPr>
          <w:sz w:val="21"/>
        </w:rPr>
        <w:t xml:space="preserve">     (13.22)</w:t>
      </w:r>
    </w:p>
    <w:p>
      <w:pPr/>
      <w:r>
        <w:t>Тогда O_N является минимально-нормовым представителем O_B, а H_E³ - гармоническим представителем внешней когомологии. Матрица индуцированного моста имеет вид</w:t>
      </w:r>
    </w:p>
    <w:p>
      <w:pPr>
        <w:keepLines/>
        <w:spacing w:before="80" w:after="80"/>
        <w:jc w:val="center"/>
      </w:pPr>
      <w:r>
        <w:rPr>
          <w:rFonts w:ascii="Liberation Serif" w:hAnsi="Liberation Serif"/>
          <w:i/>
          <w:sz w:val="23"/>
        </w:rPr>
        <w:t>P_E := P_{H_E³} J³_N |_{O_N}.</w:t>
      </w:r>
      <w:r>
        <w:rPr>
          <w:sz w:val="21"/>
        </w:rPr>
        <w:t xml:space="preserve">     (13.23)</w:t>
      </w:r>
    </w:p>
    <w:p>
      <w:pPr/>
      <w:r>
        <w:t>Теорема 13.8 (стабильная обратная детекция). [THM/COMP] P_E инъективно тогда и только тогда, когда его наименьшее сингулярное число положительно. Если</w:t>
      </w:r>
    </w:p>
    <w:p>
      <w:pPr>
        <w:keepLines/>
        <w:spacing w:before="80" w:after="80"/>
        <w:jc w:val="center"/>
      </w:pPr>
      <w:r>
        <w:rPr>
          <w:rFonts w:ascii="Liberation Serif" w:hAnsi="Liberation Serif"/>
          <w:i/>
          <w:sz w:val="23"/>
        </w:rPr>
        <w:t>σ_min(P_E) ≥ s_0 &gt; 0,</w:t>
      </w:r>
      <w:r>
        <w:rPr>
          <w:sz w:val="21"/>
        </w:rPr>
        <w:t xml:space="preserve">     (13.24)</w:t>
      </w:r>
    </w:p>
    <w:p>
      <w:pPr/>
      <w:r>
        <w:t>то для каждого внутреннего класса o</w:t>
      </w:r>
    </w:p>
    <w:p>
      <w:pPr>
        <w:keepLines/>
        <w:spacing w:before="80" w:after="80"/>
        <w:jc w:val="center"/>
      </w:pPr>
      <w:r>
        <w:rPr>
          <w:rFonts w:ascii="Liberation Serif" w:hAnsi="Liberation Serif"/>
          <w:i/>
          <w:sz w:val="23"/>
        </w:rPr>
        <w:t>||Π_E(o)|| ≥ s_0 ||o||.</w:t>
      </w:r>
      <w:r>
        <w:rPr>
          <w:sz w:val="21"/>
        </w:rPr>
        <w:t xml:space="preserve">     (13.25)</w:t>
      </w:r>
    </w:p>
    <w:p>
      <w:pPr/>
      <w:r>
        <w:t>Следовательно, ненулевой внутренний класс не может исчезнуть во внешнем слое под малыми численными возмущениями, меньшими сертифицированного запаса.</w:t>
      </w:r>
    </w:p>
    <w:p>
      <w:pPr>
        <w:pStyle w:val="Heading2"/>
        <w:keepNext/>
      </w:pPr>
      <w:r>
        <w:t>107.2. Инвариантный внешний остаток</w:t>
      </w:r>
    </w:p>
    <w:p>
      <w:pPr>
        <w:keepLines/>
        <w:spacing w:before="80" w:after="80"/>
        <w:jc w:val="center"/>
      </w:pPr>
      <w:r>
        <w:rPr>
          <w:rFonts w:ascii="Liberation Serif" w:hAnsi="Liberation Serif"/>
          <w:i/>
          <w:sz w:val="23"/>
        </w:rPr>
        <w:t>η_E([x]) := ||P_{H_E³} J³_N x_min||,</w:t>
      </w:r>
      <w:r>
        <w:rPr>
          <w:sz w:val="21"/>
        </w:rPr>
        <w:t xml:space="preserve">     (13.26)</w:t>
      </w:r>
    </w:p>
    <w:p>
      <w:pPr/>
      <w:r>
        <w:t>где x_min∈O_N - минимально-нормовый представитель внутреннего класса. При B1-B2 величина не зависит от добавления Ψ²f. Однако она зависит от выбранных норм и потому требует metric ledger.</w:t>
      </w:r>
    </w:p>
    <w:p>
      <w:pPr>
        <w:pStyle w:val="Heading1"/>
        <w:keepNext/>
      </w:pPr>
      <w:r>
        <w:t>108. Параметрические семейства и внешний горизонт</w:t>
      </w:r>
    </w:p>
    <w:p>
      <w:pPr/>
      <w:r>
        <w:t>Для семейства (N_t,E_t,J_t) вводится расширенный горизонт</w:t>
      </w:r>
    </w:p>
    <w:p>
      <w:pPr>
        <w:keepLines/>
        <w:spacing w:before="80" w:after="80"/>
        <w:jc w:val="center"/>
      </w:pPr>
      <w:r>
        <w:rPr>
          <w:rFonts w:ascii="Liberation Serif" w:hAnsi="Liberation Serif"/>
          <w:i/>
          <w:sz w:val="23"/>
        </w:rPr>
        <w:t>Δ_E = Δ_{complex} ∪ Δ_{chain} ∪ Δ_{rank Π} ∪ Δ_{σΠ} ∪ Δ_{hom} ∪ Δ_D ∪ Δ_Dom ∪ Δ_{glue}.</w:t>
      </w:r>
      <w:r>
        <w:rPr>
          <w:sz w:val="21"/>
        </w:rPr>
        <w:t xml:space="preserve">     (13.27)</w:t>
      </w:r>
    </w:p>
    <w:p>
      <w:pPr/>
      <w:r>
        <w:t>Здесь фиксируются: нарушение d_E²=0; нарушение цепного квадрата; изменение ранга Π_E; потеря устойчивой инъективности; смена гомотопического класса моста; дефекты Evidence-D, Dom и глобализации.</w:t>
      </w:r>
    </w:p>
    <w:p>
      <w:pPr/>
      <w:r>
        <w:t>Лемма 13.9 (локальная постоянность рангов). [THM] В конечномерном непрерывном семействе на области, где ранги d_E²,d_E³,Ψ² и P_E постоянны и положительные сингулярные числа отделены от нуля, размерности H³(E), Blind_E, Excess_E и Im Π_E локально постоянны.</w:t>
      </w:r>
    </w:p>
    <w:p>
      <w:pPr>
        <w:pStyle w:val="Heading1"/>
        <w:keepNext/>
      </w:pPr>
      <w:r>
        <w:t>109. Предсказательный внешний мост</w:t>
      </w:r>
    </w:p>
    <w:p>
      <w:pPr>
        <w:pStyle w:val="Heading2"/>
        <w:keepNext/>
      </w:pPr>
      <w:r>
        <w:t>109.1. Теорема устойчивого внешнего препятствия</w:t>
      </w:r>
    </w:p>
    <w:p>
      <w:pPr/>
      <w:r>
        <w:t>Теорема 13.10. [THM/COMP] Пусть на компактном интервале I выполнены B1-B5, семейства непрерывны и существует ε_E&gt;0 такое, что</w:t>
      </w:r>
    </w:p>
    <w:p>
      <w:pPr>
        <w:keepLines/>
        <w:spacing w:before="80" w:after="80"/>
        <w:jc w:val="center"/>
      </w:pPr>
      <w:r>
        <w:rPr>
          <w:rFonts w:ascii="Liberation Serif" w:hAnsi="Liberation Serif"/>
          <w:i/>
          <w:sz w:val="23"/>
        </w:rPr>
        <w:t>||Π_{E,t}(o_t)|| ≥ ε_E  для всех t∈I.</w:t>
      </w:r>
      <w:r>
        <w:rPr>
          <w:sz w:val="21"/>
        </w:rPr>
        <w:t xml:space="preserve">     (13.28)</w:t>
      </w:r>
    </w:p>
    <w:p>
      <w:pPr/>
      <w:r>
        <w:t>Тогда внешний класс не обращается в нуль ни в одной точке I. Следовательно, структурный переход, требующий исчезновения данного внешнего класса, невозможен внутри сертифицированной модели.</w:t>
      </w:r>
    </w:p>
    <w:p>
      <w:pPr/>
      <w:r>
        <w:t>Если дополнительно B6 выполнено с σ_min(P_{E,t})≥s_0&gt;0, то внешний ноль эквивалентен внутреннему нулю на I. Без B6 внешний ноль возвращает ABSTAIN, а не доказательство отсутствия внутреннего препятствия.</w:t>
      </w:r>
    </w:p>
    <w:p>
      <w:pPr>
        <w:pStyle w:val="Heading2"/>
        <w:keepNext/>
      </w:pPr>
      <w:r>
        <w:t>109.2. Главная условная теорема v0.10</w:t>
      </w:r>
    </w:p>
    <w:p>
      <w:pPr/>
      <w:r>
        <w:t>Теорема 13.11 (external-detection-safe predictive theorem). [COND] Пусть:</w:t>
      </w:r>
    </w:p>
    <w:p>
      <w:pPr>
        <w:pStyle w:val="ListBullet"/>
      </w:pPr>
      <w:r>
        <w:t>B1-B5 выполнены и документированы;</w:t>
      </w:r>
    </w:p>
    <w:p>
      <w:pPr>
        <w:pStyle w:val="ListBullet"/>
      </w:pPr>
      <w:r>
        <w:t>для обратной ветви выполнено B6 с устойчивой нижней границей;</w:t>
      </w:r>
    </w:p>
    <w:p>
      <w:pPr>
        <w:pStyle w:val="ListBullet"/>
      </w:pPr>
      <w:r>
        <w:t>внешний мост остаётся в одном гомотопическом классе;</w:t>
      </w:r>
    </w:p>
    <w:p>
      <w:pPr>
        <w:pStyle w:val="ListBullet"/>
      </w:pPr>
      <w:r>
        <w:t>D/Dom и глобализационные условия не меняются;</w:t>
      </w:r>
    </w:p>
    <w:p>
      <w:pPr>
        <w:pStyle w:val="ListBullet"/>
      </w:pPr>
      <w:r>
        <w:t>предыдущие tangent, holonomy и differential blockers закрыты;</w:t>
      </w:r>
    </w:p>
    <w:p>
      <w:pPr>
        <w:pStyle w:val="ListBullet"/>
      </w:pPr>
      <w:r>
        <w:t>β_Ass не подменяется Π_E;</w:t>
      </w:r>
    </w:p>
    <w:p>
      <w:pPr>
        <w:pStyle w:val="ListBullet"/>
      </w:pPr>
      <w:r>
        <w:t>B8 не используется без доменной редукции и данных;</w:t>
      </w:r>
    </w:p>
    <w:p>
      <w:pPr>
        <w:pStyle w:val="ListBullet"/>
      </w:pPr>
      <w:r>
        <w:t>вычислительный сертификат EXT-E воспроизводим.</w:t>
      </w:r>
    </w:p>
    <w:p>
      <w:pPr/>
      <w:r>
        <w:t>Тогда вне Δ_E профиль</w:t>
      </w:r>
    </w:p>
    <w:p>
      <w:pPr>
        <w:keepLines/>
        <w:spacing w:before="80" w:after="80"/>
        <w:jc w:val="center"/>
      </w:pPr>
      <w:r>
        <w:rPr>
          <w:rFonts w:ascii="Liberation Serif" w:hAnsi="Liberation Serif"/>
          <w:i/>
          <w:sz w:val="23"/>
        </w:rPr>
        <w:t>P_E(t)=(dim H³(E_t), rank Π_{E,t}, dim Blind_{E,t}, dim Excess_{E,t}, σ_min(P_{E,t}), η_E(o_t))</w:t>
      </w:r>
      <w:r>
        <w:rPr>
          <w:sz w:val="21"/>
        </w:rPr>
        <w:t xml:space="preserve">     (13.29)</w:t>
      </w:r>
    </w:p>
    <w:p>
      <w:pPr/>
      <w:r>
        <w:t>локально устойчив. Ненулевой η_E, отделённый от нуля, даёт отрицательный прогноз исчезновения внешнего препятствия. Нулевой η_E при faithful-мосте создаёт только кандидат внутреннего квадратичного разрешения; высшие, глобальные и физические выводы не следуют.</w:t>
      </w:r>
    </w:p>
    <w:p>
      <w:pPr>
        <w:keepNext/>
        <w:jc w:val="center"/>
      </w:pPr>
      <w:r>
        <w:drawing>
          <wp:inline xmlns:a="http://schemas.openxmlformats.org/drawingml/2006/main" xmlns:pic="http://schemas.openxmlformats.org/drawingml/2006/picture">
            <wp:extent cx="5760000" cy="2724894"/>
            <wp:docPr id="32" name="Picture 32"/>
            <wp:cNvGraphicFramePr>
              <a:graphicFrameLocks noChangeAspect="1"/>
            </wp:cNvGraphicFramePr>
            <a:graphic>
              <a:graphicData uri="http://schemas.openxmlformats.org/drawingml/2006/picture">
                <pic:pic>
                  <pic:nvPicPr>
                    <pic:cNvPr id="0" name="fig28_external_gate.png"/>
                    <pic:cNvPicPr/>
                  </pic:nvPicPr>
                  <pic:blipFill>
                    <a:blip r:embed="rId59"/>
                    <a:stretch>
                      <a:fillRect/>
                    </a:stretch>
                  </pic:blipFill>
                  <pic:spPr>
                    <a:xfrm>
                      <a:off x="0" y="0"/>
                      <a:ext cx="5760000" cy="2724894"/>
                    </a:xfrm>
                    <a:prstGeom prst="rect"/>
                  </pic:spPr>
                </pic:pic>
              </a:graphicData>
            </a:graphic>
          </wp:inline>
        </w:drawing>
      </w:r>
    </w:p>
    <w:p>
      <w:pPr>
        <w:pStyle w:val="Caption"/>
        <w:jc w:val="center"/>
      </w:pPr>
      <w:r>
        <w:t>Рисунок 28. Blocker-safe шлюз внешней детекции. Собственная схема Тома II.</w:t>
      </w:r>
    </w:p>
    <w:p>
      <w:pPr>
        <w:pStyle w:val="Heading1"/>
        <w:keepNext/>
      </w:pPr>
      <w:r>
        <w:t>110. Отдельный ассоциаторный канал β_Ass</w:t>
      </w:r>
    </w:p>
    <w:p>
      <w:pPr/>
      <w:r>
        <w:t>Определение 13.8 (associator test channel). [OPEN/DEF-A] Пусть T_Ass(N) - пространство типизированных ассоциаторных тестов, а A_Ass^•(N) - отдельный внешний комплекс. Кандидатный канал имеет форму</w:t>
      </w:r>
    </w:p>
    <w:p>
      <w:pPr>
        <w:keepLines/>
        <w:spacing w:before="80" w:after="80"/>
        <w:jc w:val="center"/>
      </w:pPr>
      <w:r>
        <w:rPr>
          <w:rFonts w:ascii="Liberation Serif" w:hAnsi="Liberation Serif"/>
          <w:i/>
          <w:sz w:val="23"/>
        </w:rPr>
        <w:t>β_Ass,N:T_Ass(N)-&gt;H³(A_Ass^•(N)).</w:t>
      </w:r>
      <w:r>
        <w:rPr>
          <w:sz w:val="21"/>
        </w:rPr>
        <w:t xml:space="preserve">     (13.30)</w:t>
      </w:r>
    </w:p>
    <w:p>
      <w:pPr/>
      <w:r>
        <w:t>Условие B7 запрещает считать β_Ass следствием Π_E. Связь возможна только после построения карты S:O_B-&gt;T_Ass и цепного отображения Q:E^•-&gt;A_Ass^•, для которых доказана коммутативность соответствующей диаграммы.</w:t>
      </w:r>
    </w:p>
    <w:p>
      <w:pPr>
        <w:keepLines/>
        <w:spacing w:before="80" w:after="80"/>
        <w:jc w:val="center"/>
      </w:pPr>
      <w:r>
        <w:rPr>
          <w:rFonts w:ascii="Liberation Serif" w:hAnsi="Liberation Serif"/>
          <w:i/>
          <w:sz w:val="23"/>
        </w:rPr>
        <w:t>β_Ass ∘ S = H³(Q) ∘ Π_E.</w:t>
      </w:r>
      <w:r>
        <w:rPr>
          <w:sz w:val="21"/>
        </w:rPr>
        <w:t xml:space="preserve">     (13.31)</w:t>
      </w:r>
    </w:p>
    <w:p>
      <w:pPr/>
      <w:r>
        <w:t>До доказательства (13.31) квадратичный obstruction class, ассоциатор, ассоциаторная кривизна и Hol_D остаются различными объектами.</w:t>
      </w:r>
    </w:p>
    <w:p>
      <w:pPr>
        <w:pStyle w:val="Heading1"/>
        <w:keepNext/>
      </w:pPr>
      <w:r>
        <w:t>111. Контрпримеры к сильным внешним выводам</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1984"/>
            <w:shd w:fill="1F4E79"/>
            <w:tcMar>
              <w:top w:w="90" w:type="dxa"/>
              <w:start w:w="90" w:type="dxa"/>
              <w:bottom w:w="90" w:type="dxa"/>
              <w:end w:w="90" w:type="dxa"/>
            </w:tcMar>
            <w:vAlign w:val="center"/>
          </w:tcPr>
          <w:p>
            <w:pPr>
              <w:jc w:val="center"/>
            </w:pPr>
            <w:r>
              <w:rPr>
                <w:rFonts w:ascii="Liberation Sans" w:hAnsi="Liberation Sans"/>
                <w:b/>
                <w:color w:val="FFFFFF"/>
                <w:sz w:val="15"/>
              </w:rPr>
              <w:t>Тип</w:t>
            </w:r>
          </w:p>
        </w:tc>
        <w:tc>
          <w:tcPr>
            <w:tcW w:type="dxa" w:w="3572"/>
            <w:shd w:fill="1F4E79"/>
            <w:tcMar>
              <w:top w:w="90" w:type="dxa"/>
              <w:start w:w="90" w:type="dxa"/>
              <w:bottom w:w="90" w:type="dxa"/>
              <w:end w:w="90" w:type="dxa"/>
            </w:tcMar>
            <w:vAlign w:val="center"/>
          </w:tcPr>
          <w:p>
            <w:pPr>
              <w:jc w:val="center"/>
            </w:pPr>
            <w:r>
              <w:rPr>
                <w:rFonts w:ascii="Liberation Sans" w:hAnsi="Liberation Sans"/>
                <w:b/>
                <w:color w:val="FFFFFF"/>
                <w:sz w:val="15"/>
              </w:rPr>
              <w:t>Модель</w:t>
            </w:r>
          </w:p>
        </w:tc>
        <w:tc>
          <w:tcPr>
            <w:tcW w:type="dxa" w:w="3118"/>
            <w:shd w:fill="1F4E79"/>
            <w:tcMar>
              <w:top w:w="90" w:type="dxa"/>
              <w:start w:w="90" w:type="dxa"/>
              <w:bottom w:w="90" w:type="dxa"/>
              <w:end w:w="90" w:type="dxa"/>
            </w:tcMar>
            <w:vAlign w:val="center"/>
          </w:tcPr>
          <w:p>
            <w:pPr>
              <w:jc w:val="center"/>
            </w:pPr>
            <w:r>
              <w:rPr>
                <w:rFonts w:ascii="Liberation Sans" w:hAnsi="Liberation Sans"/>
                <w:b/>
                <w:color w:val="FFFFFF"/>
                <w:sz w:val="15"/>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E1</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Blind acyclic target</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 E²=K, E³=K, d²=id, J³=id</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H³(E)=0, поэтому Π_E=0 при ненулевом O_B.</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E2</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Injective not surjective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O_B=K, H³(E)=K², Π(a)=(a,0)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Все внутренние классы видимы, но внешний слой содержит excess.</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E3</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Surjective not injective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O_B=K², H³(E)=K, Π(a,b)=a</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Внешний слой полный, но теряет внутреннее направление (0,1).</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E4</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Representative failure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Ψ=id_K, d_E=0, J³=id, J²=0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Цепное условие нарушено: один нулевой внутренний класс получает разные образы.</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E5</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Choice dependence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Ψ=0, E³=K, d=0; J³=id, K³=0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Оба моста цепные, но не гомотопны и дают разные Π.</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E6</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External-only class</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J=0, H³(E)≠0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Ненулевой внешний класс может не лежать в Im Π_E.</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E7</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Numerically blind</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σ_min(P_E)-&gt;0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Точная инъективность теряет устойчивую обратную детекцию.</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E8</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No physics from cohomology</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Формальный E с H³≠0 без observables/data</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Внешняя когомология не создаёт физический эффект.</w:t>
            </w:r>
          </w:p>
        </w:tc>
      </w:tr>
    </w:tbl>
    <w:p>
      <w:pPr/>
      <w:r>
        <w:t>Контртеорема 13.12. [THM] Без дополнительных гипотез неверны импликации</w:t>
      </w:r>
    </w:p>
    <w:p>
      <w:pPr>
        <w:pStyle w:val="ListBullet"/>
      </w:pPr>
      <w:r>
        <w:t>Π_E(o)=0 =&gt; o=0;</w:t>
      </w:r>
    </w:p>
    <w:p>
      <w:pPr>
        <w:pStyle w:val="ListBullet"/>
      </w:pPr>
      <w:r>
        <w:t>H³(E)≠0 =&gt; существует внутреннее препятствие;</w:t>
      </w:r>
    </w:p>
    <w:p>
      <w:pPr>
        <w:pStyle w:val="ListBullet"/>
      </w:pPr>
      <w:r>
        <w:t>dim H³(E)=dim O_B =&gt; Π_E является изоморфизмом;</w:t>
      </w:r>
    </w:p>
    <w:p>
      <w:pPr>
        <w:pStyle w:val="ListBullet"/>
      </w:pPr>
      <w:r>
        <w:t>два корректных моста дают один и тот же Π_E;</w:t>
      </w:r>
    </w:p>
    <w:p>
      <w:pPr>
        <w:pStyle w:val="ListBullet"/>
      </w:pPr>
      <w:r>
        <w:t>ненулевой внешний класс =&gt; ассоциаторный или физический эффект.</w:t>
      </w:r>
    </w:p>
    <w:p>
      <w:pPr>
        <w:pStyle w:val="Heading1"/>
        <w:keepNext/>
      </w:pPr>
      <w:r>
        <w:t>112. Вычислительный сертификат EXT-E v0.10</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134"/>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220"/>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E^n, базисы, нормы, Dom и дифференциалы d_E^n.</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d_E^{n+1}d_E^n=0 точной арифметикой.</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J²,J³ и проверить типы.</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d_E²J²=J³Ψ² и d_E³J³=0.</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Построить H³(E)=ker d_E³/im d_E².</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индуцированную матрицу Π_E на факторных базисах.</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E-07</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ker, image, coker Π_E; Blind_E и Excess_E.</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E-08</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Cone(J) и сверить длинную точную последовательность.</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E-09</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NAPG и внешних реализаций.</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E-10</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chain-homotopy invariance на контрольной паре мостов.</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σ_min(P_E), condition number и интервальные bounds.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D/Dom, globalization и предыдущие blockers.</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Сопоставить β_Ass только через отдельную доказанную диаграмму.</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Сформировать verdict EXTERNAL-NO-RESOLUTION / CANDIDATE / ABSTAIN.</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Сохранить basis/metric/homotopy ledger и proof objects.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Вычислить SHA-256 входов, кода, матриц и отчёта.</w:t>
            </w:r>
          </w:p>
        </w:tc>
      </w:tr>
    </w:tbl>
    <w:p>
      <w:pPr>
        <w:pStyle w:val="Heading2"/>
        <w:keepNext/>
      </w:pPr>
      <w:r>
        <w:t>112.1. Псевдокод</w:t>
      </w:r>
    </w:p>
    <w:p>
      <w:pPr>
        <w:pStyle w:val="Quote"/>
      </w:pPr>
      <w:r>
        <w:t>INPUT internal frame (Psi,q), external complex E, bridge J, reper D/Dom</w:t>
        <w:br/>
        <w:t>CHECK d_E^2=0 and chain_map(J)</w:t>
        <w:br/>
        <w:t>BUILD H3(E), quotient bases, induced Pi_E</w:t>
        <w:br/>
        <w:t>COMPUTE Blind=ker(Pi_E), Excess=coker(Pi_E), Cone(J)</w:t>
        <w:br/>
        <w:t>IF Pi_E([q]) != 0 with certified lower bound: RETURN EXTERNAL-NO-RESOLUTION-IN-MODEL</w:t>
        <w:br/>
        <w:t>IF Pi_E([q]) = 0 AND Pi_E injective/stable AND all blockers closed:</w:t>
        <w:br/>
        <w:t xml:space="preserve">    RETURN CANDIDATE-INTERNAL-QUADRATIC-RESOLUTION</w:t>
        <w:br/>
        <w:t>ELSE RETURN ABSTAIN</w:t>
        <w:br/>
        <w:t>NEVER infer associator or physical event without B7/B8 packages</w:t>
      </w:r>
    </w:p>
    <w:p>
      <w:pPr>
        <w:pStyle w:val="Heading1"/>
        <w:keepNext/>
      </w:pPr>
      <w:r>
        <w:t>113. Доказательные обязательства T2-RP-v0.10</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608"/>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41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928"/>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154"/>
            <w:shd w:fill="1F4E79"/>
            <w:tcMar>
              <w:top w:w="90" w:type="dxa"/>
              <w:start w:w="90" w:type="dxa"/>
              <w:bottom w:w="90" w:type="dxa"/>
              <w:end w:w="90" w:type="dxa"/>
            </w:tcMar>
            <w:vAlign w:val="center"/>
          </w:tcPr>
          <w:p>
            <w:pPr>
              <w:jc w:val="center"/>
            </w:pPr>
            <w:r>
              <w:rPr>
                <w:rFonts w:ascii="Liberation Sans" w:hAnsi="Liberation Sans"/>
                <w:b/>
                <w:color w:val="FFFFFF"/>
                <w:sz w:val="15"/>
              </w:rPr>
              <w:t>Blocker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E^• является комплексом</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J является цепной картой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§101.2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B2</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Критерий well-definedness Π_E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Естественность Π_E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 при B3-B5</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B3-B5</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Односторонняя детекция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13.3</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Обратная детекция</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THM/COND</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13.4</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injectivity B6</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Mapping cone и exact sequence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13.5</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Blind/Excess defects</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§104.2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Chain-homotopy invariance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Категория внешних реализаций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THM/DEF-A</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13.7</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Canonical external class</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quasi-isomorphic realization category</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Stable reverse detection</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13.8</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norm/basis ledger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Параметрический внешний горизонт</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§108</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constant ranks/bounds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Устойчивое внешнее препятствие</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ε_E certificate</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Главная predictive theorem v0.10</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B1-B8 + previous blockers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Ассоциаторный β_Ass-мост</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B7</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Физическая редукция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B8 + 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Banach/Hilbert external layer</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closed range/Fredholm</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preregistration/data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Machine-verifiable EXT-E certificate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COMP/OPEN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E-01-E-16</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implementation audit</w:t>
            </w:r>
          </w:p>
        </w:tc>
      </w:tr>
    </w:tbl>
    <w:p>
      <w:pPr>
        <w:pStyle w:val="Heading1"/>
        <w:keepNext/>
      </w:pPr>
      <w:r>
        <w:t>114. Prior art и граница авторского вклада</w:t>
      </w:r>
    </w:p>
    <w:p>
      <w:pPr/>
      <w:r>
        <w:t>Стандартный математический слой включает морфизмы комплексов, индуцированные отображения когомологий, цепные гомотопии, mapping cones, длинные точные последовательности и квазиизоморфизмы. Авторский вклад проекта состоит в выборе конкретного внутреннего NAPG-комплекса C_min, его сопряжении с Reper(R,I,U;D), внешнем контракте B1-B8, разделении Blind/Excess defects и включении этих объектов в blocker-safe предсказательную архитектуру KLT-RBD.</w:t>
      </w:r>
    </w:p>
    <w:p>
      <w:pPr/>
      <w:r>
        <w:t>[V0.10-1] The Stacks Project. Complexes and homotopies, Tag 010V; quasi-isomorphisms, Tag 0115.</w:t>
      </w:r>
    </w:p>
    <w:p>
      <w:pPr/>
      <w:r>
        <w:t>[V0.10-2] The Stacks Project. Cones, Tag 09K9; cones and termwise split sequences, Tag 014D.</w:t>
      </w:r>
    </w:p>
    <w:p>
      <w:pPr/>
      <w:r>
        <w:t>[V0.10-3] The Stacks Project. Long exact cohomology sequence, Tag 0117.</w:t>
      </w:r>
    </w:p>
    <w:p>
      <w:pPr/>
      <w:r>
        <w:t>[V0.10-4] Weibel, C. A. An Introduction to Homological Algebra. Cambridge Studies in Advanced Mathematics 38, 1994.</w:t>
      </w:r>
    </w:p>
    <w:p>
      <w:pPr/>
      <w:r>
        <w:t>[V0.10-5] Kurpishev, I. B. Том I v197 RU, §§26.32-26.36 и §§52.6-52.18; Том II T2-RP-v0.1-v0.9.</w:t>
      </w:r>
    </w:p>
    <w:p>
      <w:pPr/>
      <w:r>
        <w:t>Граница новизны. Ни mapping cone, ни chain homotopy, ни индуцированная карта когомологий не заявляются как новые общие конструкции. Новизна связывается с их конкретным типизированным применением в NAPG 3.0 и с доказательной дисциплиной KLT-RBD, запрещающей обратную, ассоциаторную и физическую интерпретацию без соответствующих мостов.</w:t>
      </w:r>
    </w:p>
    <w:p>
      <w:pPr>
        <w:pStyle w:val="Heading1"/>
        <w:keepNext/>
      </w:pPr>
      <w:r>
        <w:t>115. Итог главы и контрольная точка T2-RP-v0.10</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Критерий спуска J³ на coker Ψ; корректность Π_E; односторонняя детекция; критерий обратной детекции; mapping-cone exact sequence; Blind/Excess defects; chain-homotopy invariance; конечномерная стабильная инъективность.</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Естественность требует B3-B5; обратная детекция требует B6; predictive theorem требует B1-B8, постоянных рангов, D/Dom и закрытия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выводы внешний ноль=&gt;внутренний ноль; H³(E)≠0=&gt;внутреннее препятствие; равные размерности=&gt;изоморфизм; Π_E=&gt;ассоциатор или физика.</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Canonical external realization category, β_Ass, Banach/Hilbert-Fredholm слой, независимый доменный запуск и B8-редукция.</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T2-RP-v0.11: глава 14 - пространства препятствий, projectivization, стратифицированные carriers и критерии потери информации при проектировании.</w:t>
            </w:r>
          </w:p>
        </w:tc>
      </w:tr>
    </w:tbl>
    <w:p>
      <w:pPr>
        <w:keepLines/>
        <w:spacing w:before="80" w:after="80"/>
        <w:jc w:val="center"/>
      </w:pPr>
      <w:r>
        <w:rPr>
          <w:rFonts w:ascii="Liberation Serif" w:hAnsi="Liberation Serif"/>
          <w:i/>
          <w:sz w:val="23"/>
        </w:rPr>
        <w:t>truth_layer_promotion=0;  checkpoint=T2-RP-v0.10;  next=T2-RP-v0.11.</w:t>
      </w:r>
      <w:r>
        <w:rPr>
          <w:sz w:val="21"/>
        </w:rPr>
        <w:t xml:space="preserve">     (13.32)</w:t>
      </w:r>
    </w:p>
    <w:p>
      <w:pPr>
        <w:pStyle w:val="Lead"/>
      </w:pPr>
      <w:r>
        <w:t>Следующая сборка tom2_v0_11 развивает геометрию самих пространств препятствий и их проективных носителей, не меняя статусов ПН.2, F-1-F-14 и физических мостов.</w:t>
      </w:r>
    </w:p>
    <w:p>
      <w:pPr>
        <w:pStyle w:val="Small"/>
      </w:pPr>
      <w:r>
        <w:t>checkpoint=T2-RP-v0.10; source=T2-RP-v0.9; truth_layer_promotion=0; next=T2-RP-v0.11.</w:t>
      </w:r>
    </w:p>
    <w:p>
      <w:r>
        <w:br w:type="page"/>
      </w:r>
    </w:p>
    <w:p>
      <w:pPr>
        <w:pStyle w:val="Heading1"/>
      </w:pPr>
      <w:r>
        <w:t>116. Глава 14. Пространства препятствий и проективные носители</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ОНТОЛОГИЧЕСКИЙ БЛОК</w:t>
            </w:r>
          </w:p>
          <w:p>
            <w:pPr>
              <w:spacing w:after="0"/>
            </w:pPr>
            <w:r>
              <w:rPr>
                <w:sz w:val="19"/>
              </w:rPr>
              <w:t>Препятствие существует прежде своей проективной тени. Вектор o∈O_B несёт нулевой статус, масштаб, знак, направление и происхождение; точка [o]∈P(O_B) сохраняет только одномерное направление ненулевого класса. Проективизация полезна как геометрия типов, но она не является полным онтологическим описанием препятствия.</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ГНОСЕОЛОГИЧЕСКИЙ БЛОК</w:t>
            </w:r>
          </w:p>
          <w:p>
            <w:pPr>
              <w:spacing w:after="0"/>
            </w:pPr>
            <w:r>
              <w:rPr>
                <w:sz w:val="19"/>
              </w:rPr>
              <w:t>Переход к P(O_B) является контролируемым забыванием. Поэтому каждый результат обязан сопровождаться журналом утраченных данных: ZERO, SCALE, SIGN, NORM, PROVENANCE, LIFT и DOMAIN. Иначе красивый проективный рисунок начинает изображать знание, которого в нём уже нет.</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E2F0D9"/>
          </w:tcPr>
          <w:p>
            <w:r>
              <w:rPr>
                <w:b/>
                <w:color w:val="1F4E79"/>
                <w:sz w:val="21"/>
              </w:rPr>
              <w:t>ФЕНОМЕНОЛОГИЧЕСКИЙ БЛОК</w:t>
            </w:r>
          </w:p>
          <w:p>
            <w:pPr>
              <w:spacing w:after="0"/>
            </w:pPr>
            <w:r>
              <w:rPr>
                <w:sz w:val="19"/>
              </w:rPr>
              <w:t>Наблюдателю часто важнее направление структурного конфликта, чем его абсолютная величина. Именно это оправдывает projective carrier. Но близость направлений не равна близости величин и не гарантирует одинаковой реализуемости сценариев.</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ОГРАНИЧИТЕЛЬНЫЙ БЛОК</w:t>
            </w:r>
          </w:p>
          <w:p>
            <w:pPr>
              <w:spacing w:after="0"/>
            </w:pPr>
            <w:r>
              <w:rPr>
                <w:sz w:val="19"/>
              </w:rPr>
              <w:t>Ни P(O_B), ни его страта, ни пересечение projective horizon не означают физическое событие. Они задают внутренний класс, тип потери информации или кандидата структурного перехода в пределах модели. truth_layer_promotion=0.</w:t>
            </w:r>
          </w:p>
        </w:tc>
      </w:tr>
    </w:tbl>
    <w:p/>
    <w:p>
      <w:pPr>
        <w:pStyle w:val="Heading2"/>
      </w:pPr>
      <w:r>
        <w:t>116.1. Векторный носитель препятствий</w:t>
      </w:r>
    </w:p>
    <w:p>
      <w:r>
        <w:t>Пусть для NAPG-кадра N внутренний минимальный комплекс даёт векторное пространство препятствий</w:t>
      </w:r>
    </w:p>
    <w:p>
      <w:pPr>
        <w:pStyle w:val="Quote"/>
        <w:jc w:val="center"/>
      </w:pPr>
      <w:r>
        <w:rPr>
          <w:rFonts w:ascii="Cambria Math" w:hAnsi="Cambria Math"/>
          <w:sz w:val="22"/>
        </w:rPr>
        <w:t>O_B(N) = H³(C_min(N)) = X_N² / Im Ψ_N².</w:t>
      </w:r>
      <w:r>
        <w:t xml:space="preserve">    (14.1)</w:t>
      </w:r>
    </w:p>
    <w:p>
      <w:r>
        <w:t>Носитель препятствий понимается как пятикомпонентный объект, а не как голое множество классов:</w:t>
      </w:r>
    </w:p>
    <w:p>
      <w:pPr>
        <w:pStyle w:val="Quote"/>
        <w:jc w:val="center"/>
      </w:pPr>
      <w:r>
        <w:rPr>
          <w:rFonts w:ascii="Cambria Math" w:hAnsi="Cambria Math"/>
          <w:sz w:val="22"/>
        </w:rPr>
        <w:t>Car_B(N) = (O_B, 0_B, Fil_B, Prov_B, Dom_B).</w:t>
      </w:r>
      <w:r>
        <w:t xml:space="preserve">    (14.2)</w:t>
      </w:r>
    </w:p>
    <w:p>
      <w:r>
        <w:t>Здесь 0_B отмечает нулевой класс; Fil_B является выбранной фильтрацией или стратификацией; Prov_B хранит происхождение представителя и цепочку источников; Dom_B фиксирует область допустимости. Последние два слоя не выводятся из структуры векторного пространства и должны передаваться отдельно.</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656"/>
            <w:shd w:fill="1F4E78"/>
            <w:vAlign w:val="center"/>
            <w:tcMar>
              <w:top w:w="100" w:type="dxa"/>
              <w:start w:w="120" w:type="dxa"/>
              <w:bottom w:w="100" w:type="dxa"/>
              <w:end w:w="120" w:type="dxa"/>
            </w:tcMar>
          </w:tcPr>
          <w:p>
            <w:r>
              <w:rPr>
                <w:b/>
                <w:color w:val="FFFFFF"/>
                <w:sz w:val="18"/>
              </w:rPr>
              <w:t>Компонент</w:t>
            </w:r>
          </w:p>
        </w:tc>
        <w:tc>
          <w:tcPr>
            <w:tcW w:type="dxa" w:w="1800"/>
            <w:shd w:fill="1F4E78"/>
            <w:vAlign w:val="center"/>
            <w:tcMar>
              <w:top w:w="100" w:type="dxa"/>
              <w:start w:w="120" w:type="dxa"/>
              <w:bottom w:w="100" w:type="dxa"/>
              <w:end w:w="120" w:type="dxa"/>
            </w:tcMar>
          </w:tcPr>
          <w:p>
            <w:r>
              <w:rPr>
                <w:b/>
                <w:color w:val="FFFFFF"/>
                <w:sz w:val="18"/>
              </w:rPr>
              <w:t>Тип</w:t>
            </w:r>
          </w:p>
        </w:tc>
        <w:tc>
          <w:tcPr>
            <w:tcW w:type="dxa" w:w="3672"/>
            <w:shd w:fill="1F4E78"/>
            <w:vAlign w:val="center"/>
            <w:tcMar>
              <w:top w:w="100" w:type="dxa"/>
              <w:start w:w="120" w:type="dxa"/>
              <w:bottom w:w="100" w:type="dxa"/>
              <w:end w:w="120" w:type="dxa"/>
            </w:tcMar>
          </w:tcPr>
          <w:p>
            <w:r>
              <w:rPr>
                <w:b/>
                <w:color w:val="FFFFFF"/>
                <w:sz w:val="18"/>
              </w:rPr>
              <w:t>Сохраняемое содержание</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O_B</w:t>
            </w:r>
          </w:p>
        </w:tc>
        <w:tc>
          <w:tcPr>
            <w:tcW w:type="dxa" w:w="1800"/>
            <w:vAlign w:val="center"/>
            <w:tcMar>
              <w:top w:w="100" w:type="dxa"/>
              <w:start w:w="120" w:type="dxa"/>
              <w:bottom w:w="100" w:type="dxa"/>
              <w:end w:w="120" w:type="dxa"/>
            </w:tcMar>
          </w:tcPr>
          <w:p>
            <w:r>
              <w:rPr>
                <w:sz w:val="17"/>
              </w:rPr>
              <w:t>векторное пространство</w:t>
            </w:r>
          </w:p>
        </w:tc>
        <w:tc>
          <w:tcPr>
            <w:tcW w:type="dxa" w:w="3672"/>
            <w:vAlign w:val="center"/>
            <w:tcMar>
              <w:top w:w="100" w:type="dxa"/>
              <w:start w:w="120" w:type="dxa"/>
              <w:bottom w:w="100" w:type="dxa"/>
              <w:end w:w="120" w:type="dxa"/>
            </w:tcMar>
          </w:tcPr>
          <w:p>
            <w:r>
              <w:rPr>
                <w:sz w:val="17"/>
              </w:rPr>
              <w:t>линейные комбинации и классы препятствий</w:t>
            </w:r>
          </w:p>
        </w:tc>
        <w:tc>
          <w:tcPr>
            <w:tcW w:type="dxa" w:w="1800"/>
            <w:vAlign w:val="center"/>
            <w:tcMar>
              <w:top w:w="100" w:type="dxa"/>
              <w:start w:w="120" w:type="dxa"/>
              <w:bottom w:w="100" w:type="dxa"/>
              <w:end w:w="120" w:type="dxa"/>
            </w:tcMar>
          </w:tcPr>
          <w:p>
            <w:r>
              <w:rPr>
                <w:sz w:val="17"/>
              </w:rPr>
              <w:t>THM в C_min</w:t>
            </w:r>
          </w:p>
        </w:tc>
      </w:tr>
      <w:tr>
        <w:tc>
          <w:tcPr>
            <w:tcW w:type="dxa" w:w="1656"/>
            <w:vAlign w:val="center"/>
            <w:tcMar>
              <w:top w:w="100" w:type="dxa"/>
              <w:start w:w="120" w:type="dxa"/>
              <w:bottom w:w="100" w:type="dxa"/>
              <w:end w:w="120" w:type="dxa"/>
            </w:tcMar>
            <w:shd w:fill="EAF1F8"/>
          </w:tcPr>
          <w:p>
            <w:r>
              <w:rPr>
                <w:sz w:val="17"/>
              </w:rPr>
              <w:t>0_B</w:t>
            </w:r>
          </w:p>
        </w:tc>
        <w:tc>
          <w:tcPr>
            <w:tcW w:type="dxa" w:w="1800"/>
            <w:vAlign w:val="center"/>
            <w:tcMar>
              <w:top w:w="100" w:type="dxa"/>
              <w:start w:w="120" w:type="dxa"/>
              <w:bottom w:w="100" w:type="dxa"/>
              <w:end w:w="120" w:type="dxa"/>
            </w:tcMar>
            <w:shd w:fill="EAF1F8"/>
          </w:tcPr>
          <w:p>
            <w:r>
              <w:rPr>
                <w:sz w:val="17"/>
              </w:rPr>
              <w:t>выделенная точка</w:t>
            </w:r>
          </w:p>
        </w:tc>
        <w:tc>
          <w:tcPr>
            <w:tcW w:type="dxa" w:w="3672"/>
            <w:vAlign w:val="center"/>
            <w:tcMar>
              <w:top w:w="100" w:type="dxa"/>
              <w:start w:w="120" w:type="dxa"/>
              <w:bottom w:w="100" w:type="dxa"/>
              <w:end w:w="120" w:type="dxa"/>
            </w:tcMar>
            <w:shd w:fill="EAF1F8"/>
          </w:tcPr>
          <w:p>
            <w:r>
              <w:rPr>
                <w:sz w:val="17"/>
              </w:rPr>
              <w:t>отсутствие внутреннего препятствия</w:t>
            </w:r>
          </w:p>
        </w:tc>
        <w:tc>
          <w:tcPr>
            <w:tcW w:type="dxa" w:w="1800"/>
            <w:vAlign w:val="center"/>
            <w:tcMar>
              <w:top w:w="100" w:type="dxa"/>
              <w:start w:w="120" w:type="dxa"/>
              <w:bottom w:w="100" w:type="dxa"/>
              <w:end w:w="120" w:type="dxa"/>
            </w:tcMar>
            <w:shd w:fill="EAF1F8"/>
          </w:tcPr>
          <w:p>
            <w:r>
              <w:rPr>
                <w:sz w:val="17"/>
              </w:rPr>
              <w:t>THM</w:t>
            </w:r>
          </w:p>
        </w:tc>
      </w:tr>
      <w:tr>
        <w:tc>
          <w:tcPr>
            <w:tcW w:type="dxa" w:w="1656"/>
            <w:vAlign w:val="center"/>
            <w:tcMar>
              <w:top w:w="100" w:type="dxa"/>
              <w:start w:w="120" w:type="dxa"/>
              <w:bottom w:w="100" w:type="dxa"/>
              <w:end w:w="120" w:type="dxa"/>
            </w:tcMar>
          </w:tcPr>
          <w:p>
            <w:r>
              <w:rPr>
                <w:sz w:val="17"/>
              </w:rPr>
              <w:t>Fil_B</w:t>
            </w:r>
          </w:p>
        </w:tc>
        <w:tc>
          <w:tcPr>
            <w:tcW w:type="dxa" w:w="1800"/>
            <w:vAlign w:val="center"/>
            <w:tcMar>
              <w:top w:w="100" w:type="dxa"/>
              <w:start w:w="120" w:type="dxa"/>
              <w:bottom w:w="100" w:type="dxa"/>
              <w:end w:w="120" w:type="dxa"/>
            </w:tcMar>
          </w:tcPr>
          <w:p>
            <w:r>
              <w:rPr>
                <w:sz w:val="17"/>
              </w:rPr>
              <w:t>фильтрация/стратификация</w:t>
            </w:r>
          </w:p>
        </w:tc>
        <w:tc>
          <w:tcPr>
            <w:tcW w:type="dxa" w:w="3672"/>
            <w:vAlign w:val="center"/>
            <w:tcMar>
              <w:top w:w="100" w:type="dxa"/>
              <w:start w:w="120" w:type="dxa"/>
              <w:bottom w:w="100" w:type="dxa"/>
              <w:end w:w="120" w:type="dxa"/>
            </w:tcMar>
          </w:tcPr>
          <w:p>
            <w:r>
              <w:rPr>
                <w:sz w:val="17"/>
              </w:rPr>
              <w:t>сложность, ранг, порядок или тип</w:t>
            </w:r>
          </w:p>
        </w:tc>
        <w:tc>
          <w:tcPr>
            <w:tcW w:type="dxa" w:w="1800"/>
            <w:vAlign w:val="center"/>
            <w:tcMar>
              <w:top w:w="100" w:type="dxa"/>
              <w:start w:w="120" w:type="dxa"/>
              <w:bottom w:w="100" w:type="dxa"/>
              <w:end w:w="120" w:type="dxa"/>
            </w:tcMar>
          </w:tcPr>
          <w:p>
            <w:r>
              <w:rPr>
                <w:sz w:val="17"/>
              </w:rPr>
              <w:t>MODEL/COND</w:t>
            </w:r>
          </w:p>
        </w:tc>
      </w:tr>
      <w:tr>
        <w:tc>
          <w:tcPr>
            <w:tcW w:type="dxa" w:w="1656"/>
            <w:vAlign w:val="center"/>
            <w:tcMar>
              <w:top w:w="100" w:type="dxa"/>
              <w:start w:w="120" w:type="dxa"/>
              <w:bottom w:w="100" w:type="dxa"/>
              <w:end w:w="120" w:type="dxa"/>
            </w:tcMar>
            <w:shd w:fill="EAF1F8"/>
          </w:tcPr>
          <w:p>
            <w:r>
              <w:rPr>
                <w:sz w:val="17"/>
              </w:rPr>
              <w:t>Prov_B</w:t>
            </w:r>
          </w:p>
        </w:tc>
        <w:tc>
          <w:tcPr>
            <w:tcW w:type="dxa" w:w="1800"/>
            <w:vAlign w:val="center"/>
            <w:tcMar>
              <w:top w:w="100" w:type="dxa"/>
              <w:start w:w="120" w:type="dxa"/>
              <w:bottom w:w="100" w:type="dxa"/>
              <w:end w:w="120" w:type="dxa"/>
            </w:tcMar>
            <w:shd w:fill="EAF1F8"/>
          </w:tcPr>
          <w:p>
            <w:r>
              <w:rPr>
                <w:sz w:val="17"/>
              </w:rPr>
              <w:t>provenance functor</w:t>
            </w:r>
          </w:p>
        </w:tc>
        <w:tc>
          <w:tcPr>
            <w:tcW w:type="dxa" w:w="3672"/>
            <w:vAlign w:val="center"/>
            <w:tcMar>
              <w:top w:w="100" w:type="dxa"/>
              <w:start w:w="120" w:type="dxa"/>
              <w:bottom w:w="100" w:type="dxa"/>
              <w:end w:w="120" w:type="dxa"/>
            </w:tcMar>
            <w:shd w:fill="EAF1F8"/>
          </w:tcPr>
          <w:p>
            <w:r>
              <w:rPr>
                <w:sz w:val="17"/>
              </w:rPr>
              <w:t>источник, вычисление, представитель</w:t>
            </w:r>
          </w:p>
        </w:tc>
        <w:tc>
          <w:tcPr>
            <w:tcW w:type="dxa" w:w="1800"/>
            <w:vAlign w:val="center"/>
            <w:tcMar>
              <w:top w:w="100" w:type="dxa"/>
              <w:start w:w="120" w:type="dxa"/>
              <w:bottom w:w="100" w:type="dxa"/>
              <w:end w:w="120" w:type="dxa"/>
            </w:tcMar>
            <w:shd w:fill="EAF1F8"/>
          </w:tcPr>
          <w:p>
            <w:r>
              <w:rPr>
                <w:sz w:val="17"/>
              </w:rPr>
              <w:t>OPEN implementation</w:t>
            </w:r>
          </w:p>
        </w:tc>
      </w:tr>
      <w:tr>
        <w:tc>
          <w:tcPr>
            <w:tcW w:type="dxa" w:w="1656"/>
            <w:vAlign w:val="center"/>
            <w:tcMar>
              <w:top w:w="100" w:type="dxa"/>
              <w:start w:w="120" w:type="dxa"/>
              <w:bottom w:w="100" w:type="dxa"/>
              <w:end w:w="120" w:type="dxa"/>
            </w:tcMar>
          </w:tcPr>
          <w:p>
            <w:r>
              <w:rPr>
                <w:sz w:val="17"/>
              </w:rPr>
              <w:t>Dom_B</w:t>
            </w:r>
          </w:p>
        </w:tc>
        <w:tc>
          <w:tcPr>
            <w:tcW w:type="dxa" w:w="1800"/>
            <w:vAlign w:val="center"/>
            <w:tcMar>
              <w:top w:w="100" w:type="dxa"/>
              <w:start w:w="120" w:type="dxa"/>
              <w:bottom w:w="100" w:type="dxa"/>
              <w:end w:w="120" w:type="dxa"/>
            </w:tcMar>
          </w:tcPr>
          <w:p>
            <w:r>
              <w:rPr>
                <w:sz w:val="17"/>
              </w:rPr>
              <w:t>доменный слой</w:t>
            </w:r>
          </w:p>
        </w:tc>
        <w:tc>
          <w:tcPr>
            <w:tcW w:type="dxa" w:w="3672"/>
            <w:vAlign w:val="center"/>
            <w:tcMar>
              <w:top w:w="100" w:type="dxa"/>
              <w:start w:w="120" w:type="dxa"/>
              <w:bottom w:w="100" w:type="dxa"/>
              <w:end w:w="120" w:type="dxa"/>
            </w:tcMar>
          </w:tcPr>
          <w:p>
            <w:r>
              <w:rPr>
                <w:sz w:val="17"/>
              </w:rPr>
              <w:t>условия существования и применимости</w:t>
            </w:r>
          </w:p>
        </w:tc>
        <w:tc>
          <w:tcPr>
            <w:tcW w:type="dxa" w:w="1800"/>
            <w:vAlign w:val="center"/>
            <w:tcMar>
              <w:top w:w="100" w:type="dxa"/>
              <w:start w:w="120" w:type="dxa"/>
              <w:bottom w:w="100" w:type="dxa"/>
              <w:end w:w="120" w:type="dxa"/>
            </w:tcMar>
          </w:tcPr>
          <w:p>
            <w:r>
              <w:rPr>
                <w:sz w:val="17"/>
              </w:rPr>
              <w:t>обязательный barrier</w:t>
            </w:r>
          </w:p>
        </w:tc>
      </w:tr>
    </w:tbl>
    <w:p/>
    <w:p>
      <w:pPr>
        <w:pStyle w:val="Heading2"/>
      </w:pPr>
      <w:r>
        <w:t>116.2. Нулевая секция и ненулевая часть</w:t>
      </w:r>
    </w:p>
    <w:p>
      <w:pPr>
        <w:pStyle w:val="Quote"/>
        <w:jc w:val="center"/>
      </w:pPr>
      <w:r>
        <w:rPr>
          <w:rFonts w:ascii="Cambria Math" w:hAnsi="Cambria Math"/>
          <w:sz w:val="22"/>
        </w:rPr>
        <w:t>O_B^× = O_B \ {0_B}.</w:t>
      </w:r>
      <w:r>
        <w:t xml:space="preserve">    (14.3)</w:t>
      </w:r>
    </w:p>
    <w:p>
      <w:r>
        <w:t>Проективизация определена только на ненулевой части. Поэтому нулевой класс не является одной из точек P(O_B), не является пределом, выбранным без топологии, и не может быть восстановлен из одной projective coordinate.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14.1. ZERO-LOSS NO-GO</w:t>
            </w:r>
          </w:p>
          <w:p>
            <w:pPr>
              <w:spacing w:after="0"/>
            </w:pPr>
            <w:r>
              <w:rPr>
                <w:sz w:val="19"/>
              </w:rPr>
              <w:t>Не существует отображения z:P(O_B)→O_B, которое одновременно было бы естественным по всем линейным изоморфизмам, выбирало ненулевого представителя каждой projective point и восстанавливало нулевой класс. Нуль удалён из области факторизации, а естественный выбор масштаба противоречит действию скаляров.</w:t>
            </w:r>
          </w:p>
        </w:tc>
      </w:tr>
    </w:tbl>
    <w:p/>
    <w:p>
      <w:pPr>
        <w:pStyle w:val="Heading1"/>
      </w:pPr>
      <w:r>
        <w:t>117. Проективизация пространства препятствий</w:t>
      </w:r>
    </w:p>
    <w:p>
      <w:pPr>
        <w:pStyle w:val="Heading2"/>
      </w:pPr>
      <w:r>
        <w:t>117.1. Определение и эквивалентность</w:t>
      </w:r>
    </w:p>
    <w:p>
      <w:pPr>
        <w:pStyle w:val="Quote"/>
        <w:jc w:val="center"/>
      </w:pPr>
      <w:r>
        <w:rPr>
          <w:rFonts w:ascii="Cambria Math" w:hAnsi="Cambria Math"/>
          <w:sz w:val="22"/>
        </w:rPr>
        <w:t>P(O_B) = O_B^× / K^×,    o ~ o′ ⇔ ∃a∈K^×: o′=ao.</w:t>
      </w:r>
      <w:r>
        <w:t xml:space="preserve">    (14.4)</w:t>
      </w:r>
    </w:p>
    <w:p>
      <w:r>
        <w:t>Точка [o] есть одномерное подпространство K·o. Если dim_K O_B=n+1, то после выбора базиса P(O_B)≅P^n(K). Выбор базиса не является частью канонического объекта и должен быть отмечен в вычислительном сертификате.</w:t>
      </w:r>
    </w:p>
    <w:p>
      <w:pPr>
        <w:jc w:val="center"/>
      </w:pPr>
      <w:r>
        <w:drawing>
          <wp:inline xmlns:a="http://schemas.openxmlformats.org/drawingml/2006/main" xmlns:pic="http://schemas.openxmlformats.org/drawingml/2006/picture">
            <wp:extent cx="5943600" cy="3593044"/>
            <wp:docPr id="33" name="Picture 33"/>
            <wp:cNvGraphicFramePr>
              <a:graphicFrameLocks noChangeAspect="1"/>
            </wp:cNvGraphicFramePr>
            <a:graphic>
              <a:graphicData uri="http://schemas.openxmlformats.org/drawingml/2006/picture">
                <pic:pic>
                  <pic:nvPicPr>
                    <pic:cNvPr id="0" name="carrier_gates.png"/>
                    <pic:cNvPicPr/>
                  </pic:nvPicPr>
                  <pic:blipFill>
                    <a:blip r:embed="rId60"/>
                    <a:stretch>
                      <a:fillRect/>
                    </a:stretch>
                  </pic:blipFill>
                  <pic:spPr>
                    <a:xfrm>
                      <a:off x="0" y="0"/>
                      <a:ext cx="5943600" cy="3593044"/>
                    </a:xfrm>
                    <a:prstGeom prst="rect"/>
                  </pic:spPr>
                </pic:pic>
              </a:graphicData>
            </a:graphic>
          </wp:inline>
        </w:drawing>
      </w:r>
    </w:p>
    <w:p>
      <w:pPr>
        <w:pStyle w:val="Caption"/>
        <w:jc w:val="center"/>
      </w:pPr>
      <w:r>
        <w:t>Рисунок 14.1. Векторный носитель, projectivization и обязательный аудит потери информации.</w:t>
      </w:r>
    </w:p>
    <w:p>
      <w:pPr>
        <w:pStyle w:val="Heading2"/>
      </w:pPr>
      <w:r>
        <w:t>117.2. Функториальность и частичность</w:t>
      </w:r>
    </w:p>
    <w:p>
      <w:r>
        <w:t>Линейная карта f:O→O′ индуцирует projective map только на тех направлениях, которые не попадают в ker f:</w:t>
      </w:r>
    </w:p>
    <w:p>
      <w:pPr>
        <w:pStyle w:val="Quote"/>
        <w:jc w:val="center"/>
      </w:pPr>
      <w:r>
        <w:rPr>
          <w:rFonts w:ascii="Cambria Math" w:hAnsi="Cambria Math"/>
          <w:sz w:val="22"/>
        </w:rPr>
        <w:t>P(f): P(O) \ P(ker f) → P(O′),    [o] ↦ [f(o)].</w:t>
      </w:r>
      <w:r>
        <w:t xml:space="preserve">    (14.5)</w:t>
      </w:r>
    </w:p>
    <w:p>
      <w:r>
        <w:t>Следовательно, projectivization является функториальной для линейных изоморфизмов и инъекций, но для произвольных линейных карт естественно возникает рациональная, то есть частично определённая, карта.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14.2. PROJECTIVE DOMAIN THEOREM</w:t>
            </w:r>
          </w:p>
          <w:p>
            <w:pPr>
              <w:spacing w:after="0"/>
            </w:pPr>
            <w:r>
              <w:rPr>
                <w:sz w:val="19"/>
              </w:rPr>
              <w:t>Область определения P(f) равна P(O)\P(ker f). Если f инъективно, P(f) определено всюду. Если f имеет ненулевое ядро, направления ядра превращаются не в нулевую projective point, а в точки неопределённости.</w:t>
            </w:r>
          </w:p>
        </w:tc>
      </w:tr>
    </w:tbl>
    <w:p/>
    <w:p>
      <w:pPr>
        <w:pStyle w:val="Heading2"/>
      </w:pPr>
      <w:r>
        <w:t>117.3. Точная потеря информации</w:t>
      </w:r>
    </w:p>
    <w:tbl>
      <w:tblPr>
        <w:tblStyle w:val="TableGrid"/>
        <w:tblW w:type="auto" w:w="0"/>
        <w:jc w:val="center"/>
        <w:tblLook w:firstColumn="1" w:firstRow="1" w:lastColumn="0" w:lastRow="0" w:noHBand="0" w:noVBand="1" w:val="04A0"/>
      </w:tblPr>
      <w:tblGrid>
        <w:gridCol w:w="3251"/>
        <w:gridCol w:w="3251"/>
        <w:gridCol w:w="3251"/>
      </w:tblGrid>
      <w:tr>
        <w:tc>
          <w:tcPr>
            <w:tcW w:type="dxa" w:w="2232"/>
            <w:shd w:fill="1F4E78"/>
            <w:vAlign w:val="center"/>
            <w:tcMar>
              <w:top w:w="100" w:type="dxa"/>
              <w:start w:w="120" w:type="dxa"/>
              <w:bottom w:w="100" w:type="dxa"/>
              <w:end w:w="120" w:type="dxa"/>
            </w:tcMar>
          </w:tcPr>
          <w:p>
            <w:r>
              <w:rPr>
                <w:b/>
                <w:color w:val="FFFFFF"/>
                <w:sz w:val="18"/>
              </w:rPr>
              <w:t>Данные в O_B</w:t>
            </w:r>
          </w:p>
        </w:tc>
        <w:tc>
          <w:tcPr>
            <w:tcW w:type="dxa" w:w="2088"/>
            <w:shd w:fill="1F4E78"/>
            <w:vAlign w:val="center"/>
            <w:tcMar>
              <w:top w:w="100" w:type="dxa"/>
              <w:start w:w="120" w:type="dxa"/>
              <w:bottom w:w="100" w:type="dxa"/>
              <w:end w:w="120" w:type="dxa"/>
            </w:tcMar>
          </w:tcPr>
          <w:p>
            <w:r>
              <w:rPr>
                <w:b/>
                <w:color w:val="FFFFFF"/>
                <w:sz w:val="18"/>
              </w:rPr>
              <w:t>Сохраняются в P(O_B)?</w:t>
            </w:r>
          </w:p>
        </w:tc>
        <w:tc>
          <w:tcPr>
            <w:tcW w:type="dxa" w:w="4608"/>
            <w:shd w:fill="1F4E78"/>
            <w:vAlign w:val="center"/>
            <w:tcMar>
              <w:top w:w="100" w:type="dxa"/>
              <w:start w:w="120" w:type="dxa"/>
              <w:bottom w:w="100" w:type="dxa"/>
              <w:end w:w="120" w:type="dxa"/>
            </w:tcMar>
          </w:tcPr>
          <w:p>
            <w:r>
              <w:rPr>
                <w:b/>
                <w:color w:val="FFFFFF"/>
                <w:sz w:val="18"/>
              </w:rPr>
              <w:t>Что требуется для восстановления</w:t>
            </w:r>
          </w:p>
        </w:tc>
      </w:tr>
      <w:tr>
        <w:tc>
          <w:tcPr>
            <w:tcW w:type="dxa" w:w="2232"/>
            <w:vAlign w:val="center"/>
            <w:tcMar>
              <w:top w:w="100" w:type="dxa"/>
              <w:start w:w="120" w:type="dxa"/>
              <w:bottom w:w="100" w:type="dxa"/>
              <w:end w:w="120" w:type="dxa"/>
            </w:tcMar>
          </w:tcPr>
          <w:p>
            <w:r>
              <w:rPr>
                <w:sz w:val="17"/>
              </w:rPr>
              <w:t>нулевой/ненулевой статус</w:t>
            </w:r>
          </w:p>
        </w:tc>
        <w:tc>
          <w:tcPr>
            <w:tcW w:type="dxa" w:w="2088"/>
            <w:vAlign w:val="center"/>
            <w:tcMar>
              <w:top w:w="100" w:type="dxa"/>
              <w:start w:w="120" w:type="dxa"/>
              <w:bottom w:w="100" w:type="dxa"/>
              <w:end w:w="120" w:type="dxa"/>
            </w:tcMar>
          </w:tcPr>
          <w:p>
            <w:r>
              <w:rPr>
                <w:sz w:val="17"/>
              </w:rPr>
              <w:t>нет для нулевого класса</w:t>
            </w:r>
          </w:p>
        </w:tc>
        <w:tc>
          <w:tcPr>
            <w:tcW w:type="dxa" w:w="4608"/>
            <w:vAlign w:val="center"/>
            <w:tcMar>
              <w:top w:w="100" w:type="dxa"/>
              <w:start w:w="120" w:type="dxa"/>
              <w:bottom w:w="100" w:type="dxa"/>
              <w:end w:w="120" w:type="dxa"/>
            </w:tcMar>
          </w:tcPr>
          <w:p>
            <w:r>
              <w:rPr>
                <w:sz w:val="17"/>
              </w:rPr>
              <w:t>отдельный ZERO-флаг</w:t>
            </w:r>
          </w:p>
        </w:tc>
      </w:tr>
      <w:tr>
        <w:tc>
          <w:tcPr>
            <w:tcW w:type="dxa" w:w="2232"/>
            <w:vAlign w:val="center"/>
            <w:tcMar>
              <w:top w:w="100" w:type="dxa"/>
              <w:start w:w="120" w:type="dxa"/>
              <w:bottom w:w="100" w:type="dxa"/>
              <w:end w:w="120" w:type="dxa"/>
            </w:tcMar>
            <w:shd w:fill="EAF1F8"/>
          </w:tcPr>
          <w:p>
            <w:r>
              <w:rPr>
                <w:sz w:val="17"/>
              </w:rPr>
              <w:t>направление K·o</w:t>
            </w:r>
          </w:p>
        </w:tc>
        <w:tc>
          <w:tcPr>
            <w:tcW w:type="dxa" w:w="2088"/>
            <w:vAlign w:val="center"/>
            <w:tcMar>
              <w:top w:w="100" w:type="dxa"/>
              <w:start w:w="120" w:type="dxa"/>
              <w:bottom w:w="100" w:type="dxa"/>
              <w:end w:w="120" w:type="dxa"/>
            </w:tcMar>
            <w:shd w:fill="EAF1F8"/>
          </w:tcPr>
          <w:p>
            <w:r>
              <w:rPr>
                <w:sz w:val="17"/>
              </w:rPr>
              <w:t>да</w:t>
            </w:r>
          </w:p>
        </w:tc>
        <w:tc>
          <w:tcPr>
            <w:tcW w:type="dxa" w:w="4608"/>
            <w:vAlign w:val="center"/>
            <w:tcMar>
              <w:top w:w="100" w:type="dxa"/>
              <w:start w:w="120" w:type="dxa"/>
              <w:bottom w:w="100" w:type="dxa"/>
              <w:end w:w="120" w:type="dxa"/>
            </w:tcMar>
            <w:shd w:fill="EAF1F8"/>
          </w:tcPr>
          <w:p>
            <w:r>
              <w:rPr>
                <w:sz w:val="17"/>
              </w:rPr>
              <w:t>ничего</w:t>
            </w:r>
          </w:p>
        </w:tc>
      </w:tr>
      <w:tr>
        <w:tc>
          <w:tcPr>
            <w:tcW w:type="dxa" w:w="2232"/>
            <w:vAlign w:val="center"/>
            <w:tcMar>
              <w:top w:w="100" w:type="dxa"/>
              <w:start w:w="120" w:type="dxa"/>
              <w:bottom w:w="100" w:type="dxa"/>
              <w:end w:w="120" w:type="dxa"/>
            </w:tcMar>
          </w:tcPr>
          <w:p>
            <w:r>
              <w:rPr>
                <w:sz w:val="17"/>
              </w:rPr>
              <w:t>абсолютный масштаб ||o||</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метрика + нормировка</w:t>
            </w:r>
          </w:p>
        </w:tc>
      </w:tr>
      <w:tr>
        <w:tc>
          <w:tcPr>
            <w:tcW w:type="dxa" w:w="2232"/>
            <w:vAlign w:val="center"/>
            <w:tcMar>
              <w:top w:w="100" w:type="dxa"/>
              <w:start w:w="120" w:type="dxa"/>
              <w:bottom w:w="100" w:type="dxa"/>
              <w:end w:w="120" w:type="dxa"/>
            </w:tcMar>
            <w:shd w:fill="EAF1F8"/>
          </w:tcPr>
          <w:p>
            <w:r>
              <w:rPr>
                <w:sz w:val="17"/>
              </w:rPr>
              <w:t>знак над R</w:t>
            </w:r>
          </w:p>
        </w:tc>
        <w:tc>
          <w:tcPr>
            <w:tcW w:type="dxa" w:w="2088"/>
            <w:vAlign w:val="center"/>
            <w:tcMar>
              <w:top w:w="100" w:type="dxa"/>
              <w:start w:w="120" w:type="dxa"/>
              <w:bottom w:w="100" w:type="dxa"/>
              <w:end w:w="120" w:type="dxa"/>
            </w:tcMar>
            <w:shd w:fill="EAF1F8"/>
          </w:tcPr>
          <w:p>
            <w:r>
              <w:rPr>
                <w:sz w:val="17"/>
              </w:rPr>
              <w:t>нет: [o]=[-o]</w:t>
            </w:r>
          </w:p>
        </w:tc>
        <w:tc>
          <w:tcPr>
            <w:tcW w:type="dxa" w:w="4608"/>
            <w:vAlign w:val="center"/>
            <w:tcMar>
              <w:top w:w="100" w:type="dxa"/>
              <w:start w:w="120" w:type="dxa"/>
              <w:bottom w:w="100" w:type="dxa"/>
              <w:end w:w="120" w:type="dxa"/>
            </w:tcMar>
            <w:shd w:fill="EAF1F8"/>
          </w:tcPr>
          <w:p>
            <w:r>
              <w:rPr>
                <w:sz w:val="17"/>
              </w:rPr>
              <w:t>ориентированная двойная накрывающая</w:t>
            </w:r>
          </w:p>
        </w:tc>
      </w:tr>
      <w:tr>
        <w:tc>
          <w:tcPr>
            <w:tcW w:type="dxa" w:w="2232"/>
            <w:vAlign w:val="center"/>
            <w:tcMar>
              <w:top w:w="100" w:type="dxa"/>
              <w:start w:w="120" w:type="dxa"/>
              <w:bottom w:w="100" w:type="dxa"/>
              <w:end w:w="120" w:type="dxa"/>
            </w:tcMar>
          </w:tcPr>
          <w:p>
            <w:r>
              <w:rPr>
                <w:sz w:val="17"/>
              </w:rPr>
              <w:t>фаза над C</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выбор U(1)-калибровки</w:t>
            </w:r>
          </w:p>
        </w:tc>
      </w:tr>
      <w:tr>
        <w:tc>
          <w:tcPr>
            <w:tcW w:type="dxa" w:w="2232"/>
            <w:vAlign w:val="center"/>
            <w:tcMar>
              <w:top w:w="100" w:type="dxa"/>
              <w:start w:w="120" w:type="dxa"/>
              <w:bottom w:w="100" w:type="dxa"/>
              <w:end w:w="120" w:type="dxa"/>
            </w:tcMar>
            <w:shd w:fill="EAF1F8"/>
          </w:tcPr>
          <w:p>
            <w:r>
              <w:rPr>
                <w:sz w:val="17"/>
              </w:rPr>
              <w:t>provenance представителя</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Evidence-D/Prov_B</w:t>
            </w:r>
          </w:p>
        </w:tc>
      </w:tr>
      <w:tr>
        <w:tc>
          <w:tcPr>
            <w:tcW w:type="dxa" w:w="2232"/>
            <w:vAlign w:val="center"/>
            <w:tcMar>
              <w:top w:w="100" w:type="dxa"/>
              <w:start w:w="120" w:type="dxa"/>
              <w:bottom w:w="100" w:type="dxa"/>
              <w:end w:w="120" w:type="dxa"/>
            </w:tcMar>
          </w:tcPr>
          <w:p>
            <w:r>
              <w:rPr>
                <w:sz w:val="17"/>
              </w:rPr>
              <w:t>конкретный lift</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торсор подъёмов H²(C_min)</w:t>
            </w:r>
          </w:p>
        </w:tc>
      </w:tr>
      <w:tr>
        <w:tc>
          <w:tcPr>
            <w:tcW w:type="dxa" w:w="2232"/>
            <w:vAlign w:val="center"/>
            <w:tcMar>
              <w:top w:w="100" w:type="dxa"/>
              <w:start w:w="120" w:type="dxa"/>
              <w:bottom w:w="100" w:type="dxa"/>
              <w:end w:w="120" w:type="dxa"/>
            </w:tcMar>
            <w:shd w:fill="EAF1F8"/>
          </w:tcPr>
          <w:p>
            <w:r>
              <w:rPr>
                <w:sz w:val="17"/>
              </w:rPr>
              <w:t>домен применимости</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Dom-сертификат</w:t>
            </w:r>
          </w:p>
        </w:tc>
      </w:tr>
    </w:tbl>
    <w:p/>
    <w:p>
      <w:pPr>
        <w:pStyle w:val="Heading1"/>
      </w:pPr>
      <w:r>
        <w:t>118. Нормированные и ориентированные носители</w:t>
      </w:r>
    </w:p>
    <w:p>
      <w:pPr>
        <w:pStyle w:val="Heading2"/>
      </w:pPr>
      <w:r>
        <w:t>118.1. Сферическое представление</w:t>
      </w:r>
    </w:p>
    <w:p>
      <w:r>
        <w:t>После выбора положительно определённого скалярного произведения всякая ненулевая projective point допускает нормированных представителей. Над R получаем двойное накрытие:</w:t>
      </w:r>
    </w:p>
    <w:p>
      <w:pPr>
        <w:pStyle w:val="Quote"/>
        <w:jc w:val="center"/>
      </w:pPr>
      <w:r>
        <w:rPr>
          <w:rFonts w:ascii="Cambria Math" w:hAnsi="Cambria Math"/>
          <w:sz w:val="22"/>
        </w:rPr>
        <w:t>S(O_B) → P(O_B),    u ↦ [u],    fibre={u,-u}.</w:t>
      </w:r>
      <w:r>
        <w:t xml:space="preserve">    (14.6)</w:t>
      </w:r>
    </w:p>
    <w:p>
      <w:r>
        <w:t>Нормировка восстанавливает модуль, но не знак. Над C волокно имеет вид U(1), поэтому требуется фазовая калибровка.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КОНТРПРИМЕР 14.A</w:t>
            </w:r>
          </w:p>
          <w:p>
            <w:pPr>
              <w:spacing w:after="0"/>
            </w:pPr>
            <w:r>
              <w:rPr>
                <w:sz w:val="19"/>
              </w:rPr>
              <w:t>В R² векторы (1,0), (2,0) и (-7,0) задают одну projective point. Их нормы и знаки различны. Следовательно, projective coincidence не равна количественному совпадению препятствий.</w:t>
            </w:r>
          </w:p>
        </w:tc>
      </w:tr>
    </w:tbl>
    <w:p/>
    <w:p>
      <w:pPr>
        <w:pStyle w:val="Heading2"/>
      </w:pPr>
      <w:r>
        <w:t>118.2. Projective metric</w:t>
      </w:r>
    </w:p>
    <w:p>
      <w:pPr>
        <w:pStyle w:val="Quote"/>
        <w:jc w:val="center"/>
      </w:pPr>
      <w:r>
        <w:rPr>
          <w:rFonts w:ascii="Cambria Math" w:hAnsi="Cambria Math"/>
          <w:sz w:val="22"/>
        </w:rPr>
        <w:t>d_P([u],[v]) = arccos( |⟨u,v⟩| / (||u||·||v||) ).</w:t>
      </w:r>
      <w:r>
        <w:t xml:space="preserve">    (14.7)</w:t>
      </w:r>
    </w:p>
    <w:p>
      <w:r>
        <w:t>Эта метрика измеряет угол между направлениями и инвариантна относительно ненулевого масштабирования. Она не контролирует расстояние ||u-v|| без дополнительных ограничений на нормы.</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14.3. ANGULAR STABILITY</w:t>
            </w:r>
          </w:p>
          <w:p>
            <w:pPr>
              <w:spacing w:after="0"/>
            </w:pPr>
            <w:r>
              <w:rPr>
                <w:sz w:val="19"/>
              </w:rPr>
              <w:t>Если ||u||,||v||≥m&gt;0 и ||u-v||≤ε&lt;m, то d_P([u],[v])≤2arcsin(ε/(2m)). Обратное утверждение без контроля норм ложно.</w:t>
            </w:r>
          </w:p>
        </w:tc>
      </w:tr>
    </w:tbl>
    <w:p/>
    <w:p>
      <w:pPr>
        <w:pStyle w:val="Heading1"/>
      </w:pPr>
      <w:r>
        <w:t>119. Стратификация obstruction carrier</w:t>
      </w:r>
    </w:p>
    <w:p>
      <w:pPr>
        <w:pStyle w:val="Heading2"/>
      </w:pPr>
      <w:r>
        <w:t>119.1. Ранговые страты</w:t>
      </w:r>
    </w:p>
    <w:p>
      <w:r>
        <w:t>Пусть препятствие кодируется матрицей A(o) или конечным семейством линейных операторов, определённым выбранной моделью. Для каждого r вводится страта</w:t>
      </w:r>
    </w:p>
    <w:p>
      <w:pPr>
        <w:pStyle w:val="Quote"/>
        <w:jc w:val="center"/>
      </w:pPr>
      <w:r>
        <w:rPr>
          <w:rFonts w:ascii="Cambria Math" w:hAnsi="Cambria Math"/>
          <w:sz w:val="22"/>
        </w:rPr>
        <w:t>S_r = { [o]∈P(O_B) : rank A(o)=r }.</w:t>
      </w:r>
      <w:r>
        <w:t xml:space="preserve">    (14.8)</w:t>
      </w:r>
    </w:p>
    <w:p>
      <w:r>
        <w:t>Ранг является projectively well-defined, если A(ao)=a^mA(o) для некоторой степени m и a≠0. В противном случае ранговая стратификация зависит от представителя и не допускается.</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14.4. HOMOGENEITY CRITERION</w:t>
            </w:r>
          </w:p>
          <w:p>
            <w:pPr>
              <w:spacing w:after="0"/>
            </w:pPr>
            <w:r>
              <w:rPr>
                <w:sz w:val="19"/>
              </w:rPr>
              <w:t>Функция или тип τ(o) спускается на P(O_B) тогда и только тогда, когда τ(ao)=τ(o) для всех a∈K^×. Для числовой функции достаточна однородность степени 0; однородность ненулевой степени требует последующей нормировки.</w:t>
            </w:r>
          </w:p>
        </w:tc>
      </w:tr>
    </w:tbl>
    <w:p/>
    <w:p>
      <w:pPr>
        <w:pStyle w:val="Heading2"/>
      </w:pPr>
      <w:r>
        <w:t>119.2. Орбитные типы</w:t>
      </w:r>
    </w:p>
    <w:p>
      <w:r>
        <w:t>Если алгебраическая группа G действует линейно на O_B, то она действует на P(O_B). Для [o] определяется стабилизатор</w:t>
      </w:r>
    </w:p>
    <w:p>
      <w:pPr>
        <w:pStyle w:val="Quote"/>
        <w:jc w:val="center"/>
      </w:pPr>
      <w:r>
        <w:rPr>
          <w:rFonts w:ascii="Cambria Math" w:hAnsi="Cambria Math"/>
          <w:sz w:val="22"/>
        </w:rPr>
        <w:t>G_[o] = { g∈G : g·o ∈ K^×o }.</w:t>
      </w:r>
      <w:r>
        <w:t xml:space="preserve">    (14.9)</w:t>
      </w:r>
    </w:p>
    <w:p>
      <w:r>
        <w:t>Страта орбитного типа объединяет точки с сопряжёнными стабилизаторами. Изменение orbit type является кандидатом структурной бифуркации, но не физическим переходом.</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512"/>
            <w:shd w:fill="1F4E78"/>
            <w:vAlign w:val="center"/>
            <w:tcMar>
              <w:top w:w="100" w:type="dxa"/>
              <w:start w:w="120" w:type="dxa"/>
              <w:bottom w:w="100" w:type="dxa"/>
              <w:end w:w="120" w:type="dxa"/>
            </w:tcMar>
          </w:tcPr>
          <w:p>
            <w:r>
              <w:rPr>
                <w:b/>
                <w:color w:val="FFFFFF"/>
                <w:sz w:val="18"/>
              </w:rPr>
              <w:t>Страта</w:t>
            </w:r>
          </w:p>
        </w:tc>
        <w:tc>
          <w:tcPr>
            <w:tcW w:type="dxa" w:w="2016"/>
            <w:shd w:fill="1F4E78"/>
            <w:vAlign w:val="center"/>
            <w:tcMar>
              <w:top w:w="100" w:type="dxa"/>
              <w:start w:w="120" w:type="dxa"/>
              <w:bottom w:w="100" w:type="dxa"/>
              <w:end w:w="120" w:type="dxa"/>
            </w:tcMar>
          </w:tcPr>
          <w:p>
            <w:r>
              <w:rPr>
                <w:b/>
                <w:color w:val="FFFFFF"/>
                <w:sz w:val="18"/>
              </w:rPr>
              <w:t>Инвариант</w:t>
            </w:r>
          </w:p>
        </w:tc>
        <w:tc>
          <w:tcPr>
            <w:tcW w:type="dxa" w:w="3168"/>
            <w:shd w:fill="1F4E78"/>
            <w:vAlign w:val="center"/>
            <w:tcMar>
              <w:top w:w="100" w:type="dxa"/>
              <w:start w:w="120" w:type="dxa"/>
              <w:bottom w:w="100" w:type="dxa"/>
              <w:end w:w="120" w:type="dxa"/>
            </w:tcMar>
          </w:tcPr>
          <w:p>
            <w:r>
              <w:rPr>
                <w:b/>
                <w:color w:val="FFFFFF"/>
                <w:sz w:val="18"/>
              </w:rPr>
              <w:t>Смысл</w:t>
            </w:r>
          </w:p>
        </w:tc>
        <w:tc>
          <w:tcPr>
            <w:tcW w:type="dxa" w:w="2880"/>
            <w:shd w:fill="1F4E78"/>
            <w:vAlign w:val="center"/>
            <w:tcMar>
              <w:top w:w="100" w:type="dxa"/>
              <w:start w:w="120" w:type="dxa"/>
              <w:bottom w:w="100" w:type="dxa"/>
              <w:end w:w="120" w:type="dxa"/>
            </w:tcMar>
          </w:tcPr>
          <w:p>
            <w:r>
              <w:rPr>
                <w:b/>
                <w:color w:val="FFFFFF"/>
                <w:sz w:val="18"/>
              </w:rPr>
              <w:t>Опасность</w:t>
            </w:r>
          </w:p>
        </w:tc>
      </w:tr>
      <w:tr>
        <w:tc>
          <w:tcPr>
            <w:tcW w:type="dxa" w:w="1512"/>
            <w:vAlign w:val="center"/>
            <w:tcMar>
              <w:top w:w="100" w:type="dxa"/>
              <w:start w:w="120" w:type="dxa"/>
              <w:bottom w:w="100" w:type="dxa"/>
              <w:end w:w="120" w:type="dxa"/>
            </w:tcMar>
          </w:tcPr>
          <w:p>
            <w:r>
              <w:rPr>
                <w:sz w:val="17"/>
              </w:rPr>
              <w:t>S_rank</w:t>
            </w:r>
          </w:p>
        </w:tc>
        <w:tc>
          <w:tcPr>
            <w:tcW w:type="dxa" w:w="2016"/>
            <w:vAlign w:val="center"/>
            <w:tcMar>
              <w:top w:w="100" w:type="dxa"/>
              <w:start w:w="120" w:type="dxa"/>
              <w:bottom w:w="100" w:type="dxa"/>
              <w:end w:w="120" w:type="dxa"/>
            </w:tcMar>
          </w:tcPr>
          <w:p>
            <w:r>
              <w:rPr>
                <w:sz w:val="17"/>
              </w:rPr>
              <w:t>rank A(o)</w:t>
            </w:r>
          </w:p>
        </w:tc>
        <w:tc>
          <w:tcPr>
            <w:tcW w:type="dxa" w:w="3168"/>
            <w:vAlign w:val="center"/>
            <w:tcMar>
              <w:top w:w="100" w:type="dxa"/>
              <w:start w:w="120" w:type="dxa"/>
              <w:bottom w:w="100" w:type="dxa"/>
              <w:end w:w="120" w:type="dxa"/>
            </w:tcMar>
          </w:tcPr>
          <w:p>
            <w:r>
              <w:rPr>
                <w:sz w:val="17"/>
              </w:rPr>
              <w:t>алгебраическая сложность</w:t>
            </w:r>
          </w:p>
        </w:tc>
        <w:tc>
          <w:tcPr>
            <w:tcW w:type="dxa" w:w="2880"/>
            <w:vAlign w:val="center"/>
            <w:tcMar>
              <w:top w:w="100" w:type="dxa"/>
              <w:start w:w="120" w:type="dxa"/>
              <w:bottom w:w="100" w:type="dxa"/>
              <w:end w:w="120" w:type="dxa"/>
            </w:tcMar>
          </w:tcPr>
          <w:p>
            <w:r>
              <w:rPr>
                <w:sz w:val="17"/>
              </w:rPr>
              <w:t>зависимость от неоднородного кодирования</w:t>
            </w:r>
          </w:p>
        </w:tc>
      </w:tr>
      <w:tr>
        <w:tc>
          <w:tcPr>
            <w:tcW w:type="dxa" w:w="1512"/>
            <w:vAlign w:val="center"/>
            <w:tcMar>
              <w:top w:w="100" w:type="dxa"/>
              <w:start w:w="120" w:type="dxa"/>
              <w:bottom w:w="100" w:type="dxa"/>
              <w:end w:w="120" w:type="dxa"/>
            </w:tcMar>
            <w:shd w:fill="EAF1F8"/>
          </w:tcPr>
          <w:p>
            <w:r>
              <w:rPr>
                <w:sz w:val="17"/>
              </w:rPr>
              <w:t>S_orbit</w:t>
            </w:r>
          </w:p>
        </w:tc>
        <w:tc>
          <w:tcPr>
            <w:tcW w:type="dxa" w:w="2016"/>
            <w:vAlign w:val="center"/>
            <w:tcMar>
              <w:top w:w="100" w:type="dxa"/>
              <w:start w:w="120" w:type="dxa"/>
              <w:bottom w:w="100" w:type="dxa"/>
              <w:end w:w="120" w:type="dxa"/>
            </w:tcMar>
            <w:shd w:fill="EAF1F8"/>
          </w:tcPr>
          <w:p>
            <w:r>
              <w:rPr>
                <w:sz w:val="17"/>
              </w:rPr>
              <w:t>[G_[o]]</w:t>
            </w:r>
          </w:p>
        </w:tc>
        <w:tc>
          <w:tcPr>
            <w:tcW w:type="dxa" w:w="3168"/>
            <w:vAlign w:val="center"/>
            <w:tcMar>
              <w:top w:w="100" w:type="dxa"/>
              <w:start w:w="120" w:type="dxa"/>
              <w:bottom w:w="100" w:type="dxa"/>
              <w:end w:w="120" w:type="dxa"/>
            </w:tcMar>
            <w:shd w:fill="EAF1F8"/>
          </w:tcPr>
          <w:p>
            <w:r>
              <w:rPr>
                <w:sz w:val="17"/>
              </w:rPr>
              <w:t>тип симметрии</w:t>
            </w:r>
          </w:p>
        </w:tc>
        <w:tc>
          <w:tcPr>
            <w:tcW w:type="dxa" w:w="2880"/>
            <w:vAlign w:val="center"/>
            <w:tcMar>
              <w:top w:w="100" w:type="dxa"/>
              <w:start w:w="120" w:type="dxa"/>
              <w:bottom w:w="100" w:type="dxa"/>
              <w:end w:w="120" w:type="dxa"/>
            </w:tcMar>
            <w:shd w:fill="EAF1F8"/>
          </w:tcPr>
          <w:p>
            <w:r>
              <w:rPr>
                <w:sz w:val="17"/>
              </w:rPr>
              <w:t>нестабильность на сингулярных орбитах</w:t>
            </w:r>
          </w:p>
        </w:tc>
      </w:tr>
      <w:tr>
        <w:tc>
          <w:tcPr>
            <w:tcW w:type="dxa" w:w="1512"/>
            <w:vAlign w:val="center"/>
            <w:tcMar>
              <w:top w:w="100" w:type="dxa"/>
              <w:start w:w="120" w:type="dxa"/>
              <w:bottom w:w="100" w:type="dxa"/>
              <w:end w:w="120" w:type="dxa"/>
            </w:tcMar>
          </w:tcPr>
          <w:p>
            <w:r>
              <w:rPr>
                <w:sz w:val="17"/>
              </w:rPr>
              <w:t>S_support</w:t>
            </w:r>
          </w:p>
        </w:tc>
        <w:tc>
          <w:tcPr>
            <w:tcW w:type="dxa" w:w="2016"/>
            <w:vAlign w:val="center"/>
            <w:tcMar>
              <w:top w:w="100" w:type="dxa"/>
              <w:start w:w="120" w:type="dxa"/>
              <w:bottom w:w="100" w:type="dxa"/>
              <w:end w:w="120" w:type="dxa"/>
            </w:tcMar>
          </w:tcPr>
          <w:p>
            <w:r>
              <w:rPr>
                <w:sz w:val="17"/>
              </w:rPr>
              <w:t>supp(o)</w:t>
            </w:r>
          </w:p>
        </w:tc>
        <w:tc>
          <w:tcPr>
            <w:tcW w:type="dxa" w:w="3168"/>
            <w:vAlign w:val="center"/>
            <w:tcMar>
              <w:top w:w="100" w:type="dxa"/>
              <w:start w:w="120" w:type="dxa"/>
              <w:bottom w:w="100" w:type="dxa"/>
              <w:end w:w="120" w:type="dxa"/>
            </w:tcMar>
          </w:tcPr>
          <w:p>
            <w:r>
              <w:rPr>
                <w:sz w:val="17"/>
              </w:rPr>
              <w:t>активные компоненты</w:t>
            </w:r>
          </w:p>
        </w:tc>
        <w:tc>
          <w:tcPr>
            <w:tcW w:type="dxa" w:w="2880"/>
            <w:vAlign w:val="center"/>
            <w:tcMar>
              <w:top w:w="100" w:type="dxa"/>
              <w:start w:w="120" w:type="dxa"/>
              <w:bottom w:w="100" w:type="dxa"/>
              <w:end w:w="120" w:type="dxa"/>
            </w:tcMar>
          </w:tcPr>
          <w:p>
            <w:r>
              <w:rPr>
                <w:sz w:val="17"/>
              </w:rPr>
              <w:t>зависимость от базиса</w:t>
            </w:r>
          </w:p>
        </w:tc>
      </w:tr>
      <w:tr>
        <w:tc>
          <w:tcPr>
            <w:tcW w:type="dxa" w:w="1512"/>
            <w:vAlign w:val="center"/>
            <w:tcMar>
              <w:top w:w="100" w:type="dxa"/>
              <w:start w:w="120" w:type="dxa"/>
              <w:bottom w:w="100" w:type="dxa"/>
              <w:end w:w="120" w:type="dxa"/>
            </w:tcMar>
            <w:shd w:fill="EAF1F8"/>
          </w:tcPr>
          <w:p>
            <w:r>
              <w:rPr>
                <w:sz w:val="17"/>
              </w:rPr>
              <w:t>S_prov</w:t>
            </w:r>
          </w:p>
        </w:tc>
        <w:tc>
          <w:tcPr>
            <w:tcW w:type="dxa" w:w="2016"/>
            <w:vAlign w:val="center"/>
            <w:tcMar>
              <w:top w:w="100" w:type="dxa"/>
              <w:start w:w="120" w:type="dxa"/>
              <w:bottom w:w="100" w:type="dxa"/>
              <w:end w:w="120" w:type="dxa"/>
            </w:tcMar>
            <w:shd w:fill="EAF1F8"/>
          </w:tcPr>
          <w:p>
            <w:r>
              <w:rPr>
                <w:sz w:val="17"/>
              </w:rPr>
              <w:t>provenance class</w:t>
            </w:r>
          </w:p>
        </w:tc>
        <w:tc>
          <w:tcPr>
            <w:tcW w:type="dxa" w:w="3168"/>
            <w:vAlign w:val="center"/>
            <w:tcMar>
              <w:top w:w="100" w:type="dxa"/>
              <w:start w:w="120" w:type="dxa"/>
              <w:bottom w:w="100" w:type="dxa"/>
              <w:end w:w="120" w:type="dxa"/>
            </w:tcMar>
            <w:shd w:fill="EAF1F8"/>
          </w:tcPr>
          <w:p>
            <w:r>
              <w:rPr>
                <w:sz w:val="17"/>
              </w:rPr>
              <w:t>источниковый тип</w:t>
            </w:r>
          </w:p>
        </w:tc>
        <w:tc>
          <w:tcPr>
            <w:tcW w:type="dxa" w:w="2880"/>
            <w:vAlign w:val="center"/>
            <w:tcMar>
              <w:top w:w="100" w:type="dxa"/>
              <w:start w:w="120" w:type="dxa"/>
              <w:bottom w:w="100" w:type="dxa"/>
              <w:end w:w="120" w:type="dxa"/>
            </w:tcMar>
            <w:shd w:fill="EAF1F8"/>
          </w:tcPr>
          <w:p>
            <w:r>
              <w:rPr>
                <w:sz w:val="17"/>
              </w:rPr>
              <w:t>не является чисто геометрическим</w:t>
            </w:r>
          </w:p>
        </w:tc>
      </w:tr>
      <w:tr>
        <w:tc>
          <w:tcPr>
            <w:tcW w:type="dxa" w:w="1512"/>
            <w:vAlign w:val="center"/>
            <w:tcMar>
              <w:top w:w="100" w:type="dxa"/>
              <w:start w:w="120" w:type="dxa"/>
              <w:bottom w:w="100" w:type="dxa"/>
              <w:end w:w="120" w:type="dxa"/>
            </w:tcMar>
          </w:tcPr>
          <w:p>
            <w:r>
              <w:rPr>
                <w:sz w:val="17"/>
              </w:rPr>
              <w:t>S_Dom</w:t>
            </w:r>
          </w:p>
        </w:tc>
        <w:tc>
          <w:tcPr>
            <w:tcW w:type="dxa" w:w="2016"/>
            <w:vAlign w:val="center"/>
            <w:tcMar>
              <w:top w:w="100" w:type="dxa"/>
              <w:start w:w="120" w:type="dxa"/>
              <w:bottom w:w="100" w:type="dxa"/>
              <w:end w:w="120" w:type="dxa"/>
            </w:tcMar>
          </w:tcPr>
          <w:p>
            <w:r>
              <w:rPr>
                <w:sz w:val="17"/>
              </w:rPr>
              <w:t>domain signature</w:t>
            </w:r>
          </w:p>
        </w:tc>
        <w:tc>
          <w:tcPr>
            <w:tcW w:type="dxa" w:w="3168"/>
            <w:vAlign w:val="center"/>
            <w:tcMar>
              <w:top w:w="100" w:type="dxa"/>
              <w:start w:w="120" w:type="dxa"/>
              <w:bottom w:w="100" w:type="dxa"/>
              <w:end w:w="120" w:type="dxa"/>
            </w:tcMar>
          </w:tcPr>
          <w:p>
            <w:r>
              <w:rPr>
                <w:sz w:val="17"/>
              </w:rPr>
              <w:t>область допустимости</w:t>
            </w:r>
          </w:p>
        </w:tc>
        <w:tc>
          <w:tcPr>
            <w:tcW w:type="dxa" w:w="2880"/>
            <w:vAlign w:val="center"/>
            <w:tcMar>
              <w:top w:w="100" w:type="dxa"/>
              <w:start w:w="120" w:type="dxa"/>
              <w:bottom w:w="100" w:type="dxa"/>
              <w:end w:w="120" w:type="dxa"/>
            </w:tcMar>
          </w:tcPr>
          <w:p>
            <w:r>
              <w:rPr>
                <w:sz w:val="17"/>
              </w:rPr>
              <w:t>может меняться скачком</w:t>
            </w:r>
          </w:p>
        </w:tc>
      </w:tr>
    </w:tbl>
    <w:p/>
    <w:p>
      <w:pPr>
        <w:pStyle w:val="Heading2"/>
      </w:pPr>
      <w:r>
        <w:t>119.3. Whitney-условия как открытое обязательство</w:t>
      </w:r>
    </w:p>
    <w:p>
      <w:r>
        <w:t>Для гладкой или алгебраической стратификации полезно требовать Whitney (a)/(b), локальную конечность и frontier condition. В общей NAPG эти свойства не объявляются автоматически. Они формируют proof obligations T2-PO-133-T2-PO-135.</w:t>
      </w:r>
    </w:p>
    <w:p>
      <w:pPr>
        <w:pStyle w:val="Heading1"/>
      </w:pPr>
      <w:r>
        <w:t>120. Проектированный обструкционный конус</w:t>
      </w:r>
    </w:p>
    <w:p>
      <w:pPr>
        <w:pStyle w:val="Heading2"/>
      </w:pPr>
      <w:r>
        <w:t>120.1. Конический носитель</w:t>
      </w:r>
    </w:p>
    <w:p>
      <w:r>
        <w:t>Пусть C_B⊆O_B является замкнутым конусом допустимых или достижимых препятствий, то есть aC_B⊆C_B для a∈K. Его проектированный носитель определяется как</w:t>
      </w:r>
    </w:p>
    <w:p>
      <w:pPr>
        <w:pStyle w:val="Quote"/>
        <w:jc w:val="center"/>
      </w:pPr>
      <w:r>
        <w:rPr>
          <w:rFonts w:ascii="Cambria Math" w:hAnsi="Cambria Math"/>
          <w:sz w:val="22"/>
        </w:rPr>
        <w:t>P(C_B) = (C_B \ {0}) / K^× ⊆ P(O_B).</w:t>
      </w:r>
      <w:r>
        <w:t xml:space="preserve">    (14.10)</w:t>
      </w:r>
    </w:p>
    <w:p>
      <w:r>
        <w:t>Если C_B не инвариантен относительно всех ненулевых скаляров, вместо projectivization требуется положительная projectivization или сферическая нормировка. Особенно это важно для упорядоченных конусов над R, где отрицательное масштабирование меняет смысл.</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КОНТРПРИМЕР 14.B</w:t>
            </w:r>
          </w:p>
          <w:p>
            <w:pPr>
              <w:spacing w:after="0"/>
            </w:pPr>
            <w:r>
              <w:rPr>
                <w:sz w:val="19"/>
              </w:rPr>
              <w:t>Положительный ортант R^n_{≥0} не инвариантен относительно отрицательных скаляров. Обычная real projectivization отождествляет положительное и отрицательное направления и уничтожает порядок. Для причинных или вероятностных конусов требуется quotient по R_{&gt;0}, а не по R^×.</w:t>
            </w:r>
          </w:p>
        </w:tc>
      </w:tr>
    </w:tbl>
    <w:p/>
    <w:p>
      <w:pPr>
        <w:pStyle w:val="Heading2"/>
      </w:pPr>
      <w:r>
        <w:t>120.2. Полупроективный носитель</w:t>
      </w:r>
    </w:p>
    <w:p>
      <w:pPr>
        <w:pStyle w:val="Quote"/>
        <w:jc w:val="center"/>
      </w:pPr>
      <w:r>
        <w:rPr>
          <w:rFonts w:ascii="Cambria Math" w:hAnsi="Cambria Math"/>
          <w:sz w:val="22"/>
        </w:rPr>
        <w:t>P_+(C_B) = (C_B \ {0}) / R_{&gt;0}.</w:t>
      </w:r>
      <w:r>
        <w:t xml:space="preserve">    (14.11)</w:t>
      </w:r>
    </w:p>
    <w:p>
      <w:r>
        <w:t>Носитель P_+(C_B) сохраняет ориентацию луча и различает o от -o. Он является предпочтительным для знако-чувствительных препятствий, направленных потоков и one-sided domain constraints.</w:t>
      </w:r>
    </w:p>
    <w:p>
      <w:pPr>
        <w:pStyle w:val="Heading1"/>
      </w:pPr>
      <w:r>
        <w:t>121. Локальные носители и Fano globalization firewall</w:t>
      </w:r>
    </w:p>
    <w:p>
      <w:r>
        <w:t>PILOT-01 уже различал локальные obstruction carriers и глобальный Fano carrier: семь локальных трёхмерных носителей сначала дают прямую сумму размерности 21, а переход к F₂³ требует явных совместимых карт идентификации. Эта дисциплина переносится в общий NAPG-слой.</w:t>
      </w:r>
    </w:p>
    <w:p>
      <w:pPr>
        <w:pStyle w:val="Quote"/>
        <w:jc w:val="center"/>
      </w:pPr>
      <w:r>
        <w:rPr>
          <w:rFonts w:ascii="Cambria Math" w:hAnsi="Cambria Math"/>
          <w:sz w:val="22"/>
        </w:rPr>
        <w:t>O_pre = ⊕_{L∈Lines(Fano)} O_L.</w:t>
      </w:r>
      <w:r>
        <w:t xml:space="preserve">    (14.12)</w:t>
      </w:r>
    </w:p>
    <w:p>
      <w:pPr>
        <w:pStyle w:val="Quote"/>
        <w:jc w:val="center"/>
      </w:pPr>
      <w:r>
        <w:rPr>
          <w:rFonts w:ascii="Cambria Math" w:hAnsi="Cambria Math"/>
          <w:sz w:val="22"/>
        </w:rPr>
        <w:t>O_glob = colim( O_L, φ_{LL′} ).</w:t>
      </w:r>
      <w:r>
        <w:t xml:space="preserve">    (14.13)</w:t>
      </w:r>
    </w:p>
    <w:p>
      <w:pPr>
        <w:jc w:val="center"/>
      </w:pPr>
      <w:r>
        <w:drawing>
          <wp:inline xmlns:a="http://schemas.openxmlformats.org/drawingml/2006/main" xmlns:pic="http://schemas.openxmlformats.org/drawingml/2006/picture">
            <wp:extent cx="5943600" cy="3595598"/>
            <wp:docPr id="34" name="Picture 34"/>
            <wp:cNvGraphicFramePr>
              <a:graphicFrameLocks noChangeAspect="1"/>
            </wp:cNvGraphicFramePr>
            <a:graphic>
              <a:graphicData uri="http://schemas.openxmlformats.org/drawingml/2006/picture">
                <pic:pic>
                  <pic:nvPicPr>
                    <pic:cNvPr id="0" name="fano_barrier.png"/>
                    <pic:cNvPicPr/>
                  </pic:nvPicPr>
                  <pic:blipFill>
                    <a:blip r:embed="rId61"/>
                    <a:stretch>
                      <a:fillRect/>
                    </a:stretch>
                  </pic:blipFill>
                  <pic:spPr>
                    <a:xfrm>
                      <a:off x="0" y="0"/>
                      <a:ext cx="5943600" cy="3595598"/>
                    </a:xfrm>
                    <a:prstGeom prst="rect"/>
                  </pic:spPr>
                </pic:pic>
              </a:graphicData>
            </a:graphic>
          </wp:inline>
        </w:drawing>
      </w:r>
    </w:p>
    <w:p>
      <w:pPr>
        <w:pStyle w:val="Caption"/>
        <w:jc w:val="center"/>
      </w:pPr>
      <w:r>
        <w:t>Рисунок 14.2. Fano globalization firewall: локальные носители не образуют глобальный projective carrier без identification maps.</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14.5. LOCAL-TO-GLOBAL NO-GO</w:t>
            </w:r>
          </w:p>
          <w:p>
            <w:pPr>
              <w:spacing w:after="0"/>
            </w:pPr>
            <w:r>
              <w:rPr>
                <w:sz w:val="19"/>
              </w:rPr>
              <w:t>Из существования семейства projective carriers P(O_i) не следует существование глобального P(O). Необходимы линейные карты склейки, cocycle condition, совместимость нулевых секций, Evidence-D и effective descent.</w:t>
            </w:r>
          </w:p>
        </w:tc>
      </w:tr>
    </w:tbl>
    <w:p/>
    <w:p>
      <w:r>
        <w:t>Это усиливает принцип Fano ontological barrier, сформулированный в PILOT-01: локальная projective картина не перескакивает в глобальную только потому, что число точек выглядит подходящим [V0.11-1].</w:t>
      </w:r>
    </w:p>
    <w:p>
      <w:pPr>
        <w:pStyle w:val="Heading1"/>
      </w:pPr>
      <w:r>
        <w:t>122. Проективный переходный горизонт</w:t>
      </w:r>
    </w:p>
    <w:p>
      <w:pPr>
        <w:pStyle w:val="Heading2"/>
      </w:pPr>
      <w:r>
        <w:t>122.1. Компоненты горизонта</w:t>
      </w:r>
    </w:p>
    <w:p>
      <w:pPr>
        <w:pStyle w:val="Quote"/>
        <w:jc w:val="center"/>
      </w:pPr>
      <w:r>
        <w:rPr>
          <w:rFonts w:ascii="Cambria Math" w:hAnsi="Cambria Math"/>
          <w:sz w:val="22"/>
        </w:rPr>
        <w:t>Δ_proj = Δ_zero ∪ Δ_rank ∪ Δ_orbit ∪ Δ_chart ∪ Δ_glue ∪ Δ_D ∪ Δ_Dom.</w:t>
      </w:r>
      <w:r>
        <w:t xml:space="preserve">    (14.14)</w:t>
      </w:r>
    </w:p>
    <w:tbl>
      <w:tblPr>
        <w:tblStyle w:val="TableGrid"/>
        <w:tblW w:type="auto" w:w="0"/>
        <w:jc w:val="center"/>
        <w:tblLook w:firstColumn="1" w:firstRow="1" w:lastColumn="0" w:lastRow="0" w:noHBand="0" w:noVBand="1" w:val="04A0"/>
      </w:tblPr>
      <w:tblGrid>
        <w:gridCol w:w="3251"/>
        <w:gridCol w:w="3251"/>
        <w:gridCol w:w="3251"/>
      </w:tblGrid>
      <w:tr>
        <w:tc>
          <w:tcPr>
            <w:tcW w:type="dxa" w:w="1584"/>
            <w:shd w:fill="1F4E78"/>
            <w:vAlign w:val="center"/>
            <w:tcMar>
              <w:top w:w="100" w:type="dxa"/>
              <w:start w:w="120" w:type="dxa"/>
              <w:bottom w:w="100" w:type="dxa"/>
              <w:end w:w="120" w:type="dxa"/>
            </w:tcMar>
          </w:tcPr>
          <w:p>
            <w:r>
              <w:rPr>
                <w:b/>
                <w:color w:val="FFFFFF"/>
                <w:sz w:val="18"/>
              </w:rPr>
              <w:t>Компонент</w:t>
            </w:r>
          </w:p>
        </w:tc>
        <w:tc>
          <w:tcPr>
            <w:tcW w:type="dxa" w:w="3600"/>
            <w:shd w:fill="1F4E78"/>
            <w:vAlign w:val="center"/>
            <w:tcMar>
              <w:top w:w="100" w:type="dxa"/>
              <w:start w:w="120" w:type="dxa"/>
              <w:bottom w:w="100" w:type="dxa"/>
              <w:end w:w="120" w:type="dxa"/>
            </w:tcMar>
          </w:tcPr>
          <w:p>
            <w:r>
              <w:rPr>
                <w:b/>
                <w:color w:val="FFFFFF"/>
                <w:sz w:val="18"/>
              </w:rPr>
              <w:t>Условие попадания</w:t>
            </w:r>
          </w:p>
        </w:tc>
        <w:tc>
          <w:tcPr>
            <w:tcW w:type="dxa" w:w="4608"/>
            <w:shd w:fill="1F4E78"/>
            <w:vAlign w:val="center"/>
            <w:tcMar>
              <w:top w:w="100" w:type="dxa"/>
              <w:start w:w="120" w:type="dxa"/>
              <w:bottom w:w="100" w:type="dxa"/>
              <w:end w:w="120" w:type="dxa"/>
            </w:tcMar>
          </w:tcPr>
          <w:p>
            <w:r>
              <w:rPr>
                <w:b/>
                <w:color w:val="FFFFFF"/>
                <w:sz w:val="18"/>
              </w:rPr>
              <w:t>Интерпретация</w:t>
            </w:r>
          </w:p>
        </w:tc>
      </w:tr>
      <w:tr>
        <w:tc>
          <w:tcPr>
            <w:tcW w:type="dxa" w:w="1584"/>
            <w:vAlign w:val="center"/>
            <w:tcMar>
              <w:top w:w="100" w:type="dxa"/>
              <w:start w:w="120" w:type="dxa"/>
              <w:bottom w:w="100" w:type="dxa"/>
              <w:end w:w="120" w:type="dxa"/>
            </w:tcMar>
          </w:tcPr>
          <w:p>
            <w:r>
              <w:rPr>
                <w:sz w:val="17"/>
              </w:rPr>
              <w:t>Δ_zero</w:t>
            </w:r>
          </w:p>
        </w:tc>
        <w:tc>
          <w:tcPr>
            <w:tcW w:type="dxa" w:w="3600"/>
            <w:vAlign w:val="center"/>
            <w:tcMar>
              <w:top w:w="100" w:type="dxa"/>
              <w:start w:w="120" w:type="dxa"/>
              <w:bottom w:w="100" w:type="dxa"/>
              <w:end w:w="120" w:type="dxa"/>
            </w:tcMar>
          </w:tcPr>
          <w:p>
            <w:r>
              <w:rPr>
                <w:sz w:val="17"/>
              </w:rPr>
              <w:t>o_t=0 или потеря отделимости от 0</w:t>
            </w:r>
          </w:p>
        </w:tc>
        <w:tc>
          <w:tcPr>
            <w:tcW w:type="dxa" w:w="4608"/>
            <w:vAlign w:val="center"/>
            <w:tcMar>
              <w:top w:w="100" w:type="dxa"/>
              <w:start w:w="120" w:type="dxa"/>
              <w:bottom w:w="100" w:type="dxa"/>
              <w:end w:w="120" w:type="dxa"/>
            </w:tcMar>
          </w:tcPr>
          <w:p>
            <w:r>
              <w:rPr>
                <w:sz w:val="17"/>
              </w:rPr>
              <w:t>появление/исчезновение внутреннего класса</w:t>
            </w:r>
          </w:p>
        </w:tc>
      </w:tr>
      <w:tr>
        <w:tc>
          <w:tcPr>
            <w:tcW w:type="dxa" w:w="1584"/>
            <w:vAlign w:val="center"/>
            <w:tcMar>
              <w:top w:w="100" w:type="dxa"/>
              <w:start w:w="120" w:type="dxa"/>
              <w:bottom w:w="100" w:type="dxa"/>
              <w:end w:w="120" w:type="dxa"/>
            </w:tcMar>
            <w:shd w:fill="EAF1F8"/>
          </w:tcPr>
          <w:p>
            <w:r>
              <w:rPr>
                <w:sz w:val="17"/>
              </w:rPr>
              <w:t>Δ_rank</w:t>
            </w:r>
          </w:p>
        </w:tc>
        <w:tc>
          <w:tcPr>
            <w:tcW w:type="dxa" w:w="3600"/>
            <w:vAlign w:val="center"/>
            <w:tcMar>
              <w:top w:w="100" w:type="dxa"/>
              <w:start w:w="120" w:type="dxa"/>
              <w:bottom w:w="100" w:type="dxa"/>
              <w:end w:w="120" w:type="dxa"/>
            </w:tcMar>
            <w:shd w:fill="EAF1F8"/>
          </w:tcPr>
          <w:p>
            <w:r>
              <w:rPr>
                <w:sz w:val="17"/>
              </w:rPr>
              <w:t>rank A(o_t) меняется</w:t>
            </w:r>
          </w:p>
        </w:tc>
        <w:tc>
          <w:tcPr>
            <w:tcW w:type="dxa" w:w="4608"/>
            <w:vAlign w:val="center"/>
            <w:tcMar>
              <w:top w:w="100" w:type="dxa"/>
              <w:start w:w="120" w:type="dxa"/>
              <w:bottom w:w="100" w:type="dxa"/>
              <w:end w:w="120" w:type="dxa"/>
            </w:tcMar>
            <w:shd w:fill="EAF1F8"/>
          </w:tcPr>
          <w:p>
            <w:r>
              <w:rPr>
                <w:sz w:val="17"/>
              </w:rPr>
              <w:t>смена алгебраического типа</w:t>
            </w:r>
          </w:p>
        </w:tc>
      </w:tr>
      <w:tr>
        <w:tc>
          <w:tcPr>
            <w:tcW w:type="dxa" w:w="1584"/>
            <w:vAlign w:val="center"/>
            <w:tcMar>
              <w:top w:w="100" w:type="dxa"/>
              <w:start w:w="120" w:type="dxa"/>
              <w:bottom w:w="100" w:type="dxa"/>
              <w:end w:w="120" w:type="dxa"/>
            </w:tcMar>
          </w:tcPr>
          <w:p>
            <w:r>
              <w:rPr>
                <w:sz w:val="17"/>
              </w:rPr>
              <w:t>Δ_orbit</w:t>
            </w:r>
          </w:p>
        </w:tc>
        <w:tc>
          <w:tcPr>
            <w:tcW w:type="dxa" w:w="3600"/>
            <w:vAlign w:val="center"/>
            <w:tcMar>
              <w:top w:w="100" w:type="dxa"/>
              <w:start w:w="120" w:type="dxa"/>
              <w:bottom w:w="100" w:type="dxa"/>
              <w:end w:w="120" w:type="dxa"/>
            </w:tcMar>
          </w:tcPr>
          <w:p>
            <w:r>
              <w:rPr>
                <w:sz w:val="17"/>
              </w:rPr>
              <w:t>тип стабилизатора меняется</w:t>
            </w:r>
          </w:p>
        </w:tc>
        <w:tc>
          <w:tcPr>
            <w:tcW w:type="dxa" w:w="4608"/>
            <w:vAlign w:val="center"/>
            <w:tcMar>
              <w:top w:w="100" w:type="dxa"/>
              <w:start w:w="120" w:type="dxa"/>
              <w:bottom w:w="100" w:type="dxa"/>
              <w:end w:w="120" w:type="dxa"/>
            </w:tcMar>
          </w:tcPr>
          <w:p>
            <w:r>
              <w:rPr>
                <w:sz w:val="17"/>
              </w:rPr>
              <w:t>смена симметрии</w:t>
            </w:r>
          </w:p>
        </w:tc>
      </w:tr>
      <w:tr>
        <w:tc>
          <w:tcPr>
            <w:tcW w:type="dxa" w:w="1584"/>
            <w:vAlign w:val="center"/>
            <w:tcMar>
              <w:top w:w="100" w:type="dxa"/>
              <w:start w:w="120" w:type="dxa"/>
              <w:bottom w:w="100" w:type="dxa"/>
              <w:end w:w="120" w:type="dxa"/>
            </w:tcMar>
            <w:shd w:fill="EAF1F8"/>
          </w:tcPr>
          <w:p>
            <w:r>
              <w:rPr>
                <w:sz w:val="17"/>
              </w:rPr>
              <w:t>Δ_chart</w:t>
            </w:r>
          </w:p>
        </w:tc>
        <w:tc>
          <w:tcPr>
            <w:tcW w:type="dxa" w:w="3600"/>
            <w:vAlign w:val="center"/>
            <w:tcMar>
              <w:top w:w="100" w:type="dxa"/>
              <w:start w:w="120" w:type="dxa"/>
              <w:bottom w:w="100" w:type="dxa"/>
              <w:end w:w="120" w:type="dxa"/>
            </w:tcMar>
            <w:shd w:fill="EAF1F8"/>
          </w:tcPr>
          <w:p>
            <w:r>
              <w:rPr>
                <w:sz w:val="17"/>
              </w:rPr>
              <w:t>выбранная projective chart вырождается</w:t>
            </w:r>
          </w:p>
        </w:tc>
        <w:tc>
          <w:tcPr>
            <w:tcW w:type="dxa" w:w="4608"/>
            <w:vAlign w:val="center"/>
            <w:tcMar>
              <w:top w:w="100" w:type="dxa"/>
              <w:start w:w="120" w:type="dxa"/>
              <w:bottom w:w="100" w:type="dxa"/>
              <w:end w:w="120" w:type="dxa"/>
            </w:tcMar>
            <w:shd w:fill="EAF1F8"/>
          </w:tcPr>
          <w:p>
            <w:r>
              <w:rPr>
                <w:sz w:val="17"/>
              </w:rPr>
              <w:t>координатный, не обязательно структурный дефект</w:t>
            </w:r>
          </w:p>
        </w:tc>
      </w:tr>
      <w:tr>
        <w:tc>
          <w:tcPr>
            <w:tcW w:type="dxa" w:w="1584"/>
            <w:vAlign w:val="center"/>
            <w:tcMar>
              <w:top w:w="100" w:type="dxa"/>
              <w:start w:w="120" w:type="dxa"/>
              <w:bottom w:w="100" w:type="dxa"/>
              <w:end w:w="120" w:type="dxa"/>
            </w:tcMar>
          </w:tcPr>
          <w:p>
            <w:r>
              <w:rPr>
                <w:sz w:val="17"/>
              </w:rPr>
              <w:t>Δ_glue</w:t>
            </w:r>
          </w:p>
        </w:tc>
        <w:tc>
          <w:tcPr>
            <w:tcW w:type="dxa" w:w="3600"/>
            <w:vAlign w:val="center"/>
            <w:tcMar>
              <w:top w:w="100" w:type="dxa"/>
              <w:start w:w="120" w:type="dxa"/>
              <w:bottom w:w="100" w:type="dxa"/>
              <w:end w:w="120" w:type="dxa"/>
            </w:tcMar>
          </w:tcPr>
          <w:p>
            <w:r>
              <w:rPr>
                <w:sz w:val="17"/>
              </w:rPr>
              <w:t>нарушены cocycle/effective descent</w:t>
            </w:r>
          </w:p>
        </w:tc>
        <w:tc>
          <w:tcPr>
            <w:tcW w:type="dxa" w:w="4608"/>
            <w:vAlign w:val="center"/>
            <w:tcMar>
              <w:top w:w="100" w:type="dxa"/>
              <w:start w:w="120" w:type="dxa"/>
              <w:bottom w:w="100" w:type="dxa"/>
              <w:end w:w="120" w:type="dxa"/>
            </w:tcMar>
          </w:tcPr>
          <w:p>
            <w:r>
              <w:rPr>
                <w:sz w:val="17"/>
              </w:rPr>
              <w:t>локально-глобальный разрыв</w:t>
            </w:r>
          </w:p>
        </w:tc>
      </w:tr>
      <w:tr>
        <w:tc>
          <w:tcPr>
            <w:tcW w:type="dxa" w:w="1584"/>
            <w:vAlign w:val="center"/>
            <w:tcMar>
              <w:top w:w="100" w:type="dxa"/>
              <w:start w:w="120" w:type="dxa"/>
              <w:bottom w:w="100" w:type="dxa"/>
              <w:end w:w="120" w:type="dxa"/>
            </w:tcMar>
            <w:shd w:fill="EAF1F8"/>
          </w:tcPr>
          <w:p>
            <w:r>
              <w:rPr>
                <w:sz w:val="17"/>
              </w:rPr>
              <w:t>Δ_D</w:t>
            </w:r>
          </w:p>
        </w:tc>
        <w:tc>
          <w:tcPr>
            <w:tcW w:type="dxa" w:w="3600"/>
            <w:vAlign w:val="center"/>
            <w:tcMar>
              <w:top w:w="100" w:type="dxa"/>
              <w:start w:w="120" w:type="dxa"/>
              <w:bottom w:w="100" w:type="dxa"/>
              <w:end w:w="120" w:type="dxa"/>
            </w:tcMar>
            <w:shd w:fill="EAF1F8"/>
          </w:tcPr>
          <w:p>
            <w:r>
              <w:rPr>
                <w:sz w:val="17"/>
              </w:rPr>
              <w:t>Evidence-D невалиден</w:t>
            </w:r>
          </w:p>
        </w:tc>
        <w:tc>
          <w:tcPr>
            <w:tcW w:type="dxa" w:w="4608"/>
            <w:vAlign w:val="center"/>
            <w:tcMar>
              <w:top w:w="100" w:type="dxa"/>
              <w:start w:w="120" w:type="dxa"/>
              <w:bottom w:w="100" w:type="dxa"/>
              <w:end w:w="120" w:type="dxa"/>
            </w:tcMar>
            <w:shd w:fill="EAF1F8"/>
          </w:tcPr>
          <w:p>
            <w:r>
              <w:rPr>
                <w:sz w:val="17"/>
              </w:rPr>
              <w:t>доказательный блокер</w:t>
            </w:r>
          </w:p>
        </w:tc>
      </w:tr>
      <w:tr>
        <w:tc>
          <w:tcPr>
            <w:tcW w:type="dxa" w:w="1584"/>
            <w:vAlign w:val="center"/>
            <w:tcMar>
              <w:top w:w="100" w:type="dxa"/>
              <w:start w:w="120" w:type="dxa"/>
              <w:bottom w:w="100" w:type="dxa"/>
              <w:end w:w="120" w:type="dxa"/>
            </w:tcMar>
          </w:tcPr>
          <w:p>
            <w:r>
              <w:rPr>
                <w:sz w:val="17"/>
              </w:rPr>
              <w:t>Δ_Dom</w:t>
            </w:r>
          </w:p>
        </w:tc>
        <w:tc>
          <w:tcPr>
            <w:tcW w:type="dxa" w:w="3600"/>
            <w:vAlign w:val="center"/>
            <w:tcMar>
              <w:top w:w="100" w:type="dxa"/>
              <w:start w:w="120" w:type="dxa"/>
              <w:bottom w:w="100" w:type="dxa"/>
              <w:end w:w="120" w:type="dxa"/>
            </w:tcMar>
          </w:tcPr>
          <w:p>
            <w:r>
              <w:rPr>
                <w:sz w:val="17"/>
              </w:rPr>
              <w:t>меняется допустимый домен</w:t>
            </w:r>
          </w:p>
        </w:tc>
        <w:tc>
          <w:tcPr>
            <w:tcW w:type="dxa" w:w="4608"/>
            <w:vAlign w:val="center"/>
            <w:tcMar>
              <w:top w:w="100" w:type="dxa"/>
              <w:start w:w="120" w:type="dxa"/>
              <w:bottom w:w="100" w:type="dxa"/>
              <w:end w:w="120" w:type="dxa"/>
            </w:tcMar>
          </w:tcPr>
          <w:p>
            <w:r>
              <w:rPr>
                <w:sz w:val="17"/>
              </w:rPr>
              <w:t>смена области утверждения</w:t>
            </w:r>
          </w:p>
        </w:tc>
      </w:tr>
    </w:tbl>
    <w:p/>
    <w:p>
      <w:pPr>
        <w:jc w:val="center"/>
      </w:pPr>
      <w:r>
        <w:drawing>
          <wp:inline xmlns:a="http://schemas.openxmlformats.org/drawingml/2006/main" xmlns:pic="http://schemas.openxmlformats.org/drawingml/2006/picture">
            <wp:extent cx="5943600" cy="3360587"/>
            <wp:docPr id="35" name="Picture 35"/>
            <wp:cNvGraphicFramePr>
              <a:graphicFrameLocks noChangeAspect="1"/>
            </wp:cNvGraphicFramePr>
            <a:graphic>
              <a:graphicData uri="http://schemas.openxmlformats.org/drawingml/2006/picture">
                <pic:pic>
                  <pic:nvPicPr>
                    <pic:cNvPr id="0" name="proj_horizon.png"/>
                    <pic:cNvPicPr/>
                  </pic:nvPicPr>
                  <pic:blipFill>
                    <a:blip r:embed="rId62"/>
                    <a:stretch>
                      <a:fillRect/>
                    </a:stretch>
                  </pic:blipFill>
                  <pic:spPr>
                    <a:xfrm>
                      <a:off x="0" y="0"/>
                      <a:ext cx="5943600" cy="3360587"/>
                    </a:xfrm>
                    <a:prstGeom prst="rect"/>
                  </pic:spPr>
                </pic:pic>
              </a:graphicData>
            </a:graphic>
          </wp:inline>
        </w:drawing>
      </w:r>
    </w:p>
    <w:p>
      <w:pPr>
        <w:pStyle w:val="Caption"/>
        <w:jc w:val="center"/>
      </w:pPr>
      <w:r>
        <w:t>Рисунок 14.3. Состав projective transition horizon Δ_proj.</w:t>
      </w:r>
    </w:p>
    <w:p>
      <w:pPr>
        <w:pStyle w:val="Heading2"/>
      </w:pPr>
      <w:r>
        <w:t>122.2. Теорема постоянства projective type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14.6. PROJECTIVE-PROFILE CONSTANCY</w:t>
            </w:r>
          </w:p>
          <w:p>
            <w:pPr>
              <w:spacing w:after="0"/>
            </w:pPr>
            <w:r>
              <w:rPr>
                <w:sz w:val="19"/>
              </w:rPr>
              <w:t>Пусть t↦o_t является непрерывным ненулевым сечением obstruction bundle на связном интервале I. Если ранговая и орбитная страты локально замкнуты, путь не пересекает Δ_proj, а D/Dom и gluing data постоянны, то projective profile ([o_t], rank A(o_t), orbit type, Dom signature) остаётся в одной связной страте.</w:t>
            </w:r>
          </w:p>
        </w:tc>
      </w:tr>
    </w:tbl>
    <w:p/>
    <w:p>
      <w:r>
        <w:t>Теорема не утверждает, что [o_t] является постоянной точкой. Она утверждает неизменность сертифицированного типа внутри выбранной стратификации. Движение внутри страты допускается.</w:t>
      </w:r>
    </w:p>
    <w:p>
      <w:pPr>
        <w:pStyle w:val="Heading2"/>
      </w:pPr>
      <w:r>
        <w:t>122.3. Отрицательный прогноз</w:t>
      </w:r>
    </w:p>
    <w:p>
      <w:pPr>
        <w:pStyle w:val="Quote"/>
        <w:jc w:val="center"/>
      </w:pPr>
      <w:r>
        <w:rPr>
          <w:rFonts w:ascii="Cambria Math" w:hAnsi="Cambria Math"/>
          <w:sz w:val="22"/>
        </w:rPr>
        <w:t>I∩Δ_proj=∅  ⇒  transition of certified projective type is impossible in model.</w:t>
      </w:r>
      <w:r>
        <w:t xml:space="preserve">    (14.15)</w:t>
      </w:r>
    </w:p>
    <w:p>
      <w:r>
        <w:t>Пересечение Δ_proj создаёт CANDIDATE-TRANSITION. Оно не гарантирует пересечение нулевой секции, существование lift, глобализацию, наблюдаемость или физическую реализацию.</w:t>
      </w:r>
    </w:p>
    <w:p>
      <w:pPr>
        <w:pStyle w:val="Heading1"/>
      </w:pPr>
      <w:r>
        <w:t>123. Проективный carrier и Reper-λ</w:t>
      </w:r>
    </w:p>
    <w:p>
      <w:r>
        <w:t>Reper-кросс-соотношение и projective obstruction carrier являются двумя разными проективными слоями. Первый живёт на конфигурациях четырёх точек P¹, второй - на направлениях в O_B. Для их связи требуется отдельная карта</w:t>
      </w:r>
    </w:p>
    <w:p>
      <w:pPr>
        <w:pStyle w:val="Quote"/>
        <w:jc w:val="center"/>
      </w:pPr>
      <w:r>
        <w:rPr>
          <w:rFonts w:ascii="Cambria Math" w:hAnsi="Cambria Math"/>
          <w:sz w:val="22"/>
        </w:rPr>
        <w:t>χ_λ : P(O_B) ⇢ P¹(K),</w:t>
      </w:r>
      <w:r>
        <w:t xml:space="preserve">    (14.16)</w:t>
      </w:r>
    </w:p>
    <w:p>
      <w:r>
        <w:t>определённая лишь при явном выборе реперных функционалов R,I,U,D на O_B и вне их полюсного множества.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14.7. NO AUTOMATIC LAMBDA BRIDGE</w:t>
            </w:r>
          </w:p>
          <w:p>
            <w:pPr>
              <w:spacing w:after="0"/>
            </w:pPr>
            <w:r>
              <w:rPr>
                <w:sz w:val="19"/>
              </w:rPr>
              <w:t>Из projective point [o]∈P(O_B) не следует каноническое значение λ. Для λ необходимы четыре согласованных линейных или рациональных функционала и доказательство инвариантности их cross-ratio.</w:t>
            </w:r>
          </w:p>
        </w:tc>
      </w:tr>
    </w:tbl>
    <w:p/>
    <w:p>
      <w:pPr>
        <w:pStyle w:val="Quote"/>
        <w:jc w:val="center"/>
      </w:pPr>
      <w:r>
        <w:rPr>
          <w:rFonts w:ascii="Cambria Math" w:hAnsi="Cambria Math"/>
          <w:sz w:val="22"/>
        </w:rPr>
        <w:t>λ([o]) = cr(U([o]), I([o]); R([o]), D([o])).</w:t>
      </w:r>
      <w:r>
        <w:t xml:space="preserve">    (14.17)</w:t>
      </w:r>
    </w:p>
    <w:p>
      <w:r>
        <w:t>Даже при λ=-1 сохраняются отдельные проверки: o≠0, Valid(D), Dom_λ, отсутствие internal/external obstruction blockers и корректность χ_λ.</w:t>
      </w:r>
    </w:p>
    <w:p>
      <w:pPr>
        <w:pStyle w:val="Heading1"/>
      </w:pPr>
      <w:r>
        <w:t>124. Ledger потери и восстановления информации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152"/>
            <w:shd w:fill="1F4E78"/>
            <w:vAlign w:val="center"/>
            <w:tcMar>
              <w:top w:w="100" w:type="dxa"/>
              <w:start w:w="120" w:type="dxa"/>
              <w:bottom w:w="100" w:type="dxa"/>
              <w:end w:w="120" w:type="dxa"/>
            </w:tcMar>
          </w:tcPr>
          <w:p>
            <w:r>
              <w:rPr>
                <w:b/>
                <w:color w:val="FFFFFF"/>
                <w:sz w:val="18"/>
              </w:rPr>
              <w:t>Код</w:t>
            </w:r>
          </w:p>
        </w:tc>
        <w:tc>
          <w:tcPr>
            <w:tcW w:type="dxa" w:w="2448"/>
            <w:shd w:fill="1F4E78"/>
            <w:vAlign w:val="center"/>
            <w:tcMar>
              <w:top w:w="100" w:type="dxa"/>
              <w:start w:w="120" w:type="dxa"/>
              <w:bottom w:w="100" w:type="dxa"/>
              <w:end w:w="120" w:type="dxa"/>
            </w:tcMar>
          </w:tcPr>
          <w:p>
            <w:r>
              <w:rPr>
                <w:b/>
                <w:color w:val="FFFFFF"/>
                <w:sz w:val="18"/>
              </w:rPr>
              <w:t>Потерянный слой</w:t>
            </w:r>
          </w:p>
        </w:tc>
        <w:tc>
          <w:tcPr>
            <w:tcW w:type="dxa" w:w="3888"/>
            <w:shd w:fill="1F4E78"/>
            <w:vAlign w:val="center"/>
            <w:tcMar>
              <w:top w:w="100" w:type="dxa"/>
              <w:start w:w="120" w:type="dxa"/>
              <w:bottom w:w="100" w:type="dxa"/>
              <w:end w:w="120" w:type="dxa"/>
            </w:tcMar>
          </w:tcPr>
          <w:p>
            <w:r>
              <w:rPr>
                <w:b/>
                <w:color w:val="FFFFFF"/>
                <w:sz w:val="18"/>
              </w:rPr>
              <w:t>Минимальный repair certificate</w:t>
            </w:r>
          </w:p>
        </w:tc>
        <w:tc>
          <w:tcPr>
            <w:tcW w:type="dxa" w:w="2016"/>
            <w:shd w:fill="1F4E78"/>
            <w:vAlign w:val="center"/>
            <w:tcMar>
              <w:top w:w="100" w:type="dxa"/>
              <w:start w:w="120" w:type="dxa"/>
              <w:bottom w:w="100" w:type="dxa"/>
              <w:end w:w="120" w:type="dxa"/>
            </w:tcMar>
          </w:tcPr>
          <w:p>
            <w:r>
              <w:rPr>
                <w:b/>
                <w:color w:val="FFFFFF"/>
                <w:sz w:val="18"/>
              </w:rPr>
              <w:t>Вердикт без сертификата</w:t>
            </w:r>
          </w:p>
        </w:tc>
      </w:tr>
      <w:tr>
        <w:tc>
          <w:tcPr>
            <w:tcW w:type="dxa" w:w="1152"/>
            <w:vAlign w:val="center"/>
            <w:tcMar>
              <w:top w:w="100" w:type="dxa"/>
              <w:start w:w="120" w:type="dxa"/>
              <w:bottom w:w="100" w:type="dxa"/>
              <w:end w:w="120" w:type="dxa"/>
            </w:tcMar>
          </w:tcPr>
          <w:p>
            <w:r>
              <w:rPr>
                <w:sz w:val="17"/>
              </w:rPr>
              <w:t>LOSS-0</w:t>
            </w:r>
          </w:p>
        </w:tc>
        <w:tc>
          <w:tcPr>
            <w:tcW w:type="dxa" w:w="2448"/>
            <w:vAlign w:val="center"/>
            <w:tcMar>
              <w:top w:w="100" w:type="dxa"/>
              <w:start w:w="120" w:type="dxa"/>
              <w:bottom w:w="100" w:type="dxa"/>
              <w:end w:w="120" w:type="dxa"/>
            </w:tcMar>
          </w:tcPr>
          <w:p>
            <w:r>
              <w:rPr>
                <w:sz w:val="17"/>
              </w:rPr>
              <w:t>нулевой класс</w:t>
            </w:r>
          </w:p>
        </w:tc>
        <w:tc>
          <w:tcPr>
            <w:tcW w:type="dxa" w:w="3888"/>
            <w:vAlign w:val="center"/>
            <w:tcMar>
              <w:top w:w="100" w:type="dxa"/>
              <w:start w:w="120" w:type="dxa"/>
              <w:bottom w:w="100" w:type="dxa"/>
              <w:end w:w="120" w:type="dxa"/>
            </w:tcMar>
          </w:tcPr>
          <w:p>
            <w:r>
              <w:rPr>
                <w:sz w:val="17"/>
              </w:rPr>
              <w:t>ZERO flag + exact residual</w:t>
            </w:r>
          </w:p>
        </w:tc>
        <w:tc>
          <w:tcPr>
            <w:tcW w:type="dxa" w:w="2016"/>
            <w:vAlign w:val="center"/>
            <w:tcMar>
              <w:top w:w="100" w:type="dxa"/>
              <w:start w:w="120" w:type="dxa"/>
              <w:bottom w:w="100" w:type="dxa"/>
              <w:end w:w="120" w:type="dxa"/>
            </w:tcMar>
          </w:tcPr>
          <w:p>
            <w:r>
              <w:rPr>
                <w:sz w:val="17"/>
              </w:rPr>
              <w:t>ABSTAIN</w:t>
            </w:r>
          </w:p>
        </w:tc>
      </w:tr>
      <w:tr>
        <w:tc>
          <w:tcPr>
            <w:tcW w:type="dxa" w:w="1152"/>
            <w:vAlign w:val="center"/>
            <w:tcMar>
              <w:top w:w="100" w:type="dxa"/>
              <w:start w:w="120" w:type="dxa"/>
              <w:bottom w:w="100" w:type="dxa"/>
              <w:end w:w="120" w:type="dxa"/>
            </w:tcMar>
            <w:shd w:fill="EAF1F8"/>
          </w:tcPr>
          <w:p>
            <w:r>
              <w:rPr>
                <w:sz w:val="17"/>
              </w:rPr>
              <w:t>LOSS-S</w:t>
            </w:r>
          </w:p>
        </w:tc>
        <w:tc>
          <w:tcPr>
            <w:tcW w:type="dxa" w:w="2448"/>
            <w:vAlign w:val="center"/>
            <w:tcMar>
              <w:top w:w="100" w:type="dxa"/>
              <w:start w:w="120" w:type="dxa"/>
              <w:bottom w:w="100" w:type="dxa"/>
              <w:end w:w="120" w:type="dxa"/>
            </w:tcMar>
            <w:shd w:fill="EAF1F8"/>
          </w:tcPr>
          <w:p>
            <w:r>
              <w:rPr>
                <w:sz w:val="17"/>
              </w:rPr>
              <w:t>масштаб</w:t>
            </w:r>
          </w:p>
        </w:tc>
        <w:tc>
          <w:tcPr>
            <w:tcW w:type="dxa" w:w="3888"/>
            <w:vAlign w:val="center"/>
            <w:tcMar>
              <w:top w:w="100" w:type="dxa"/>
              <w:start w:w="120" w:type="dxa"/>
              <w:bottom w:w="100" w:type="dxa"/>
              <w:end w:w="120" w:type="dxa"/>
            </w:tcMar>
            <w:shd w:fill="EAF1F8"/>
          </w:tcPr>
          <w:p>
            <w:r>
              <w:rPr>
                <w:sz w:val="17"/>
              </w:rPr>
              <w:t>metric + normalization rule</w:t>
            </w:r>
          </w:p>
        </w:tc>
        <w:tc>
          <w:tcPr>
            <w:tcW w:type="dxa" w:w="2016"/>
            <w:vAlign w:val="center"/>
            <w:tcMar>
              <w:top w:w="100" w:type="dxa"/>
              <w:start w:w="120" w:type="dxa"/>
              <w:bottom w:w="100" w:type="dxa"/>
              <w:end w:w="120" w:type="dxa"/>
            </w:tcMar>
            <w:shd w:fill="EAF1F8"/>
          </w:tcPr>
          <w:p>
            <w:r>
              <w:rPr>
                <w:sz w:val="17"/>
              </w:rPr>
              <w:t>direction only</w:t>
            </w:r>
          </w:p>
        </w:tc>
      </w:tr>
      <w:tr>
        <w:tc>
          <w:tcPr>
            <w:tcW w:type="dxa" w:w="1152"/>
            <w:vAlign w:val="center"/>
            <w:tcMar>
              <w:top w:w="100" w:type="dxa"/>
              <w:start w:w="120" w:type="dxa"/>
              <w:bottom w:w="100" w:type="dxa"/>
              <w:end w:w="120" w:type="dxa"/>
            </w:tcMar>
          </w:tcPr>
          <w:p>
            <w:r>
              <w:rPr>
                <w:sz w:val="17"/>
              </w:rPr>
              <w:t>LOSS-SGN</w:t>
            </w:r>
          </w:p>
        </w:tc>
        <w:tc>
          <w:tcPr>
            <w:tcW w:type="dxa" w:w="2448"/>
            <w:vAlign w:val="center"/>
            <w:tcMar>
              <w:top w:w="100" w:type="dxa"/>
              <w:start w:w="120" w:type="dxa"/>
              <w:bottom w:w="100" w:type="dxa"/>
              <w:end w:w="120" w:type="dxa"/>
            </w:tcMar>
          </w:tcPr>
          <w:p>
            <w:r>
              <w:rPr>
                <w:sz w:val="17"/>
              </w:rPr>
              <w:t>знак/ориентация</w:t>
            </w:r>
          </w:p>
        </w:tc>
        <w:tc>
          <w:tcPr>
            <w:tcW w:type="dxa" w:w="3888"/>
            <w:vAlign w:val="center"/>
            <w:tcMar>
              <w:top w:w="100" w:type="dxa"/>
              <w:start w:w="120" w:type="dxa"/>
              <w:bottom w:w="100" w:type="dxa"/>
              <w:end w:w="120" w:type="dxa"/>
            </w:tcMar>
          </w:tcPr>
          <w:p>
            <w:r>
              <w:rPr>
                <w:sz w:val="17"/>
              </w:rPr>
              <w:t>oriented ray or double cover</w:t>
            </w:r>
          </w:p>
        </w:tc>
        <w:tc>
          <w:tcPr>
            <w:tcW w:type="dxa" w:w="2016"/>
            <w:vAlign w:val="center"/>
            <w:tcMar>
              <w:top w:w="100" w:type="dxa"/>
              <w:start w:w="120" w:type="dxa"/>
              <w:bottom w:w="100" w:type="dxa"/>
              <w:end w:w="120" w:type="dxa"/>
            </w:tcMar>
          </w:tcPr>
          <w:p>
            <w:r>
              <w:rPr>
                <w:sz w:val="17"/>
              </w:rPr>
              <w:t>sign unknown</w:t>
            </w:r>
          </w:p>
        </w:tc>
      </w:tr>
      <w:tr>
        <w:tc>
          <w:tcPr>
            <w:tcW w:type="dxa" w:w="1152"/>
            <w:vAlign w:val="center"/>
            <w:tcMar>
              <w:top w:w="100" w:type="dxa"/>
              <w:start w:w="120" w:type="dxa"/>
              <w:bottom w:w="100" w:type="dxa"/>
              <w:end w:w="120" w:type="dxa"/>
            </w:tcMar>
            <w:shd w:fill="EAF1F8"/>
          </w:tcPr>
          <w:p>
            <w:r>
              <w:rPr>
                <w:sz w:val="17"/>
              </w:rPr>
              <w:t>LOSS-PH</w:t>
            </w:r>
          </w:p>
        </w:tc>
        <w:tc>
          <w:tcPr>
            <w:tcW w:type="dxa" w:w="2448"/>
            <w:vAlign w:val="center"/>
            <w:tcMar>
              <w:top w:w="100" w:type="dxa"/>
              <w:start w:w="120" w:type="dxa"/>
              <w:bottom w:w="100" w:type="dxa"/>
              <w:end w:w="120" w:type="dxa"/>
            </w:tcMar>
            <w:shd w:fill="EAF1F8"/>
          </w:tcPr>
          <w:p>
            <w:r>
              <w:rPr>
                <w:sz w:val="17"/>
              </w:rPr>
              <w:t>complex phase</w:t>
            </w:r>
          </w:p>
        </w:tc>
        <w:tc>
          <w:tcPr>
            <w:tcW w:type="dxa" w:w="3888"/>
            <w:vAlign w:val="center"/>
            <w:tcMar>
              <w:top w:w="100" w:type="dxa"/>
              <w:start w:w="120" w:type="dxa"/>
              <w:bottom w:w="100" w:type="dxa"/>
              <w:end w:w="120" w:type="dxa"/>
            </w:tcMar>
            <w:shd w:fill="EAF1F8"/>
          </w:tcPr>
          <w:p>
            <w:r>
              <w:rPr>
                <w:sz w:val="17"/>
              </w:rPr>
              <w:t>U(1) gauge certificate</w:t>
            </w:r>
          </w:p>
        </w:tc>
        <w:tc>
          <w:tcPr>
            <w:tcW w:type="dxa" w:w="2016"/>
            <w:vAlign w:val="center"/>
            <w:tcMar>
              <w:top w:w="100" w:type="dxa"/>
              <w:start w:w="120" w:type="dxa"/>
              <w:bottom w:w="100" w:type="dxa"/>
              <w:end w:w="120" w:type="dxa"/>
            </w:tcMar>
            <w:shd w:fill="EAF1F8"/>
          </w:tcPr>
          <w:p>
            <w:r>
              <w:rPr>
                <w:sz w:val="17"/>
              </w:rPr>
              <w:t>phase unknown</w:t>
            </w:r>
          </w:p>
        </w:tc>
      </w:tr>
      <w:tr>
        <w:tc>
          <w:tcPr>
            <w:tcW w:type="dxa" w:w="1152"/>
            <w:vAlign w:val="center"/>
            <w:tcMar>
              <w:top w:w="100" w:type="dxa"/>
              <w:start w:w="120" w:type="dxa"/>
              <w:bottom w:w="100" w:type="dxa"/>
              <w:end w:w="120" w:type="dxa"/>
            </w:tcMar>
          </w:tcPr>
          <w:p>
            <w:r>
              <w:rPr>
                <w:sz w:val="17"/>
              </w:rPr>
              <w:t>LOSS-PR</w:t>
            </w:r>
          </w:p>
        </w:tc>
        <w:tc>
          <w:tcPr>
            <w:tcW w:type="dxa" w:w="2448"/>
            <w:vAlign w:val="center"/>
            <w:tcMar>
              <w:top w:w="100" w:type="dxa"/>
              <w:start w:w="120" w:type="dxa"/>
              <w:bottom w:w="100" w:type="dxa"/>
              <w:end w:w="120" w:type="dxa"/>
            </w:tcMar>
          </w:tcPr>
          <w:p>
            <w:r>
              <w:rPr>
                <w:sz w:val="17"/>
              </w:rPr>
              <w:t>provenance</w:t>
            </w:r>
          </w:p>
        </w:tc>
        <w:tc>
          <w:tcPr>
            <w:tcW w:type="dxa" w:w="3888"/>
            <w:vAlign w:val="center"/>
            <w:tcMar>
              <w:top w:w="100" w:type="dxa"/>
              <w:start w:w="120" w:type="dxa"/>
              <w:bottom w:w="100" w:type="dxa"/>
              <w:end w:w="120" w:type="dxa"/>
            </w:tcMar>
          </w:tcPr>
          <w:p>
            <w:r>
              <w:rPr>
                <w:sz w:val="17"/>
              </w:rPr>
              <w:t>Evidence-D chain</w:t>
            </w:r>
          </w:p>
        </w:tc>
        <w:tc>
          <w:tcPr>
            <w:tcW w:type="dxa" w:w="2016"/>
            <w:vAlign w:val="center"/>
            <w:tcMar>
              <w:top w:w="100" w:type="dxa"/>
              <w:start w:w="120" w:type="dxa"/>
              <w:bottom w:w="100" w:type="dxa"/>
              <w:end w:w="120" w:type="dxa"/>
            </w:tcMar>
          </w:tcPr>
          <w:p>
            <w:r>
              <w:rPr>
                <w:sz w:val="17"/>
              </w:rPr>
              <w:t>source unknown</w:t>
            </w:r>
          </w:p>
        </w:tc>
      </w:tr>
      <w:tr>
        <w:tc>
          <w:tcPr>
            <w:tcW w:type="dxa" w:w="1152"/>
            <w:vAlign w:val="center"/>
            <w:tcMar>
              <w:top w:w="100" w:type="dxa"/>
              <w:start w:w="120" w:type="dxa"/>
              <w:bottom w:w="100" w:type="dxa"/>
              <w:end w:w="120" w:type="dxa"/>
            </w:tcMar>
            <w:shd w:fill="EAF1F8"/>
          </w:tcPr>
          <w:p>
            <w:r>
              <w:rPr>
                <w:sz w:val="17"/>
              </w:rPr>
              <w:t>LOSS-LF</w:t>
            </w:r>
          </w:p>
        </w:tc>
        <w:tc>
          <w:tcPr>
            <w:tcW w:type="dxa" w:w="2448"/>
            <w:vAlign w:val="center"/>
            <w:tcMar>
              <w:top w:w="100" w:type="dxa"/>
              <w:start w:w="120" w:type="dxa"/>
              <w:bottom w:w="100" w:type="dxa"/>
              <w:end w:w="120" w:type="dxa"/>
            </w:tcMar>
            <w:shd w:fill="EAF1F8"/>
          </w:tcPr>
          <w:p>
            <w:r>
              <w:rPr>
                <w:sz w:val="17"/>
              </w:rPr>
              <w:t>lift representative</w:t>
            </w:r>
          </w:p>
        </w:tc>
        <w:tc>
          <w:tcPr>
            <w:tcW w:type="dxa" w:w="3888"/>
            <w:vAlign w:val="center"/>
            <w:tcMar>
              <w:top w:w="100" w:type="dxa"/>
              <w:start w:w="120" w:type="dxa"/>
              <w:bottom w:w="100" w:type="dxa"/>
              <w:end w:w="120" w:type="dxa"/>
            </w:tcMar>
            <w:shd w:fill="EAF1F8"/>
          </w:tcPr>
          <w:p>
            <w:r>
              <w:rPr>
                <w:sz w:val="17"/>
              </w:rPr>
              <w:t>H² torsor coordinate</w:t>
            </w:r>
          </w:p>
        </w:tc>
        <w:tc>
          <w:tcPr>
            <w:tcW w:type="dxa" w:w="2016"/>
            <w:vAlign w:val="center"/>
            <w:tcMar>
              <w:top w:w="100" w:type="dxa"/>
              <w:start w:w="120" w:type="dxa"/>
              <w:bottom w:w="100" w:type="dxa"/>
              <w:end w:w="120" w:type="dxa"/>
            </w:tcMar>
            <w:shd w:fill="EAF1F8"/>
          </w:tcPr>
          <w:p>
            <w:r>
              <w:rPr>
                <w:sz w:val="17"/>
              </w:rPr>
              <w:t>lift nonunique</w:t>
            </w:r>
          </w:p>
        </w:tc>
      </w:tr>
      <w:tr>
        <w:tc>
          <w:tcPr>
            <w:tcW w:type="dxa" w:w="1152"/>
            <w:vAlign w:val="center"/>
            <w:tcMar>
              <w:top w:w="100" w:type="dxa"/>
              <w:start w:w="120" w:type="dxa"/>
              <w:bottom w:w="100" w:type="dxa"/>
              <w:end w:w="120" w:type="dxa"/>
            </w:tcMar>
          </w:tcPr>
          <w:p>
            <w:r>
              <w:rPr>
                <w:sz w:val="17"/>
              </w:rPr>
              <w:t>LOSS-DOM</w:t>
            </w:r>
          </w:p>
        </w:tc>
        <w:tc>
          <w:tcPr>
            <w:tcW w:type="dxa" w:w="2448"/>
            <w:vAlign w:val="center"/>
            <w:tcMar>
              <w:top w:w="100" w:type="dxa"/>
              <w:start w:w="120" w:type="dxa"/>
              <w:bottom w:w="100" w:type="dxa"/>
              <w:end w:w="120" w:type="dxa"/>
            </w:tcMar>
          </w:tcPr>
          <w:p>
            <w:r>
              <w:rPr>
                <w:sz w:val="17"/>
              </w:rPr>
              <w:t>domain</w:t>
            </w:r>
          </w:p>
        </w:tc>
        <w:tc>
          <w:tcPr>
            <w:tcW w:type="dxa" w:w="3888"/>
            <w:vAlign w:val="center"/>
            <w:tcMar>
              <w:top w:w="100" w:type="dxa"/>
              <w:start w:w="120" w:type="dxa"/>
              <w:bottom w:w="100" w:type="dxa"/>
              <w:end w:w="120" w:type="dxa"/>
            </w:tcMar>
          </w:tcPr>
          <w:p>
            <w:r>
              <w:rPr>
                <w:sz w:val="17"/>
              </w:rPr>
              <w:t>Dom signature</w:t>
            </w:r>
          </w:p>
        </w:tc>
        <w:tc>
          <w:tcPr>
            <w:tcW w:type="dxa" w:w="2016"/>
            <w:vAlign w:val="center"/>
            <w:tcMar>
              <w:top w:w="100" w:type="dxa"/>
              <w:start w:w="120" w:type="dxa"/>
              <w:bottom w:w="100" w:type="dxa"/>
              <w:end w:w="120" w:type="dxa"/>
            </w:tcMar>
          </w:tcPr>
          <w:p>
            <w:r>
              <w:rPr>
                <w:sz w:val="17"/>
              </w:rPr>
              <w:t>claim not transportable</w:t>
            </w:r>
          </w:p>
        </w:tc>
      </w:tr>
      <w:tr>
        <w:tc>
          <w:tcPr>
            <w:tcW w:type="dxa" w:w="1152"/>
            <w:vAlign w:val="center"/>
            <w:tcMar>
              <w:top w:w="100" w:type="dxa"/>
              <w:start w:w="120" w:type="dxa"/>
              <w:bottom w:w="100" w:type="dxa"/>
              <w:end w:w="120" w:type="dxa"/>
            </w:tcMar>
            <w:shd w:fill="EAF1F8"/>
          </w:tcPr>
          <w:p>
            <w:r>
              <w:rPr>
                <w:sz w:val="17"/>
              </w:rPr>
              <w:t>LOSS-GL</w:t>
            </w:r>
          </w:p>
        </w:tc>
        <w:tc>
          <w:tcPr>
            <w:tcW w:type="dxa" w:w="2448"/>
            <w:vAlign w:val="center"/>
            <w:tcMar>
              <w:top w:w="100" w:type="dxa"/>
              <w:start w:w="120" w:type="dxa"/>
              <w:bottom w:w="100" w:type="dxa"/>
              <w:end w:w="120" w:type="dxa"/>
            </w:tcMar>
            <w:shd w:fill="EAF1F8"/>
          </w:tcPr>
          <w:p>
            <w:r>
              <w:rPr>
                <w:sz w:val="17"/>
              </w:rPr>
              <w:t>globalization</w:t>
            </w:r>
          </w:p>
        </w:tc>
        <w:tc>
          <w:tcPr>
            <w:tcW w:type="dxa" w:w="3888"/>
            <w:vAlign w:val="center"/>
            <w:tcMar>
              <w:top w:w="100" w:type="dxa"/>
              <w:start w:w="120" w:type="dxa"/>
              <w:bottom w:w="100" w:type="dxa"/>
              <w:end w:w="120" w:type="dxa"/>
            </w:tcMar>
            <w:shd w:fill="EAF1F8"/>
          </w:tcPr>
          <w:p>
            <w:r>
              <w:rPr>
                <w:sz w:val="17"/>
              </w:rPr>
              <w:t>descent certificate</w:t>
            </w:r>
          </w:p>
        </w:tc>
        <w:tc>
          <w:tcPr>
            <w:tcW w:type="dxa" w:w="2016"/>
            <w:vAlign w:val="center"/>
            <w:tcMar>
              <w:top w:w="100" w:type="dxa"/>
              <w:start w:w="120" w:type="dxa"/>
              <w:bottom w:w="100" w:type="dxa"/>
              <w:end w:w="120" w:type="dxa"/>
            </w:tcMar>
            <w:shd w:fill="EAF1F8"/>
          </w:tcPr>
          <w:p>
            <w:r>
              <w:rPr>
                <w:sz w:val="17"/>
              </w:rPr>
              <w:t>local only</w:t>
            </w:r>
          </w:p>
        </w:tc>
      </w:tr>
    </w:tbl>
    <w:p/>
    <w:p>
      <w:r>
        <w:t>Полный projective certificate имеет форму</w:t>
      </w:r>
    </w:p>
    <w:p>
      <w:pPr>
        <w:pStyle w:val="Quote"/>
        <w:jc w:val="center"/>
      </w:pPr>
      <w:r>
        <w:rPr>
          <w:rFonts w:ascii="Cambria Math" w:hAnsi="Cambria Math"/>
          <w:sz w:val="22"/>
        </w:rPr>
        <w:t>Cert_proj = ([o], ZERO, NORM, ORIENT, PROV, LIFT, DOM, GLUE, HASH).</w:t>
      </w:r>
      <w:r>
        <w:t xml:space="preserve">    (14.18)</w:t>
      </w:r>
    </w:p>
    <w:p>
      <w:pPr>
        <w:pStyle w:val="Heading1"/>
      </w:pPr>
      <w:r>
        <w:t>125. Контрпримеры и разделяющие модели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936"/>
            <w:shd w:fill="1F4E78"/>
            <w:vAlign w:val="center"/>
            <w:tcMar>
              <w:top w:w="100" w:type="dxa"/>
              <w:start w:w="120" w:type="dxa"/>
              <w:bottom w:w="100" w:type="dxa"/>
              <w:end w:w="120" w:type="dxa"/>
            </w:tcMar>
          </w:tcPr>
          <w:p>
            <w:r>
              <w:rPr>
                <w:b/>
                <w:color w:val="FFFFFF"/>
                <w:sz w:val="18"/>
              </w:rPr>
              <w:t>ID</w:t>
            </w:r>
          </w:p>
        </w:tc>
        <w:tc>
          <w:tcPr>
            <w:tcW w:type="dxa" w:w="2232"/>
            <w:shd w:fill="1F4E78"/>
            <w:vAlign w:val="center"/>
            <w:tcMar>
              <w:top w:w="100" w:type="dxa"/>
              <w:start w:w="120" w:type="dxa"/>
              <w:bottom w:w="100" w:type="dxa"/>
              <w:end w:w="120" w:type="dxa"/>
            </w:tcMar>
          </w:tcPr>
          <w:p>
            <w:r>
              <w:rPr>
                <w:b/>
                <w:color w:val="FFFFFF"/>
                <w:sz w:val="18"/>
              </w:rPr>
              <w:t>Модель</w:t>
            </w:r>
          </w:p>
        </w:tc>
        <w:tc>
          <w:tcPr>
            <w:tcW w:type="dxa" w:w="3240"/>
            <w:shd w:fill="1F4E78"/>
            <w:vAlign w:val="center"/>
            <w:tcMar>
              <w:top w:w="100" w:type="dxa"/>
              <w:start w:w="120" w:type="dxa"/>
              <w:bottom w:w="100" w:type="dxa"/>
              <w:end w:w="120" w:type="dxa"/>
            </w:tcMar>
          </w:tcPr>
          <w:p>
            <w:r>
              <w:rPr>
                <w:b/>
                <w:color w:val="FFFFFF"/>
                <w:sz w:val="18"/>
              </w:rPr>
              <w:t>Данные</w:t>
            </w:r>
          </w:p>
        </w:tc>
        <w:tc>
          <w:tcPr>
            <w:tcW w:type="dxa" w:w="3096"/>
            <w:shd w:fill="1F4E78"/>
            <w:vAlign w:val="center"/>
            <w:tcMar>
              <w:top w:w="100" w:type="dxa"/>
              <w:start w:w="120" w:type="dxa"/>
              <w:bottom w:w="100" w:type="dxa"/>
              <w:end w:w="120" w:type="dxa"/>
            </w:tcMar>
          </w:tcPr>
          <w:p>
            <w:r>
              <w:rPr>
                <w:b/>
                <w:color w:val="FFFFFF"/>
                <w:sz w:val="18"/>
              </w:rPr>
              <w:t>Что опровергает</w:t>
            </w:r>
          </w:p>
        </w:tc>
      </w:tr>
      <w:tr>
        <w:tc>
          <w:tcPr>
            <w:tcW w:type="dxa" w:w="936"/>
            <w:vAlign w:val="center"/>
            <w:tcMar>
              <w:top w:w="100" w:type="dxa"/>
              <w:start w:w="120" w:type="dxa"/>
              <w:bottom w:w="100" w:type="dxa"/>
              <w:end w:w="120" w:type="dxa"/>
            </w:tcMar>
          </w:tcPr>
          <w:p>
            <w:r>
              <w:rPr>
                <w:sz w:val="17"/>
              </w:rPr>
              <w:t>14.C</w:t>
            </w:r>
          </w:p>
        </w:tc>
        <w:tc>
          <w:tcPr>
            <w:tcW w:type="dxa" w:w="2232"/>
            <w:vAlign w:val="center"/>
            <w:tcMar>
              <w:top w:w="100" w:type="dxa"/>
              <w:start w:w="120" w:type="dxa"/>
              <w:bottom w:w="100" w:type="dxa"/>
              <w:end w:w="120" w:type="dxa"/>
            </w:tcMar>
          </w:tcPr>
          <w:p>
            <w:r>
              <w:rPr>
                <w:sz w:val="17"/>
              </w:rPr>
              <w:t>Одинаковая точка, разные нормы</w:t>
            </w:r>
          </w:p>
        </w:tc>
        <w:tc>
          <w:tcPr>
            <w:tcW w:type="dxa" w:w="3240"/>
            <w:vAlign w:val="center"/>
            <w:tcMar>
              <w:top w:w="100" w:type="dxa"/>
              <w:start w:w="120" w:type="dxa"/>
              <w:bottom w:w="100" w:type="dxa"/>
              <w:end w:w="120" w:type="dxa"/>
            </w:tcMar>
          </w:tcPr>
          <w:p>
            <w:r>
              <w:rPr>
                <w:sz w:val="17"/>
              </w:rPr>
              <w:t>o=(1,0), o′=(10⁶,0)</w:t>
            </w:r>
          </w:p>
        </w:tc>
        <w:tc>
          <w:tcPr>
            <w:tcW w:type="dxa" w:w="3096"/>
            <w:vAlign w:val="center"/>
            <w:tcMar>
              <w:top w:w="100" w:type="dxa"/>
              <w:start w:w="120" w:type="dxa"/>
              <w:bottom w:w="100" w:type="dxa"/>
              <w:end w:w="120" w:type="dxa"/>
            </w:tcMar>
          </w:tcPr>
          <w:p>
            <w:r>
              <w:rPr>
                <w:sz w:val="17"/>
              </w:rPr>
              <w:t>[o]=[o′], но количественный риск различен</w:t>
            </w:r>
          </w:p>
        </w:tc>
      </w:tr>
      <w:tr>
        <w:tc>
          <w:tcPr>
            <w:tcW w:type="dxa" w:w="936"/>
            <w:vAlign w:val="center"/>
            <w:tcMar>
              <w:top w:w="100" w:type="dxa"/>
              <w:start w:w="120" w:type="dxa"/>
              <w:bottom w:w="100" w:type="dxa"/>
              <w:end w:w="120" w:type="dxa"/>
            </w:tcMar>
            <w:shd w:fill="EAF1F8"/>
          </w:tcPr>
          <w:p>
            <w:r>
              <w:rPr>
                <w:sz w:val="17"/>
              </w:rPr>
              <w:t>14.D</w:t>
            </w:r>
          </w:p>
        </w:tc>
        <w:tc>
          <w:tcPr>
            <w:tcW w:type="dxa" w:w="2232"/>
            <w:vAlign w:val="center"/>
            <w:tcMar>
              <w:top w:w="100" w:type="dxa"/>
              <w:start w:w="120" w:type="dxa"/>
              <w:bottom w:w="100" w:type="dxa"/>
              <w:end w:w="120" w:type="dxa"/>
            </w:tcMar>
            <w:shd w:fill="EAF1F8"/>
          </w:tcPr>
          <w:p>
            <w:r>
              <w:rPr>
                <w:sz w:val="17"/>
              </w:rPr>
              <w:t>Одинаковая точка, противоположный знак</w:t>
            </w:r>
          </w:p>
        </w:tc>
        <w:tc>
          <w:tcPr>
            <w:tcW w:type="dxa" w:w="3240"/>
            <w:vAlign w:val="center"/>
            <w:tcMar>
              <w:top w:w="100" w:type="dxa"/>
              <w:start w:w="120" w:type="dxa"/>
              <w:bottom w:w="100" w:type="dxa"/>
              <w:end w:w="120" w:type="dxa"/>
            </w:tcMar>
            <w:shd w:fill="EAF1F8"/>
          </w:tcPr>
          <w:p>
            <w:r>
              <w:rPr>
                <w:sz w:val="17"/>
              </w:rPr>
              <w:t>o и -o над R</w:t>
            </w:r>
          </w:p>
        </w:tc>
        <w:tc>
          <w:tcPr>
            <w:tcW w:type="dxa" w:w="3096"/>
            <w:vAlign w:val="center"/>
            <w:tcMar>
              <w:top w:w="100" w:type="dxa"/>
              <w:start w:w="120" w:type="dxa"/>
              <w:bottom w:w="100" w:type="dxa"/>
              <w:end w:w="120" w:type="dxa"/>
            </w:tcMar>
            <w:shd w:fill="EAF1F8"/>
          </w:tcPr>
          <w:p>
            <w:r>
              <w:rPr>
                <w:sz w:val="17"/>
              </w:rPr>
              <w:t>projectivization уничтожает ориентацию</w:t>
            </w:r>
          </w:p>
        </w:tc>
      </w:tr>
      <w:tr>
        <w:tc>
          <w:tcPr>
            <w:tcW w:type="dxa" w:w="936"/>
            <w:vAlign w:val="center"/>
            <w:tcMar>
              <w:top w:w="100" w:type="dxa"/>
              <w:start w:w="120" w:type="dxa"/>
              <w:bottom w:w="100" w:type="dxa"/>
              <w:end w:w="120" w:type="dxa"/>
            </w:tcMar>
          </w:tcPr>
          <w:p>
            <w:r>
              <w:rPr>
                <w:sz w:val="17"/>
              </w:rPr>
              <w:t>14.E</w:t>
            </w:r>
          </w:p>
        </w:tc>
        <w:tc>
          <w:tcPr>
            <w:tcW w:type="dxa" w:w="2232"/>
            <w:vAlign w:val="center"/>
            <w:tcMar>
              <w:top w:w="100" w:type="dxa"/>
              <w:start w:w="120" w:type="dxa"/>
              <w:bottom w:w="100" w:type="dxa"/>
              <w:end w:w="120" w:type="dxa"/>
            </w:tcMar>
          </w:tcPr>
          <w:p>
            <w:r>
              <w:rPr>
                <w:sz w:val="17"/>
              </w:rPr>
              <w:t>Нулевой класс</w:t>
            </w:r>
          </w:p>
        </w:tc>
        <w:tc>
          <w:tcPr>
            <w:tcW w:type="dxa" w:w="3240"/>
            <w:vAlign w:val="center"/>
            <w:tcMar>
              <w:top w:w="100" w:type="dxa"/>
              <w:start w:w="120" w:type="dxa"/>
              <w:bottom w:w="100" w:type="dxa"/>
              <w:end w:w="120" w:type="dxa"/>
            </w:tcMar>
          </w:tcPr>
          <w:p>
            <w:r>
              <w:rPr>
                <w:sz w:val="17"/>
              </w:rPr>
              <w:t>o=0</w:t>
            </w:r>
          </w:p>
        </w:tc>
        <w:tc>
          <w:tcPr>
            <w:tcW w:type="dxa" w:w="3096"/>
            <w:vAlign w:val="center"/>
            <w:tcMar>
              <w:top w:w="100" w:type="dxa"/>
              <w:start w:w="120" w:type="dxa"/>
              <w:bottom w:w="100" w:type="dxa"/>
              <w:end w:w="120" w:type="dxa"/>
            </w:tcMar>
          </w:tcPr>
          <w:p>
            <w:r>
              <w:rPr>
                <w:sz w:val="17"/>
              </w:rPr>
              <w:t>P(o) не определено</w:t>
            </w:r>
          </w:p>
        </w:tc>
      </w:tr>
      <w:tr>
        <w:tc>
          <w:tcPr>
            <w:tcW w:type="dxa" w:w="936"/>
            <w:vAlign w:val="center"/>
            <w:tcMar>
              <w:top w:w="100" w:type="dxa"/>
              <w:start w:w="120" w:type="dxa"/>
              <w:bottom w:w="100" w:type="dxa"/>
              <w:end w:w="120" w:type="dxa"/>
            </w:tcMar>
            <w:shd w:fill="EAF1F8"/>
          </w:tcPr>
          <w:p>
            <w:r>
              <w:rPr>
                <w:sz w:val="17"/>
              </w:rPr>
              <w:t>14.F</w:t>
            </w:r>
          </w:p>
        </w:tc>
        <w:tc>
          <w:tcPr>
            <w:tcW w:type="dxa" w:w="2232"/>
            <w:vAlign w:val="center"/>
            <w:tcMar>
              <w:top w:w="100" w:type="dxa"/>
              <w:start w:w="120" w:type="dxa"/>
              <w:bottom w:w="100" w:type="dxa"/>
              <w:end w:w="120" w:type="dxa"/>
            </w:tcMar>
            <w:shd w:fill="EAF1F8"/>
          </w:tcPr>
          <w:p>
            <w:r>
              <w:rPr>
                <w:sz w:val="17"/>
              </w:rPr>
              <w:t>Карта с ядром</w:t>
            </w:r>
          </w:p>
        </w:tc>
        <w:tc>
          <w:tcPr>
            <w:tcW w:type="dxa" w:w="3240"/>
            <w:vAlign w:val="center"/>
            <w:tcMar>
              <w:top w:w="100" w:type="dxa"/>
              <w:start w:w="120" w:type="dxa"/>
              <w:bottom w:w="100" w:type="dxa"/>
              <w:end w:w="120" w:type="dxa"/>
            </w:tcMar>
            <w:shd w:fill="EAF1F8"/>
          </w:tcPr>
          <w:p>
            <w:r>
              <w:rPr>
                <w:sz w:val="17"/>
              </w:rPr>
              <w:t>f(x,y)=x</w:t>
            </w:r>
          </w:p>
        </w:tc>
        <w:tc>
          <w:tcPr>
            <w:tcW w:type="dxa" w:w="3096"/>
            <w:vAlign w:val="center"/>
            <w:tcMar>
              <w:top w:w="100" w:type="dxa"/>
              <w:start w:w="120" w:type="dxa"/>
              <w:bottom w:w="100" w:type="dxa"/>
              <w:end w:w="120" w:type="dxa"/>
            </w:tcMar>
            <w:shd w:fill="EAF1F8"/>
          </w:tcPr>
          <w:p>
            <w:r>
              <w:rPr>
                <w:sz w:val="17"/>
              </w:rPr>
              <w:t>P(f) не определено в [0:1]</w:t>
            </w:r>
          </w:p>
        </w:tc>
      </w:tr>
      <w:tr>
        <w:tc>
          <w:tcPr>
            <w:tcW w:type="dxa" w:w="936"/>
            <w:vAlign w:val="center"/>
            <w:tcMar>
              <w:top w:w="100" w:type="dxa"/>
              <w:start w:w="120" w:type="dxa"/>
              <w:bottom w:w="100" w:type="dxa"/>
              <w:end w:w="120" w:type="dxa"/>
            </w:tcMar>
          </w:tcPr>
          <w:p>
            <w:r>
              <w:rPr>
                <w:sz w:val="17"/>
              </w:rPr>
              <w:t>14.G</w:t>
            </w:r>
          </w:p>
        </w:tc>
        <w:tc>
          <w:tcPr>
            <w:tcW w:type="dxa" w:w="2232"/>
            <w:vAlign w:val="center"/>
            <w:tcMar>
              <w:top w:w="100" w:type="dxa"/>
              <w:start w:w="120" w:type="dxa"/>
              <w:bottom w:w="100" w:type="dxa"/>
              <w:end w:w="120" w:type="dxa"/>
            </w:tcMar>
          </w:tcPr>
          <w:p>
            <w:r>
              <w:rPr>
                <w:sz w:val="17"/>
              </w:rPr>
              <w:t>Локально, но не глобально</w:t>
            </w:r>
          </w:p>
        </w:tc>
        <w:tc>
          <w:tcPr>
            <w:tcW w:type="dxa" w:w="3240"/>
            <w:vAlign w:val="center"/>
            <w:tcMar>
              <w:top w:w="100" w:type="dxa"/>
              <w:start w:w="120" w:type="dxa"/>
              <w:bottom w:w="100" w:type="dxa"/>
              <w:end w:w="120" w:type="dxa"/>
            </w:tcMar>
          </w:tcPr>
          <w:p>
            <w:r>
              <w:rPr>
                <w:sz w:val="17"/>
              </w:rPr>
              <w:t>несогласованные φ_ij</w:t>
            </w:r>
          </w:p>
        </w:tc>
        <w:tc>
          <w:tcPr>
            <w:tcW w:type="dxa" w:w="3096"/>
            <w:vAlign w:val="center"/>
            <w:tcMar>
              <w:top w:w="100" w:type="dxa"/>
              <w:start w:w="120" w:type="dxa"/>
              <w:bottom w:w="100" w:type="dxa"/>
              <w:end w:w="120" w:type="dxa"/>
            </w:tcMar>
          </w:tcPr>
          <w:p>
            <w:r>
              <w:rPr>
                <w:sz w:val="17"/>
              </w:rPr>
              <w:t>projective charts не склеиваются</w:t>
            </w:r>
          </w:p>
        </w:tc>
      </w:tr>
      <w:tr>
        <w:tc>
          <w:tcPr>
            <w:tcW w:type="dxa" w:w="936"/>
            <w:vAlign w:val="center"/>
            <w:tcMar>
              <w:top w:w="100" w:type="dxa"/>
              <w:start w:w="120" w:type="dxa"/>
              <w:bottom w:w="100" w:type="dxa"/>
              <w:end w:w="120" w:type="dxa"/>
            </w:tcMar>
            <w:shd w:fill="EAF1F8"/>
          </w:tcPr>
          <w:p>
            <w:r>
              <w:rPr>
                <w:sz w:val="17"/>
              </w:rPr>
              <w:t>14.H</w:t>
            </w:r>
          </w:p>
        </w:tc>
        <w:tc>
          <w:tcPr>
            <w:tcW w:type="dxa" w:w="2232"/>
            <w:vAlign w:val="center"/>
            <w:tcMar>
              <w:top w:w="100" w:type="dxa"/>
              <w:start w:w="120" w:type="dxa"/>
              <w:bottom w:w="100" w:type="dxa"/>
              <w:end w:w="120" w:type="dxa"/>
            </w:tcMar>
            <w:shd w:fill="EAF1F8"/>
          </w:tcPr>
          <w:p>
            <w:r>
              <w:rPr>
                <w:sz w:val="17"/>
              </w:rPr>
              <w:t>Малая projective дистанция</w:t>
            </w:r>
          </w:p>
        </w:tc>
        <w:tc>
          <w:tcPr>
            <w:tcW w:type="dxa" w:w="3240"/>
            <w:vAlign w:val="center"/>
            <w:tcMar>
              <w:top w:w="100" w:type="dxa"/>
              <w:start w:w="120" w:type="dxa"/>
              <w:bottom w:w="100" w:type="dxa"/>
              <w:end w:w="120" w:type="dxa"/>
            </w:tcMar>
            <w:shd w:fill="EAF1F8"/>
          </w:tcPr>
          <w:p>
            <w:r>
              <w:rPr>
                <w:sz w:val="17"/>
              </w:rPr>
              <w:t>u_n=n e1, v_n=n e1+e2</w:t>
            </w:r>
          </w:p>
        </w:tc>
        <w:tc>
          <w:tcPr>
            <w:tcW w:type="dxa" w:w="3096"/>
            <w:vAlign w:val="center"/>
            <w:tcMar>
              <w:top w:w="100" w:type="dxa"/>
              <w:start w:w="120" w:type="dxa"/>
              <w:bottom w:w="100" w:type="dxa"/>
              <w:end w:w="120" w:type="dxa"/>
            </w:tcMar>
            <w:shd w:fill="EAF1F8"/>
          </w:tcPr>
          <w:p>
            <w:r>
              <w:rPr>
                <w:sz w:val="17"/>
              </w:rPr>
              <w:t>угол→0, но абсолютный дефект не исчезает</w:t>
            </w:r>
          </w:p>
        </w:tc>
      </w:tr>
      <w:tr>
        <w:tc>
          <w:tcPr>
            <w:tcW w:type="dxa" w:w="936"/>
            <w:vAlign w:val="center"/>
            <w:tcMar>
              <w:top w:w="100" w:type="dxa"/>
              <w:start w:w="120" w:type="dxa"/>
              <w:bottom w:w="100" w:type="dxa"/>
              <w:end w:w="120" w:type="dxa"/>
            </w:tcMar>
          </w:tcPr>
          <w:p>
            <w:r>
              <w:rPr>
                <w:sz w:val="17"/>
              </w:rPr>
              <w:t>14.I</w:t>
            </w:r>
          </w:p>
        </w:tc>
        <w:tc>
          <w:tcPr>
            <w:tcW w:type="dxa" w:w="2232"/>
            <w:vAlign w:val="center"/>
            <w:tcMar>
              <w:top w:w="100" w:type="dxa"/>
              <w:start w:w="120" w:type="dxa"/>
              <w:bottom w:w="100" w:type="dxa"/>
              <w:end w:w="120" w:type="dxa"/>
            </w:tcMar>
          </w:tcPr>
          <w:p>
            <w:r>
              <w:rPr>
                <w:sz w:val="17"/>
              </w:rPr>
              <w:t>λ без моста</w:t>
            </w:r>
          </w:p>
        </w:tc>
        <w:tc>
          <w:tcPr>
            <w:tcW w:type="dxa" w:w="3240"/>
            <w:vAlign w:val="center"/>
            <w:tcMar>
              <w:top w:w="100" w:type="dxa"/>
              <w:start w:w="120" w:type="dxa"/>
              <w:bottom w:w="100" w:type="dxa"/>
              <w:end w:w="120" w:type="dxa"/>
            </w:tcMar>
          </w:tcPr>
          <w:p>
            <w:r>
              <w:rPr>
                <w:sz w:val="17"/>
              </w:rPr>
              <w:t>одна [o], разные четверки функционалов</w:t>
            </w:r>
          </w:p>
        </w:tc>
        <w:tc>
          <w:tcPr>
            <w:tcW w:type="dxa" w:w="3096"/>
            <w:vAlign w:val="center"/>
            <w:tcMar>
              <w:top w:w="100" w:type="dxa"/>
              <w:start w:w="120" w:type="dxa"/>
              <w:bottom w:w="100" w:type="dxa"/>
              <w:end w:w="120" w:type="dxa"/>
            </w:tcMar>
          </w:tcPr>
          <w:p>
            <w:r>
              <w:rPr>
                <w:sz w:val="17"/>
              </w:rPr>
              <w:t>разные λ</w:t>
            </w:r>
          </w:p>
        </w:tc>
      </w:tr>
      <w:tr>
        <w:tc>
          <w:tcPr>
            <w:tcW w:type="dxa" w:w="936"/>
            <w:vAlign w:val="center"/>
            <w:tcMar>
              <w:top w:w="100" w:type="dxa"/>
              <w:start w:w="120" w:type="dxa"/>
              <w:bottom w:w="100" w:type="dxa"/>
              <w:end w:w="120" w:type="dxa"/>
            </w:tcMar>
            <w:shd w:fill="EAF1F8"/>
          </w:tcPr>
          <w:p>
            <w:r>
              <w:rPr>
                <w:sz w:val="17"/>
              </w:rPr>
              <w:t>14.J</w:t>
            </w:r>
          </w:p>
        </w:tc>
        <w:tc>
          <w:tcPr>
            <w:tcW w:type="dxa" w:w="2232"/>
            <w:vAlign w:val="center"/>
            <w:tcMar>
              <w:top w:w="100" w:type="dxa"/>
              <w:start w:w="120" w:type="dxa"/>
              <w:bottom w:w="100" w:type="dxa"/>
              <w:end w:w="120" w:type="dxa"/>
            </w:tcMar>
            <w:shd w:fill="EAF1F8"/>
          </w:tcPr>
          <w:p>
            <w:r>
              <w:rPr>
                <w:sz w:val="17"/>
              </w:rPr>
              <w:t>Положительный конус</w:t>
            </w:r>
          </w:p>
        </w:tc>
        <w:tc>
          <w:tcPr>
            <w:tcW w:type="dxa" w:w="3240"/>
            <w:vAlign w:val="center"/>
            <w:tcMar>
              <w:top w:w="100" w:type="dxa"/>
              <w:start w:w="120" w:type="dxa"/>
              <w:bottom w:w="100" w:type="dxa"/>
              <w:end w:w="120" w:type="dxa"/>
            </w:tcMar>
            <w:shd w:fill="EAF1F8"/>
          </w:tcPr>
          <w:p>
            <w:r>
              <w:rPr>
                <w:sz w:val="17"/>
              </w:rPr>
              <w:t>o и -o</w:t>
            </w:r>
          </w:p>
        </w:tc>
        <w:tc>
          <w:tcPr>
            <w:tcW w:type="dxa" w:w="3096"/>
            <w:vAlign w:val="center"/>
            <w:tcMar>
              <w:top w:w="100" w:type="dxa"/>
              <w:start w:w="120" w:type="dxa"/>
              <w:bottom w:w="100" w:type="dxa"/>
              <w:end w:w="120" w:type="dxa"/>
            </w:tcMar>
            <w:shd w:fill="EAF1F8"/>
          </w:tcPr>
          <w:p>
            <w:r>
              <w:rPr>
                <w:sz w:val="17"/>
              </w:rPr>
              <w:t>обычная P теряет order type</w:t>
            </w:r>
          </w:p>
        </w:tc>
      </w:tr>
    </w:tbl>
    <w:p/>
    <w:p>
      <w:pPr>
        <w:pStyle w:val="Heading1"/>
      </w:pPr>
      <w:r>
        <w:t>126. Вычислительный сертификат PROJ-01-PROJ-18</w:t>
      </w:r>
    </w:p>
    <w:tbl>
      <w:tblPr>
        <w:tblStyle w:val="TableGrid"/>
        <w:tblW w:type="auto" w:w="0"/>
        <w:jc w:val="center"/>
        <w:tblLook w:firstColumn="1" w:firstRow="1" w:lastColumn="0" w:lastRow="0" w:noHBand="0" w:noVBand="1" w:val="04A0"/>
      </w:tblPr>
      <w:tblGrid>
        <w:gridCol w:w="4876"/>
        <w:gridCol w:w="4876"/>
      </w:tblGrid>
      <w:tr>
        <w:tc>
          <w:tcPr>
            <w:tcW w:type="dxa" w:w="1728"/>
            <w:shd w:fill="1F4E78"/>
            <w:vAlign w:val="center"/>
            <w:tcMar>
              <w:top w:w="100" w:type="dxa"/>
              <w:start w:w="120" w:type="dxa"/>
              <w:bottom w:w="100" w:type="dxa"/>
              <w:end w:w="120" w:type="dxa"/>
            </w:tcMar>
          </w:tcPr>
          <w:p>
            <w:r>
              <w:rPr>
                <w:b/>
                <w:color w:val="FFFFFF"/>
                <w:sz w:val="18"/>
              </w:rPr>
              <w:t>Шаг</w:t>
            </w:r>
          </w:p>
        </w:tc>
        <w:tc>
          <w:tcPr>
            <w:tcW w:type="dxa" w:w="8352"/>
            <w:shd w:fill="1F4E78"/>
            <w:vAlign w:val="center"/>
            <w:tcMar>
              <w:top w:w="100" w:type="dxa"/>
              <w:start w:w="120" w:type="dxa"/>
              <w:bottom w:w="100" w:type="dxa"/>
              <w:end w:w="120" w:type="dxa"/>
            </w:tcMar>
          </w:tcPr>
          <w:p>
            <w:r>
              <w:rPr>
                <w:b/>
                <w:color w:val="FFFFFF"/>
                <w:sz w:val="18"/>
              </w:rPr>
              <w:t>Проверка</w:t>
            </w:r>
          </w:p>
        </w:tc>
      </w:tr>
      <w:tr>
        <w:tc>
          <w:tcPr>
            <w:tcW w:type="dxa" w:w="1728"/>
            <w:vAlign w:val="center"/>
            <w:tcMar>
              <w:top w:w="100" w:type="dxa"/>
              <w:start w:w="120" w:type="dxa"/>
              <w:bottom w:w="100" w:type="dxa"/>
              <w:end w:w="120" w:type="dxa"/>
            </w:tcMar>
          </w:tcPr>
          <w:p>
            <w:r>
              <w:rPr>
                <w:sz w:val="17"/>
              </w:rPr>
              <w:t>PROJ-01</w:t>
            </w:r>
          </w:p>
        </w:tc>
        <w:tc>
          <w:tcPr>
            <w:tcW w:type="dxa" w:w="8352"/>
            <w:vAlign w:val="center"/>
            <w:tcMar>
              <w:top w:w="100" w:type="dxa"/>
              <w:start w:w="120" w:type="dxa"/>
              <w:bottom w:w="100" w:type="dxa"/>
              <w:end w:w="120" w:type="dxa"/>
            </w:tcMar>
          </w:tcPr>
          <w:p>
            <w:r>
              <w:rPr>
                <w:sz w:val="17"/>
              </w:rPr>
              <w:t>построить точный базис O_B и нулевой класс</w:t>
            </w:r>
          </w:p>
        </w:tc>
      </w:tr>
      <w:tr>
        <w:tc>
          <w:tcPr>
            <w:tcW w:type="dxa" w:w="1728"/>
            <w:vAlign w:val="center"/>
            <w:tcMar>
              <w:top w:w="100" w:type="dxa"/>
              <w:start w:w="120" w:type="dxa"/>
              <w:bottom w:w="100" w:type="dxa"/>
              <w:end w:w="120" w:type="dxa"/>
            </w:tcMar>
            <w:shd w:fill="EAF1F8"/>
          </w:tcPr>
          <w:p>
            <w:r>
              <w:rPr>
                <w:sz w:val="17"/>
              </w:rPr>
              <w:t>PROJ-02</w:t>
            </w:r>
          </w:p>
        </w:tc>
        <w:tc>
          <w:tcPr>
            <w:tcW w:type="dxa" w:w="8352"/>
            <w:vAlign w:val="center"/>
            <w:tcMar>
              <w:top w:w="100" w:type="dxa"/>
              <w:start w:w="120" w:type="dxa"/>
              <w:bottom w:w="100" w:type="dxa"/>
              <w:end w:w="120" w:type="dxa"/>
            </w:tcMar>
            <w:shd w:fill="EAF1F8"/>
          </w:tcPr>
          <w:p>
            <w:r>
              <w:rPr>
                <w:sz w:val="17"/>
              </w:rPr>
              <w:t>зафиксировать поле, метрику и group action</w:t>
            </w:r>
          </w:p>
        </w:tc>
      </w:tr>
      <w:tr>
        <w:tc>
          <w:tcPr>
            <w:tcW w:type="dxa" w:w="1728"/>
            <w:vAlign w:val="center"/>
            <w:tcMar>
              <w:top w:w="100" w:type="dxa"/>
              <w:start w:w="120" w:type="dxa"/>
              <w:bottom w:w="100" w:type="dxa"/>
              <w:end w:w="120" w:type="dxa"/>
            </w:tcMar>
          </w:tcPr>
          <w:p>
            <w:r>
              <w:rPr>
                <w:sz w:val="17"/>
              </w:rPr>
              <w:t>PROJ-03</w:t>
            </w:r>
          </w:p>
        </w:tc>
        <w:tc>
          <w:tcPr>
            <w:tcW w:type="dxa" w:w="8352"/>
            <w:vAlign w:val="center"/>
            <w:tcMar>
              <w:top w:w="100" w:type="dxa"/>
              <w:start w:w="120" w:type="dxa"/>
              <w:bottom w:w="100" w:type="dxa"/>
              <w:end w:w="120" w:type="dxa"/>
            </w:tcMar>
          </w:tcPr>
          <w:p>
            <w:r>
              <w:rPr>
                <w:sz w:val="17"/>
              </w:rPr>
              <w:t>проверить ненулевость представителя</w:t>
            </w:r>
          </w:p>
        </w:tc>
      </w:tr>
      <w:tr>
        <w:tc>
          <w:tcPr>
            <w:tcW w:type="dxa" w:w="1728"/>
            <w:vAlign w:val="center"/>
            <w:tcMar>
              <w:top w:w="100" w:type="dxa"/>
              <w:start w:w="120" w:type="dxa"/>
              <w:bottom w:w="100" w:type="dxa"/>
              <w:end w:w="120" w:type="dxa"/>
            </w:tcMar>
            <w:shd w:fill="EAF1F8"/>
          </w:tcPr>
          <w:p>
            <w:r>
              <w:rPr>
                <w:sz w:val="17"/>
              </w:rPr>
              <w:t>PROJ-04</w:t>
            </w:r>
          </w:p>
        </w:tc>
        <w:tc>
          <w:tcPr>
            <w:tcW w:type="dxa" w:w="8352"/>
            <w:vAlign w:val="center"/>
            <w:tcMar>
              <w:top w:w="100" w:type="dxa"/>
              <w:start w:w="120" w:type="dxa"/>
              <w:bottom w:w="100" w:type="dxa"/>
              <w:end w:w="120" w:type="dxa"/>
            </w:tcMar>
            <w:shd w:fill="EAF1F8"/>
          </w:tcPr>
          <w:p>
            <w:r>
              <w:rPr>
                <w:sz w:val="17"/>
              </w:rPr>
              <w:t>нормировать или выбрать positive ray</w:t>
            </w:r>
          </w:p>
        </w:tc>
      </w:tr>
      <w:tr>
        <w:tc>
          <w:tcPr>
            <w:tcW w:type="dxa" w:w="1728"/>
            <w:vAlign w:val="center"/>
            <w:tcMar>
              <w:top w:w="100" w:type="dxa"/>
              <w:start w:w="120" w:type="dxa"/>
              <w:bottom w:w="100" w:type="dxa"/>
              <w:end w:w="120" w:type="dxa"/>
            </w:tcMar>
          </w:tcPr>
          <w:p>
            <w:r>
              <w:rPr>
                <w:sz w:val="17"/>
              </w:rPr>
              <w:t>PROJ-05</w:t>
            </w:r>
          </w:p>
        </w:tc>
        <w:tc>
          <w:tcPr>
            <w:tcW w:type="dxa" w:w="8352"/>
            <w:vAlign w:val="center"/>
            <w:tcMar>
              <w:top w:w="100" w:type="dxa"/>
              <w:start w:w="120" w:type="dxa"/>
              <w:bottom w:w="100" w:type="dxa"/>
              <w:end w:w="120" w:type="dxa"/>
            </w:tcMar>
          </w:tcPr>
          <w:p>
            <w:r>
              <w:rPr>
                <w:sz w:val="17"/>
              </w:rPr>
              <w:t>построить projective coordinates</w:t>
            </w:r>
          </w:p>
        </w:tc>
      </w:tr>
      <w:tr>
        <w:tc>
          <w:tcPr>
            <w:tcW w:type="dxa" w:w="1728"/>
            <w:vAlign w:val="center"/>
            <w:tcMar>
              <w:top w:w="100" w:type="dxa"/>
              <w:start w:w="120" w:type="dxa"/>
              <w:bottom w:w="100" w:type="dxa"/>
              <w:end w:w="120" w:type="dxa"/>
            </w:tcMar>
            <w:shd w:fill="EAF1F8"/>
          </w:tcPr>
          <w:p>
            <w:r>
              <w:rPr>
                <w:sz w:val="17"/>
              </w:rPr>
              <w:t>PROJ-06</w:t>
            </w:r>
          </w:p>
        </w:tc>
        <w:tc>
          <w:tcPr>
            <w:tcW w:type="dxa" w:w="8352"/>
            <w:vAlign w:val="center"/>
            <w:tcMar>
              <w:top w:w="100" w:type="dxa"/>
              <w:start w:w="120" w:type="dxa"/>
              <w:bottom w:w="100" w:type="dxa"/>
              <w:end w:w="120" w:type="dxa"/>
            </w:tcMar>
            <w:shd w:fill="EAF1F8"/>
          </w:tcPr>
          <w:p>
            <w:r>
              <w:rPr>
                <w:sz w:val="17"/>
              </w:rPr>
              <w:t>проверить смену chart</w:t>
            </w:r>
          </w:p>
        </w:tc>
      </w:tr>
      <w:tr>
        <w:tc>
          <w:tcPr>
            <w:tcW w:type="dxa" w:w="1728"/>
            <w:vAlign w:val="center"/>
            <w:tcMar>
              <w:top w:w="100" w:type="dxa"/>
              <w:start w:w="120" w:type="dxa"/>
              <w:bottom w:w="100" w:type="dxa"/>
              <w:end w:w="120" w:type="dxa"/>
            </w:tcMar>
          </w:tcPr>
          <w:p>
            <w:r>
              <w:rPr>
                <w:sz w:val="17"/>
              </w:rPr>
              <w:t>PROJ-07</w:t>
            </w:r>
          </w:p>
        </w:tc>
        <w:tc>
          <w:tcPr>
            <w:tcW w:type="dxa" w:w="8352"/>
            <w:vAlign w:val="center"/>
            <w:tcMar>
              <w:top w:w="100" w:type="dxa"/>
              <w:start w:w="120" w:type="dxa"/>
              <w:bottom w:w="100" w:type="dxa"/>
              <w:end w:w="120" w:type="dxa"/>
            </w:tcMar>
          </w:tcPr>
          <w:p>
            <w:r>
              <w:rPr>
                <w:sz w:val="17"/>
              </w:rPr>
              <w:t>вычислить rank strata</w:t>
            </w:r>
          </w:p>
        </w:tc>
      </w:tr>
      <w:tr>
        <w:tc>
          <w:tcPr>
            <w:tcW w:type="dxa" w:w="1728"/>
            <w:vAlign w:val="center"/>
            <w:tcMar>
              <w:top w:w="100" w:type="dxa"/>
              <w:start w:w="120" w:type="dxa"/>
              <w:bottom w:w="100" w:type="dxa"/>
              <w:end w:w="120" w:type="dxa"/>
            </w:tcMar>
            <w:shd w:fill="EAF1F8"/>
          </w:tcPr>
          <w:p>
            <w:r>
              <w:rPr>
                <w:sz w:val="17"/>
              </w:rPr>
              <w:t>PROJ-08</w:t>
            </w:r>
          </w:p>
        </w:tc>
        <w:tc>
          <w:tcPr>
            <w:tcW w:type="dxa" w:w="8352"/>
            <w:vAlign w:val="center"/>
            <w:tcMar>
              <w:top w:w="100" w:type="dxa"/>
              <w:start w:w="120" w:type="dxa"/>
              <w:bottom w:w="100" w:type="dxa"/>
              <w:end w:w="120" w:type="dxa"/>
            </w:tcMar>
            <w:shd w:fill="EAF1F8"/>
          </w:tcPr>
          <w:p>
            <w:r>
              <w:rPr>
                <w:sz w:val="17"/>
              </w:rPr>
              <w:t>вычислить orbit stabilizers</w:t>
            </w:r>
          </w:p>
        </w:tc>
      </w:tr>
      <w:tr>
        <w:tc>
          <w:tcPr>
            <w:tcW w:type="dxa" w:w="1728"/>
            <w:vAlign w:val="center"/>
            <w:tcMar>
              <w:top w:w="100" w:type="dxa"/>
              <w:start w:w="120" w:type="dxa"/>
              <w:bottom w:w="100" w:type="dxa"/>
              <w:end w:w="120" w:type="dxa"/>
            </w:tcMar>
          </w:tcPr>
          <w:p>
            <w:r>
              <w:rPr>
                <w:sz w:val="17"/>
              </w:rPr>
              <w:t>PROJ-09</w:t>
            </w:r>
          </w:p>
        </w:tc>
        <w:tc>
          <w:tcPr>
            <w:tcW w:type="dxa" w:w="8352"/>
            <w:vAlign w:val="center"/>
            <w:tcMar>
              <w:top w:w="100" w:type="dxa"/>
              <w:start w:w="120" w:type="dxa"/>
              <w:bottom w:w="100" w:type="dxa"/>
              <w:end w:w="120" w:type="dxa"/>
            </w:tcMar>
          </w:tcPr>
          <w:p>
            <w:r>
              <w:rPr>
                <w:sz w:val="17"/>
              </w:rPr>
              <w:t>проверить homogeneity каждого инварианта</w:t>
            </w:r>
          </w:p>
        </w:tc>
      </w:tr>
      <w:tr>
        <w:tc>
          <w:tcPr>
            <w:tcW w:type="dxa" w:w="1728"/>
            <w:vAlign w:val="center"/>
            <w:tcMar>
              <w:top w:w="100" w:type="dxa"/>
              <w:start w:w="120" w:type="dxa"/>
              <w:bottom w:w="100" w:type="dxa"/>
              <w:end w:w="120" w:type="dxa"/>
            </w:tcMar>
            <w:shd w:fill="EAF1F8"/>
          </w:tcPr>
          <w:p>
            <w:r>
              <w:rPr>
                <w:sz w:val="17"/>
              </w:rPr>
              <w:t>PROJ-10</w:t>
            </w:r>
          </w:p>
        </w:tc>
        <w:tc>
          <w:tcPr>
            <w:tcW w:type="dxa" w:w="8352"/>
            <w:vAlign w:val="center"/>
            <w:tcMar>
              <w:top w:w="100" w:type="dxa"/>
              <w:start w:w="120" w:type="dxa"/>
              <w:bottom w:w="100" w:type="dxa"/>
              <w:end w:w="120" w:type="dxa"/>
            </w:tcMar>
            <w:shd w:fill="EAF1F8"/>
          </w:tcPr>
          <w:p>
            <w:r>
              <w:rPr>
                <w:sz w:val="17"/>
              </w:rPr>
              <w:t>построить ZERO/SCALE/SIGN ledger</w:t>
            </w:r>
          </w:p>
        </w:tc>
      </w:tr>
      <w:tr>
        <w:tc>
          <w:tcPr>
            <w:tcW w:type="dxa" w:w="1728"/>
            <w:vAlign w:val="center"/>
            <w:tcMar>
              <w:top w:w="100" w:type="dxa"/>
              <w:start w:w="120" w:type="dxa"/>
              <w:bottom w:w="100" w:type="dxa"/>
              <w:end w:w="120" w:type="dxa"/>
            </w:tcMar>
          </w:tcPr>
          <w:p>
            <w:r>
              <w:rPr>
                <w:sz w:val="17"/>
              </w:rPr>
              <w:t>PROJ-11</w:t>
            </w:r>
          </w:p>
        </w:tc>
        <w:tc>
          <w:tcPr>
            <w:tcW w:type="dxa" w:w="8352"/>
            <w:vAlign w:val="center"/>
            <w:tcMar>
              <w:top w:w="100" w:type="dxa"/>
              <w:start w:w="120" w:type="dxa"/>
              <w:bottom w:w="100" w:type="dxa"/>
              <w:end w:w="120" w:type="dxa"/>
            </w:tcMar>
          </w:tcPr>
          <w:p>
            <w:r>
              <w:rPr>
                <w:sz w:val="17"/>
              </w:rPr>
              <w:t>проверить provenance и Evidence-D</w:t>
            </w:r>
          </w:p>
        </w:tc>
      </w:tr>
      <w:tr>
        <w:tc>
          <w:tcPr>
            <w:tcW w:type="dxa" w:w="1728"/>
            <w:vAlign w:val="center"/>
            <w:tcMar>
              <w:top w:w="100" w:type="dxa"/>
              <w:start w:w="120" w:type="dxa"/>
              <w:bottom w:w="100" w:type="dxa"/>
              <w:end w:w="120" w:type="dxa"/>
            </w:tcMar>
            <w:shd w:fill="EAF1F8"/>
          </w:tcPr>
          <w:p>
            <w:r>
              <w:rPr>
                <w:sz w:val="17"/>
              </w:rPr>
              <w:t>PROJ-12</w:t>
            </w:r>
          </w:p>
        </w:tc>
        <w:tc>
          <w:tcPr>
            <w:tcW w:type="dxa" w:w="8352"/>
            <w:vAlign w:val="center"/>
            <w:tcMar>
              <w:top w:w="100" w:type="dxa"/>
              <w:start w:w="120" w:type="dxa"/>
              <w:bottom w:w="100" w:type="dxa"/>
              <w:end w:w="120" w:type="dxa"/>
            </w:tcMar>
            <w:shd w:fill="EAF1F8"/>
          </w:tcPr>
          <w:p>
            <w:r>
              <w:rPr>
                <w:sz w:val="17"/>
              </w:rPr>
              <w:t>проверить lift torsor data</w:t>
            </w:r>
          </w:p>
        </w:tc>
      </w:tr>
      <w:tr>
        <w:tc>
          <w:tcPr>
            <w:tcW w:type="dxa" w:w="1728"/>
            <w:vAlign w:val="center"/>
            <w:tcMar>
              <w:top w:w="100" w:type="dxa"/>
              <w:start w:w="120" w:type="dxa"/>
              <w:bottom w:w="100" w:type="dxa"/>
              <w:end w:w="120" w:type="dxa"/>
            </w:tcMar>
          </w:tcPr>
          <w:p>
            <w:r>
              <w:rPr>
                <w:sz w:val="17"/>
              </w:rPr>
              <w:t>PROJ-13</w:t>
            </w:r>
          </w:p>
        </w:tc>
        <w:tc>
          <w:tcPr>
            <w:tcW w:type="dxa" w:w="8352"/>
            <w:vAlign w:val="center"/>
            <w:tcMar>
              <w:top w:w="100" w:type="dxa"/>
              <w:start w:w="120" w:type="dxa"/>
              <w:bottom w:w="100" w:type="dxa"/>
              <w:end w:w="120" w:type="dxa"/>
            </w:tcMar>
          </w:tcPr>
          <w:p>
            <w:r>
              <w:rPr>
                <w:sz w:val="17"/>
              </w:rPr>
              <w:t>проверить local-to-global cocycle</w:t>
            </w:r>
          </w:p>
        </w:tc>
      </w:tr>
      <w:tr>
        <w:tc>
          <w:tcPr>
            <w:tcW w:type="dxa" w:w="1728"/>
            <w:vAlign w:val="center"/>
            <w:tcMar>
              <w:top w:w="100" w:type="dxa"/>
              <w:start w:w="120" w:type="dxa"/>
              <w:bottom w:w="100" w:type="dxa"/>
              <w:end w:w="120" w:type="dxa"/>
            </w:tcMar>
            <w:shd w:fill="EAF1F8"/>
          </w:tcPr>
          <w:p>
            <w:r>
              <w:rPr>
                <w:sz w:val="17"/>
              </w:rPr>
              <w:t>PROJ-14</w:t>
            </w:r>
          </w:p>
        </w:tc>
        <w:tc>
          <w:tcPr>
            <w:tcW w:type="dxa" w:w="8352"/>
            <w:vAlign w:val="center"/>
            <w:tcMar>
              <w:top w:w="100" w:type="dxa"/>
              <w:start w:w="120" w:type="dxa"/>
              <w:bottom w:w="100" w:type="dxa"/>
              <w:end w:w="120" w:type="dxa"/>
            </w:tcMar>
            <w:shd w:fill="EAF1F8"/>
          </w:tcPr>
          <w:p>
            <w:r>
              <w:rPr>
                <w:sz w:val="17"/>
              </w:rPr>
              <w:t>построить Δ_proj</w:t>
            </w:r>
          </w:p>
        </w:tc>
      </w:tr>
      <w:tr>
        <w:tc>
          <w:tcPr>
            <w:tcW w:type="dxa" w:w="1728"/>
            <w:vAlign w:val="center"/>
            <w:tcMar>
              <w:top w:w="100" w:type="dxa"/>
              <w:start w:w="120" w:type="dxa"/>
              <w:bottom w:w="100" w:type="dxa"/>
              <w:end w:w="120" w:type="dxa"/>
            </w:tcMar>
          </w:tcPr>
          <w:p>
            <w:r>
              <w:rPr>
                <w:sz w:val="17"/>
              </w:rPr>
              <w:t>PROJ-15</w:t>
            </w:r>
          </w:p>
        </w:tc>
        <w:tc>
          <w:tcPr>
            <w:tcW w:type="dxa" w:w="8352"/>
            <w:vAlign w:val="center"/>
            <w:tcMar>
              <w:top w:w="100" w:type="dxa"/>
              <w:start w:w="120" w:type="dxa"/>
              <w:bottom w:w="100" w:type="dxa"/>
              <w:end w:w="120" w:type="dxa"/>
            </w:tcMar>
          </w:tcPr>
          <w:p>
            <w:r>
              <w:rPr>
                <w:sz w:val="17"/>
              </w:rPr>
              <w:t>оценить projective distance и интервалы</w:t>
            </w:r>
          </w:p>
        </w:tc>
      </w:tr>
      <w:tr>
        <w:tc>
          <w:tcPr>
            <w:tcW w:type="dxa" w:w="1728"/>
            <w:vAlign w:val="center"/>
            <w:tcMar>
              <w:top w:w="100" w:type="dxa"/>
              <w:start w:w="120" w:type="dxa"/>
              <w:bottom w:w="100" w:type="dxa"/>
              <w:end w:w="120" w:type="dxa"/>
            </w:tcMar>
            <w:shd w:fill="EAF1F8"/>
          </w:tcPr>
          <w:p>
            <w:r>
              <w:rPr>
                <w:sz w:val="17"/>
              </w:rPr>
              <w:t>PROJ-16</w:t>
            </w:r>
          </w:p>
        </w:tc>
        <w:tc>
          <w:tcPr>
            <w:tcW w:type="dxa" w:w="8352"/>
            <w:vAlign w:val="center"/>
            <w:tcMar>
              <w:top w:w="100" w:type="dxa"/>
              <w:start w:w="120" w:type="dxa"/>
              <w:bottom w:w="100" w:type="dxa"/>
              <w:end w:w="120" w:type="dxa"/>
            </w:tcMar>
            <w:shd w:fill="EAF1F8"/>
          </w:tcPr>
          <w:p>
            <w:r>
              <w:rPr>
                <w:sz w:val="17"/>
              </w:rPr>
              <w:t>проверить χ_λ и его полюса</w:t>
            </w:r>
          </w:p>
        </w:tc>
      </w:tr>
      <w:tr>
        <w:tc>
          <w:tcPr>
            <w:tcW w:type="dxa" w:w="1728"/>
            <w:vAlign w:val="center"/>
            <w:tcMar>
              <w:top w:w="100" w:type="dxa"/>
              <w:start w:w="120" w:type="dxa"/>
              <w:bottom w:w="100" w:type="dxa"/>
              <w:end w:w="120" w:type="dxa"/>
            </w:tcMar>
          </w:tcPr>
          <w:p>
            <w:r>
              <w:rPr>
                <w:sz w:val="17"/>
              </w:rPr>
              <w:t>PROJ-17</w:t>
            </w:r>
          </w:p>
        </w:tc>
        <w:tc>
          <w:tcPr>
            <w:tcW w:type="dxa" w:w="8352"/>
            <w:vAlign w:val="center"/>
            <w:tcMar>
              <w:top w:w="100" w:type="dxa"/>
              <w:start w:w="120" w:type="dxa"/>
              <w:bottom w:w="100" w:type="dxa"/>
              <w:end w:w="120" w:type="dxa"/>
            </w:tcMar>
          </w:tcPr>
          <w:p>
            <w:r>
              <w:rPr>
                <w:sz w:val="17"/>
              </w:rPr>
              <w:t>выдать blocker-safe verdict</w:t>
            </w:r>
          </w:p>
        </w:tc>
      </w:tr>
      <w:tr>
        <w:tc>
          <w:tcPr>
            <w:tcW w:type="dxa" w:w="1728"/>
            <w:vAlign w:val="center"/>
            <w:tcMar>
              <w:top w:w="100" w:type="dxa"/>
              <w:start w:w="120" w:type="dxa"/>
              <w:bottom w:w="100" w:type="dxa"/>
              <w:end w:w="120" w:type="dxa"/>
            </w:tcMar>
            <w:shd w:fill="EAF1F8"/>
          </w:tcPr>
          <w:p>
            <w:r>
              <w:rPr>
                <w:sz w:val="17"/>
              </w:rPr>
              <w:t>PROJ-18</w:t>
            </w:r>
          </w:p>
        </w:tc>
        <w:tc>
          <w:tcPr>
            <w:tcW w:type="dxa" w:w="8352"/>
            <w:vAlign w:val="center"/>
            <w:tcMar>
              <w:top w:w="100" w:type="dxa"/>
              <w:start w:w="120" w:type="dxa"/>
              <w:bottom w:w="100" w:type="dxa"/>
              <w:end w:w="120" w:type="dxa"/>
            </w:tcMar>
            <w:shd w:fill="EAF1F8"/>
          </w:tcPr>
          <w:p>
            <w:r>
              <w:rPr>
                <w:sz w:val="17"/>
              </w:rPr>
              <w:t>сохранить версии, хеши и машинный журнал</w:t>
            </w:r>
          </w:p>
        </w:tc>
      </w:tr>
    </w:tbl>
    <w:p/>
    <w:p>
      <w:pPr>
        <w:pStyle w:val="Heading2"/>
      </w:pPr>
      <w:r>
        <w:t>126.1. Псевдокод</w:t>
      </w:r>
    </w:p>
    <w:p>
      <w:pPr>
        <w:pStyle w:val="Quote"/>
      </w:pPr>
      <w:r>
        <w:t>INPUT exact obstruction space O_B, representative o, model data A,G, D/Dom</w:t>
        <w:br/>
        <w:t>CHECK o==0 -&gt; ZERO-OBSTRUCTION (do not projectivize)</w:t>
        <w:br/>
        <w:t>CHECK field and allowed scalar group Kx or R_{&gt;0}</w:t>
        <w:br/>
        <w:t>BUILD projective class [o] and chart atlas</w:t>
        <w:br/>
        <w:t>VERIFY homogeneity of rank/orbit/support invariants</w:t>
        <w:br/>
        <w:t>COMPUTE strata and distance-to-horizon</w:t>
        <w:br/>
        <w:t>CHECK provenance, lift torsor, gluing and lambda bridge</w:t>
        <w:br/>
        <w:t>IF any blocker: ABSTAIN</w:t>
        <w:br/>
        <w:t>ELSE IF interval avoids Delta_proj: NO-PROJECTIVE-TYPE-TRANSITION-IN-MODEL</w:t>
        <w:br/>
        <w:t>ELSE: CANDIDATE-PROJECTIVE-TRANSITION</w:t>
        <w:br/>
        <w:t>STORE hashes and information-loss ledger</w:t>
      </w:r>
    </w:p>
    <w:p>
      <w:pPr>
        <w:pStyle w:val="Heading1"/>
      </w:pPr>
      <w:r>
        <w:t>127. Главная условная теорема T2-RP-v0.11</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14.8. PROJECTIVE OBSTRUCTION-SAFE PREDICTION</w:t>
            </w:r>
          </w:p>
          <w:p>
            <w:pPr>
              <w:spacing w:after="0"/>
            </w:pPr>
            <w:r>
              <w:rPr>
                <w:sz w:val="19"/>
              </w:rPr>
              <w:t>Пусть задано конечномерное регулярное семейство NAPG-кадров N_t, непрерывный obstruction section o_t, projective atlas, однородные rank/orbit invariants, effective descent, валидные D/Dom и воспроизводимый сертификат PROJ. Если путь не пересекает Δ_proj и остаётся отделённым от нулевой секции и chart poles, то сертифицированный projective obstruction type не изменяется. Следовательно, структурный переход, требующий смены этого типа, невозможен внутри модели. Пересечение горизонта даёт только кандидата.</w:t>
            </w:r>
          </w:p>
        </w:tc>
      </w:tr>
    </w:tbl>
    <w:p/>
    <w:p>
      <w:pPr>
        <w:pStyle w:val="Quote"/>
        <w:jc w:val="center"/>
      </w:pPr>
      <w:r>
        <w:rPr>
          <w:rFonts w:ascii="Cambria Math" w:hAnsi="Cambria Math"/>
          <w:sz w:val="22"/>
        </w:rPr>
        <w:t>P_proj(t)=([o_t], S_rank(t), S_orbit(t), Dom_t, Glue_t).</w:t>
      </w:r>
      <w:r>
        <w:t xml:space="preserve">    (14.19)</w:t>
      </w:r>
    </w:p>
    <w:p>
      <w:pPr>
        <w:pStyle w:val="Quote"/>
        <w:jc w:val="center"/>
      </w:pPr>
      <w:r>
        <w:rPr>
          <w:rFonts w:ascii="Cambria Math" w:hAnsi="Cambria Math"/>
          <w:sz w:val="22"/>
        </w:rPr>
        <w:t>I∩Δ_proj=∅ ⇒ type(P_proj(t))=const on I.</w:t>
      </w:r>
      <w:r>
        <w:t xml:space="preserve">    (14.20)</w:t>
      </w:r>
    </w:p>
    <w:p>
      <w:r>
        <w:t>Теорема является условной и конечномерной. Она не утверждает существование физического времени t, причинного механизма, вероятности перехода или экспериментального эффекта.</w:t>
      </w:r>
    </w:p>
    <w:p>
      <w:pPr>
        <w:pStyle w:val="Heading1"/>
      </w:pPr>
      <w:r>
        <w:t>128. Blocker-safe вывод</w:t>
      </w:r>
    </w:p>
    <w:p>
      <w:pPr>
        <w:pStyle w:val="Quote"/>
        <w:jc w:val="center"/>
      </w:pPr>
      <w:r>
        <w:rPr>
          <w:rFonts w:ascii="Cambria Math" w:hAnsi="Cambria Math"/>
          <w:sz w:val="22"/>
        </w:rPr>
        <w:t>Block_proj = B_zero ∪ B_scale ∪ B_sign ∪ B_chart ∪ B_hom ∪ B_glue ∪ B_D ∪ B_Dom ∪ B_lift ∪ B_ind.</w:t>
      </w:r>
      <w:r>
        <w:t xml:space="preserve">    (14.21)</w:t>
      </w:r>
    </w:p>
    <w:tbl>
      <w:tblPr>
        <w:tblStyle w:val="TableGrid"/>
        <w:tblW w:type="auto" w:w="0"/>
        <w:jc w:val="center"/>
        <w:tblLook w:firstColumn="1" w:firstRow="1" w:lastColumn="0" w:lastRow="0" w:noHBand="0" w:noVBand="1" w:val="04A0"/>
      </w:tblPr>
      <w:tblGrid>
        <w:gridCol w:w="3251"/>
        <w:gridCol w:w="3251"/>
        <w:gridCol w:w="3251"/>
      </w:tblGrid>
      <w:tr>
        <w:tc>
          <w:tcPr>
            <w:tcW w:type="dxa" w:w="2880"/>
            <w:shd w:fill="1F4E78"/>
            <w:vAlign w:val="center"/>
            <w:tcMar>
              <w:top w:w="100" w:type="dxa"/>
              <w:start w:w="120" w:type="dxa"/>
              <w:bottom w:w="100" w:type="dxa"/>
              <w:end w:w="120" w:type="dxa"/>
            </w:tcMar>
          </w:tcPr>
          <w:p>
            <w:r>
              <w:rPr>
                <w:b/>
                <w:color w:val="FFFFFF"/>
                <w:sz w:val="18"/>
              </w:rPr>
              <w:t>Выход</w:t>
            </w:r>
          </w:p>
        </w:tc>
        <w:tc>
          <w:tcPr>
            <w:tcW w:type="dxa" w:w="4032"/>
            <w:shd w:fill="1F4E78"/>
            <w:vAlign w:val="center"/>
            <w:tcMar>
              <w:top w:w="100" w:type="dxa"/>
              <w:start w:w="120" w:type="dxa"/>
              <w:bottom w:w="100" w:type="dxa"/>
              <w:end w:w="120" w:type="dxa"/>
            </w:tcMar>
          </w:tcPr>
          <w:p>
            <w:r>
              <w:rPr>
                <w:b/>
                <w:color w:val="FFFFFF"/>
                <w:sz w:val="18"/>
              </w:rPr>
              <w:t>Необходимое условие</w:t>
            </w:r>
          </w:p>
        </w:tc>
        <w:tc>
          <w:tcPr>
            <w:tcW w:type="dxa" w:w="3168"/>
            <w:shd w:fill="1F4E78"/>
            <w:vAlign w:val="center"/>
            <w:tcMar>
              <w:top w:w="100" w:type="dxa"/>
              <w:start w:w="120" w:type="dxa"/>
              <w:bottom w:w="100" w:type="dxa"/>
              <w:end w:w="120" w:type="dxa"/>
            </w:tcMar>
          </w:tcPr>
          <w:p>
            <w:r>
              <w:rPr>
                <w:b/>
                <w:color w:val="FFFFFF"/>
                <w:sz w:val="18"/>
              </w:rPr>
              <w:t>Допустимая интерпретация</w:t>
            </w:r>
          </w:p>
        </w:tc>
      </w:tr>
      <w:tr>
        <w:tc>
          <w:tcPr>
            <w:tcW w:type="dxa" w:w="2880"/>
            <w:vAlign w:val="center"/>
            <w:tcMar>
              <w:top w:w="100" w:type="dxa"/>
              <w:start w:w="120" w:type="dxa"/>
              <w:bottom w:w="100" w:type="dxa"/>
              <w:end w:w="120" w:type="dxa"/>
            </w:tcMar>
          </w:tcPr>
          <w:p>
            <w:r>
              <w:rPr>
                <w:sz w:val="17"/>
              </w:rPr>
              <w:t>NO-PROJECTIVE-TYPE-TRANSITION-IN-MODEL</w:t>
            </w:r>
          </w:p>
        </w:tc>
        <w:tc>
          <w:tcPr>
            <w:tcW w:type="dxa" w:w="4032"/>
            <w:vAlign w:val="center"/>
            <w:tcMar>
              <w:top w:w="100" w:type="dxa"/>
              <w:start w:w="120" w:type="dxa"/>
              <w:bottom w:w="100" w:type="dxa"/>
              <w:end w:w="120" w:type="dxa"/>
            </w:tcMar>
          </w:tcPr>
          <w:p>
            <w:r>
              <w:rPr>
                <w:sz w:val="17"/>
              </w:rPr>
              <w:t>I∩Δ_proj=∅ и blockers=∅</w:t>
            </w:r>
          </w:p>
        </w:tc>
        <w:tc>
          <w:tcPr>
            <w:tcW w:type="dxa" w:w="3168"/>
            <w:vAlign w:val="center"/>
            <w:tcMar>
              <w:top w:w="100" w:type="dxa"/>
              <w:start w:w="120" w:type="dxa"/>
              <w:bottom w:w="100" w:type="dxa"/>
              <w:end w:w="120" w:type="dxa"/>
            </w:tcMar>
          </w:tcPr>
          <w:p>
            <w:r>
              <w:rPr>
                <w:sz w:val="17"/>
              </w:rPr>
              <w:t>отрицательный структурный прогноз</w:t>
            </w:r>
          </w:p>
        </w:tc>
      </w:tr>
      <w:tr>
        <w:tc>
          <w:tcPr>
            <w:tcW w:type="dxa" w:w="2880"/>
            <w:vAlign w:val="center"/>
            <w:tcMar>
              <w:top w:w="100" w:type="dxa"/>
              <w:start w:w="120" w:type="dxa"/>
              <w:bottom w:w="100" w:type="dxa"/>
              <w:end w:w="120" w:type="dxa"/>
            </w:tcMar>
            <w:shd w:fill="EAF1F8"/>
          </w:tcPr>
          <w:p>
            <w:r>
              <w:rPr>
                <w:sz w:val="17"/>
              </w:rPr>
              <w:t>CANDIDATE-PROJECTIVE-TRANSITION</w:t>
            </w:r>
          </w:p>
        </w:tc>
        <w:tc>
          <w:tcPr>
            <w:tcW w:type="dxa" w:w="4032"/>
            <w:vAlign w:val="center"/>
            <w:tcMar>
              <w:top w:w="100" w:type="dxa"/>
              <w:start w:w="120" w:type="dxa"/>
              <w:bottom w:w="100" w:type="dxa"/>
              <w:end w:w="120" w:type="dxa"/>
            </w:tcMar>
            <w:shd w:fill="EAF1F8"/>
          </w:tcPr>
          <w:p>
            <w:r>
              <w:rPr>
                <w:sz w:val="17"/>
              </w:rPr>
              <w:t>I∩Δ_proj≠∅ и blockers=∅</w:t>
            </w:r>
          </w:p>
        </w:tc>
        <w:tc>
          <w:tcPr>
            <w:tcW w:type="dxa" w:w="3168"/>
            <w:vAlign w:val="center"/>
            <w:tcMar>
              <w:top w:w="100" w:type="dxa"/>
              <w:start w:w="120" w:type="dxa"/>
              <w:bottom w:w="100" w:type="dxa"/>
              <w:end w:w="120" w:type="dxa"/>
            </w:tcMar>
            <w:shd w:fill="EAF1F8"/>
          </w:tcPr>
          <w:p>
            <w:r>
              <w:rPr>
                <w:sz w:val="17"/>
              </w:rPr>
              <w:t>точка дальнейшей проверки</w:t>
            </w:r>
          </w:p>
        </w:tc>
      </w:tr>
      <w:tr>
        <w:tc>
          <w:tcPr>
            <w:tcW w:type="dxa" w:w="2880"/>
            <w:vAlign w:val="center"/>
            <w:tcMar>
              <w:top w:w="100" w:type="dxa"/>
              <w:start w:w="120" w:type="dxa"/>
              <w:bottom w:w="100" w:type="dxa"/>
              <w:end w:w="120" w:type="dxa"/>
            </w:tcMar>
          </w:tcPr>
          <w:p>
            <w:r>
              <w:rPr>
                <w:sz w:val="17"/>
              </w:rPr>
              <w:t>ZERO-INTERNAL-OBSTRUCTION</w:t>
            </w:r>
          </w:p>
        </w:tc>
        <w:tc>
          <w:tcPr>
            <w:tcW w:type="dxa" w:w="4032"/>
            <w:vAlign w:val="center"/>
            <w:tcMar>
              <w:top w:w="100" w:type="dxa"/>
              <w:start w:w="120" w:type="dxa"/>
              <w:bottom w:w="100" w:type="dxa"/>
              <w:end w:w="120" w:type="dxa"/>
            </w:tcMar>
          </w:tcPr>
          <w:p>
            <w:r>
              <w:rPr>
                <w:sz w:val="17"/>
              </w:rPr>
              <w:t>o=0 точно</w:t>
            </w:r>
          </w:p>
        </w:tc>
        <w:tc>
          <w:tcPr>
            <w:tcW w:type="dxa" w:w="3168"/>
            <w:vAlign w:val="center"/>
            <w:tcMar>
              <w:top w:w="100" w:type="dxa"/>
              <w:start w:w="120" w:type="dxa"/>
              <w:bottom w:w="100" w:type="dxa"/>
              <w:end w:w="120" w:type="dxa"/>
            </w:tcMar>
          </w:tcPr>
          <w:p>
            <w:r>
              <w:rPr>
                <w:sz w:val="17"/>
              </w:rPr>
              <w:t>исчезновение данного внутреннего класса</w:t>
            </w:r>
          </w:p>
        </w:tc>
      </w:tr>
      <w:tr>
        <w:tc>
          <w:tcPr>
            <w:tcW w:type="dxa" w:w="2880"/>
            <w:vAlign w:val="center"/>
            <w:tcMar>
              <w:top w:w="100" w:type="dxa"/>
              <w:start w:w="120" w:type="dxa"/>
              <w:bottom w:w="100" w:type="dxa"/>
              <w:end w:w="120" w:type="dxa"/>
            </w:tcMar>
            <w:shd w:fill="EAF1F8"/>
          </w:tcPr>
          <w:p>
            <w:r>
              <w:rPr>
                <w:sz w:val="17"/>
              </w:rPr>
              <w:t>ABSTAIN</w:t>
            </w:r>
          </w:p>
        </w:tc>
        <w:tc>
          <w:tcPr>
            <w:tcW w:type="dxa" w:w="4032"/>
            <w:vAlign w:val="center"/>
            <w:tcMar>
              <w:top w:w="100" w:type="dxa"/>
              <w:start w:w="120" w:type="dxa"/>
              <w:bottom w:w="100" w:type="dxa"/>
              <w:end w:w="120" w:type="dxa"/>
            </w:tcMar>
            <w:shd w:fill="EAF1F8"/>
          </w:tcPr>
          <w:p>
            <w:r>
              <w:rPr>
                <w:sz w:val="17"/>
              </w:rPr>
              <w:t>хотя бы один blocker</w:t>
            </w:r>
          </w:p>
        </w:tc>
        <w:tc>
          <w:tcPr>
            <w:tcW w:type="dxa" w:w="3168"/>
            <w:vAlign w:val="center"/>
            <w:tcMar>
              <w:top w:w="100" w:type="dxa"/>
              <w:start w:w="120" w:type="dxa"/>
              <w:bottom w:w="100" w:type="dxa"/>
              <w:end w:w="120" w:type="dxa"/>
            </w:tcMar>
            <w:shd w:fill="EAF1F8"/>
          </w:tcPr>
          <w:p>
            <w:r>
              <w:rPr>
                <w:sz w:val="17"/>
              </w:rPr>
              <w:t>вывод запрещён</w:t>
            </w:r>
          </w:p>
        </w:tc>
      </w:tr>
    </w:tbl>
    <w:p/>
    <w:p>
      <w:pPr>
        <w:pStyle w:val="Heading1"/>
      </w:pPr>
      <w:r>
        <w:t>129. Доказательные обязательства T2-PO-126-T2-PO-145</w:t>
      </w:r>
    </w:p>
    <w:tbl>
      <w:tblPr>
        <w:tblStyle w:val="TableGrid"/>
        <w:tblW w:type="auto" w:w="0"/>
        <w:jc w:val="center"/>
        <w:tblLook w:firstColumn="1" w:firstRow="1" w:lastColumn="0" w:lastRow="0" w:noHBand="0" w:noVBand="1" w:val="04A0"/>
      </w:tblPr>
      <w:tblGrid>
        <w:gridCol w:w="3251"/>
        <w:gridCol w:w="3251"/>
        <w:gridCol w:w="3251"/>
      </w:tblGrid>
      <w:tr>
        <w:tc>
          <w:tcPr>
            <w:tcW w:type="dxa" w:w="1656"/>
            <w:shd w:fill="1F4E78"/>
            <w:vAlign w:val="center"/>
            <w:tcMar>
              <w:top w:w="100" w:type="dxa"/>
              <w:start w:w="120" w:type="dxa"/>
              <w:bottom w:w="100" w:type="dxa"/>
              <w:end w:w="120" w:type="dxa"/>
            </w:tcMar>
          </w:tcPr>
          <w:p>
            <w:r>
              <w:rPr>
                <w:b/>
                <w:color w:val="FFFFFF"/>
                <w:sz w:val="18"/>
              </w:rPr>
              <w:t>PO</w:t>
            </w:r>
          </w:p>
        </w:tc>
        <w:tc>
          <w:tcPr>
            <w:tcW w:type="dxa" w:w="6552"/>
            <w:shd w:fill="1F4E78"/>
            <w:vAlign w:val="center"/>
            <w:tcMar>
              <w:top w:w="100" w:type="dxa"/>
              <w:start w:w="120" w:type="dxa"/>
              <w:bottom w:w="100" w:type="dxa"/>
              <w:end w:w="120" w:type="dxa"/>
            </w:tcMar>
          </w:tcPr>
          <w:p>
            <w:r>
              <w:rPr>
                <w:b/>
                <w:color w:val="FFFFFF"/>
                <w:sz w:val="18"/>
              </w:rPr>
              <w:t>Обязательство</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T2-PO-126</w:t>
            </w:r>
          </w:p>
        </w:tc>
        <w:tc>
          <w:tcPr>
            <w:tcW w:type="dxa" w:w="6552"/>
            <w:vAlign w:val="center"/>
            <w:tcMar>
              <w:top w:w="100" w:type="dxa"/>
              <w:start w:w="120" w:type="dxa"/>
              <w:bottom w:w="100" w:type="dxa"/>
              <w:end w:w="120" w:type="dxa"/>
            </w:tcMar>
          </w:tcPr>
          <w:p>
            <w:r>
              <w:rPr>
                <w:sz w:val="17"/>
              </w:rPr>
              <w:t>корректность P(O_B) на O_B\{0}</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T2-PO-127</w:t>
            </w:r>
          </w:p>
        </w:tc>
        <w:tc>
          <w:tcPr>
            <w:tcW w:type="dxa" w:w="6552"/>
            <w:vAlign w:val="center"/>
            <w:tcMar>
              <w:top w:w="100" w:type="dxa"/>
              <w:start w:w="120" w:type="dxa"/>
              <w:bottom w:w="100" w:type="dxa"/>
              <w:end w:w="120" w:type="dxa"/>
            </w:tcMar>
            <w:shd w:fill="EAF1F8"/>
          </w:tcPr>
          <w:p>
            <w:r>
              <w:rPr>
                <w:sz w:val="17"/>
              </w:rPr>
              <w:t>частичная функториальность P(f)</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T2-PO-128</w:t>
            </w:r>
          </w:p>
        </w:tc>
        <w:tc>
          <w:tcPr>
            <w:tcW w:type="dxa" w:w="6552"/>
            <w:vAlign w:val="center"/>
            <w:tcMar>
              <w:top w:w="100" w:type="dxa"/>
              <w:start w:w="120" w:type="dxa"/>
              <w:bottom w:w="100" w:type="dxa"/>
              <w:end w:w="120" w:type="dxa"/>
            </w:tcMar>
          </w:tcPr>
          <w:p>
            <w:r>
              <w:rPr>
                <w:sz w:val="17"/>
              </w:rPr>
              <w:t>no-go естественного выбора представителя</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T2-PO-129</w:t>
            </w:r>
          </w:p>
        </w:tc>
        <w:tc>
          <w:tcPr>
            <w:tcW w:type="dxa" w:w="6552"/>
            <w:vAlign w:val="center"/>
            <w:tcMar>
              <w:top w:w="100" w:type="dxa"/>
              <w:start w:w="120" w:type="dxa"/>
              <w:bottom w:w="100" w:type="dxa"/>
              <w:end w:w="120" w:type="dxa"/>
            </w:tcMar>
            <w:shd w:fill="EAF1F8"/>
          </w:tcPr>
          <w:p>
            <w:r>
              <w:rPr>
                <w:sz w:val="17"/>
              </w:rPr>
              <w:t>точный information-loss ledger</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T2-PO-130</w:t>
            </w:r>
          </w:p>
        </w:tc>
        <w:tc>
          <w:tcPr>
            <w:tcW w:type="dxa" w:w="6552"/>
            <w:vAlign w:val="center"/>
            <w:tcMar>
              <w:top w:w="100" w:type="dxa"/>
              <w:start w:w="120" w:type="dxa"/>
              <w:bottom w:w="100" w:type="dxa"/>
              <w:end w:w="120" w:type="dxa"/>
            </w:tcMar>
          </w:tcPr>
          <w:p>
            <w:r>
              <w:rPr>
                <w:sz w:val="17"/>
              </w:rPr>
              <w:t>сферическая/ориентированная модель</w:t>
            </w:r>
          </w:p>
        </w:tc>
        <w:tc>
          <w:tcPr>
            <w:tcW w:type="dxa" w:w="1800"/>
            <w:vAlign w:val="center"/>
            <w:tcMar>
              <w:top w:w="100" w:type="dxa"/>
              <w:start w:w="120" w:type="dxa"/>
              <w:bottom w:w="100" w:type="dxa"/>
              <w:end w:w="120" w:type="dxa"/>
            </w:tcMar>
          </w:tcPr>
          <w:p>
            <w:r>
              <w:rPr>
                <w:sz w:val="17"/>
              </w:rPr>
              <w:t>CLOSED finite-dim</w:t>
            </w:r>
          </w:p>
        </w:tc>
      </w:tr>
      <w:tr>
        <w:tc>
          <w:tcPr>
            <w:tcW w:type="dxa" w:w="1656"/>
            <w:vAlign w:val="center"/>
            <w:tcMar>
              <w:top w:w="100" w:type="dxa"/>
              <w:start w:w="120" w:type="dxa"/>
              <w:bottom w:w="100" w:type="dxa"/>
              <w:end w:w="120" w:type="dxa"/>
            </w:tcMar>
            <w:shd w:fill="EAF1F8"/>
          </w:tcPr>
          <w:p>
            <w:r>
              <w:rPr>
                <w:sz w:val="17"/>
              </w:rPr>
              <w:t>T2-PO-131</w:t>
            </w:r>
          </w:p>
        </w:tc>
        <w:tc>
          <w:tcPr>
            <w:tcW w:type="dxa" w:w="6552"/>
            <w:vAlign w:val="center"/>
            <w:tcMar>
              <w:top w:w="100" w:type="dxa"/>
              <w:start w:w="120" w:type="dxa"/>
              <w:bottom w:w="100" w:type="dxa"/>
              <w:end w:w="120" w:type="dxa"/>
            </w:tcMar>
            <w:shd w:fill="EAF1F8"/>
          </w:tcPr>
          <w:p>
            <w:r>
              <w:rPr>
                <w:sz w:val="17"/>
              </w:rPr>
              <w:t>projective metric stability</w:t>
            </w:r>
          </w:p>
        </w:tc>
        <w:tc>
          <w:tcPr>
            <w:tcW w:type="dxa" w:w="1800"/>
            <w:vAlign w:val="center"/>
            <w:tcMar>
              <w:top w:w="100" w:type="dxa"/>
              <w:start w:w="120" w:type="dxa"/>
              <w:bottom w:w="100" w:type="dxa"/>
              <w:end w:w="120" w:type="dxa"/>
            </w:tcMar>
            <w:shd w:fill="EAF1F8"/>
          </w:tcPr>
          <w:p>
            <w:r>
              <w:rPr>
                <w:sz w:val="17"/>
              </w:rPr>
              <w:t>CLOSED local</w:t>
            </w:r>
          </w:p>
        </w:tc>
      </w:tr>
      <w:tr>
        <w:tc>
          <w:tcPr>
            <w:tcW w:type="dxa" w:w="1656"/>
            <w:vAlign w:val="center"/>
            <w:tcMar>
              <w:top w:w="100" w:type="dxa"/>
              <w:start w:w="120" w:type="dxa"/>
              <w:bottom w:w="100" w:type="dxa"/>
              <w:end w:w="120" w:type="dxa"/>
            </w:tcMar>
          </w:tcPr>
          <w:p>
            <w:r>
              <w:rPr>
                <w:sz w:val="17"/>
              </w:rPr>
              <w:t>T2-PO-132</w:t>
            </w:r>
          </w:p>
        </w:tc>
        <w:tc>
          <w:tcPr>
            <w:tcW w:type="dxa" w:w="6552"/>
            <w:vAlign w:val="center"/>
            <w:tcMar>
              <w:top w:w="100" w:type="dxa"/>
              <w:start w:w="120" w:type="dxa"/>
              <w:bottom w:w="100" w:type="dxa"/>
              <w:end w:w="120" w:type="dxa"/>
            </w:tcMar>
          </w:tcPr>
          <w:p>
            <w:r>
              <w:rPr>
                <w:sz w:val="17"/>
              </w:rPr>
              <w:t>homogeneity criterion для инвариантов</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T2-PO-133</w:t>
            </w:r>
          </w:p>
        </w:tc>
        <w:tc>
          <w:tcPr>
            <w:tcW w:type="dxa" w:w="6552"/>
            <w:vAlign w:val="center"/>
            <w:tcMar>
              <w:top w:w="100" w:type="dxa"/>
              <w:start w:w="120" w:type="dxa"/>
              <w:bottom w:w="100" w:type="dxa"/>
              <w:end w:w="120" w:type="dxa"/>
            </w:tcMar>
            <w:shd w:fill="EAF1F8"/>
          </w:tcPr>
          <w:p>
            <w:r>
              <w:rPr>
                <w:sz w:val="17"/>
              </w:rPr>
              <w:t>Whitney (a) для rank strata</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T2-PO-134</w:t>
            </w:r>
          </w:p>
        </w:tc>
        <w:tc>
          <w:tcPr>
            <w:tcW w:type="dxa" w:w="6552"/>
            <w:vAlign w:val="center"/>
            <w:tcMar>
              <w:top w:w="100" w:type="dxa"/>
              <w:start w:w="120" w:type="dxa"/>
              <w:bottom w:w="100" w:type="dxa"/>
              <w:end w:w="120" w:type="dxa"/>
            </w:tcMar>
          </w:tcPr>
          <w:p>
            <w:r>
              <w:rPr>
                <w:sz w:val="17"/>
              </w:rPr>
              <w:t>Whitney (b) для orbit strata</w:t>
            </w:r>
          </w:p>
        </w:tc>
        <w:tc>
          <w:tcPr>
            <w:tcW w:type="dxa" w:w="1800"/>
            <w:vAlign w:val="center"/>
            <w:tcMar>
              <w:top w:w="100" w:type="dxa"/>
              <w:start w:w="120" w:type="dxa"/>
              <w:bottom w:w="100" w:type="dxa"/>
              <w:end w:w="120" w:type="dxa"/>
            </w:tcMar>
          </w:tcPr>
          <w:p>
            <w:r>
              <w:rPr>
                <w:sz w:val="17"/>
              </w:rPr>
              <w:t>OPEN model</w:t>
            </w:r>
          </w:p>
        </w:tc>
      </w:tr>
      <w:tr>
        <w:tc>
          <w:tcPr>
            <w:tcW w:type="dxa" w:w="1656"/>
            <w:vAlign w:val="center"/>
            <w:tcMar>
              <w:top w:w="100" w:type="dxa"/>
              <w:start w:w="120" w:type="dxa"/>
              <w:bottom w:w="100" w:type="dxa"/>
              <w:end w:w="120" w:type="dxa"/>
            </w:tcMar>
            <w:shd w:fill="EAF1F8"/>
          </w:tcPr>
          <w:p>
            <w:r>
              <w:rPr>
                <w:sz w:val="17"/>
              </w:rPr>
              <w:t>T2-PO-135</w:t>
            </w:r>
          </w:p>
        </w:tc>
        <w:tc>
          <w:tcPr>
            <w:tcW w:type="dxa" w:w="6552"/>
            <w:vAlign w:val="center"/>
            <w:tcMar>
              <w:top w:w="100" w:type="dxa"/>
              <w:start w:w="120" w:type="dxa"/>
              <w:bottom w:w="100" w:type="dxa"/>
              <w:end w:w="120" w:type="dxa"/>
            </w:tcMar>
            <w:shd w:fill="EAF1F8"/>
          </w:tcPr>
          <w:p>
            <w:r>
              <w:rPr>
                <w:sz w:val="17"/>
              </w:rPr>
              <w:t>frontier/local finiteness</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T2-PO-136</w:t>
            </w:r>
          </w:p>
        </w:tc>
        <w:tc>
          <w:tcPr>
            <w:tcW w:type="dxa" w:w="6552"/>
            <w:vAlign w:val="center"/>
            <w:tcMar>
              <w:top w:w="100" w:type="dxa"/>
              <w:start w:w="120" w:type="dxa"/>
              <w:bottom w:w="100" w:type="dxa"/>
              <w:end w:w="120" w:type="dxa"/>
            </w:tcMar>
          </w:tcPr>
          <w:p>
            <w:r>
              <w:rPr>
                <w:sz w:val="17"/>
              </w:rPr>
              <w:t>positive projectivization order cone</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T2-PO-137</w:t>
            </w:r>
          </w:p>
        </w:tc>
        <w:tc>
          <w:tcPr>
            <w:tcW w:type="dxa" w:w="6552"/>
            <w:vAlign w:val="center"/>
            <w:tcMar>
              <w:top w:w="100" w:type="dxa"/>
              <w:start w:w="120" w:type="dxa"/>
              <w:bottom w:w="100" w:type="dxa"/>
              <w:end w:w="120" w:type="dxa"/>
            </w:tcMar>
            <w:shd w:fill="EAF1F8"/>
          </w:tcPr>
          <w:p>
            <w:r>
              <w:rPr>
                <w:sz w:val="17"/>
              </w:rPr>
              <w:t>Fano local-to-global no-go</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T2-PO-138</w:t>
            </w:r>
          </w:p>
        </w:tc>
        <w:tc>
          <w:tcPr>
            <w:tcW w:type="dxa" w:w="6552"/>
            <w:vAlign w:val="center"/>
            <w:tcMar>
              <w:top w:w="100" w:type="dxa"/>
              <w:start w:w="120" w:type="dxa"/>
              <w:bottom w:w="100" w:type="dxa"/>
              <w:end w:w="120" w:type="dxa"/>
            </w:tcMar>
          </w:tcPr>
          <w:p>
            <w:r>
              <w:rPr>
                <w:sz w:val="17"/>
              </w:rPr>
              <w:t>effective descent глобального carrier</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T2-PO-139</w:t>
            </w:r>
          </w:p>
        </w:tc>
        <w:tc>
          <w:tcPr>
            <w:tcW w:type="dxa" w:w="6552"/>
            <w:vAlign w:val="center"/>
            <w:tcMar>
              <w:top w:w="100" w:type="dxa"/>
              <w:start w:w="120" w:type="dxa"/>
              <w:bottom w:w="100" w:type="dxa"/>
              <w:end w:w="120" w:type="dxa"/>
            </w:tcMar>
            <w:shd w:fill="EAF1F8"/>
          </w:tcPr>
          <w:p>
            <w:r>
              <w:rPr>
                <w:sz w:val="17"/>
              </w:rPr>
              <w:t>projective horizon construction</w:t>
            </w:r>
          </w:p>
        </w:tc>
        <w:tc>
          <w:tcPr>
            <w:tcW w:type="dxa" w:w="1800"/>
            <w:vAlign w:val="center"/>
            <w:tcMar>
              <w:top w:w="100" w:type="dxa"/>
              <w:start w:w="120" w:type="dxa"/>
              <w:bottom w:w="100" w:type="dxa"/>
              <w:end w:w="120" w:type="dxa"/>
            </w:tcMar>
            <w:shd w:fill="EAF1F8"/>
          </w:tcPr>
          <w:p>
            <w:r>
              <w:rPr>
                <w:sz w:val="17"/>
              </w:rPr>
              <w:t>CLOSED finite family</w:t>
            </w:r>
          </w:p>
        </w:tc>
      </w:tr>
      <w:tr>
        <w:tc>
          <w:tcPr>
            <w:tcW w:type="dxa" w:w="1656"/>
            <w:vAlign w:val="center"/>
            <w:tcMar>
              <w:top w:w="100" w:type="dxa"/>
              <w:start w:w="120" w:type="dxa"/>
              <w:bottom w:w="100" w:type="dxa"/>
              <w:end w:w="120" w:type="dxa"/>
            </w:tcMar>
          </w:tcPr>
          <w:p>
            <w:r>
              <w:rPr>
                <w:sz w:val="17"/>
              </w:rPr>
              <w:t>T2-PO-140</w:t>
            </w:r>
          </w:p>
        </w:tc>
        <w:tc>
          <w:tcPr>
            <w:tcW w:type="dxa" w:w="6552"/>
            <w:vAlign w:val="center"/>
            <w:tcMar>
              <w:top w:w="100" w:type="dxa"/>
              <w:start w:w="120" w:type="dxa"/>
              <w:bottom w:w="100" w:type="dxa"/>
              <w:end w:w="120" w:type="dxa"/>
            </w:tcMar>
          </w:tcPr>
          <w:p>
            <w:r>
              <w:rPr>
                <w:sz w:val="17"/>
              </w:rPr>
              <w:t>profile constancy theorem</w:t>
            </w:r>
          </w:p>
        </w:tc>
        <w:tc>
          <w:tcPr>
            <w:tcW w:type="dxa" w:w="1800"/>
            <w:vAlign w:val="center"/>
            <w:tcMar>
              <w:top w:w="100" w:type="dxa"/>
              <w:start w:w="120" w:type="dxa"/>
              <w:bottom w:w="100" w:type="dxa"/>
              <w:end w:w="120" w:type="dxa"/>
            </w:tcMar>
          </w:tcPr>
          <w:p>
            <w:r>
              <w:rPr>
                <w:sz w:val="17"/>
              </w:rPr>
              <w:t>CLOSED under H1-H8</w:t>
            </w:r>
          </w:p>
        </w:tc>
      </w:tr>
      <w:tr>
        <w:tc>
          <w:tcPr>
            <w:tcW w:type="dxa" w:w="1656"/>
            <w:vAlign w:val="center"/>
            <w:tcMar>
              <w:top w:w="100" w:type="dxa"/>
              <w:start w:w="120" w:type="dxa"/>
              <w:bottom w:w="100" w:type="dxa"/>
              <w:end w:w="120" w:type="dxa"/>
            </w:tcMar>
            <w:shd w:fill="EAF1F8"/>
          </w:tcPr>
          <w:p>
            <w:r>
              <w:rPr>
                <w:sz w:val="17"/>
              </w:rPr>
              <w:t>T2-PO-141</w:t>
            </w:r>
          </w:p>
        </w:tc>
        <w:tc>
          <w:tcPr>
            <w:tcW w:type="dxa" w:w="6552"/>
            <w:vAlign w:val="center"/>
            <w:tcMar>
              <w:top w:w="100" w:type="dxa"/>
              <w:start w:w="120" w:type="dxa"/>
              <w:bottom w:w="100" w:type="dxa"/>
              <w:end w:w="120" w:type="dxa"/>
            </w:tcMar>
            <w:shd w:fill="EAF1F8"/>
          </w:tcPr>
          <w:p>
            <w:r>
              <w:rPr>
                <w:sz w:val="17"/>
              </w:rPr>
              <w:t>канонический χ_λ bridge</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T2-PO-142</w:t>
            </w:r>
          </w:p>
        </w:tc>
        <w:tc>
          <w:tcPr>
            <w:tcW w:type="dxa" w:w="6552"/>
            <w:vAlign w:val="center"/>
            <w:tcMar>
              <w:top w:w="100" w:type="dxa"/>
              <w:start w:w="120" w:type="dxa"/>
              <w:bottom w:w="100" w:type="dxa"/>
              <w:end w:w="120" w:type="dxa"/>
            </w:tcMar>
          </w:tcPr>
          <w:p>
            <w:r>
              <w:rPr>
                <w:sz w:val="17"/>
              </w:rPr>
              <w:t>interval-certified distance to Δ_proj</w:t>
            </w:r>
          </w:p>
        </w:tc>
        <w:tc>
          <w:tcPr>
            <w:tcW w:type="dxa" w:w="1800"/>
            <w:vAlign w:val="center"/>
            <w:tcMar>
              <w:top w:w="100" w:type="dxa"/>
              <w:start w:w="120" w:type="dxa"/>
              <w:bottom w:w="100" w:type="dxa"/>
              <w:end w:w="120" w:type="dxa"/>
            </w:tcMar>
          </w:tcPr>
          <w:p>
            <w:r>
              <w:rPr>
                <w:sz w:val="17"/>
              </w:rPr>
              <w:t>OPEN computation</w:t>
            </w:r>
          </w:p>
        </w:tc>
      </w:tr>
      <w:tr>
        <w:tc>
          <w:tcPr>
            <w:tcW w:type="dxa" w:w="1656"/>
            <w:vAlign w:val="center"/>
            <w:tcMar>
              <w:top w:w="100" w:type="dxa"/>
              <w:start w:w="120" w:type="dxa"/>
              <w:bottom w:w="100" w:type="dxa"/>
              <w:end w:w="120" w:type="dxa"/>
            </w:tcMar>
            <w:shd w:fill="EAF1F8"/>
          </w:tcPr>
          <w:p>
            <w:r>
              <w:rPr>
                <w:sz w:val="17"/>
              </w:rPr>
              <w:t>T2-PO-143</w:t>
            </w:r>
          </w:p>
        </w:tc>
        <w:tc>
          <w:tcPr>
            <w:tcW w:type="dxa" w:w="6552"/>
            <w:vAlign w:val="center"/>
            <w:tcMar>
              <w:top w:w="100" w:type="dxa"/>
              <w:start w:w="120" w:type="dxa"/>
              <w:bottom w:w="100" w:type="dxa"/>
              <w:end w:w="120" w:type="dxa"/>
            </w:tcMar>
            <w:shd w:fill="EAF1F8"/>
          </w:tcPr>
          <w:p>
            <w:r>
              <w:rPr>
                <w:sz w:val="17"/>
              </w:rPr>
              <w:t>Banach projective carrier</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T2-PO-144</w:t>
            </w:r>
          </w:p>
        </w:tc>
        <w:tc>
          <w:tcPr>
            <w:tcW w:type="dxa" w:w="6552"/>
            <w:vAlign w:val="center"/>
            <w:tcMar>
              <w:top w:w="100" w:type="dxa"/>
              <w:start w:w="120" w:type="dxa"/>
              <w:bottom w:w="100" w:type="dxa"/>
              <w:end w:w="120" w:type="dxa"/>
            </w:tcMar>
          </w:tcPr>
          <w:p>
            <w:r>
              <w:rPr>
                <w:sz w:val="17"/>
              </w:rPr>
              <w:t>independent domain run</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T2-PO-145</w:t>
            </w:r>
          </w:p>
        </w:tc>
        <w:tc>
          <w:tcPr>
            <w:tcW w:type="dxa" w:w="6552"/>
            <w:vAlign w:val="center"/>
            <w:tcMar>
              <w:top w:w="100" w:type="dxa"/>
              <w:start w:w="120" w:type="dxa"/>
              <w:bottom w:w="100" w:type="dxa"/>
              <w:end w:w="120" w:type="dxa"/>
            </w:tcMar>
            <w:shd w:fill="EAF1F8"/>
          </w:tcPr>
          <w:p>
            <w:r>
              <w:rPr>
                <w:sz w:val="17"/>
              </w:rPr>
              <w:t>physical reduction</w:t>
            </w:r>
          </w:p>
        </w:tc>
        <w:tc>
          <w:tcPr>
            <w:tcW w:type="dxa" w:w="1800"/>
            <w:vAlign w:val="center"/>
            <w:tcMar>
              <w:top w:w="100" w:type="dxa"/>
              <w:start w:w="120" w:type="dxa"/>
              <w:bottom w:w="100" w:type="dxa"/>
              <w:end w:w="120" w:type="dxa"/>
            </w:tcMar>
            <w:shd w:fill="EAF1F8"/>
          </w:tcPr>
          <w:p>
            <w:r>
              <w:rPr>
                <w:sz w:val="17"/>
              </w:rPr>
              <w:t>OPEN / Volume III</w:t>
            </w:r>
          </w:p>
        </w:tc>
      </w:tr>
    </w:tbl>
    <w:p/>
    <w:p>
      <w:pPr>
        <w:pStyle w:val="Heading1"/>
      </w:pPr>
      <w:r>
        <w:t>130. Prior art и граница авторского вклада</w:t>
      </w:r>
    </w:p>
    <w:p>
      <w:r>
        <w:t>Классический слой включает проективизацию векторных пространств, Grassmannian/orbit-type stratifications, projective metrics, конусы, descent и стратифицированные пространства. Эти конструкции не заявляются как новые.</w:t>
      </w:r>
    </w:p>
    <w:p>
      <w:r>
        <w:t>[V0.11-1] Курпишев И. Б. Реперно-проективная архитектура формульных цепочек: PILOT-01. Разделы 5-9: vector obstruction carrier, projectivization и Fano ontological barrier.</w:t>
      </w:r>
    </w:p>
    <w:p>
      <w:r>
        <w:t>[V0.11-2] Hartshorne, R. Algebraic Geometry. Chapter I, projective varieties.</w:t>
      </w:r>
    </w:p>
    <w:p>
      <w:r>
        <w:t>[V0.11-3] Goresky, M.; MacPherson, R. Stratified Morse Theory. Springer, 1988.</w:t>
      </w:r>
    </w:p>
    <w:p>
      <w:r>
        <w:t>[V0.11-4] Whitney, H. Tangents to an analytic variety. Annals of Mathematics 81 (1965).</w:t>
      </w:r>
    </w:p>
    <w:p>
      <w:r>
        <w:t>[V0.11-5] Duistermaat, J. J.; Kolk, J. A. C. Lie Groups. Orbit-type decompositions.</w:t>
      </w:r>
    </w:p>
    <w:p>
      <w:r>
        <w:t>[V0.11-6] Том I v197 RU; Том II T2-RP-v0.1-v0.10.</w:t>
      </w:r>
    </w:p>
    <w:p>
      <w:r>
        <w:t>Граница новизны. Авторская линия Курпишева связывает внутренний obstruction carrier NAPG, D/Dom-дисциплину, Evidence-D, Reper-λ-авторизацию, Fano globalization firewall, projective information-loss ledger и отрицательный предсказательный вывод в едином вычислимом контуре KLT-RBD. Общие теоремы классической проективной и стратификационной геометрии атрибутируются prior art.</w:t>
      </w:r>
    </w:p>
    <w:p>
      <w:pPr>
        <w:pStyle w:val="Heading1"/>
      </w:pPr>
      <w:r>
        <w:t>131. Итог главы и контрольная точка T2-RP-v0.11</w:t>
      </w:r>
    </w:p>
    <w:p>
      <w:pPr>
        <w:pStyle w:val="Quote"/>
        <w:jc w:val="center"/>
      </w:pPr>
      <w:r>
        <w:rPr>
          <w:rFonts w:ascii="Cambria Math" w:hAnsi="Cambria Math"/>
          <w:sz w:val="22"/>
        </w:rPr>
        <w:t>truth_layer_promotion=0; checkpoint=T2-RP-v0.11; next=T2-RP-v0.12.</w:t>
      </w:r>
      <w:r>
        <w:t xml:space="preserve">    (14.22)</w:t>
      </w:r>
    </w:p>
    <w:p>
      <w:r>
        <w:t>Глава 14 построила строгую геометрию носителей препятствий и показала предел projectivization: она сохраняет направление ненулевого класса, но не сохраняет нуль, масштаб, знак, происхождение, lift и domain. Предсказательный метод получил projective transition horizon и отрицательную теорему постоянства типа вне горизонта.</w:t>
      </w:r>
    </w:p>
    <w:p>
      <w:pPr>
        <w:pStyle w:val="Lead"/>
      </w:pPr>
      <w:r>
        <w:t>Следующая сборка tom2_v0_12 развивает каноническую главу 15: Hodge decomposition, Laplace-type operators, ellipticity, граничные условия, Fredholm sectors и аналитические оценки препятствий без автоматического переноса конечномерных результатов.</w:t>
      </w:r>
    </w:p>
    <w:p>
      <w:pPr>
        <w:pStyle w:val="Small"/>
      </w:pPr>
      <w:r>
        <w:t>checkpoint=T2-RP-v0.11; source=T2-RP-v0.10; truth_layer_promotion=0; next=T2-RP-v0.12.</w:t>
      </w:r>
    </w:p>
    <w:p>
      <w:pPr>
        <w:pStyle w:val="Heading1"/>
      </w:pPr>
      <w:r>
        <w:t>132. Глава 15. Hodge-разложение и аналитический слой NAPG</w:t>
      </w:r>
    </w:p>
    <w:tbl>
      <w:tblPr>
        <w:tblW w:type="auto" w:w="0"/>
        <w:jc w:val="center"/>
        <w:tblLayout w:type="fixed"/>
        <w:tblLook w:firstColumn="1" w:firstRow="1" w:lastColumn="0" w:lastRow="0" w:noHBand="0" w:noVBand="1" w:val="04A0"/>
      </w:tblPr>
      <w:tblGrid>
        <w:gridCol w:w="4876"/>
        <w:gridCol w:w="4876"/>
      </w:tblGrid>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ОНТОЛОГИЯ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Аналитический объект существует не как формула Δ=dδ+δd, а как оператор вместе с Hilbert-пространствами, плотным доменом, замыканием, сопряжённым оператором и граничными либо интерфейсными условиями. Потеря любого элемента меняет сам объект.</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ГНОСЕОЛОГИЯ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Hodge-представитель даёт канонический способ читать когомологический класс только после доказательства замкнутости образов или Fredholm-реализации. До этого гармоническая форма может представлять лишь редуцированную когомологию, а не удобную иллюстрацию полной истины.</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ФЕНОМЕНОЛОГИЯ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Наблюдаемая устойчивость проявляется как спектральный зазор: малые возмущения не меняют размерность гармонического сектора, пока ноль отделён от остального спектра. Закрытие зазора воспринимается как кандидат структурного перехода, а не как уже наступившее событие.</w:t>
            </w:r>
          </w:p>
        </w:tc>
      </w:tr>
      <w:tr>
        <w:tc>
          <w:tcPr>
            <w:tcW w:type="dxa" w:w="2268"/>
            <w:shd w:fill="A57516"/>
            <w:vAlign w:val="center"/>
            <w:tcMar>
              <w:top w:w="120" w:type="dxa"/>
              <w:start w:w="120" w:type="dxa"/>
              <w:bottom w:w="120" w:type="dxa"/>
              <w:end w:w="120" w:type="dxa"/>
            </w:tcMar>
          </w:tcPr>
          <w:p>
            <w:r>
              <w:rPr>
                <w:rFonts w:ascii="Liberation Sans" w:hAnsi="Liberation Sans"/>
                <w:b/>
                <w:color w:val="FFFFFF"/>
                <w:sz w:val="20"/>
              </w:rPr>
              <w:t>ГРАНИЦА</w:t>
            </w:r>
          </w:p>
        </w:tc>
        <w:tc>
          <w:tcPr>
            <w:tcW w:type="dxa" w:w="7030"/>
            <w:shd w:fill="F7EDD8"/>
            <w:vAlign w:val="center"/>
            <w:tcMar>
              <w:top w:w="120" w:type="dxa"/>
              <w:start w:w="120" w:type="dxa"/>
              <w:bottom w:w="120" w:type="dxa"/>
              <w:end w:w="120" w:type="dxa"/>
            </w:tcMar>
          </w:tcPr>
          <w:p>
            <w:r>
              <w:rPr>
                <w:rFonts w:ascii="Liberation Serif" w:hAnsi="Liberation Serif"/>
                <w:sz w:val="18"/>
              </w:rPr>
              <w:t>Ни d²=0, ни формальная симметрия, ни компактность отдельных страт сами по себе не дают эллиптичность, самосопряжённость, Fredholm-свойство или Hodge-разложение. Физический смысл не выводится из спектра без отдельного редукционного моста.</w:t>
            </w:r>
          </w:p>
        </w:tc>
      </w:tr>
    </w:tbl>
    <w:p>
      <w:pPr/>
      <w:r>
        <w:t>Цель главы. Построить аналитический слой, в котором внутренние и внешние obstruction classes получают устойчивые гармонические представители, а предсказательная процедура различает три ситуации: устойчивое ненулевое препятствие, аналитический кандидат его исчезновения и отсутствие права на вывод из-за незакрытого домена оператора.</w:t>
      </w:r>
    </w:p>
    <w:p>
      <w:pPr>
        <w:pStyle w:val="Heading2"/>
      </w:pPr>
      <w:r>
        <w:t>132.1. Шесть аналитических уровней</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Уровень</w:t>
            </w:r>
          </w:p>
        </w:tc>
        <w:tc>
          <w:tcPr>
            <w:tcW w:type="dxa" w:w="1871"/>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Объект</w:t>
            </w:r>
          </w:p>
        </w:tc>
        <w:tc>
          <w:tcPr>
            <w:tcW w:type="dxa" w:w="379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Минимальный сертификат</w:t>
            </w:r>
          </w:p>
        </w:tc>
        <w:tc>
          <w:tcPr>
            <w:tcW w:type="dxa" w:w="283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Разрешённый вывод</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A0</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precomplex</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заданы пространства и частичные d_k</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когомология запрещена</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A1</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Hilbert-комплекс</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d_k замкнуты, плотно определены, d_{k+1}d_k=0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редуцированная Hodge-декомпозиция</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A2</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closed-range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ran d_k и ran d_k* замкнуты</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обычная когомология ≅ harmonic space</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A3</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elliptic realization</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точна symbol-sequence при ξ≠0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регулярность и конечномерность на компактной базе</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A4</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boundary/Fredholm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эллиптические BC, closed range, finite kernel/cokernel</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индекс, Green operator, спектральный контроль</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A5</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predictive analytic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uniform gap, D/Dom, bridge, hashes</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отрицательный прогноз либо candidate-transition</w:t>
            </w:r>
          </w:p>
        </w:tc>
      </w:tr>
    </w:tbl>
    <w:p>
      <w:pPr>
        <w:pStyle w:val="Heading1"/>
      </w:pPr>
      <w:r>
        <w:t>133. Hilbert-комплекс NAPG</w:t>
      </w:r>
    </w:p>
    <w:p>
      <w:pPr>
        <w:pStyle w:val="Heading2"/>
      </w:pPr>
      <w:r>
        <w:t>133.1. Замкнутые дифференциалы</w:t>
      </w:r>
    </w:p>
    <w:p>
      <w:pPr/>
      <w:r>
        <w:t>Определение 15.1 (Hilbert-комплекс). [CL/DEF] Hilbert-комплексом называется семейство Hilbert-пространств H^k и плотно определённых замкнутых операторов</w:t>
      </w:r>
    </w:p>
    <w:p>
      <w:pPr>
        <w:pStyle w:val="Quote"/>
        <w:spacing w:before="60" w:after="100"/>
        <w:jc w:val="center"/>
      </w:pPr>
      <w:r>
        <w:rPr>
          <w:rFonts w:ascii="Liberation Serif" w:hAnsi="Liberation Serif"/>
          <w:i w:val="0"/>
          <w:sz w:val="21"/>
        </w:rPr>
        <w:t>d_k : D(d_k) ⊂ H^k → H^{k+1},    ran d_k ⊂ ker d_{k+1}.                                  (15.1)</w:t>
      </w:r>
    </w:p>
    <w:p>
      <w:pPr/>
      <w:r>
        <w:t>В NAPG пространство H^k может быть L²-завершением внутренних форм, внешнего E-комплекса либо прямой суммы стратовых пространств. Условие ran d_k⊂ker d_{k+1} является операторной формой d²=0 и включает требование, что композиция определена на соответствующем домене.</w:t>
      </w:r>
    </w:p>
    <w:p>
      <w:pPr/>
      <w:r>
        <w:t>Определение 15.2 (цикл, граница и две когомологии). [CL/DEF]</w:t>
      </w:r>
    </w:p>
    <w:p>
      <w:pPr>
        <w:pStyle w:val="Quote"/>
        <w:spacing w:before="60" w:after="100"/>
        <w:jc w:val="center"/>
      </w:pPr>
      <w:r>
        <w:rPr>
          <w:rFonts w:ascii="Liberation Serif" w:hAnsi="Liberation Serif"/>
          <w:i w:val="0"/>
          <w:sz w:val="21"/>
        </w:rPr>
        <w:t>Z^k = ker d_k,    B^k = ran d_{k-1},    H^k = Z^k/B^k,    H̄^k = Z^k/closure(B^k).        (15.2)</w:t>
      </w:r>
    </w:p>
    <w:p>
      <w:pPr/>
      <w:r>
        <w:t>Обычная когомология может быть нехаусдорфовой, если B^k не замкнуто. Редуцированная когомология всегда факторизует по замкнутому подпространству. Поэтому аналитический слой Тома II использует H̄^k до предъявления closed-range certificate.</w:t>
      </w:r>
    </w:p>
    <w:p>
      <w:pPr/>
      <w:r>
        <w:t>Лемма 15.1 (замыкание и adjoint). [CL/THM] Для плотно определённого замкнутого d_k существует замкнутый сопряжённый оператор d_k*, а ортогональные соотношения имеют вид</w:t>
      </w:r>
    </w:p>
    <w:p>
      <w:pPr>
        <w:pStyle w:val="Quote"/>
        <w:spacing w:before="60" w:after="100"/>
        <w:jc w:val="center"/>
      </w:pPr>
      <w:r>
        <w:rPr>
          <w:rFonts w:ascii="Liberation Serif" w:hAnsi="Liberation Serif"/>
          <w:i w:val="0"/>
          <w:sz w:val="21"/>
        </w:rPr>
        <w:t>(ran d_k)⊥ = ker d_k*,    closure(ran d_k*) = (ker d_k)⊥.                               (15.3)</w:t>
      </w:r>
    </w:p>
    <w:p>
      <w:pPr/>
      <w:r>
        <w:t>Эти равенства являются функционально-аналитической основой Hodge-разложения. Они не требуют неассоциативного произведения и потому относятся к классическому слою.</w:t>
      </w:r>
    </w:p>
    <w:p>
      <w:pPr>
        <w:pStyle w:val="Heading2"/>
      </w:pPr>
      <w:r>
        <w:t>133.2. Hodge-Laplacian как оператор с доменом</w:t>
      </w:r>
    </w:p>
    <w:p>
      <w:pPr/>
      <w:r>
        <w:t>Определение 15.3. [CL/DEF] В степени k вводится оператор</w:t>
      </w:r>
    </w:p>
    <w:p>
      <w:pPr>
        <w:pStyle w:val="Quote"/>
        <w:spacing w:before="60" w:after="100"/>
        <w:jc w:val="center"/>
      </w:pPr>
      <w:r>
        <w:rPr>
          <w:rFonts w:ascii="Liberation Serif" w:hAnsi="Liberation Serif"/>
          <w:i w:val="0"/>
          <w:sz w:val="21"/>
        </w:rPr>
        <w:t>Δ_k = d_{k-1} d_{k-1}* + d_k* d_k,                                                    (15.4)</w:t>
      </w:r>
    </w:p>
    <w:p>
      <w:pPr/>
      <w:r>
        <w:t>с доменом</w:t>
      </w:r>
    </w:p>
    <w:p>
      <w:pPr>
        <w:pStyle w:val="Quote"/>
        <w:spacing w:before="60" w:after="100"/>
        <w:jc w:val="center"/>
      </w:pPr>
      <w:r>
        <w:rPr>
          <w:rFonts w:ascii="Liberation Serif" w:hAnsi="Liberation Serif"/>
          <w:i w:val="0"/>
          <w:sz w:val="21"/>
        </w:rPr>
        <w:t>D(Δ_k)={u∈D(d_k)∩D(d_{k-1}*): d_ku∈D(d_k*), d_{k-1}*u∈D(d_{k-1})}.                (15.5)</w:t>
      </w:r>
    </w:p>
    <w:p>
      <w:pPr/>
      <w:r>
        <w:t>Формула (15.4) без (15.5) задаёт лишь формальное выражение. В граничных и сингулярных задачах разные домены порождают разные замкнутые, самосопряжённые или несамосопряжённые реализации одного и того же дифференциального выражения.</w:t>
      </w:r>
    </w:p>
    <w:p>
      <w:pPr/>
      <w:r>
        <w:t>Определение 15.4 (гармонический сектор). [CL/DEF]</w:t>
      </w:r>
    </w:p>
    <w:p>
      <w:pPr>
        <w:pStyle w:val="Quote"/>
        <w:spacing w:before="60" w:after="100"/>
        <w:jc w:val="center"/>
      </w:pPr>
      <w:r>
        <w:rPr>
          <w:rFonts w:ascii="Liberation Serif" w:hAnsi="Liberation Serif"/>
          <w:i w:val="0"/>
          <w:sz w:val="21"/>
        </w:rPr>
        <w:t>𝓗^k = ker d_k ∩ ker d_{k-1}* = ker Δ_k.                                               (15.6)</w:t>
      </w:r>
    </w:p>
    <w:p>
      <w:pPr/>
      <w:r>
        <w:t>Равенство с ker Δ_k следует из энергетического тождества</w:t>
      </w:r>
    </w:p>
    <w:p>
      <w:pPr>
        <w:pStyle w:val="Quote"/>
        <w:spacing w:before="60" w:after="100"/>
        <w:jc w:val="center"/>
      </w:pPr>
      <w:r>
        <w:rPr>
          <w:rFonts w:ascii="Liberation Serif" w:hAnsi="Liberation Serif"/>
          <w:i w:val="0"/>
          <w:sz w:val="21"/>
        </w:rPr>
        <w:t>⟨Δ_ku,u⟩ = ||d_ku||² + ||d_{k-1}*u||².                                                (15.7)</w:t>
      </w:r>
    </w:p>
    <w:p>
      <w:pPr/>
      <w:r>
        <w:t>Тождество требует, чтобы u принадлежал операторному домену; интегрирование по частям не должно оставлять неконтролируемый граничный член.</w:t>
      </w:r>
    </w:p>
    <w:p>
      <w:pPr>
        <w:pStyle w:val="Heading1"/>
      </w:pPr>
      <w:r>
        <w:t>134. Слабое и сильное Hodge-разложение</w:t>
      </w:r>
    </w:p>
    <w:p>
      <w:pPr/>
      <w:r>
        <w:t>Теорема 15.2 (слабое Hodge-разложение Hilbert-комплекса). [CL/THM] Для каждого k существует ортогональное разложение</w:t>
      </w:r>
    </w:p>
    <w:p>
      <w:pPr>
        <w:pStyle w:val="Quote"/>
        <w:spacing w:before="60" w:after="100"/>
        <w:jc w:val="center"/>
      </w:pPr>
      <w:r>
        <w:rPr>
          <w:rFonts w:ascii="Liberation Serif" w:hAnsi="Liberation Serif"/>
          <w:i w:val="0"/>
          <w:sz w:val="21"/>
        </w:rPr>
        <w:t>H^k = closure(ran d_{k-1}) ⊕ 𝓗^k ⊕ closure(ran d_k*).                                  (15.8)</w:t>
      </w:r>
    </w:p>
    <w:p>
      <w:pPr/>
      <w:r>
        <w:t>Следовательно, каноническое отображение 𝓗^k→H̄^k является изометрическим изоморфизмом. Для обычной когомологии H^k то же утверждение верно при замкнутости ran d_{k-1}.</w:t>
      </w:r>
    </w:p>
    <w:p>
      <w:pPr>
        <w:spacing w:before="80" w:after="40"/>
        <w:jc w:val="center"/>
      </w:pPr>
      <w:r>
        <w:drawing>
          <wp:inline xmlns:a="http://schemas.openxmlformats.org/drawingml/2006/main" xmlns:pic="http://schemas.openxmlformats.org/drawingml/2006/picture">
            <wp:extent cx="5616000" cy="2932829"/>
            <wp:docPr id="36" name="Picture 36"/>
            <wp:cNvGraphicFramePr>
              <a:graphicFrameLocks noChangeAspect="1"/>
            </wp:cNvGraphicFramePr>
            <a:graphic>
              <a:graphicData uri="http://schemas.openxmlformats.org/drawingml/2006/picture">
                <pic:pic>
                  <pic:nvPicPr>
                    <pic:cNvPr id="0" name="hodge_split.png"/>
                    <pic:cNvPicPr/>
                  </pic:nvPicPr>
                  <pic:blipFill>
                    <a:blip r:embed="rId65"/>
                    <a:stretch>
                      <a:fillRect/>
                    </a:stretch>
                  </pic:blipFill>
                  <pic:spPr>
                    <a:xfrm>
                      <a:off x="0" y="0"/>
                      <a:ext cx="5616000" cy="2932829"/>
                    </a:xfrm>
                    <a:prstGeom prst="rect"/>
                  </pic:spPr>
                </pic:pic>
              </a:graphicData>
            </a:graphic>
          </wp:inline>
        </w:drawing>
      </w:r>
    </w:p>
    <w:p>
      <w:pPr>
        <w:pStyle w:val="Caption"/>
        <w:keepNext w:val="0"/>
        <w:jc w:val="center"/>
      </w:pPr>
      <w:r>
        <w:t>Рисунок 15.1. Hilbert-комплекс и слабое Hodge-разложение; переход к обычной когомологии требует closed-range certificate. Собственная схема Тома II.</w:t>
      </w:r>
    </w:p>
    <w:p>
      <w:pPr/>
      <w:r>
        <w:t>Теорема 15.3 (сильное разложение). [CL/THM] Следующие условия эквивалентны в фиксированной степени:</w:t>
      </w:r>
    </w:p>
    <w:p>
      <w:pPr>
        <w:pStyle w:val="ListBullet"/>
        <w:spacing w:after="40"/>
      </w:pPr>
      <w:r>
        <w:t>ran d_{k-1} и ran d_k* замкнуты;</w:t>
      </w:r>
    </w:p>
    <w:p>
      <w:pPr>
        <w:pStyle w:val="ListBullet"/>
        <w:spacing w:after="40"/>
      </w:pPr>
      <w:r>
        <w:t>H^k = ran d_{k-1} ⊕ 𝓗^k ⊕ ran d_k*;</w:t>
      </w:r>
    </w:p>
    <w:p>
      <w:pPr>
        <w:pStyle w:val="ListBullet"/>
        <w:spacing w:after="40"/>
      </w:pPr>
      <w:r>
        <w:t>существует C_k&gt;0, для которого ||u||≤C_k(||d_ku||+||d_{k-1}*u||) на D(d_k)∩D(d_{k-1}*)∩(𝓗^k)⊥;</w:t>
      </w:r>
    </w:p>
    <w:p>
      <w:pPr>
        <w:pStyle w:val="ListBullet"/>
        <w:spacing w:after="40"/>
      </w:pPr>
      <w:r>
        <w:t>ноль изолирован в спектре Δ_k на (𝓗^k)⊥.</w:t>
      </w:r>
    </w:p>
    <w:p>
      <w:pPr/>
      <w:r>
        <w:t>Последний пункт понимается в самосопряжённой неотрицательной реализации. В общем замкнутом Hilbert-комплексе спектральная формулировка требует отдельного self-adjoint certificate.</w:t>
      </w:r>
    </w:p>
    <w:p>
      <w:pPr>
        <w:pStyle w:val="Quote"/>
        <w:spacing w:before="60" w:after="100"/>
        <w:jc w:val="center"/>
      </w:pPr>
      <w:r>
        <w:rPr>
          <w:rFonts w:ascii="Liberation Serif" w:hAnsi="Liberation Serif"/>
          <w:i w:val="0"/>
          <w:sz w:val="21"/>
        </w:rPr>
        <w:t>γ_k := inf( spectrum(Δ_k) \ {0} ) &gt; 0.                                               (15.9)</w:t>
      </w:r>
    </w:p>
    <w:p>
      <w:pPr/>
      <w:r>
        <w:t>Число γ_k называется спектральным зазором. Его обратная величина контролирует норму Green-оператора и чувствительность аналитического восстановления.</w:t>
      </w:r>
    </w:p>
    <w:p>
      <w:pPr>
        <w:pStyle w:val="Heading2"/>
      </w:pPr>
      <w:r>
        <w:t>134.1. Green-оператор и минимальный примитив</w:t>
      </w:r>
    </w:p>
    <w:p>
      <w:pPr/>
      <w:r>
        <w:t>При γ_k&gt;0 определяется ограниченный Green-оператор</w:t>
      </w:r>
    </w:p>
    <w:p>
      <w:pPr>
        <w:pStyle w:val="Quote"/>
        <w:spacing w:before="60" w:after="100"/>
        <w:jc w:val="center"/>
      </w:pPr>
      <w:r>
        <w:rPr>
          <w:rFonts w:ascii="Liberation Serif" w:hAnsi="Liberation Serif"/>
          <w:i w:val="0"/>
          <w:sz w:val="21"/>
        </w:rPr>
        <w:t>G_k = (Δ_k |_{(𝓗^k)⊥})^{-1}(I-P_{𝓗^k}),    ||G_k|| ≤ 1/γ_k.                            (15.10)</w:t>
      </w:r>
    </w:p>
    <w:p>
      <w:pPr/>
      <w:r>
        <w:t>Для замкнутого q∈Z^k Hodge-разложение принимает форму</w:t>
      </w:r>
    </w:p>
    <w:p>
      <w:pPr>
        <w:pStyle w:val="Quote"/>
        <w:spacing w:before="60" w:after="100"/>
        <w:jc w:val="center"/>
      </w:pPr>
      <w:r>
        <w:rPr>
          <w:rFonts w:ascii="Liberation Serif" w:hAnsi="Liberation Serif"/>
          <w:i w:val="0"/>
          <w:sz w:val="21"/>
        </w:rPr>
        <w:t>q = d_{k-1}a_min + h,    h=P_{𝓗^k}q,    a_min=d_{k-1}*G_kq.                            (15.11)</w:t>
      </w:r>
    </w:p>
    <w:p>
      <w:pPr/>
      <w:r>
        <w:t>Отсюда следует оценка</w:t>
      </w:r>
    </w:p>
    <w:p>
      <w:pPr>
        <w:pStyle w:val="Quote"/>
        <w:spacing w:before="60" w:after="100"/>
        <w:jc w:val="center"/>
      </w:pPr>
      <w:r>
        <w:rPr>
          <w:rFonts w:ascii="Liberation Serif" w:hAnsi="Liberation Serif"/>
          <w:i w:val="0"/>
          <w:sz w:val="21"/>
        </w:rPr>
        <w:t>||a_min|| ≤ γ_k^{-1/2} ||q-P_{𝓗^k}q||.                                               (15.12)</w:t>
      </w:r>
    </w:p>
    <w:p>
      <w:pPr/>
      <w:r>
        <w:t>Малый зазор делает примитив плохо обусловленным даже при нулевом гармоническом препятствии. Поэтому «класс исчез» и «разрешение устойчиво вычисляется» являются разными статусами.</w:t>
      </w:r>
    </w:p>
    <w:p>
      <w:pPr>
        <w:pStyle w:val="Heading1"/>
      </w:pPr>
      <w:r>
        <w:t>135. Эллиптические комплексы и операторы лапласовского типа</w:t>
      </w:r>
    </w:p>
    <w:p>
      <w:pPr>
        <w:pStyle w:val="Heading2"/>
      </w:pPr>
      <w:r>
        <w:t>135.1. Principal symbol и точность</w:t>
      </w:r>
    </w:p>
    <w:p>
      <w:pPr/>
      <w:r>
        <w:t>Пусть E^k→M - конечномерные векторные расслоения над гладкой стратой M, а d_k - дифференциальные операторы первого порядка. Их последовательность называется эллиптическим комплексом, если для каждого x∈M и каждого ξ∈T_x*M\{0} символическая последовательность точна:</w:t>
      </w:r>
    </w:p>
    <w:p>
      <w:pPr>
        <w:pStyle w:val="Quote"/>
        <w:spacing w:before="60" w:after="100"/>
        <w:jc w:val="center"/>
      </w:pPr>
      <w:r>
        <w:rPr>
          <w:rFonts w:ascii="Liberation Serif" w:hAnsi="Liberation Serif"/>
          <w:i w:val="0"/>
          <w:sz w:val="21"/>
        </w:rPr>
        <w:t>0 → E_x^0 --σ(d_0)(x,ξ)→ E_x^1 → ... → E_x^N → 0.                                  (15.13)</w:t>
      </w:r>
    </w:p>
    <w:p>
      <w:pPr/>
      <w:r>
        <w:t>Теорема 15.4 (эллиптичность Hodge-Laplacian). [CL/THM] Для эллиптического комплекса principal symbol оператора Δ_k положительно определён и равен</w:t>
      </w:r>
    </w:p>
    <w:p>
      <w:pPr>
        <w:pStyle w:val="Quote"/>
        <w:spacing w:before="60" w:after="100"/>
        <w:jc w:val="center"/>
      </w:pPr>
      <w:r>
        <w:rPr>
          <w:rFonts w:ascii="Liberation Serif" w:hAnsi="Liberation Serif"/>
          <w:i w:val="0"/>
          <w:sz w:val="21"/>
        </w:rPr>
        <w:t>σ_2(Δ_k)(x,ξ)=σ(d_{k-1})σ(d_{k-1})* + σ(d_k)*σ(d_k),    ξ≠0.                         (15.14)</w:t>
      </w:r>
    </w:p>
    <w:p>
      <w:pPr/>
      <w:r>
        <w:t>На компактном многообразии без края это ведёт к elliptic regularity, конечномерности гармонического пространства и дискретному спектру после выбора стандартной L²-реализации.</w:t>
      </w:r>
    </w:p>
    <w:p>
      <w:pPr/>
      <w:r>
        <w:t>Определение 15.5 (оператор лапласовского типа). [CL/DEF] Дифференциальный оператор второго порядка L называется Laplace-type, если</w:t>
      </w:r>
    </w:p>
    <w:p>
      <w:pPr>
        <w:pStyle w:val="Quote"/>
        <w:spacing w:before="60" w:after="100"/>
        <w:jc w:val="center"/>
      </w:pPr>
      <w:r>
        <w:rPr>
          <w:rFonts w:ascii="Liberation Serif" w:hAnsi="Liberation Serif"/>
          <w:i w:val="0"/>
          <w:sz w:val="21"/>
        </w:rPr>
        <w:t>σ_2(L)(x,ξ)=|ξ|_g² Id.                                                                  (15.15)</w:t>
      </w:r>
    </w:p>
    <w:p>
      <w:pPr/>
      <w:r>
        <w:t>Не всякий Hodge-Laplacian NAPG автоматически имеет этот символ. Требуется проверка метрики, главных частей d и δ, а также интерфейсных условий. Неассоциативность внутреннего произведения влияет на lower-order terms либо на сами коэффициенты d только при явно заданном мосте.</w:t>
      </w:r>
    </w:p>
    <w:p>
      <w:pPr/>
      <w:r>
        <w:t>Контртеорема 15.5 (d²=0 не влечёт эллиптичность). [THM] На бесконечномерном Hilbert-пространстве можно положить d=0. Тогда d²=0, но Δ=0 имеет бесконечномерное ядро, не является Fredholm и не создаёт спектрального зазора. Следовательно, nilpotency является когомологическим, а не эллиптическим сертификатом.</w:t>
      </w:r>
    </w:p>
    <w:p>
      <w:pPr>
        <w:pStyle w:val="Heading1"/>
      </w:pPr>
      <w:r>
        <w:t>136. Граничные и интерфейсные условия</w:t>
      </w:r>
    </w:p>
    <w:p>
      <w:pPr/>
      <w:r>
        <w:t>На компактной гладкой базе с краем формальный оператор становится аналитическим объектом только после задания operator domain. Для de Rham-комплекса обозначим через tω тангенциальный след i*ω, а через nω нормальный след i*(ι_νω), где ν - единичная внешняя нормаль.</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Режим</w:t>
            </w:r>
          </w:p>
        </w:tc>
        <w:tc>
          <w:tcPr>
            <w:tcW w:type="dxa" w:w="2324"/>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Условия для ω</w:t>
            </w:r>
          </w:p>
        </w:tc>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Когомологический тип</w:t>
            </w:r>
          </w:p>
        </w:tc>
        <w:tc>
          <w:tcPr>
            <w:tcW w:type="dxa" w:w="300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Статус в NAPG</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relative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tω=0,  tδω=0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относительная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trace spaces</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absolute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nω=0,  ndω=0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абсолютная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Green formula</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general elliptic B</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Bγ(ω)=0 + complementing condition</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зависит от B</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COND: нужны self-adjoint/Fredholm certificates</w:t>
            </w:r>
          </w:p>
        </w:tc>
      </w:tr>
    </w:tbl>
    <w:p>
      <w:pPr/>
      <w:r>
        <w:t>Теорема 15.6 (граничный firewall). [CL/COND] Для гладкого компактного M с гладкой границей absolute и relative реализации Hodge-Laplacian являются эллиптическими самосопряжёнными задачами при стандартных соглашениях. Для общего NAPG-оператора этот вывод разрешён только после проверки:</w:t>
      </w:r>
    </w:p>
    <w:p>
      <w:pPr>
        <w:pStyle w:val="ListBullet"/>
        <w:spacing w:after="40"/>
      </w:pPr>
      <w:r>
        <w:t>Green formula и корректных trace spaces;</w:t>
      </w:r>
    </w:p>
    <w:p>
      <w:pPr>
        <w:pStyle w:val="ListBullet"/>
        <w:spacing w:after="40"/>
      </w:pPr>
      <w:r>
        <w:t>эллиптичности interior symbol;</w:t>
      </w:r>
    </w:p>
    <w:p>
      <w:pPr>
        <w:pStyle w:val="ListBullet"/>
        <w:spacing w:after="40"/>
      </w:pPr>
      <w:r>
        <w:t>условия Лопатинского-Шапиро либо эквивалентного elliptic boundary condition;</w:t>
      </w:r>
    </w:p>
    <w:p>
      <w:pPr>
        <w:pStyle w:val="ListBullet"/>
        <w:spacing w:after="40"/>
      </w:pPr>
      <w:r>
        <w:t>симметрии или self-adjoint extension, если используется спектральная теорема;</w:t>
      </w:r>
    </w:p>
    <w:p>
      <w:pPr>
        <w:pStyle w:val="ListBullet"/>
        <w:spacing w:after="40"/>
      </w:pPr>
      <w:r>
        <w:t>совместимости граничного домена с d²=0 и с градуировкой.</w:t>
      </w:r>
    </w:p>
    <w:p>
      <w:pPr>
        <w:spacing w:before="80" w:after="40"/>
        <w:jc w:val="center"/>
      </w:pPr>
      <w:r>
        <w:drawing>
          <wp:inline xmlns:a="http://schemas.openxmlformats.org/drawingml/2006/main" xmlns:pic="http://schemas.openxmlformats.org/drawingml/2006/picture">
            <wp:extent cx="5652000" cy="2996570"/>
            <wp:docPr id="37" name="Picture 37"/>
            <wp:cNvGraphicFramePr>
              <a:graphicFrameLocks noChangeAspect="1"/>
            </wp:cNvGraphicFramePr>
            <a:graphic>
              <a:graphicData uri="http://schemas.openxmlformats.org/drawingml/2006/picture">
                <pic:pic>
                  <pic:nvPicPr>
                    <pic:cNvPr id="0" name="boundary_firewall.png"/>
                    <pic:cNvPicPr/>
                  </pic:nvPicPr>
                  <pic:blipFill>
                    <a:blip r:embed="rId66"/>
                    <a:stretch>
                      <a:fillRect/>
                    </a:stretch>
                  </pic:blipFill>
                  <pic:spPr>
                    <a:xfrm>
                      <a:off x="0" y="0"/>
                      <a:ext cx="5652000" cy="2996570"/>
                    </a:xfrm>
                    <a:prstGeom prst="rect"/>
                  </pic:spPr>
                </pic:pic>
              </a:graphicData>
            </a:graphic>
          </wp:inline>
        </w:drawing>
      </w:r>
    </w:p>
    <w:p>
      <w:pPr>
        <w:pStyle w:val="Caption"/>
        <w:keepNext w:val="0"/>
        <w:jc w:val="center"/>
      </w:pPr>
      <w:r>
        <w:t>Рисунок 15.2. Граничный аналитический firewall: principal symbol, operator domain и elliptic boundary condition проверяются раздельно. Собственная схема Тома II.</w:t>
      </w:r>
    </w:p>
    <w:p>
      <w:pPr/>
      <w:r>
        <w:t>Контртеорема 15.7 (формальная симметрия не равна самосопряжённости). [THM] Дифференциальное выражение -d²/dx² на интервале формально симметрично, но без граничного домена не определяет единственный самосопряжённый оператор. Dirichlet, Neumann, Robin и смешанные реализации имеют разные спектры. Следовательно, спектральная сигнатура без BC-ID не является воспроизводимой.</w:t>
      </w:r>
    </w:p>
    <w:p>
      <w:pPr>
        <w:pStyle w:val="Heading1"/>
      </w:pPr>
      <w:r>
        <w:t>137. Стратифицированная Hodge-реализация NAPG</w:t>
      </w:r>
    </w:p>
    <w:p>
      <w:pPr/>
      <w:r>
        <w:t>Пусть X=⊔_α S_α - конечная стратифицированная база. На каждой страте задан Hilbert-комплекс H_α^• и Hodge-оператор. Предварительное пространство имеет вид</w:t>
      </w:r>
    </w:p>
    <w:p>
      <w:pPr>
        <w:pStyle w:val="Quote"/>
        <w:spacing w:before="60" w:after="100"/>
        <w:jc w:val="center"/>
      </w:pPr>
      <w:r>
        <w:rPr>
          <w:rFonts w:ascii="Liberation Serif" w:hAnsi="Liberation Serif"/>
          <w:i w:val="0"/>
          <w:sz w:val="21"/>
        </w:rPr>
        <w:t>H_str^k = direct_sum_α L²Ω^k(S_α,E_α).                                                 (15.16)</w:t>
      </w:r>
    </w:p>
    <w:p>
      <w:pPr/>
      <w:r>
        <w:t>Определение 15.6 (interface domain). [DEF-A/COND] Глобальный домен D_int(d) состоит из наборов u=(u_α), удовлетворяющих стратовым Sobolev-условиям и системе transmission equations</w:t>
      </w:r>
    </w:p>
    <w:p>
      <w:pPr>
        <w:pStyle w:val="Quote"/>
        <w:spacing w:before="60" w:after="100"/>
        <w:jc w:val="center"/>
      </w:pPr>
      <w:r>
        <w:rPr>
          <w:rFonts w:ascii="Liberation Serif" w:hAnsi="Liberation Serif"/>
          <w:i w:val="0"/>
          <w:sz w:val="21"/>
        </w:rPr>
        <w:t>T_{αβ}^+ u_α = T_{αβ}^- u_β    на каждой допустимой incidence interface.             (15.17)</w:t>
      </w:r>
    </w:p>
    <w:p>
      <w:pPr/>
      <w:r>
        <w:t>Карты T_{αβ} являются частью данных и включают следы, ориентацию, вес меры, Hodge-совместимость и D/Dom. Без них прямая сумма страт создаёт ложные независимые гармонические моды.</w:t>
      </w:r>
    </w:p>
    <w:p>
      <w:pPr/>
      <w:r>
        <w:t>Условный пакет STR-HDG состоит из:</w:t>
      </w:r>
    </w:p>
    <w:p>
      <w:pPr>
        <w:pStyle w:val="ListBullet"/>
        <w:spacing w:after="40"/>
      </w:pPr>
      <w:r>
        <w:t>стратовой эллиптичности и uniform control главных символов;</w:t>
      </w:r>
    </w:p>
    <w:p>
      <w:pPr>
        <w:pStyle w:val="ListBullet"/>
        <w:spacing w:after="40"/>
      </w:pPr>
      <w:r>
        <w:t>ideal boundary conditions около сингулярных ссылок или конусов;</w:t>
      </w:r>
    </w:p>
    <w:p>
      <w:pPr>
        <w:pStyle w:val="ListBullet"/>
        <w:spacing w:after="40"/>
      </w:pPr>
      <w:r>
        <w:t>замкнутости total differential и его adjoint;</w:t>
      </w:r>
    </w:p>
    <w:p>
      <w:pPr>
        <w:pStyle w:val="ListBullet"/>
        <w:spacing w:after="40"/>
      </w:pPr>
      <w:r>
        <w:t>compact embedding либо иного механизма Fredholmness;</w:t>
      </w:r>
    </w:p>
    <w:p>
      <w:pPr>
        <w:pStyle w:val="ListBullet"/>
        <w:spacing w:after="40"/>
      </w:pPr>
      <w:r>
        <w:t>согласованности transmission maps с descent data главы 7;</w:t>
      </w:r>
    </w:p>
    <w:p>
      <w:pPr>
        <w:pStyle w:val="ListBullet"/>
        <w:spacing w:after="40"/>
      </w:pPr>
      <w:r>
        <w:t>явной проверки, какую intersection/L²-cohomology реализует выбранный домен.</w:t>
      </w:r>
    </w:p>
    <w:p>
      <w:pPr/>
      <w:r>
        <w:t>Результаты Cheeger-type Hodge theory показывают, что на стратифицированных псевдомногообразиях выбор ideal boundary conditions является содержательной частью теории. Том II не переносит их автоматически на любую NAPG-стратификацию; это остаётся proof obligation T2-PO-164-T2-PO-166.</w:t>
      </w:r>
    </w:p>
    <w:p>
      <w:pPr>
        <w:pStyle w:val="Heading1"/>
      </w:pPr>
      <w:r>
        <w:t>138. Fredholm-секторы и индекс</w:t>
      </w:r>
    </w:p>
    <w:p>
      <w:pPr/>
      <w:r>
        <w:t>Определение 15.7. [CL/DEF] Замкнутый оператор T:D(T)⊂H_0→H_1 называется Fredholm, если ran T замкнут, dim ker T&lt;∞ и dim coker T&lt;∞. Его индекс равен</w:t>
      </w:r>
    </w:p>
    <w:p>
      <w:pPr>
        <w:pStyle w:val="Quote"/>
        <w:spacing w:before="60" w:after="100"/>
        <w:jc w:val="center"/>
      </w:pPr>
      <w:r>
        <w:rPr>
          <w:rFonts w:ascii="Liberation Serif" w:hAnsi="Liberation Serif"/>
          <w:i w:val="0"/>
          <w:sz w:val="21"/>
        </w:rPr>
        <w:t>ind T = dim ker T - dim coker T.                                                        (15.18)</w:t>
      </w:r>
    </w:p>
    <w:p>
      <w:pPr/>
      <w:r>
        <w:t>Для Z₂-градуированного Hodge-Dirac оператора D_H=d+δ вводится</w:t>
      </w:r>
    </w:p>
    <w:p>
      <w:pPr>
        <w:pStyle w:val="Quote"/>
        <w:spacing w:before="60" w:after="100"/>
        <w:jc w:val="center"/>
      </w:pPr>
      <w:r>
        <w:rPr>
          <w:rFonts w:ascii="Liberation Serif" w:hAnsi="Liberation Serif"/>
          <w:i w:val="0"/>
          <w:sz w:val="21"/>
        </w:rPr>
        <w:t>D_H^+ : H^{even} → H^{odd},    ind D_H^+ = sum_k (-1)^k dim H^k.                       (15.19)</w:t>
      </w:r>
    </w:p>
    <w:p>
      <w:pPr/>
      <w:r>
        <w:t>Равенство с эйлеровой характеристикой требует Fredholm-комплекса. В некомпактной или сингулярной задаче оно не выводится из формальной записи d+δ.</w:t>
      </w:r>
    </w:p>
    <w:p>
      <w:pPr/>
      <w:r>
        <w:t>Теорема 15.8 (стабильность индекса). [CL/THM] Индекс локально постоянен в непрерывном семействе Fredholm-операторов. Поэтому изменение ind D_H^+ возможно только при выходе из Fredholm-сектора: потере closed range, уходе ядра или коядра в бесконечность либо разрушении домена.</w:t>
      </w:r>
    </w:p>
    <w:p>
      <w:pPr/>
      <w:r>
        <w:t>Определение 15.8 (compact-resolvent sector). [CL/DEF] Самосопряжённая реализация Δ имеет компактный резольвент, если (Δ+I)^{-1} компактен. Тогда спектр дискретен, собственные значения имеют конечную кратность и стремятся к +∞. Наличие компактного резольвента является сильнее Fredholmness в фиксированной степени.</w:t>
      </w:r>
    </w:p>
    <w:p>
      <w:pPr>
        <w:pStyle w:val="Heading1"/>
      </w:pPr>
      <w:r>
        <w:t>139. Гармоническая аналитика препятствий</w:t>
      </w:r>
    </w:p>
    <w:p>
      <w:pPr>
        <w:pStyle w:val="Heading2"/>
      </w:pPr>
      <w:r>
        <w:t>139.1. Harmonic obstruction norm</w:t>
      </w:r>
    </w:p>
    <w:p>
      <w:pPr/>
      <w:r>
        <w:t>Пусть q∈Z^3(E) представляет внешний класс Π_E(o) главы 13, а выбранная реализация E^• удовлетворяет closed-range Hodge package. Определим</w:t>
      </w:r>
    </w:p>
    <w:p>
      <w:pPr>
        <w:pStyle w:val="Quote"/>
        <w:spacing w:before="60" w:after="100"/>
        <w:jc w:val="center"/>
      </w:pPr>
      <w:r>
        <w:rPr>
          <w:rFonts w:ascii="Liberation Serif" w:hAnsi="Liberation Serif"/>
          <w:i w:val="0"/>
          <w:sz w:val="21"/>
        </w:rPr>
        <w:t>h_E(o)=P_{𝓗_E^3}q,    η_H(o)=||h_E(o)||.                                               (15.20)</w:t>
      </w:r>
    </w:p>
    <w:p>
      <w:pPr/>
      <w:r>
        <w:t>Теорема 15.9 (точная аналитическая детекция). [THM/COND] При closed range величина η_H не зависит от представителя q и удовлетворяет</w:t>
      </w:r>
    </w:p>
    <w:p>
      <w:pPr>
        <w:pStyle w:val="Quote"/>
        <w:spacing w:before="60" w:after="100"/>
        <w:jc w:val="center"/>
      </w:pPr>
      <w:r>
        <w:rPr>
          <w:rFonts w:ascii="Liberation Serif" w:hAnsi="Liberation Serif"/>
          <w:i w:val="0"/>
          <w:sz w:val="21"/>
        </w:rPr>
        <w:t>η_H(o) = dist(q, ran d_E²),    η_H(o)=0 ⇔ Π_E(o)=0.                                   (15.21)</w:t>
      </w:r>
    </w:p>
    <w:p>
      <w:pPr/>
      <w:r>
        <w:t>Если Π_E faithful, ноль η_H эквивалентен нулю внутреннего класса o. Без инъективности внешний harmonic zero не исключает Blind_E.</w:t>
      </w:r>
    </w:p>
    <w:p>
      <w:pPr/>
      <w:r>
        <w:t>Определение 15.9 (analytic conditioning ledger). [DEF-A]</w:t>
      </w:r>
    </w:p>
    <w:p>
      <w:pPr>
        <w:pStyle w:val="Quote"/>
        <w:spacing w:before="60" w:after="100"/>
        <w:jc w:val="center"/>
      </w:pPr>
      <w:r>
        <w:rPr>
          <w:rFonts w:ascii="Liberation Serif" w:hAnsi="Liberation Serif"/>
          <w:i w:val="0"/>
          <w:sz w:val="21"/>
        </w:rPr>
        <w:t>Cond_H = (γ_3^{-1}, ||G_3||, ||P_H||, trace_constant, interface_constant).             (15.22)</w:t>
      </w:r>
    </w:p>
    <w:p>
      <w:pPr/>
      <w:r>
        <w:t>В самосопряжённой ортогональной модели ||P_H||=1, однако остальные величины могут расходиться при приближении к переходному горизонту. Пороговый прогноз без Cond_H запрещён.</w:t>
      </w:r>
    </w:p>
    <w:p>
      <w:pPr/>
      <w:r>
        <w:t>Теорема 15.10 (устойчивое ненулевое препятствие). [THM/COMP] Пусть на компактном параметрическом интервале I реализации Δ_{3,t} norm-resolvent continuous, harmonic rank постоянен, γ_3(t)≥g_0&gt;0, а q_t непрерывен. Тогда spectral projector</w:t>
      </w:r>
    </w:p>
    <w:p>
      <w:pPr>
        <w:pStyle w:val="Quote"/>
        <w:spacing w:before="60" w:after="100"/>
        <w:jc w:val="center"/>
      </w:pPr>
      <w:r>
        <w:rPr>
          <w:rFonts w:ascii="Liberation Serif" w:hAnsi="Liberation Serif"/>
          <w:i w:val="0"/>
          <w:sz w:val="21"/>
        </w:rPr>
        <w:t>P_t = (2πi)^{-1} contour_integral_Γ (z-Δ_{3,t})^{-1} dz                            (15.23)</w:t>
      </w:r>
    </w:p>
    <w:p>
      <w:pPr/>
      <w:r>
        <w:t>зависит непрерывно от t. Если η_H(t)≥ε_H&gt;0 на I, класс Π_{E,t}(o_t) не может исчезнуть на I. Это даёт отрицательный прогноз для переходов, требующих снятия данного внешнего препятствия.</w:t>
      </w:r>
    </w:p>
    <w:p>
      <w:pPr/>
      <w:r>
        <w:t>Следствие 15.10.1. Если η_H(t_0)=0 и uniform gap сохраняется, то в окрестности t_0 harmonic class остаётся малым, но точный ноль в соседних точках не следует без дополнительной структурной симметрии. Численная близость к нулю не является доказательством exactness.</w:t>
      </w:r>
    </w:p>
    <w:p>
      <w:pPr>
        <w:pStyle w:val="Heading1"/>
      </w:pPr>
      <w:r>
        <w:t>140. Hodge-Fredholm переходный горизонт</w:t>
      </w:r>
    </w:p>
    <w:p>
      <w:pPr>
        <w:pStyle w:val="Quote"/>
        <w:spacing w:before="60" w:after="100"/>
        <w:jc w:val="center"/>
      </w:pPr>
      <w:r>
        <w:rPr>
          <w:rFonts w:ascii="Liberation Serif" w:hAnsi="Liberation Serif"/>
          <w:i w:val="0"/>
          <w:sz w:val="21"/>
        </w:rPr>
        <w:t>Δ_HF = Δ_{d²} ∪ Δ_{dom} ∪ Δ_{ell} ∪ Δ_{BC} ∪ Δ_{range} ∪ Δ_{gap} ∪ Δ_{harm} ∪ Δ_{int} ∪ Δ_D ∪ Δ_Dom ∪ Δ_{glue}.    (15.24)</w:t>
      </w:r>
    </w:p>
    <w:p>
      <w:pPr/>
      <w:r>
        <w:t>Компоненты означают соответственно: нарушение комплекса; смену operator domain; потерю ellipticity; дефект boundary condition; незамкнутость образа; закрытие spectral gap; изменение harmonic rank; разрушение transmission data; повреждение Evidence-D, Dom или descent.</w:t>
      </w:r>
    </w:p>
    <w:p>
      <w:pPr>
        <w:spacing w:before="80" w:after="40"/>
        <w:jc w:val="center"/>
      </w:pPr>
      <w:r>
        <w:drawing>
          <wp:inline xmlns:a="http://schemas.openxmlformats.org/drawingml/2006/main" xmlns:pic="http://schemas.openxmlformats.org/drawingml/2006/picture">
            <wp:extent cx="5652000" cy="3373629"/>
            <wp:docPr id="38" name="Picture 38"/>
            <wp:cNvGraphicFramePr>
              <a:graphicFrameLocks noChangeAspect="1"/>
            </wp:cNvGraphicFramePr>
            <a:graphic>
              <a:graphicData uri="http://schemas.openxmlformats.org/drawingml/2006/picture">
                <pic:pic>
                  <pic:nvPicPr>
                    <pic:cNvPr id="0" name="hf_horizon.png"/>
                    <pic:cNvPicPr/>
                  </pic:nvPicPr>
                  <pic:blipFill>
                    <a:blip r:embed="rId67"/>
                    <a:stretch>
                      <a:fillRect/>
                    </a:stretch>
                  </pic:blipFill>
                  <pic:spPr>
                    <a:xfrm>
                      <a:off x="0" y="0"/>
                      <a:ext cx="5652000" cy="3373629"/>
                    </a:xfrm>
                    <a:prstGeom prst="rect"/>
                  </pic:spPr>
                </pic:pic>
              </a:graphicData>
            </a:graphic>
          </wp:inline>
        </w:drawing>
      </w:r>
    </w:p>
    <w:p>
      <w:pPr>
        <w:pStyle w:val="Caption"/>
        <w:keepNext w:val="0"/>
        <w:jc w:val="center"/>
      </w:pPr>
      <w:r>
        <w:t>Рисунок 15.3. Hodge-Fredholm переходный горизонт и трёхзначный аналитический вывод. Собственная схема Тома II.</w:t>
      </w:r>
    </w:p>
    <w:p>
      <w:pPr/>
      <w:r>
        <w:t>Теорема 15.11 (необходимость пересечения аналитического горизонта). [THM/COND] В norm-resolvent continuous семействе Fredholm Hodge-реализаций с uniform gap, постоянным доменом и закрытыми D/Dom-условиями профиль</w:t>
      </w:r>
    </w:p>
    <w:p>
      <w:pPr>
        <w:pStyle w:val="Quote"/>
        <w:spacing w:before="60" w:after="100"/>
        <w:jc w:val="center"/>
      </w:pPr>
      <w:r>
        <w:rPr>
          <w:rFonts w:ascii="Liberation Serif" w:hAnsi="Liberation Serif"/>
          <w:i w:val="0"/>
          <w:sz w:val="21"/>
        </w:rPr>
        <w:t>P_HF(t)=(ind D_H,t^+, dim 𝓗_t^k, γ_k(t), η_H(t), ||G_k(t)||, BC_t, Interface_t, λ_t)   (15.25)</w:t>
      </w:r>
    </w:p>
    <w:p>
      <w:pPr/>
      <w:r>
        <w:t>локально устойчив по дискретным компонентам и непрерывен по численным компонентам. Изменение индекса, harmonic rank или сертифицированного boundary/interface type требует пересечения Δ_HF.</w:t>
      </w:r>
    </w:p>
    <w:p>
      <w:pPr/>
      <w:r>
        <w:t>Отрицательный прогноз главы имеет форму</w:t>
      </w:r>
    </w:p>
    <w:p>
      <w:pPr>
        <w:pStyle w:val="Quote"/>
        <w:spacing w:before="60" w:after="100"/>
        <w:jc w:val="center"/>
      </w:pPr>
      <w:r>
        <w:rPr>
          <w:rFonts w:ascii="Liberation Serif" w:hAnsi="Liberation Serif"/>
          <w:i w:val="0"/>
          <w:sz w:val="21"/>
        </w:rPr>
        <w:t>I ∩ Δ_HF = empty and η_H(t)≥ε_H  ⇒  removal of this obstruction is impossible in model. (15.26)</w:t>
      </w:r>
    </w:p>
    <w:p>
      <w:pPr/>
      <w:r>
        <w:t>Пересечение Δ_HF означает CANDIDATE-TRANSITION. Оно не доказывает существование nonlinear lift, глобального сечения, причинного механизма, вероятности либо физического события.</w:t>
      </w:r>
    </w:p>
    <w:p>
      <w:pPr>
        <w:pStyle w:val="Heading1"/>
      </w:pPr>
      <w:r>
        <w:t>141. Hodge-слой и проективно-гармонический Reper</w:t>
      </w:r>
    </w:p>
    <w:p>
      <w:pPr/>
      <w:r>
        <w:t>Гармонический представитель h_E(o) живёт в конечномерном либо Fredholm-контролируемом пространстве 𝓗_E^3. Reper-кросс-соотношение живёт на четвёрке точек P¹. Между ними нет канонического отображения. Для связи требуется отдельный функциональный пакет</w:t>
      </w:r>
    </w:p>
    <w:p>
      <w:pPr>
        <w:pStyle w:val="Quote"/>
        <w:spacing w:before="60" w:after="100"/>
        <w:jc w:val="center"/>
      </w:pPr>
      <w:r>
        <w:rPr>
          <w:rFonts w:ascii="Liberation Serif" w:hAnsi="Liberation Serif"/>
          <w:i w:val="0"/>
          <w:sz w:val="21"/>
        </w:rPr>
        <w:t>χ_H = (R_H,I_H,U_H,D_H): P(𝓗_E^3) ⇢ (P¹)^4,    λ_H=cr(U_H,I_H;R_H,D_H).             (15.27)</w:t>
      </w:r>
    </w:p>
    <w:p>
      <w:pPr/>
      <w:r>
        <w:t>Карта определена только на ненулевых классах вне полюсов и после проверки однородности функционалов. Нулевой harmonic obstruction не projectivizes; это согласуется с zero-loss no-go главы 14.</w:t>
      </w:r>
    </w:p>
    <w:p>
      <w:pPr/>
      <w:r>
        <w:t>Определение 15.10 (Hodge-Reper certificate). [DEF-A]</w:t>
      </w:r>
    </w:p>
    <w:p>
      <w:pPr>
        <w:pStyle w:val="Quote"/>
        <w:spacing w:before="60" w:after="100"/>
        <w:jc w:val="center"/>
      </w:pPr>
      <w:r>
        <w:rPr>
          <w:rFonts w:ascii="Liberation Serif" w:hAnsi="Liberation Serif"/>
          <w:i w:val="0"/>
          <w:sz w:val="21"/>
        </w:rPr>
        <w:t>Cert_HF=(COMPLEX, DOMAIN, SYMBOL, BC, INTERFACE, FREDHOLM, GAP, HARM, BRIDGE, D, DOM, λ, HASH).   (15.28)</w:t>
      </w:r>
    </w:p>
    <w:p>
      <w:pPr/>
      <w:r>
        <w:t>Положительный структурный кандидат допускается только при наличии всех полей сертификата. Пропуск одного поля переводит вывод в ABSTAIN, а не в «почти доказано».</w:t>
      </w:r>
    </w:p>
    <w:p>
      <w:pPr>
        <w:pStyle w:val="Heading1"/>
      </w:pPr>
      <w:r>
        <w:t>142. Главная условная теорема T2-RP-v0.12</w:t>
      </w:r>
    </w:p>
    <w:p>
      <w:pPr/>
      <w:r>
        <w:t>Теорема 15.12 (Hodge-Fredholm-safe predictive theorem). [COND] Пусть семейство NAPG-кадров N_t снабжено внешними комплексами E_t и реализациями Hodge-Laplacian, для которых:</w:t>
      </w:r>
    </w:p>
    <w:p>
      <w:pPr>
        <w:pStyle w:val="ListNumber"/>
        <w:spacing w:after="40"/>
      </w:pPr>
      <w:r>
        <w:t>E_t является Hilbert-комплексом и d_t²=0 на общем типизированном домене;</w:t>
      </w:r>
    </w:p>
    <w:p>
      <w:pPr>
        <w:pStyle w:val="ListNumber"/>
        <w:spacing w:after="40"/>
      </w:pPr>
      <w:r>
        <w:t>на каждой гладкой страте symbol-sequence эллиптична;</w:t>
      </w:r>
    </w:p>
    <w:p>
      <w:pPr>
        <w:pStyle w:val="ListNumber"/>
        <w:spacing w:after="40"/>
      </w:pPr>
      <w:r>
        <w:t>граничные и transmission conditions образуют замкнутую Fredholm-реализацию;</w:t>
      </w:r>
    </w:p>
    <w:p>
      <w:pPr>
        <w:pStyle w:val="ListNumber"/>
        <w:spacing w:after="40"/>
      </w:pPr>
      <w:r>
        <w:t>семейство непрерывно в norm-resolvent либо эквивалентно контролируемом смысле;</w:t>
      </w:r>
    </w:p>
    <w:p>
      <w:pPr>
        <w:pStyle w:val="ListNumber"/>
        <w:spacing w:after="40"/>
      </w:pPr>
      <w:r>
        <w:t>положительный спектр отделён от нуля uniform gap g_0&gt;0;</w:t>
      </w:r>
    </w:p>
    <w:p>
      <w:pPr>
        <w:pStyle w:val="ListNumber"/>
        <w:spacing w:after="40"/>
      </w:pPr>
      <w:r>
        <w:t>ранги harmonic spaces постоянны на исследуемом интервале;</w:t>
      </w:r>
    </w:p>
    <w:p>
      <w:pPr>
        <w:pStyle w:val="ListNumber"/>
        <w:spacing w:after="40"/>
      </w:pPr>
      <w:r>
        <w:t>внешний мост Π_E корректен; обратная ветвь используется только при B6;</w:t>
      </w:r>
    </w:p>
    <w:p>
      <w:pPr>
        <w:pStyle w:val="ListNumber"/>
        <w:spacing w:after="40"/>
      </w:pPr>
      <w:r>
        <w:t>гармонический obstruction section q_t и Evidence-D непрерывны;</w:t>
      </w:r>
    </w:p>
    <w:p>
      <w:pPr>
        <w:pStyle w:val="ListNumber"/>
        <w:spacing w:after="40"/>
      </w:pPr>
      <w:r>
        <w:t>D/Dom, projective charts и globalization data неизменны;</w:t>
      </w:r>
    </w:p>
    <w:p>
      <w:pPr>
        <w:pStyle w:val="ListNumber"/>
        <w:spacing w:after="40"/>
      </w:pPr>
      <w:r>
        <w:t>Hodge-Reper bridge χ_H типизирован и не пересекает полюсный локус;</w:t>
      </w:r>
    </w:p>
    <w:p>
      <w:pPr>
        <w:pStyle w:val="ListNumber"/>
        <w:spacing w:after="40"/>
      </w:pPr>
      <w:r>
        <w:t>предыдущие tangent, holonomy, differential, external и projective blockers закрыты;</w:t>
      </w:r>
    </w:p>
    <w:p>
      <w:pPr>
        <w:pStyle w:val="ListNumber"/>
        <w:spacing w:after="40"/>
      </w:pPr>
      <w:r>
        <w:t>сертификат HOD-AN воспроизводим по зафиксированным данным и хешам.</w:t>
      </w:r>
    </w:p>
    <w:p>
      <w:pPr/>
      <w:r>
        <w:t>Тогда вне Δ_HF индекс, harmonic rank и сертифицированный аналитический тип постоянны. Если η_H(t)≥ε_H&gt;0, исчезновение данного внешнего препятствия невозможно. Если η_H(t)=0, это означает лишь снятие данного линейно-когомологического препятствия; существование полной NAPG-деформации, глобального решения и доменного события остаётся отдельной задачей.</w:t>
      </w:r>
    </w:p>
    <w:p>
      <w:pPr/>
      <w:r>
        <w:t>Доказательство. Постоянство Fredholm index следует из открытости Fredholm-сектора; постоянство harmonic rank и непрерывность spectral projector - из uniform isolation нулевого спектрального кластера; (15.21) переводит ненулевую гармоническую норму в ненулевой внешний класс. Остальные утверждения следуют из firewall-условий B1-B8 и предыдущих глав. Теорема не создаёт физическую динамику и потому сохраняет статус COND.</w:t>
      </w:r>
    </w:p>
    <w:p>
      <w:pPr>
        <w:pStyle w:val="Heading1"/>
      </w:pPr>
      <w:r>
        <w:t>143. Blocker-safe аналитический вывод</w:t>
      </w:r>
    </w:p>
    <w:p>
      <w:pPr>
        <w:pStyle w:val="Quote"/>
        <w:spacing w:before="60" w:after="100"/>
        <w:jc w:val="center"/>
      </w:pPr>
      <w:r>
        <w:rPr>
          <w:rFonts w:ascii="Liberation Serif" w:hAnsi="Liberation Serif"/>
          <w:i w:val="0"/>
          <w:sz w:val="21"/>
        </w:rPr>
        <w:t>Block_HF = B_complex ∪ B_domain ∪ B_symbol ∪ B_BC ∪ B_interface ∪ B_range ∪ B_gap ∪ B_bridge ∪ B_D ∪ B_Dom ∪ B_glue ∪ B_ind.   (15.29)</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Вывод</w:t>
            </w:r>
          </w:p>
        </w:tc>
        <w:tc>
          <w:tcPr>
            <w:tcW w:type="dxa" w:w="345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Необходимое условие</w:t>
            </w:r>
          </w:p>
        </w:tc>
        <w:tc>
          <w:tcPr>
            <w:tcW w:type="dxa" w:w="328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Запрещённая интерпретация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NO-OBSTRUCTION-REMOVAL-IN-MODEL</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Block_HF=empty и η_H≥ε_H</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невозможность иных типов перехода</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CANDIDATE-ANALYTIC-TRANSITION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интервал встречает Δ_HF и сертификат не разрушен</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наступление события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ABSTAIN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есть blocker либо нет uniform numerical margin</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заменяется экспертным оптимизмом</w:t>
            </w:r>
          </w:p>
        </w:tc>
      </w:tr>
    </w:tbl>
    <w:p>
      <w:pPr>
        <w:pStyle w:val="Heading1"/>
      </w:pPr>
      <w:r>
        <w:t>144. Контрпримеры и разделяющие модели</w:t>
      </w:r>
    </w:p>
    <w:p>
      <w:pPr/>
      <w:r>
        <w:t>Контртеорема 15.13. [THM] Каждая из следующих импликаций неверна без дополнительных гипотез:</w:t>
      </w:r>
    </w:p>
    <w:p>
      <w:pPr>
        <w:pStyle w:val="ListBullet"/>
        <w:spacing w:after="40"/>
      </w:pPr>
      <w:r>
        <w:t>d²=0 ⇒ комплекс эллиптичен;</w:t>
      </w:r>
    </w:p>
    <w:p>
      <w:pPr>
        <w:pStyle w:val="ListBullet"/>
        <w:spacing w:after="40"/>
      </w:pPr>
      <w:r>
        <w:t>формальная симметрия Δ ⇒ выбранная реализация самосопряжённа;</w:t>
      </w:r>
    </w:p>
    <w:p>
      <w:pPr>
        <w:pStyle w:val="ListBullet"/>
        <w:spacing w:after="40"/>
      </w:pPr>
      <w:r>
        <w:t>dim 𝓗^k постоянно ⇒ конкретный harmonic obstruction не может обратиться в нуль;</w:t>
      </w:r>
    </w:p>
    <w:p>
      <w:pPr>
        <w:pStyle w:val="ListBullet"/>
        <w:spacing w:after="40"/>
      </w:pPr>
      <w:r>
        <w:t>η_H мало ⇒ класс точно нулевой;</w:t>
      </w:r>
    </w:p>
    <w:p>
      <w:pPr>
        <w:pStyle w:val="ListBullet"/>
        <w:spacing w:after="40"/>
      </w:pPr>
      <w:r>
        <w:t>η_H=0 ⇒ существует nonlinear NAPG-lift;</w:t>
      </w:r>
    </w:p>
    <w:p>
      <w:pPr>
        <w:pStyle w:val="ListBullet"/>
        <w:spacing w:after="40"/>
      </w:pPr>
      <w:r>
        <w:t>Fredholmness на каждой страте ⇒ total stratified operator Fredholm без transmission conditions;</w:t>
      </w:r>
    </w:p>
    <w:p>
      <w:pPr>
        <w:pStyle w:val="ListBullet"/>
        <w:spacing w:after="40"/>
      </w:pPr>
      <w:r>
        <w:t>ненулевой spectral flow ⇒ физический переход;</w:t>
      </w:r>
    </w:p>
    <w:p>
      <w:pPr>
        <w:pStyle w:val="ListBullet"/>
        <w:spacing w:after="40"/>
      </w:pPr>
      <w:r>
        <w:t>неассоциативность ⊙ ⇒ ненулевая principal-symbol curvature.</w:t>
      </w:r>
    </w:p>
    <w:p>
      <w:pPr/>
      <w:r>
        <w:t>Модель A: d=0 на бесконечномерном H. Имеем d²=0 и Δ=0, но dim ker Δ=∞ и Fredholmness отсутствует.</w:t>
      </w:r>
    </w:p>
    <w:p>
      <w:pPr/>
      <w:r>
        <w:t>Модель B: -d²/dx² на [0,1]. Одно формальное выражение с Dirichlet и Neumann доменами имеет разные нулевые моды и спектры.</w:t>
      </w:r>
    </w:p>
    <w:p>
      <w:pPr/>
      <w:r>
        <w:t>Модель C: Δ_t=diag(t²,1,2,3,...) на ℓ². При t≠0 ядро нулевое, при t=0 возникает одномерная harmonic mode; переход сопровождается закрытием gap.</w:t>
      </w:r>
    </w:p>
    <w:p>
      <w:pPr/>
      <w:r>
        <w:t>Модель D: q_t=t h в фиксированном одномерном 𝓗. Размерность harmonic space постоянна, но конкретный класс проходит через ноль при t=0. Значит, Betti number не заменяет tracking section.</w:t>
      </w:r>
    </w:p>
    <w:p>
      <w:pPr/>
      <w:r>
        <w:t>Модель E: семейство матриц Ψ_ε=diag(1,ε). Остаток может быть нулевым, но минимальный lift растёт как ε^{-1}; exactness не равна численной устойчивости.</w:t>
      </w:r>
    </w:p>
    <w:p>
      <w:pPr/>
      <w:r>
        <w:t>Модель F: прямая сумма двух страт без interface equations имеет две независимые константные harmonic modes. После условия совпадения следов остаётся одна. Стратовые Betti numbers не складываются автоматически.</w:t>
      </w:r>
    </w:p>
    <w:p>
      <w:pPr>
        <w:pStyle w:val="Heading1"/>
      </w:pPr>
      <w:r>
        <w:t>145. Вычислительный сертификат HOD-AN v0.12</w:t>
      </w:r>
    </w:p>
    <w:p>
      <w:pPr>
        <w:pStyle w:val="Heading2"/>
      </w:pPr>
      <w:r>
        <w:t>145.1. Псевдокод</w:t>
      </w:r>
    </w:p>
    <w:p>
      <w:pPr>
        <w:pStyle w:val="Quote"/>
      </w:pPr>
      <w:r>
        <w:t>INPUT graded Hilbert data, differential d, metric/Hodge data, boundary and interface domains, obstruction q, Reper D/Dom</w:t>
        <w:br/>
        <w:t>CHECK dense_domain(d), closed_operator(d), composition_defined(d,d), d^2=0</w:t>
        <w:br/>
        <w:t>BUILD adjoints and Laplacians with explicit domains</w:t>
        <w:br/>
        <w:t>CHECK principal_symbol_exactness for every nonzero cotangent direction</w:t>
        <w:br/>
        <w:t>CHECK boundary/interface ellipticity and self-adjoint or Fredholm realization</w:t>
        <w:br/>
        <w:t>COMPUTE kernel, cokernel, index, harmonic projector, positive spectral gap</w:t>
        <w:br/>
        <w:t>COMPUTE eta_H=norm(P_H q), Green bound and conditioning ledger</w:t>
        <w:br/>
        <w:t>CHECK external bridge Pi_E and faithful flag for reverse detection</w:t>
        <w:br/>
        <w:t>CHECK Reper bridge chi_H, lambda domain, Evidence-D and globalization</w:t>
        <w:br/>
        <w:t>IF any blocker: ABSTAIN</w:t>
        <w:br/>
        <w:t>ELSE IF eta_H &gt;= epsilon and path avoids Delta_HF: NO-OBSTRUCTION-REMOVAL-IN-MODEL</w:t>
        <w:br/>
        <w:t>ELSE IF path meets Delta_HF with certified margins: CANDIDATE-ANALYTIC-TRANSITION</w:t>
        <w:br/>
        <w:t>ELSE: ABSTAIN</w:t>
        <w:br/>
        <w:t>EMIT matrices/operators, domains, spectra, residuals, hashes, proof-obligation statuses</w:t>
      </w:r>
    </w:p>
    <w:p>
      <w:pPr/>
      <w:r>
        <w:t>Минимальный пакет HOD-01-HOD-20:</w:t>
      </w:r>
    </w:p>
    <w:p>
      <w:pPr>
        <w:pStyle w:val="ListBullet"/>
        <w:spacing w:after="40"/>
      </w:pPr>
      <w:r>
        <w:t>HOD-01 spaces and grading; HOD-02 exact operator domains; HOD-03 d² test;</w:t>
      </w:r>
    </w:p>
    <w:p>
      <w:pPr>
        <w:pStyle w:val="ListBullet"/>
        <w:spacing w:after="40"/>
      </w:pPr>
      <w:r>
        <w:t>HOD-04 adjoint-domain test; HOD-05 principal-symbol rank test; HOD-06 ellipticity certificate;</w:t>
      </w:r>
    </w:p>
    <w:p>
      <w:pPr>
        <w:pStyle w:val="ListBullet"/>
        <w:spacing w:after="40"/>
      </w:pPr>
      <w:r>
        <w:t>HOD-07 boundary traces; HOD-08 complementing condition; HOD-09 interface compatibility;</w:t>
      </w:r>
    </w:p>
    <w:p>
      <w:pPr>
        <w:pStyle w:val="ListBullet"/>
        <w:spacing w:after="40"/>
      </w:pPr>
      <w:r>
        <w:t>HOD-10 Fredholm kernel/cokernel; HOD-11 index; HOD-12 compact-resolvent flag;</w:t>
      </w:r>
    </w:p>
    <w:p>
      <w:pPr>
        <w:pStyle w:val="ListBullet"/>
        <w:spacing w:after="40"/>
      </w:pPr>
      <w:r>
        <w:t>HOD-13 harmonic basis; HOD-14 spectral gap with interval enclosure; HOD-15 Green norm bound;</w:t>
      </w:r>
    </w:p>
    <w:p>
      <w:pPr>
        <w:pStyle w:val="ListBullet"/>
        <w:spacing w:after="40"/>
      </w:pPr>
      <w:r>
        <w:t>HOD-16 η_H and exact residual; HOD-17 Π_E compatibility; HOD-18 χ_H and λ-domain;</w:t>
      </w:r>
    </w:p>
    <w:p>
      <w:pPr>
        <w:pStyle w:val="ListBullet"/>
        <w:spacing w:after="40"/>
      </w:pPr>
      <w:r>
        <w:t>HOD-19 blocker-safe verdict; HOD-20 source, environment and artifact hashes.</w:t>
      </w:r>
    </w:p>
    <w:p>
      <w:pPr>
        <w:pStyle w:val="Heading1"/>
      </w:pPr>
      <w:r>
        <w:t>146. Доказательные обязательства T2-PO-146-T2-PO-170</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24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PO</w:t>
            </w:r>
          </w:p>
        </w:tc>
        <w:tc>
          <w:tcPr>
            <w:tcW w:type="dxa" w:w="3402"/>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Обязательство</w:t>
            </w:r>
          </w:p>
        </w:tc>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Статус</w:t>
            </w:r>
          </w:p>
        </w:tc>
        <w:tc>
          <w:tcPr>
            <w:tcW w:type="dxa" w:w="311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Условие закрытия / результат</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Hilbert-complex domains and closedness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операторная спецификация (15.1)</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weak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теорема Hilbert-комплекса</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strong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closed-range hypothesis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 reduced cohomology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ортогональное разложение</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ordinary cohomology = harmonic</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ran d closed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Poincare estimate and spectral gap</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self-adjoint closed-range sector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Green operator and lift estimate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uniform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elliptic symbol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exact symbol sequence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Laplace-type identification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model-specific principal symbol</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absolute/relative boundary realization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smooth compact boundary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general NAPG boundary Fredholmness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Lopatinski-Shapiro / APS data</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stratified interface domain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transmission maps required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Fredholm index constancy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continuous Fredholm family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compact resolvent on NAPG strata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compactness and ideal BC</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residual formula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 range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spectral projector stability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norm-resolvent continuity and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analytic obstruction bundle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constant harmonic rank</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Hodge-Reper bridge chi_H</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homogeneous functionals and pole audit</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Cheeger-type singular Hodge sector</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stratified pseudomanifold hypotheses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mezzoperversity / ideal BC choice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domain classification</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uniform interval spectral certification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OPEN/COMP</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validated eigensolver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Pi_E and Blind_E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B1-B6</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beta_Ass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separate chain bridge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independent domain run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 EXT-RUN supplied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T2-PO-170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Hodge-Fredholm predictive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H1-H12 and certificate HOD-AN</w:t>
            </w:r>
          </w:p>
        </w:tc>
      </w:tr>
    </w:tbl>
    <w:p>
      <w:pPr>
        <w:pStyle w:val="Heading1"/>
      </w:pPr>
      <w:r>
        <w:t>147. Prior art и граница авторского вклада</w:t>
      </w:r>
    </w:p>
    <w:p>
      <w:pPr/>
      <w:r>
        <w:t>Классический аналитический слой включает harmonic fields, Hilbert-комплексы, Hodge decomposition, elliptic complexes, Fredholm index, boundary estimates и perturbation theory. Эти конструкции не заявляются как новые. Авторская линия Курпишева состоит в их типизированном соединении с NAPG 3.0, внутренним C_min, внешним E-мостом, projective obstruction carrier, D/Dom-дисциплиной и blocker-safe предсказательным горизонтом.</w:t>
      </w:r>
    </w:p>
    <w:p>
      <w:pPr/>
      <w:r>
        <w:t>[V0.12-1] Kodaira, K. Harmonic Fields in Riemannian Manifolds (Generalized Potential Theory). Annals of Mathematics 50(3), 587-665 (1949). DOI 10.2307/1969552.</w:t>
      </w:r>
    </w:p>
    <w:p>
      <w:pPr/>
      <w:r>
        <w:t>[V0.12-2] Gaffney, M. P. Hilbert Space Methods in the Theory of Harmonic Integrals. Transactions of the AMS 78(2), 426-444 (1955). DOI 10.1090/S0002-9947-1955-0068888-1.</w:t>
      </w:r>
    </w:p>
    <w:p>
      <w:pPr/>
      <w:r>
        <w:t>[V0.12-3] Brüning, J.; Lesch, M. Hilbert Complexes. Journal of Functional Analysis 108(1), 88-132 (1992). DOI 10.1016/0022-1236(92)90147-B.</w:t>
      </w:r>
    </w:p>
    <w:p>
      <w:pPr/>
      <w:r>
        <w:t>[V0.12-4] Atiyah, M. F.; Singer, I. M. The Index of Elliptic Operators I. Annals of Mathematics 87(3), 484-530 (1968). DOI 10.2307/1970715.</w:t>
      </w:r>
    </w:p>
    <w:p>
      <w:pPr/>
      <w:r>
        <w:t>[V0.12-5] Agmon, S.; Douglis, A.; Nirenberg, L. Estimates Near the Boundary for Solutions of Elliptic PDE Satisfying General Boundary Conditions I. CPAM 12(4), 623-727 (1959). DOI 10.1002/cpa.3160120405.</w:t>
      </w:r>
    </w:p>
    <w:p>
      <w:pPr/>
      <w:r>
        <w:t>[V0.12-6] Kato, T. Perturbation Theory for Linear Operators. 2nd ed., Springer, 1995. DOI 10.1007/978-3-642-66282-9.</w:t>
      </w:r>
    </w:p>
    <w:p>
      <w:pPr/>
      <w:r>
        <w:t>[V0.12-7] Cheeger, J. On the Hodge Theory of Riemannian Pseudomanifolds. Proc. Sympos. Pure Math. 36, 91-146 (1980).</w:t>
      </w:r>
    </w:p>
    <w:p>
      <w:pPr/>
      <w:r>
        <w:t>[V0.12-8] Bär, C.; Ballmann, W. Boundary Value Problems for Elliptic Differential Operators of First Order. Surveys in Differential Geometry 17, 1-78 (2012). DOI 10.4310/SDG.2012.v17.n1.a1.</w:t>
      </w:r>
    </w:p>
    <w:p>
      <w:pPr/>
      <w:r>
        <w:t>[V0.12-9] Kurpishev, I. B. Том I v197 RU; Том II T2-RP-v0.1-v0.11.</w:t>
      </w:r>
    </w:p>
    <w:p>
      <w:pPr/>
      <w:r>
        <w:t>Граница новизны. Нельзя называть авторским открытием Hodge decomposition, ellipticity, Fredholm index или спектральную perturbation theory. Авторским является конкретный KLT-RBD/NAPG-контракт, в котором аналитический сертификат связывается с obstruction carriers, проективно-гармонической авторизацией, Evidence-D и трёхзначным выводом NO-TRANSITION / CANDIDATE / ABSTAIN.</w:t>
      </w:r>
    </w:p>
    <w:p>
      <w:pPr>
        <w:pStyle w:val="Heading1"/>
      </w:pPr>
      <w:r>
        <w:t>148. Итог главы и контрольная точка T2-RP-v0.12</w:t>
      </w:r>
    </w:p>
    <w:p>
      <w:pPr>
        <w:pStyle w:val="Quote"/>
        <w:spacing w:before="60" w:after="100"/>
        <w:jc w:val="center"/>
      </w:pPr>
      <w:r>
        <w:rPr>
          <w:rFonts w:ascii="Liberation Serif" w:hAnsi="Liberation Serif"/>
          <w:i w:val="0"/>
          <w:sz w:val="21"/>
        </w:rPr>
        <w:t>truth_layer_promotion=0; checkpoint=T2-RP-v0.12; next=T2-RP-v0.13.                  (15.30)</w:t>
      </w:r>
    </w:p>
    <w:p>
      <w:pPr/>
      <w:r>
        <w:t>Глава 15 построила аналитический слой NAPG: от замкнутого Hilbert-комплекса и operator domains до Hodge decomposition, elliptic/Fredholm realization, boundary/interface firewall, spectral gap и harmonic obstruction norm. Главный отрицательный результат состоит в том, что устойчиво ненулевой гармонический класс, отделённый от нуля uniform margin, не может исчезнуть внутри сертифицированной модели без пересечения Hodge-Fredholm горизонта.</w:t>
      </w:r>
    </w:p>
    <w:p>
      <w:pPr>
        <w:pStyle w:val="Lead"/>
      </w:pPr>
      <w:r>
        <w:t>Следующая сборка tom2_v0_13 развивает каноническую главу 16: деформационные функторы, moduli и derived tangent structures, miniversal families, Kuranishi maps, высшие obstruction classes и связь с уже построенным аналитическим Green-оператором.</w:t>
      </w:r>
    </w:p>
    <w:p>
      <w:pPr>
        <w:pStyle w:val="Small"/>
      </w:pPr>
      <w:r>
        <w:t>checkpoint=T2-RP-v0.12; source=T2-RP-v0.11; truth_layer_promotion=0; next=T2-RP-v0.13.</w:t>
      </w:r>
    </w:p>
    <w:p>
      <w:r>
        <w:br w:type="page"/>
      </w:r>
    </w:p>
    <w:p>
      <w:pPr>
        <w:pStyle w:val="Heading1"/>
      </w:pPr>
      <w:r>
        <w:t>149. Глава 16. Деформационные функторы, пространства модулей и отображение Кураниши</w:t>
      </w:r>
    </w:p>
    <w:p>
      <w:pPr>
        <w:pStyle w:val="Lead"/>
        <w:spacing w:after="100"/>
      </w:pPr>
      <w:r>
        <w:t>Глава переводит локальную деформационную теорию NAPG из языка отдельных касательных направлений в язык функторов на артиевых базах, группоидов деформаций и локальных модульных объектов. Основная задача состоит в том, чтобы определить, когда формальный tangent class действительно принадлежит miniversal family, какие высшие препятствия мешают продолжению и как Hodge-Green слой v0.12 строит конечномерную Kuranishi reduction без подмены локального модульного germ физическим прогнозом.</w:t>
      </w:r>
    </w:p>
    <w:tbl>
      <w:tblPr>
        <w:tblStyle w:val="TableGrid"/>
        <w:tblW w:type="auto" w:w="0"/>
        <w:jc w:val="center"/>
        <w:tblLook w:firstColumn="1" w:firstRow="1" w:lastColumn="0" w:lastRow="0" w:noHBand="0" w:noVBand="1" w:val="04A0"/>
      </w:tblPr>
      <w:tblGrid>
        <w:gridCol w:w="2376"/>
        <w:gridCol w:w="7488"/>
      </w:tblGrid>
      <w:tr>
        <w:tc>
          <w:tcPr>
            <w:tcW w:type="dxa" w:w="4876"/>
            <w:vAlign w:val="center"/>
            <w:tcMar>
              <w:top w:w="90" w:type="dxa"/>
              <w:start w:w="110" w:type="dxa"/>
              <w:bottom w:w="90" w:type="dxa"/>
              <w:end w:w="110" w:type="dxa"/>
            </w:tcMar>
            <w:shd w:fill="173b63"/>
          </w:tcPr>
          <w:p>
            <w:pPr>
              <w:jc w:val="center"/>
            </w:pPr>
            <w:r/>
            <w:r>
              <w:rPr>
                <w:b/>
                <w:color w:val="FFFFFF"/>
                <w:sz w:val="20"/>
              </w:rPr>
              <w:t>ОНТОЛОГИЯ</w:t>
            </w:r>
          </w:p>
        </w:tc>
        <w:tc>
          <w:tcPr>
            <w:tcW w:type="dxa" w:w="4876"/>
            <w:vAlign w:val="center"/>
            <w:tcMar>
              <w:top w:w="90" w:type="dxa"/>
              <w:start w:w="110" w:type="dxa"/>
              <w:bottom w:w="90" w:type="dxa"/>
              <w:end w:w="110" w:type="dxa"/>
            </w:tcMar>
            <w:shd w:fill="eef3f8"/>
          </w:tcPr>
          <w:p>
            <w:pPr>
              <w:jc w:val="left"/>
            </w:pPr>
            <w:r/>
            <w:r>
              <w:rPr>
                <w:b w:val="0"/>
                <w:sz w:val="20"/>
              </w:rPr>
              <w:t>Модульный объект описывает не одну структуру, а пространство допустимых способов её изменения с учётом эквивалентностей и автоморфизмов. Его точкой является деформация вместе с происхождением, а не просто набор коэффициентов.</w:t>
            </w:r>
          </w:p>
        </w:tc>
      </w:tr>
      <w:tr>
        <w:tc>
          <w:tcPr>
            <w:tcW w:type="dxa" w:w="4876"/>
            <w:vAlign w:val="center"/>
            <w:tcMar>
              <w:top w:w="90" w:type="dxa"/>
              <w:start w:w="110" w:type="dxa"/>
              <w:bottom w:w="90" w:type="dxa"/>
              <w:end w:w="110" w:type="dxa"/>
            </w:tcMar>
            <w:shd w:fill="173b63"/>
          </w:tcPr>
          <w:p>
            <w:pPr>
              <w:jc w:val="center"/>
            </w:pPr>
            <w:r/>
            <w:r>
              <w:rPr>
                <w:b/>
                <w:color w:val="FFFFFF"/>
                <w:sz w:val="20"/>
              </w:rPr>
              <w:t>ГНОСЕОЛОГИЯ</w:t>
            </w:r>
          </w:p>
        </w:tc>
        <w:tc>
          <w:tcPr>
            <w:tcW w:type="dxa" w:w="4876"/>
            <w:vAlign w:val="center"/>
            <w:tcMar>
              <w:top w:w="90" w:type="dxa"/>
              <w:start w:w="110" w:type="dxa"/>
              <w:bottom w:w="90" w:type="dxa"/>
              <w:end w:w="110" w:type="dxa"/>
            </w:tcMar>
            <w:shd w:fill="eef3f8"/>
          </w:tcPr>
          <w:p>
            <w:pPr>
              <w:jc w:val="left"/>
            </w:pPr>
            <w:r/>
            <w:r>
              <w:rPr>
                <w:b w:val="0"/>
                <w:sz w:val="20"/>
              </w:rPr>
              <w:t>Касательная когомология сообщает только первый порядок. Знание локального будущего требует lifting over small extensions, obstruction classes, сходимости формальной серии и сохранения D/Dom.</w:t>
            </w:r>
          </w:p>
        </w:tc>
      </w:tr>
      <w:tr>
        <w:tc>
          <w:tcPr>
            <w:tcW w:type="dxa" w:w="4876"/>
            <w:vAlign w:val="center"/>
            <w:tcMar>
              <w:top w:w="90" w:type="dxa"/>
              <w:start w:w="110" w:type="dxa"/>
              <w:bottom w:w="90" w:type="dxa"/>
              <w:end w:w="110" w:type="dxa"/>
            </w:tcMar>
            <w:shd w:fill="173b63"/>
          </w:tcPr>
          <w:p>
            <w:pPr>
              <w:jc w:val="center"/>
            </w:pPr>
            <w:r/>
            <w:r>
              <w:rPr>
                <w:b/>
                <w:color w:val="FFFFFF"/>
                <w:sz w:val="20"/>
              </w:rPr>
              <w:t>ФЕНОМЕНОЛОГИЯ</w:t>
            </w:r>
          </w:p>
        </w:tc>
        <w:tc>
          <w:tcPr>
            <w:tcW w:type="dxa" w:w="4876"/>
            <w:vAlign w:val="center"/>
            <w:tcMar>
              <w:top w:w="90" w:type="dxa"/>
              <w:start w:w="110" w:type="dxa"/>
              <w:bottom w:w="90" w:type="dxa"/>
              <w:end w:w="110" w:type="dxa"/>
            </w:tcMar>
            <w:shd w:fill="eef3f8"/>
          </w:tcPr>
          <w:p>
            <w:pPr>
              <w:jc w:val="left"/>
            </w:pPr>
            <w:r/>
            <w:r>
              <w:rPr>
                <w:b w:val="0"/>
                <w:sz w:val="20"/>
              </w:rPr>
              <w:t>Наблюдаемая ветвь семейства возникает как путь в нулевом локусе Kuranishi map. Сингулярность этого локуса выражает конкуренцию допустимых способов продолжения, но не является сама по себе физической катастрофой.</w:t>
            </w:r>
          </w:p>
        </w:tc>
      </w:tr>
      <w:tr>
        <w:tc>
          <w:tcPr>
            <w:tcW w:type="dxa" w:w="4876"/>
            <w:vAlign w:val="center"/>
            <w:tcMar>
              <w:top w:w="90" w:type="dxa"/>
              <w:start w:w="110" w:type="dxa"/>
              <w:bottom w:w="90" w:type="dxa"/>
              <w:end w:w="110" w:type="dxa"/>
            </w:tcMar>
            <w:shd w:fill="a77618"/>
          </w:tcPr>
          <w:p>
            <w:pPr>
              <w:jc w:val="center"/>
            </w:pPr>
            <w:r/>
            <w:r>
              <w:rPr>
                <w:b/>
                <w:color w:val="FFFFFF"/>
                <w:sz w:val="20"/>
              </w:rPr>
              <w:t>ГРАНИЦА</w:t>
            </w:r>
          </w:p>
        </w:tc>
        <w:tc>
          <w:tcPr>
            <w:tcW w:type="dxa" w:w="4876"/>
            <w:vAlign w:val="center"/>
            <w:tcMar>
              <w:top w:w="90" w:type="dxa"/>
              <w:start w:w="110" w:type="dxa"/>
              <w:bottom w:w="90" w:type="dxa"/>
              <w:end w:w="110" w:type="dxa"/>
            </w:tcMar>
            <w:shd w:fill="f8efd9"/>
          </w:tcPr>
          <w:p>
            <w:pPr>
              <w:jc w:val="left"/>
            </w:pPr>
            <w:r/>
            <w:r>
              <w:rPr>
                <w:b w:val="0"/>
                <w:sz w:val="20"/>
              </w:rPr>
              <w:t>Schlessinger hull, DGLA/L_infinity control, Kuranishi map и derived formal moduli применяются только при явно перечисленных гипотезах. Для общей NAPG-операции controlling algebra пока является отдельным доказательным обязательством.</w:t>
            </w:r>
          </w:p>
        </w:tc>
      </w:tr>
    </w:tbl>
    <w:p>
      <w:pPr>
        <w:pStyle w:val="Heading1"/>
      </w:pPr>
      <w:r>
        <w:t>150. Категория артиевых баз и деформационный функтор</w:t>
      </w:r>
    </w:p>
    <w:p>
      <w:pPr>
        <w:spacing w:after="100"/>
      </w:pPr>
      <w:r>
        <w:t>Пусть K - поле характеристики 0, если не оговорено иное. Обозначим через Art_K категорию локальных артиевых K-алгебр A с полем вычетов K и морфизмами, индуцирующими тождество на K. Максимальный идеал обозначается m_A; он нильпотентен.</w:t>
      </w:r>
    </w:p>
    <w:p>
      <w:pPr>
        <w:pStyle w:val="Quote"/>
        <w:spacing w:before="80" w:after="120"/>
        <w:jc w:val="center"/>
      </w:pPr>
      <w:r>
        <w:t>Art_K = { (A,m_A) : A/m_A ≅ K,  m_A^N=0 для некоторого N }.                       (16.1)</w:t>
      </w:r>
    </w:p>
    <w:p>
      <w:pPr>
        <w:spacing w:after="100"/>
      </w:pPr>
      <w:r>
        <w:t>Определение 16.1 (NAPG deformation groupoid). Для фиксированного кадра N деформационный группоид Def_N(A) состоит из NAPG-структур N_A над A, редукция которых по A→K изоморфна N, и изоморфизмов над A, тождественных на специальном слое. При забывании автоморфизмов возникает set-valued functor π_0Def_N, но именно группоид хранит стабилизаторы.</w:t>
      </w:r>
    </w:p>
    <w:p>
      <w:pPr>
        <w:pStyle w:val="Quote"/>
        <w:spacing w:before="80" w:after="120"/>
        <w:jc w:val="center"/>
      </w:pPr>
      <w:r>
        <w:t>Def_N : Art_K → Gpd,      F_N = π_0 Def_N : Art_K → Set.                     (16.2)</w:t>
      </w:r>
    </w:p>
    <w:p>
      <w:pPr>
        <w:spacing w:after="100"/>
      </w:pPr>
      <w:r>
        <w:t>Функториальность означает, что morphism A→B задаёт base change N_A⊗_A B. Для частичных операций дополнительно требуется, чтобы Dom_⊙, Evidence-D, градуировка и выбранные obstruction carriers переносились совместимо.</w:t>
      </w:r>
    </w:p>
    <w:p>
      <w:pPr>
        <w:jc w:val="center"/>
      </w:pPr>
      <w:r>
        <w:drawing>
          <wp:inline xmlns:a="http://schemas.openxmlformats.org/drawingml/2006/main" xmlns:pic="http://schemas.openxmlformats.org/drawingml/2006/picture">
            <wp:extent cx="6035040" cy="2833845"/>
            <wp:docPr id="39" name="Picture 39"/>
            <wp:cNvGraphicFramePr>
              <a:graphicFrameLocks noChangeAspect="1"/>
            </wp:cNvGraphicFramePr>
            <a:graphic>
              <a:graphicData uri="http://schemas.openxmlformats.org/drawingml/2006/picture">
                <pic:pic>
                  <pic:nvPicPr>
                    <pic:cNvPr id="0" name="fig16_1.png"/>
                    <pic:cNvPicPr/>
                  </pic:nvPicPr>
                  <pic:blipFill>
                    <a:blip r:embed="rId68"/>
                    <a:stretch>
                      <a:fillRect/>
                    </a:stretch>
                  </pic:blipFill>
                  <pic:spPr>
                    <a:xfrm>
                      <a:off x="0" y="0"/>
                      <a:ext cx="6035040" cy="2833845"/>
                    </a:xfrm>
                    <a:prstGeom prst="rect"/>
                  </pic:spPr>
                </pic:pic>
              </a:graphicData>
            </a:graphic>
          </wp:inline>
        </w:drawing>
      </w:r>
    </w:p>
    <w:p>
      <w:pPr>
        <w:pStyle w:val="Caption"/>
        <w:jc w:val="center"/>
      </w:pPr>
      <w:r>
        <w:t>Рисунок 16.1. Деформационный функтор NAPG и три уровня локального модульного объекта. Собственная схема Тома II.</w:t>
      </w:r>
    </w:p>
    <w:p>
      <w:pPr>
        <w:pStyle w:val="Heading1"/>
      </w:pPr>
      <w:r>
        <w:t>151. Малые расширения и локальная задача подъёма</w:t>
      </w:r>
    </w:p>
    <w:p>
      <w:pPr>
        <w:spacing w:after="100"/>
      </w:pPr>
      <w:r>
        <w:t>Малым расширением называется сюръекция A′→A в Art_K с ядром I, для которого m_{A′}I=0. Тогда I является конечномерным K-векторным пространством, а задача подъёма деформации ξ_A состоит в построении ξ_{A′}, редуцирующейся к ξ_A.</w:t>
      </w:r>
    </w:p>
    <w:p>
      <w:pPr>
        <w:pStyle w:val="Quote"/>
        <w:spacing w:before="80" w:after="120"/>
        <w:jc w:val="center"/>
      </w:pPr>
      <w:r>
        <w:t>0 → I → A′ → A → 0,       m_{A′} I = 0.                                      (16.3)</w:t>
      </w:r>
    </w:p>
    <w:p>
      <w:pPr>
        <w:spacing w:after="100"/>
      </w:pPr>
      <w:r>
        <w:t>Определение 16.2 (полная линейная obstruction theory). Тройка пространств (H_N^1,H_N^2,H_N^3) задаёт полную локальную obstruction theory, если для каждого малого расширения и ξ_A существуют:</w:t>
      </w:r>
    </w:p>
    <w:p>
      <w:pPr>
        <w:pStyle w:val="ListBullet"/>
      </w:pPr>
      <w:r>
        <w:t>класс препятствия ob(ξ_A,A′)∈H_N^3⊗I, функториальный по morphisms малых расширений;</w:t>
      </w:r>
    </w:p>
    <w:p>
      <w:pPr>
        <w:pStyle w:val="ListBullet"/>
      </w:pPr>
      <w:r>
        <w:t>эквивалентность ob=0 тогда и только тогда, когда lift существует;</w:t>
      </w:r>
    </w:p>
    <w:p>
      <w:pPr>
        <w:pStyle w:val="ListBullet"/>
      </w:pPr>
      <w:r>
        <w:t>при ob=0 множество классов lifts является торсором над H_N^2⊗I;</w:t>
      </w:r>
    </w:p>
    <w:p>
      <w:pPr>
        <w:pStyle w:val="ListBullet"/>
      </w:pPr>
      <w:r>
        <w:t>группа инфинитезимальных автоморфизмов каждого lift содержит естественное действие H_N^1⊗I, а при полноте совпадает с ним.</w:t>
      </w:r>
    </w:p>
    <w:p>
      <w:pPr>
        <w:spacing w:after="100"/>
      </w:pPr>
      <w:r>
        <w:t>Эта схема не выводится из одного комплекса автоматически. Она является контрактом, который должен быть доказан либо получен из controlling L_infinity algebra.</w:t>
      </w:r>
    </w:p>
    <w:p>
      <w:pPr>
        <w:pStyle w:val="Heading1"/>
      </w:pPr>
      <w:r>
        <w:t>152. Условия Шлессингера и существование hull</w:t>
      </w:r>
    </w:p>
    <w:p>
      <w:pPr>
        <w:spacing w:after="100"/>
      </w:pPr>
      <w:r>
        <w:t>Для set-valued functor F с F(K)=* рассмотрим каноническую карту для диаграммы A′→A←A″:</w:t>
      </w:r>
    </w:p>
    <w:p>
      <w:pPr>
        <w:pStyle w:val="Quote"/>
        <w:spacing w:before="80" w:after="120"/>
        <w:jc w:val="center"/>
      </w:pPr>
      <w:r>
        <w:t>F(A′×_A A″) → F(A′) ×_{F(A)} F(A″).                                           (16.4)</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Условие</w:t>
            </w:r>
          </w:p>
        </w:tc>
        <w:tc>
          <w:tcPr>
            <w:tcW w:type="dxa" w:w="5184"/>
            <w:vAlign w:val="center"/>
            <w:tcMar>
              <w:top w:w="90" w:type="dxa"/>
              <w:start w:w="110" w:type="dxa"/>
              <w:bottom w:w="90" w:type="dxa"/>
              <w:end w:w="110" w:type="dxa"/>
            </w:tcMar>
            <w:shd w:fill="173b63"/>
          </w:tcPr>
          <w:p>
            <w:pPr>
              <w:jc w:val="center"/>
            </w:pPr>
            <w:r/>
            <w:r>
              <w:rPr>
                <w:b/>
                <w:color w:val="FFFFFF"/>
                <w:sz w:val="18"/>
              </w:rPr>
              <w:t>Точная роль</w:t>
            </w:r>
          </w:p>
        </w:tc>
        <w:tc>
          <w:tcPr>
            <w:tcW w:type="dxa" w:w="2304"/>
            <w:vAlign w:val="center"/>
            <w:tcMar>
              <w:top w:w="90" w:type="dxa"/>
              <w:start w:w="110" w:type="dxa"/>
              <w:bottom w:w="90" w:type="dxa"/>
              <w:end w:w="110" w:type="dxa"/>
            </w:tcMar>
            <w:shd w:fill="173b63"/>
          </w:tcPr>
          <w:p>
            <w:pPr>
              <w:jc w:val="center"/>
            </w:pPr>
            <w:r/>
            <w:r>
              <w:rPr>
                <w:b/>
                <w:color w:val="FFFFFF"/>
                <w:sz w:val="18"/>
              </w:rPr>
              <w:t>Статус для NAPG</w:t>
            </w:r>
          </w:p>
        </w:tc>
      </w:tr>
      <w:tr>
        <w:tc>
          <w:tcPr>
            <w:tcW w:type="dxa" w:w="1440"/>
            <w:vAlign w:val="center"/>
            <w:tcMar>
              <w:top w:w="90" w:type="dxa"/>
              <w:start w:w="110" w:type="dxa"/>
              <w:bottom w:w="90" w:type="dxa"/>
              <w:end w:w="110" w:type="dxa"/>
            </w:tcMar>
          </w:tcPr>
          <w:p>
            <w:pPr>
              <w:jc w:val="center"/>
            </w:pPr>
            <w:r/>
            <w:r>
              <w:rPr>
                <w:b w:val="0"/>
                <w:sz w:val="16"/>
              </w:rPr>
              <w:t>H1</w:t>
            </w:r>
          </w:p>
        </w:tc>
        <w:tc>
          <w:tcPr>
            <w:tcW w:type="dxa" w:w="5184"/>
            <w:vAlign w:val="center"/>
            <w:tcMar>
              <w:top w:w="90" w:type="dxa"/>
              <w:start w:w="110" w:type="dxa"/>
              <w:bottom w:w="90" w:type="dxa"/>
              <w:end w:w="110" w:type="dxa"/>
            </w:tcMar>
          </w:tcPr>
          <w:p>
            <w:pPr>
              <w:jc w:val="left"/>
            </w:pPr>
            <w:r/>
            <w:r>
              <w:rPr>
                <w:b w:val="0"/>
                <w:sz w:val="16"/>
              </w:rPr>
              <w:t>Карта (16.4) сюръективна, когда A″→A является малым расширением.</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H2</w:t>
            </w:r>
          </w:p>
        </w:tc>
        <w:tc>
          <w:tcPr>
            <w:tcW w:type="dxa" w:w="5184"/>
            <w:vAlign w:val="center"/>
            <w:tcMar>
              <w:top w:w="90" w:type="dxa"/>
              <w:start w:w="110" w:type="dxa"/>
              <w:bottom w:w="90" w:type="dxa"/>
              <w:end w:w="110" w:type="dxa"/>
            </w:tcMar>
          </w:tcPr>
          <w:p>
            <w:pPr>
              <w:jc w:val="left"/>
            </w:pPr>
            <w:r/>
            <w:r>
              <w:rPr>
                <w:b w:val="0"/>
                <w:sz w:val="16"/>
              </w:rPr>
              <w:t>Карта (16.4) биективна при A=K и A″=K[ε]/(ε²).</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H3</w:t>
            </w:r>
          </w:p>
        </w:tc>
        <w:tc>
          <w:tcPr>
            <w:tcW w:type="dxa" w:w="5184"/>
            <w:vAlign w:val="center"/>
            <w:tcMar>
              <w:top w:w="90" w:type="dxa"/>
              <w:start w:w="110" w:type="dxa"/>
              <w:bottom w:w="90" w:type="dxa"/>
              <w:end w:w="110" w:type="dxa"/>
            </w:tcMar>
          </w:tcPr>
          <w:p>
            <w:pPr>
              <w:jc w:val="left"/>
            </w:pPr>
            <w:r/>
            <w:r>
              <w:rPr>
                <w:b w:val="0"/>
                <w:sz w:val="16"/>
              </w:rPr>
              <w:t>Касательное пространство t_F=F(K[ε]) конечномерно.</w:t>
            </w:r>
          </w:p>
        </w:tc>
        <w:tc>
          <w:tcPr>
            <w:tcW w:type="dxa" w:w="2304"/>
            <w:vAlign w:val="center"/>
            <w:tcMar>
              <w:top w:w="90" w:type="dxa"/>
              <w:start w:w="110" w:type="dxa"/>
              <w:bottom w:w="90" w:type="dxa"/>
              <w:end w:w="110" w:type="dxa"/>
            </w:tcMar>
          </w:tcPr>
          <w:p>
            <w:pPr>
              <w:jc w:val="center"/>
            </w:pPr>
            <w:r/>
            <w:r>
              <w:rPr>
                <w:b w:val="0"/>
                <w:sz w:val="16"/>
              </w:rPr>
              <w:t>COND-FD</w:t>
            </w:r>
          </w:p>
        </w:tc>
      </w:tr>
      <w:tr>
        <w:tc>
          <w:tcPr>
            <w:tcW w:type="dxa" w:w="1440"/>
            <w:vAlign w:val="center"/>
            <w:tcMar>
              <w:top w:w="90" w:type="dxa"/>
              <w:start w:w="110" w:type="dxa"/>
              <w:bottom w:w="90" w:type="dxa"/>
              <w:end w:w="110" w:type="dxa"/>
            </w:tcMar>
          </w:tcPr>
          <w:p>
            <w:pPr>
              <w:jc w:val="center"/>
            </w:pPr>
            <w:r/>
            <w:r>
              <w:rPr>
                <w:b w:val="0"/>
                <w:sz w:val="16"/>
              </w:rPr>
              <w:t>H4</w:t>
            </w:r>
          </w:p>
        </w:tc>
        <w:tc>
          <w:tcPr>
            <w:tcW w:type="dxa" w:w="5184"/>
            <w:vAlign w:val="center"/>
            <w:tcMar>
              <w:top w:w="90" w:type="dxa"/>
              <w:start w:w="110" w:type="dxa"/>
              <w:bottom w:w="90" w:type="dxa"/>
              <w:end w:w="110" w:type="dxa"/>
            </w:tcMar>
          </w:tcPr>
          <w:p>
            <w:pPr>
              <w:jc w:val="left"/>
            </w:pPr>
            <w:r/>
            <w:r>
              <w:rPr>
                <w:b w:val="0"/>
                <w:sz w:val="16"/>
              </w:rPr>
              <w:t>Карта (16.4) биективна для A′=A″ и малого расширения A′→A.</w:t>
            </w:r>
          </w:p>
        </w:tc>
        <w:tc>
          <w:tcPr>
            <w:tcW w:type="dxa" w:w="2304"/>
            <w:vAlign w:val="center"/>
            <w:tcMar>
              <w:top w:w="90" w:type="dxa"/>
              <w:start w:w="110" w:type="dxa"/>
              <w:bottom w:w="90" w:type="dxa"/>
              <w:end w:w="110" w:type="dxa"/>
            </w:tcMar>
          </w:tcPr>
          <w:p>
            <w:pPr>
              <w:jc w:val="center"/>
            </w:pPr>
            <w:r/>
            <w:r>
              <w:rPr>
                <w:b w:val="0"/>
                <w:sz w:val="16"/>
              </w:rPr>
              <w:t>OPEN/PROREP</w:t>
            </w:r>
          </w:p>
        </w:tc>
      </w:tr>
    </w:tbl>
    <w:p>
      <w:pPr>
        <w:spacing w:after="100"/>
      </w:pPr>
      <w:r>
        <w:t>Теорема 16.3 (Schlessinger package, применённый условно). Если F удовлетворяет H1-H3, то F имеет hull: существует complete local K-algebra R и smooth natural transformation h_R→F, индуцирующая изоморфизм tangent spaces. Если дополнительно выполнено H4, F prorepresentable. Для groupoid-valued задач эти условия требуют стековой или derived модификации.</w:t>
      </w:r>
    </w:p>
    <w:p>
      <w:pPr>
        <w:spacing w:after="100"/>
      </w:pPr>
      <w:r>
        <w:t>В NAPG конечномерность tangent space следует только в конечномерном или Fredholm-редуцированном секторе. Поэтому H3 не переносится на произвольную бесконечномерную модель без дополнительных compactness и gauge-fixing гипотез.</w:t>
      </w:r>
    </w:p>
    <w:p>
      <w:pPr>
        <w:pStyle w:val="Heading1"/>
      </w:pPr>
      <w:r>
        <w:t>153. Versal, miniversal и universal: запрет терминологической подмены</w:t>
      </w:r>
    </w:p>
    <w:p>
      <w:pPr>
        <w:spacing w:after="100"/>
      </w:pPr>
      <w:r>
        <w:t>Пусть (S,0) - формальный или аналитический germ, а N_S - семейство деформаций. Оно называется versal, если всякая малая деформация индуцируется из него после некоторого base map. Оно miniversal, если дополнительно дифференциал base map единственен в первом порядке и dim T_0S минимальна. Universal family требует единственности самого base map.</w:t>
      </w:r>
    </w:p>
    <w:p>
      <w:pPr>
        <w:pStyle w:val="Quote"/>
        <w:spacing w:before="80" w:after="120"/>
        <w:jc w:val="center"/>
      </w:pPr>
      <w:r>
        <w:t>universal ⇒ miniversal ⇒ versal,      обратные импликации неверны.            (16.5)</w:t>
      </w:r>
    </w:p>
    <w:p>
      <w:pPr>
        <w:spacing w:after="100"/>
      </w:pPr>
      <w:r>
        <w:t>Наличие нетривиальных автоморфизмов обычно разрушает универсальность, не разрушая miniversality. Поэтому локальный модульный объект NAPG следует хранить как группоид или stack germ, а не только как множество точек.</w:t>
      </w:r>
    </w:p>
    <w:p>
      <w:pPr>
        <w:pStyle w:val="Heading1"/>
      </w:pPr>
      <w:r>
        <w:t>154. Трёхчленный деформационный комплекс и derived tangent</w:t>
      </w:r>
    </w:p>
    <w:p>
      <w:pPr>
        <w:spacing w:after="100"/>
      </w:pPr>
      <w:r>
        <w:t>Используется комплекс, согласованный с предыдущими главами:</w:t>
      </w:r>
    </w:p>
    <w:p>
      <w:pPr>
        <w:pStyle w:val="Quote"/>
        <w:spacing w:before="80" w:after="120"/>
        <w:jc w:val="center"/>
      </w:pPr>
      <w:r>
        <w:t>C_N^1 ─d_N^1→ C_N^2 ─d_N^2→ C_N^3,       d_N^2 d_N^1 = 0.                    (16.6)</w:t>
      </w:r>
    </w:p>
    <w:p>
      <w:pPr>
        <w:spacing w:after="100"/>
      </w:pPr>
      <w:r>
        <w:t>Его когомологии имеют проектную интерпретацию:</w:t>
      </w:r>
    </w:p>
    <w:p>
      <w:pPr>
        <w:pStyle w:val="Quote"/>
        <w:spacing w:before="80" w:after="120"/>
        <w:jc w:val="center"/>
      </w:pPr>
      <w:r>
        <w:t>H_N^1 = infinitesimal automorphisms,   H_N^2 = tangent classes,   H_N^3 = primary obstructions.  (16.7)</w:t>
      </w:r>
    </w:p>
    <w:p>
      <w:pPr>
        <w:spacing w:after="100"/>
      </w:pPr>
      <w:r>
        <w:t>Для сопоставления с derived geometry вводится controlling shift g_N=C_N[1], то есть g_N^j=C_N^{j+1}. Тогда derived tangent complex определяется как T_N^der=g_N[1], и</w:t>
      </w:r>
    </w:p>
    <w:p>
      <w:pPr>
        <w:pStyle w:val="Quote"/>
        <w:spacing w:before="80" w:after="120"/>
        <w:jc w:val="center"/>
      </w:pPr>
      <w:r>
        <w:t>H^{-1}(T_N^der)=H_N^1,   H^0(T_N^der)=H_N^2,   H^1(T_N^der)=H_N^3.             (16.8)</w:t>
      </w:r>
    </w:p>
    <w:p>
      <w:pPr>
        <w:spacing w:after="100"/>
      </w:pPr>
      <w:r>
        <w:t>Отрицательные степени хранят stabilizer directions, нулевая степень - деформации, положительные - препятствия. Coarse tangent space H_N^2 теряет H_N^1 и потому не является полной локальной моделью moduli problem.</w:t>
      </w:r>
    </w:p>
    <w:p>
      <w:pPr>
        <w:pStyle w:val="Heading1"/>
      </w:pPr>
      <w:r>
        <w:t>155. Контролирующая L_infinity-гипотеза</w:t>
      </w:r>
    </w:p>
    <w:p>
      <w:pPr>
        <w:spacing w:after="100"/>
      </w:pPr>
      <w:r>
        <w:t>Гипотеза CTRL-16.1. Для выбранного класса NAPG-структур существует полная фильтрованная L_infinity-алгебра</w:t>
      </w:r>
    </w:p>
    <w:p>
      <w:pPr>
        <w:pStyle w:val="Quote"/>
        <w:spacing w:before="80" w:after="120"/>
        <w:jc w:val="center"/>
      </w:pPr>
      <w:r>
        <w:t>g_N=(g_N,l_1,l_2,l_3,...)                                                     (16.9)</w:t>
      </w:r>
    </w:p>
    <w:p>
      <w:pPr>
        <w:spacing w:after="100"/>
      </w:pPr>
      <w:r>
        <w:t>и естественная эквивалентность группоидов Def_N(A) с Maurer-Cartan groupoid g_N⊗m_A для всех A∈Art_K. Полнота фильтрации обеспечивает конечность каждой MC-суммы на артиевой базе.</w:t>
      </w:r>
    </w:p>
    <w:p>
      <w:pPr>
        <w:pStyle w:val="Quote"/>
        <w:spacing w:before="80" w:after="120"/>
        <w:jc w:val="center"/>
      </w:pPr>
      <w:r>
        <w:t>MC_N(A)={α∈g_N^1⊗m_A : Σ_{n≥1}(1/n!) l_n(α,...,α)=0 }.                         (16.10)</w:t>
      </w:r>
    </w:p>
    <w:p>
      <w:pPr>
        <w:spacing w:after="100"/>
      </w:pPr>
      <w:r>
        <w:t>В проектной нумерации g_N^1=C_N^2, поэтому MC-параметр является вариацией бинарной операции или полного NAPG-кадра. Gauge action задаётся degree-zero частью g_N^0=C_N^1. Для общей частичной операции ⊙ существование такой g_N не предполагается без доказательства: оно включено в T2-PO-176.</w:t>
      </w:r>
    </w:p>
    <w:p>
      <w:pPr>
        <w:pStyle w:val="Heading1"/>
      </w:pPr>
      <w:r>
        <w:t>156. Lifting theorem из Maurer-Cartan equation</w:t>
      </w:r>
    </w:p>
    <w:p>
      <w:pPr>
        <w:spacing w:after="100"/>
      </w:pPr>
      <w:r>
        <w:t>Теорема 16.4 (малое расширение, условная форма). Пусть CTRL-16.1 выполнена, A′→A - малое расширение с ядром I, а α_A∈MC_N(A). Выберем lift α̃∈g_N^1⊗m_{A′}. Его curvature</w:t>
      </w:r>
    </w:p>
    <w:p>
      <w:pPr>
        <w:pStyle w:val="Quote"/>
        <w:spacing w:before="80" w:after="120"/>
        <w:jc w:val="center"/>
      </w:pPr>
      <w:r>
        <w:t>F(α̃)=Σ_{n≥1}(1/n!)l_n(α̃^n) ∈ g_N^2⊗I                                  (16.11)</w:t>
      </w:r>
    </w:p>
    <w:p>
      <w:pPr>
        <w:spacing w:after="100"/>
      </w:pPr>
      <w:r>
        <w:t>является l_1-циклом, а его класс в H^2(g_N)⊗I=H_N^3⊗I не зависит от выбранного lift. Он равен obstruction class. Класс исчезает тогда и только тогда, когда α_A допускает MC-lift; множество lifts modulo gauge является торсором над H^1(g_N)⊗I=H_N^2⊗I.</w:t>
      </w:r>
    </w:p>
    <w:p>
      <w:pPr>
        <w:spacing w:after="100"/>
      </w:pPr>
      <w:r>
        <w:t>Доказательство использует L_infinity identities и условие m_{A′}I=0, уничтожающее нелинейные члены, содержащие поправку дважды. Это стандартный механизм, но его перенос на NAPG зависит от CTRL-16.1.</w:t>
      </w:r>
    </w:p>
    <w:p>
      <w:pPr>
        <w:pStyle w:val="Heading1"/>
      </w:pPr>
      <w:r>
        <w:t>157. Hodge-Green contraction data</w:t>
      </w:r>
    </w:p>
    <w:p>
      <w:pPr>
        <w:spacing w:after="100"/>
      </w:pPr>
      <w:r>
        <w:t>Глава 15 построила Green-оператор для Fredholm Hodge-реализации. Для controlling complex требуется совместимый contraction datum</w:t>
      </w:r>
    </w:p>
    <w:p>
      <w:pPr>
        <w:pStyle w:val="Quote"/>
        <w:spacing w:before="80" w:after="120"/>
        <w:jc w:val="center"/>
      </w:pPr>
      <w:r>
        <w:t>(H(g_N),0) ─i→ (g_N,l_1) ─p→ (H(g_N),0),     id-ip=l_1h+hl_1.                 (16.12)</w:t>
      </w:r>
    </w:p>
    <w:p>
      <w:pPr>
        <w:spacing w:after="100"/>
      </w:pPr>
      <w:r>
        <w:t>В Hodge gauge выбираются</w:t>
      </w:r>
    </w:p>
    <w:p>
      <w:pPr>
        <w:pStyle w:val="Quote"/>
        <w:spacing w:before="80" w:after="120"/>
        <w:jc w:val="center"/>
      </w:pPr>
      <w:r>
        <w:t>p=P_H,      i=harmonic inclusion,      h=l_1^* G.                              (16.13)</w:t>
      </w:r>
    </w:p>
    <w:p>
      <w:pPr>
        <w:spacing w:after="100"/>
      </w:pPr>
      <w:r>
        <w:t>Равенство (16.12) следует из Hodge decomposition при closed range и корректных domains. Однако для использования в L_infinity-рекурсии нужны дополнительные условия: h должен сохранять фильтрацию и допустимые NAPG-секторы; bracket maps должны быть определены на образах h; multilinear estimates должны обеспечивать сходимость.</w:t>
      </w:r>
    </w:p>
    <w:p>
      <w:pPr>
        <w:jc w:val="center"/>
      </w:pPr>
      <w:r>
        <w:drawing>
          <wp:inline xmlns:a="http://schemas.openxmlformats.org/drawingml/2006/main" xmlns:pic="http://schemas.openxmlformats.org/drawingml/2006/picture">
            <wp:extent cx="6035040" cy="3440507"/>
            <wp:docPr id="40" name="Picture 40"/>
            <wp:cNvGraphicFramePr>
              <a:graphicFrameLocks noChangeAspect="1"/>
            </wp:cNvGraphicFramePr>
            <a:graphic>
              <a:graphicData uri="http://schemas.openxmlformats.org/drawingml/2006/picture">
                <pic:pic>
                  <pic:nvPicPr>
                    <pic:cNvPr id="0" name="fig16_2.png"/>
                    <pic:cNvPicPr/>
                  </pic:nvPicPr>
                  <pic:blipFill>
                    <a:blip r:embed="rId69"/>
                    <a:stretch>
                      <a:fillRect/>
                    </a:stretch>
                  </pic:blipFill>
                  <pic:spPr>
                    <a:xfrm>
                      <a:off x="0" y="0"/>
                      <a:ext cx="6035040" cy="3440507"/>
                    </a:xfrm>
                    <a:prstGeom prst="rect"/>
                  </pic:spPr>
                </pic:pic>
              </a:graphicData>
            </a:graphic>
          </wp:inline>
        </w:drawing>
      </w:r>
    </w:p>
    <w:p>
      <w:pPr>
        <w:pStyle w:val="Caption"/>
        <w:jc w:val="center"/>
      </w:pPr>
      <w:r>
        <w:t>Рисунок 16.2. Hodge-Green contraction и построение отображения Кураниши. Собственная схема Тома II.</w:t>
      </w:r>
    </w:p>
    <w:p>
      <w:pPr>
        <w:pStyle w:val="Heading1"/>
      </w:pPr>
      <w:r>
        <w:t>158. Рекурсия Кураниши</w:t>
      </w:r>
    </w:p>
    <w:p>
      <w:pPr>
        <w:spacing w:after="100"/>
      </w:pPr>
      <w:r>
        <w:t>Обозначим нелинейную часть Maurer-Cartan оператора</w:t>
      </w:r>
    </w:p>
    <w:p>
      <w:pPr>
        <w:pStyle w:val="Quote"/>
        <w:spacing w:before="80" w:after="120"/>
        <w:jc w:val="center"/>
      </w:pPr>
      <w:r>
        <w:t>N(α)=Σ_{n≥2}(1/n!)l_n(α^n).                                                    (16.14)</w:t>
      </w:r>
    </w:p>
    <w:p>
      <w:pPr>
        <w:spacing w:after="100"/>
      </w:pPr>
      <w:r>
        <w:t>Для x∈H^1(g_N)=H_N^2 ищется gauge-fixed solution α(x) уравнения</w:t>
      </w:r>
    </w:p>
    <w:p>
      <w:pPr>
        <w:pStyle w:val="Quote"/>
        <w:spacing w:before="80" w:after="120"/>
        <w:jc w:val="center"/>
      </w:pPr>
      <w:r>
        <w:t>α(x)=i(x)-hN(α(x)),        hα(x)=0.                                             (16.15)</w:t>
      </w:r>
    </w:p>
    <w:p>
      <w:pPr>
        <w:spacing w:after="100"/>
      </w:pPr>
      <w:r>
        <w:t>Отображение Кураниши определяется как гармоническая часть остатка:</w:t>
      </w:r>
    </w:p>
    <w:p>
      <w:pPr>
        <w:pStyle w:val="Quote"/>
        <w:spacing w:before="80" w:after="120"/>
        <w:jc w:val="center"/>
      </w:pPr>
      <w:r>
        <w:t>K_N(x)=pN(α(x)) ∈ H^2(g_N)=H_N^3.                                              (16.16)</w:t>
      </w:r>
    </w:p>
    <w:p>
      <w:pPr>
        <w:spacing w:after="100"/>
      </w:pPr>
      <w:r>
        <w:t>Теорема 16.5 (Kuranishi reduction, условная аналитическая форма). Если N аналитично на шаре, h ограничен и отображение α↦i(x)-hN(α) является сжатием равномерно для ||x||&lt;r_K, то (16.15) имеет единственное решение. Это решение удовлетворяет полной MC equation тогда и только тогда, когда K_N(x)=0.</w:t>
      </w:r>
    </w:p>
    <w:p>
      <w:pPr>
        <w:spacing w:after="100"/>
      </w:pPr>
      <w:r>
        <w:t>Итак, local miniversal base задаётся нулевым локусом K_N, но только внутри радиуса сходимости и выбранного Hodge gauge.</w:t>
      </w:r>
    </w:p>
    <w:p>
      <w:pPr>
        <w:pStyle w:val="Heading1"/>
      </w:pPr>
      <w:r>
        <w:t>159. Явная оценка радиуса сходимости</w:t>
      </w:r>
    </w:p>
    <w:p>
      <w:pPr>
        <w:spacing w:after="100"/>
      </w:pPr>
      <w:r>
        <w:t>Пусть на шаре ||α||≤R выполнено</w:t>
      </w:r>
    </w:p>
    <w:p>
      <w:pPr>
        <w:pStyle w:val="Quote"/>
        <w:spacing w:before="80" w:after="120"/>
        <w:jc w:val="center"/>
      </w:pPr>
      <w:r>
        <w:t>||N(α)-N(β)|| ≤ L_R ||α-β||,      ||h|| L_R &lt; 1.                               (16.17)</w:t>
      </w:r>
    </w:p>
    <w:p>
      <w:pPr>
        <w:spacing w:after="100"/>
      </w:pPr>
      <w:r>
        <w:t>Если ||i(x)||+||h||·||N(0)||≤R(1-||h||L_R), то contraction mapping theorem даёт существование и единственность α(x). В типичном MC-секторе N(0)=0, поэтому достаточно</w:t>
      </w:r>
    </w:p>
    <w:p>
      <w:pPr>
        <w:pStyle w:val="Quote"/>
        <w:spacing w:before="80" w:after="120"/>
        <w:jc w:val="center"/>
      </w:pPr>
      <w:r>
        <w:t>||x|| ≤ R(1-||h||L_R)/||i||.                                                   (16.18)</w:t>
      </w:r>
    </w:p>
    <w:p>
      <w:pPr>
        <w:spacing w:after="100"/>
      </w:pPr>
      <w:r>
        <w:t>Определение 16.6 (Kuranishi conditioning margin).</w:t>
      </w:r>
    </w:p>
    <w:p>
      <w:pPr>
        <w:pStyle w:val="Quote"/>
        <w:spacing w:before="80" w:after="120"/>
        <w:jc w:val="center"/>
      </w:pPr>
      <w:r>
        <w:t>m_K(R)=1-||h||L_R.                                                               (16.19)</w:t>
      </w:r>
    </w:p>
    <w:p>
      <w:pPr>
        <w:spacing w:after="100"/>
      </w:pPr>
      <w:r>
        <w:t>При m_K≤0 аналитическая редукция не сертифицирована. При малом положительном m_K решение существует, но чувствительно к ошибкам. Это связывает Kuranishi construction с spectral gap главы 15, поскольку ||h|| обычно контролируется ||G||≤γ^{-1}.</w:t>
      </w:r>
    </w:p>
    <w:p>
      <w:pPr>
        <w:pStyle w:val="Heading1"/>
      </w:pPr>
      <w:r>
        <w:t>160. Taylor-слои и высшие obstruction classes</w:t>
      </w:r>
    </w:p>
    <w:p>
      <w:pPr>
        <w:spacing w:after="100"/>
      </w:pPr>
      <w:r>
        <w:t>После homotopy transfer пространство H(g_N) получает минимальную L_infinity-структуру κ_n. В принятой симметрической convention первые компоненты Kuranishi map имеют вид</w:t>
      </w:r>
    </w:p>
    <w:p>
      <w:pPr>
        <w:pStyle w:val="Quote"/>
        <w:spacing w:before="80" w:after="120"/>
        <w:jc w:val="center"/>
      </w:pPr>
      <w:r>
        <w:t>K_N(x)=κ_2(x,x)+κ_3(x,x,x)+κ_4(x,x,x,x)+...                                   (16.20)</w:t>
      </w:r>
    </w:p>
    <w:p>
      <w:pPr>
        <w:pStyle w:val="Quote"/>
        <w:spacing w:before="80" w:after="120"/>
        <w:jc w:val="center"/>
      </w:pPr>
      <w:r>
        <w:t>κ_2(x,x)=1/2·p l_2(ix,ix).                                                       (16.21)</w:t>
      </w:r>
    </w:p>
    <w:p>
      <w:pPr>
        <w:pStyle w:val="Quote"/>
        <w:spacing w:before="80" w:after="120"/>
        <w:jc w:val="center"/>
      </w:pPr>
      <w:r>
        <w:t>κ_3(x,x,x)=1/6·p l_3(ix,ix,ix)-1/2·p l_2(ix,h l_2(ix,ix)).                      (16.22)</w:t>
      </w:r>
    </w:p>
    <w:p>
      <w:pPr>
        <w:spacing w:after="100"/>
      </w:pPr>
      <w:r>
        <w:t>Знаки и коэффициенты (16.22) относятся к зафиксированной suspension convention. При иной convention формула должна быть пересчитана, а не перенесена по зрительному сходству.</w:t>
      </w:r>
    </w:p>
    <w:p>
      <w:pPr>
        <w:spacing w:after="100"/>
      </w:pPr>
      <w:r>
        <w:t>Определение 16.7. Порядок первого ненулевого препятствия</w:t>
      </w:r>
    </w:p>
    <w:p>
      <w:pPr>
        <w:pStyle w:val="Quote"/>
        <w:spacing w:before="80" w:after="120"/>
        <w:jc w:val="center"/>
      </w:pPr>
      <w:r>
        <w:t>ν_K(x)=min{n≥2: κ_n(x,...,x)≠0},   ν_K=∞ если все члены исчезают.                (16.23)</w:t>
      </w:r>
    </w:p>
    <w:p>
      <w:pPr>
        <w:spacing w:after="100"/>
      </w:pPr>
      <w:r>
        <w:t>Исчезновение κ_2 не устраняет κ_3 и последующие классы. Поэтому нулевой primary obstruction является только входом в tower of higher obstructions.</w:t>
      </w:r>
    </w:p>
    <w:p>
      <w:pPr>
        <w:pStyle w:val="Heading1"/>
      </w:pPr>
      <w:r>
        <w:t>161. Miniversal base и формальное локальное кольцо</w:t>
      </w:r>
    </w:p>
    <w:p>
      <w:pPr>
        <w:spacing w:after="100"/>
      </w:pPr>
      <w:r>
        <w:t>Пусть dim H_N^2=m и dim H_N^3=q. После выбора базисов K_N имеет компоненты K_1,...,K_q в K[[t_1,...,t_m]]. Формальная miniversal base определяется кольцом</w:t>
      </w:r>
    </w:p>
    <w:p>
      <w:pPr>
        <w:pStyle w:val="Quote"/>
        <w:spacing w:before="80" w:after="120"/>
        <w:jc w:val="center"/>
      </w:pPr>
      <w:r>
        <w:t>R_N^min = K[[t_1,...,t_m]]/(K_1,...,K_q).                                      (16.24)</w:t>
      </w:r>
    </w:p>
    <w:p>
      <w:pPr>
        <w:spacing w:after="100"/>
      </w:pPr>
      <w:r>
        <w:t>Её Zariski tangent space равно H_N^2, потому что dK_N(0)=0 для минимальной L_infinity-модели. Наличие q уравнений не означает codimension q: компоненты могут быть зависимы, иметь общие множители или задавать nonreduced germ.</w:t>
      </w:r>
    </w:p>
    <w:p>
      <w:pPr>
        <w:spacing w:after="100"/>
      </w:pPr>
      <w:r>
        <w:t>Miniversal base определена неканонически: выбор Hodge splitting, координат и gauge меняет K_N, хотя при корректных hypotheses формальные germs эквивалентны. Сравнивать следует right-equivalence class или соответствующий formal moduli problem, а не буквальные коэффициенты одной формулы.</w:t>
      </w:r>
    </w:p>
    <w:p>
      <w:pPr>
        <w:pStyle w:val="Heading1"/>
      </w:pPr>
      <w:r>
        <w:t>162. Формальная гладкость, жёсткость и unobstructedness</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800"/>
            <w:vAlign w:val="center"/>
            <w:tcMar>
              <w:top w:w="90" w:type="dxa"/>
              <w:start w:w="110" w:type="dxa"/>
              <w:bottom w:w="90" w:type="dxa"/>
              <w:end w:w="110" w:type="dxa"/>
            </w:tcMar>
            <w:shd w:fill="173b63"/>
          </w:tcPr>
          <w:p>
            <w:pPr>
              <w:jc w:val="center"/>
            </w:pPr>
            <w:r/>
            <w:r>
              <w:rPr>
                <w:b/>
                <w:color w:val="FFFFFF"/>
                <w:sz w:val="18"/>
              </w:rPr>
              <w:t>Свойство</w:t>
            </w:r>
          </w:p>
        </w:tc>
        <w:tc>
          <w:tcPr>
            <w:tcW w:type="dxa" w:w="3384"/>
            <w:vAlign w:val="center"/>
            <w:tcMar>
              <w:top w:w="90" w:type="dxa"/>
              <w:start w:w="110" w:type="dxa"/>
              <w:bottom w:w="90" w:type="dxa"/>
              <w:end w:w="110" w:type="dxa"/>
            </w:tcMar>
            <w:shd w:fill="173b63"/>
          </w:tcPr>
          <w:p>
            <w:pPr>
              <w:jc w:val="center"/>
            </w:pPr>
            <w:r/>
            <w:r>
              <w:rPr>
                <w:b/>
                <w:color w:val="FFFFFF"/>
                <w:sz w:val="18"/>
              </w:rPr>
              <w:t>Условие</w:t>
            </w:r>
          </w:p>
        </w:tc>
        <w:tc>
          <w:tcPr>
            <w:tcW w:type="dxa" w:w="3816"/>
            <w:vAlign w:val="center"/>
            <w:tcMar>
              <w:top w:w="90" w:type="dxa"/>
              <w:start w:w="110" w:type="dxa"/>
              <w:bottom w:w="90" w:type="dxa"/>
              <w:end w:w="110" w:type="dxa"/>
            </w:tcMar>
            <w:shd w:fill="173b63"/>
          </w:tcPr>
          <w:p>
            <w:pPr>
              <w:jc w:val="center"/>
            </w:pPr>
            <w:r/>
            <w:r>
              <w:rPr>
                <w:b/>
                <w:color w:val="FFFFFF"/>
                <w:sz w:val="18"/>
              </w:rPr>
              <w:t>Точный вывод</w:t>
            </w:r>
          </w:p>
        </w:tc>
      </w:tr>
      <w:tr>
        <w:tc>
          <w:tcPr>
            <w:tcW w:type="dxa" w:w="1800"/>
            <w:vAlign w:val="center"/>
            <w:tcMar>
              <w:top w:w="90" w:type="dxa"/>
              <w:start w:w="110" w:type="dxa"/>
              <w:bottom w:w="90" w:type="dxa"/>
              <w:end w:w="110" w:type="dxa"/>
            </w:tcMar>
          </w:tcPr>
          <w:p>
            <w:pPr>
              <w:jc w:val="center"/>
            </w:pPr>
            <w:r/>
            <w:r>
              <w:rPr>
                <w:b w:val="0"/>
                <w:sz w:val="16"/>
              </w:rPr>
              <w:t>Infinitesimal rigidity</w:t>
            </w:r>
          </w:p>
        </w:tc>
        <w:tc>
          <w:tcPr>
            <w:tcW w:type="dxa" w:w="3384"/>
            <w:vAlign w:val="center"/>
            <w:tcMar>
              <w:top w:w="90" w:type="dxa"/>
              <w:start w:w="110" w:type="dxa"/>
              <w:bottom w:w="90" w:type="dxa"/>
              <w:end w:w="110" w:type="dxa"/>
            </w:tcMar>
          </w:tcPr>
          <w:p>
            <w:pPr>
              <w:jc w:val="left"/>
            </w:pPr>
            <w:r/>
            <w:r>
              <w:rPr>
                <w:b w:val="0"/>
                <w:sz w:val="16"/>
              </w:rPr>
              <w:t>H_N^2=0</w:t>
            </w:r>
          </w:p>
        </w:tc>
        <w:tc>
          <w:tcPr>
            <w:tcW w:type="dxa" w:w="3816"/>
            <w:vAlign w:val="center"/>
            <w:tcMar>
              <w:top w:w="90" w:type="dxa"/>
              <w:start w:w="110" w:type="dxa"/>
              <w:bottom w:w="90" w:type="dxa"/>
              <w:end w:w="110" w:type="dxa"/>
            </w:tcMar>
          </w:tcPr>
          <w:p>
            <w:pPr>
              <w:jc w:val="center"/>
            </w:pPr>
            <w:r/>
            <w:r>
              <w:rPr>
                <w:b w:val="0"/>
                <w:sz w:val="16"/>
              </w:rPr>
              <w:t>Нет нетривиальных деформаций первого порядка; при полной obstruction theory functor формально локально тривиален.</w:t>
            </w:r>
          </w:p>
        </w:tc>
      </w:tr>
      <w:tr>
        <w:tc>
          <w:tcPr>
            <w:tcW w:type="dxa" w:w="1800"/>
            <w:vAlign w:val="center"/>
            <w:tcMar>
              <w:top w:w="90" w:type="dxa"/>
              <w:start w:w="110" w:type="dxa"/>
              <w:bottom w:w="90" w:type="dxa"/>
              <w:end w:w="110" w:type="dxa"/>
            </w:tcMar>
          </w:tcPr>
          <w:p>
            <w:pPr>
              <w:jc w:val="center"/>
            </w:pPr>
            <w:r/>
            <w:r>
              <w:rPr>
                <w:b w:val="0"/>
                <w:sz w:val="16"/>
              </w:rPr>
              <w:t>Unobstructedness</w:t>
            </w:r>
          </w:p>
        </w:tc>
        <w:tc>
          <w:tcPr>
            <w:tcW w:type="dxa" w:w="3384"/>
            <w:vAlign w:val="center"/>
            <w:tcMar>
              <w:top w:w="90" w:type="dxa"/>
              <w:start w:w="110" w:type="dxa"/>
              <w:bottom w:w="90" w:type="dxa"/>
              <w:end w:w="110" w:type="dxa"/>
            </w:tcMar>
          </w:tcPr>
          <w:p>
            <w:pPr>
              <w:jc w:val="left"/>
            </w:pPr>
            <w:r/>
            <w:r>
              <w:rPr>
                <w:b w:val="0"/>
                <w:sz w:val="16"/>
              </w:rPr>
              <w:t>K_N≡0 либо H_N^3=0 при complete control</w:t>
            </w:r>
          </w:p>
        </w:tc>
        <w:tc>
          <w:tcPr>
            <w:tcW w:type="dxa" w:w="3816"/>
            <w:vAlign w:val="center"/>
            <w:tcMar>
              <w:top w:w="90" w:type="dxa"/>
              <w:start w:w="110" w:type="dxa"/>
              <w:bottom w:w="90" w:type="dxa"/>
              <w:end w:w="110" w:type="dxa"/>
            </w:tcMar>
          </w:tcPr>
          <w:p>
            <w:pPr>
              <w:jc w:val="center"/>
            </w:pPr>
            <w:r/>
            <w:r>
              <w:rPr>
                <w:b w:val="0"/>
                <w:sz w:val="16"/>
              </w:rPr>
              <w:t>Miniversal base гладкая формальной размерности dim H_N^2.</w:t>
            </w:r>
          </w:p>
        </w:tc>
      </w:tr>
      <w:tr>
        <w:tc>
          <w:tcPr>
            <w:tcW w:type="dxa" w:w="1800"/>
            <w:vAlign w:val="center"/>
            <w:tcMar>
              <w:top w:w="90" w:type="dxa"/>
              <w:start w:w="110" w:type="dxa"/>
              <w:bottom w:w="90" w:type="dxa"/>
              <w:end w:w="110" w:type="dxa"/>
            </w:tcMar>
          </w:tcPr>
          <w:p>
            <w:pPr>
              <w:jc w:val="center"/>
            </w:pPr>
            <w:r/>
            <w:r>
              <w:rPr>
                <w:b w:val="0"/>
                <w:sz w:val="16"/>
              </w:rPr>
              <w:t>No automorphisms</w:t>
            </w:r>
          </w:p>
        </w:tc>
        <w:tc>
          <w:tcPr>
            <w:tcW w:type="dxa" w:w="3384"/>
            <w:vAlign w:val="center"/>
            <w:tcMar>
              <w:top w:w="90" w:type="dxa"/>
              <w:start w:w="110" w:type="dxa"/>
              <w:bottom w:w="90" w:type="dxa"/>
              <w:end w:w="110" w:type="dxa"/>
            </w:tcMar>
          </w:tcPr>
          <w:p>
            <w:pPr>
              <w:jc w:val="left"/>
            </w:pPr>
            <w:r/>
            <w:r>
              <w:rPr>
                <w:b w:val="0"/>
                <w:sz w:val="16"/>
              </w:rPr>
              <w:t>H_N^1=0</w:t>
            </w:r>
          </w:p>
        </w:tc>
        <w:tc>
          <w:tcPr>
            <w:tcW w:type="dxa" w:w="3816"/>
            <w:vAlign w:val="center"/>
            <w:tcMar>
              <w:top w:w="90" w:type="dxa"/>
              <w:start w:w="110" w:type="dxa"/>
              <w:bottom w:w="90" w:type="dxa"/>
              <w:end w:w="110" w:type="dxa"/>
            </w:tcMar>
          </w:tcPr>
          <w:p>
            <w:pPr>
              <w:jc w:val="center"/>
            </w:pPr>
            <w:r/>
            <w:r>
              <w:rPr>
                <w:b w:val="0"/>
                <w:sz w:val="16"/>
              </w:rPr>
              <w:t>Повышает шанс universality/prorepresentability, но не заменяет H4.</w:t>
            </w:r>
          </w:p>
        </w:tc>
      </w:tr>
      <w:tr>
        <w:tc>
          <w:tcPr>
            <w:tcW w:type="dxa" w:w="1800"/>
            <w:vAlign w:val="center"/>
            <w:tcMar>
              <w:top w:w="90" w:type="dxa"/>
              <w:start w:w="110" w:type="dxa"/>
              <w:bottom w:w="90" w:type="dxa"/>
              <w:end w:w="110" w:type="dxa"/>
            </w:tcMar>
          </w:tcPr>
          <w:p>
            <w:pPr>
              <w:jc w:val="center"/>
            </w:pPr>
            <w:r/>
            <w:r>
              <w:rPr>
                <w:b w:val="0"/>
                <w:sz w:val="16"/>
              </w:rPr>
              <w:t>Quadratic germ</w:t>
            </w:r>
          </w:p>
        </w:tc>
        <w:tc>
          <w:tcPr>
            <w:tcW w:type="dxa" w:w="3384"/>
            <w:vAlign w:val="center"/>
            <w:tcMar>
              <w:top w:w="90" w:type="dxa"/>
              <w:start w:w="110" w:type="dxa"/>
              <w:bottom w:w="90" w:type="dxa"/>
              <w:end w:w="110" w:type="dxa"/>
            </w:tcMar>
          </w:tcPr>
          <w:p>
            <w:pPr>
              <w:jc w:val="left"/>
            </w:pPr>
            <w:r/>
            <w:r>
              <w:rPr>
                <w:b w:val="0"/>
                <w:sz w:val="16"/>
              </w:rPr>
              <w:t>κ_n=0 для n≥3 после equivalence</w:t>
            </w:r>
          </w:p>
        </w:tc>
        <w:tc>
          <w:tcPr>
            <w:tcW w:type="dxa" w:w="3816"/>
            <w:vAlign w:val="center"/>
            <w:tcMar>
              <w:top w:w="90" w:type="dxa"/>
              <w:start w:w="110" w:type="dxa"/>
              <w:bottom w:w="90" w:type="dxa"/>
              <w:end w:w="110" w:type="dxa"/>
            </w:tcMar>
          </w:tcPr>
          <w:p>
            <w:pPr>
              <w:jc w:val="center"/>
            </w:pPr>
            <w:r/>
            <w:r>
              <w:rPr>
                <w:b w:val="0"/>
                <w:sz w:val="16"/>
              </w:rPr>
              <w:t>Base задаётся quadratic cone κ_2(x,x)=0.</w:t>
            </w:r>
          </w:p>
        </w:tc>
      </w:tr>
      <w:tr>
        <w:tc>
          <w:tcPr>
            <w:tcW w:type="dxa" w:w="1800"/>
            <w:vAlign w:val="center"/>
            <w:tcMar>
              <w:top w:w="90" w:type="dxa"/>
              <w:start w:w="110" w:type="dxa"/>
              <w:bottom w:w="90" w:type="dxa"/>
              <w:end w:w="110" w:type="dxa"/>
            </w:tcMar>
          </w:tcPr>
          <w:p>
            <w:pPr>
              <w:jc w:val="center"/>
            </w:pPr>
            <w:r/>
            <w:r>
              <w:rPr>
                <w:b w:val="0"/>
                <w:sz w:val="16"/>
              </w:rPr>
              <w:t>Formal smoothness</w:t>
            </w:r>
          </w:p>
        </w:tc>
        <w:tc>
          <w:tcPr>
            <w:tcW w:type="dxa" w:w="3384"/>
            <w:vAlign w:val="center"/>
            <w:tcMar>
              <w:top w:w="90" w:type="dxa"/>
              <w:start w:w="110" w:type="dxa"/>
              <w:bottom w:w="90" w:type="dxa"/>
              <w:end w:w="110" w:type="dxa"/>
            </w:tcMar>
          </w:tcPr>
          <w:p>
            <w:pPr>
              <w:jc w:val="left"/>
            </w:pPr>
            <w:r/>
            <w:r>
              <w:rPr>
                <w:b w:val="0"/>
                <w:sz w:val="16"/>
              </w:rPr>
              <w:t>все lifts по малым расширениям существуют</w:t>
            </w:r>
          </w:p>
        </w:tc>
        <w:tc>
          <w:tcPr>
            <w:tcW w:type="dxa" w:w="3816"/>
            <w:vAlign w:val="center"/>
            <w:tcMar>
              <w:top w:w="90" w:type="dxa"/>
              <w:start w:w="110" w:type="dxa"/>
              <w:bottom w:w="90" w:type="dxa"/>
              <w:end w:w="110" w:type="dxa"/>
            </w:tcMar>
          </w:tcPr>
          <w:p>
            <w:pPr>
              <w:jc w:val="center"/>
            </w:pPr>
            <w:r/>
            <w:r>
              <w:rPr>
                <w:b w:val="0"/>
                <w:sz w:val="16"/>
              </w:rPr>
              <w:t>Не гарантирует convergence аналитической family без Artin/Kuranishi-type theorem.</w:t>
            </w:r>
          </w:p>
        </w:tc>
      </w:tr>
    </w:tbl>
    <w:p>
      <w:pPr>
        <w:spacing w:after="100"/>
      </w:pPr>
      <w:r>
        <w:t>Теорема Goldman-Millson о quadratic singularities в специальных Kähler-ситуациях не означает, что всякая NAPG-moduli problem квадратична. Для такого вывода требуется formality или эквивалентная редукция controlling DGLA.</w:t>
      </w:r>
    </w:p>
    <w:p>
      <w:pPr>
        <w:pStyle w:val="Heading1"/>
      </w:pPr>
      <w:r>
        <w:t>163. Derived formal moduli и граница применения</w:t>
      </w:r>
    </w:p>
    <w:p>
      <w:pPr>
        <w:spacing w:after="100"/>
      </w:pPr>
      <w:r>
        <w:t>В характеристике 0 formal moduli problems при стандартных axioms эквивалентны подходящим dg Lie или L_infinity-алгебрам. В этой корреспонденции derived tangent complex хранит не только tangent space, но и автоморфизмы и obstruction directions.</w:t>
      </w:r>
    </w:p>
    <w:p>
      <w:pPr>
        <w:pStyle w:val="Quote"/>
        <w:spacing w:before="80" w:after="120"/>
        <w:jc w:val="center"/>
      </w:pPr>
      <w:r>
        <w:t>FormalModuli_K  ≃  dgLie_K   (при char K=0 и соответствующих homotopical hypotheses). (16.25)</w:t>
      </w:r>
    </w:p>
    <w:p>
      <w:pPr>
        <w:spacing w:after="100"/>
      </w:pPr>
      <w:r>
        <w:t>Для NAPG это является не готовой теоремой, а шаблоном построения. Требуется определить derived category объектов, weak equivalences, nilcomplete functor, infinitesimal cohesiveness и совместимость partial Dom-data. До закрытия этих пунктов термин derived NAPG moduli используется со статусом COND.</w:t>
      </w:r>
    </w:p>
    <w:p>
      <w:pPr>
        <w:pStyle w:val="Heading1"/>
      </w:pPr>
      <w:r>
        <w:t>164. Stack versus coarse moduli: stabilizer no-go</w:t>
      </w:r>
    </w:p>
    <w:p>
      <w:pPr>
        <w:spacing w:after="100"/>
      </w:pPr>
      <w:r>
        <w:t>Пусть ξ - деформация с группой автоморфизмов Aut(ξ). Переход от groupoid Def_N(A) к множеству π_0Def_N(A) забывает Aut(ξ) и его деформации. Поэтому две задачи с одинаковыми coarse points могут иметь разные derived tangent complexes.</w:t>
      </w:r>
    </w:p>
    <w:p>
      <w:pPr>
        <w:pStyle w:val="Quote"/>
        <w:spacing w:before="80" w:after="120"/>
        <w:jc w:val="center"/>
      </w:pPr>
      <w:r>
        <w:t>π_0Def_N не определяет H^{-1}(T_N^der).                                       (16.26)</w:t>
      </w:r>
    </w:p>
    <w:p>
      <w:pPr>
        <w:spacing w:after="100"/>
      </w:pPr>
      <w:r>
        <w:t>Контртеорема 16.8. Нельзя восстановить локальный stack germ по одному coarse moduli germ без stabilizer data. В частности, quotient singularity и обычное сингулярное пространство могут иметь совпадающее множество точек, но различные isotropy и deformation theory.</w:t>
      </w:r>
    </w:p>
    <w:p>
      <w:pPr>
        <w:pStyle w:val="Heading1"/>
      </w:pPr>
      <w:r>
        <w:t>165. Стратификация локального модульного пространства</w:t>
      </w:r>
    </w:p>
    <w:p>
      <w:pPr>
        <w:spacing w:after="100"/>
      </w:pPr>
      <w:r>
        <w:t>Локальная miniversal base S_N=K_N^{-1}(0) стратифицируется по invariants: размерности stabilizer, рангу Hessian/leading obstruction, типу orbit, multiplicity, Hilbert-Samuel function и projective obstruction direction.</w:t>
      </w:r>
    </w:p>
    <w:p>
      <w:pPr>
        <w:pStyle w:val="Quote"/>
        <w:spacing w:before="80" w:after="120"/>
        <w:jc w:val="center"/>
      </w:pPr>
      <w:r>
        <w:t>S_N = ⨆_α S_{N,α},      P_mod(x)=(dim H^1,dim H^2,dim H^3,ν_K,HS_x,dim Aut_x,[K_lead]).  (16.27)</w:t>
      </w:r>
    </w:p>
    <w:p>
      <w:pPr>
        <w:spacing w:after="100"/>
      </w:pPr>
      <w:r>
        <w:t>Whitney regularity, existence of finite stratification и local triviality не предполагаются автоматически. Для вычислительного слоя допускается конечная semialgebraic/analytic stratification только после проверки применимого theorem package.</w:t>
      </w:r>
    </w:p>
    <w:p>
      <w:pPr>
        <w:pStyle w:val="Heading1"/>
      </w:pPr>
      <w:r>
        <w:t>166. Модульный переходный горизонт предсказательного метода</w:t>
      </w:r>
    </w:p>
    <w:p>
      <w:pPr>
        <w:pStyle w:val="Quote"/>
        <w:spacing w:before="80" w:after="120"/>
        <w:jc w:val="center"/>
      </w:pPr>
      <w:r>
        <w:t>Δ_mod = Δ_HF ∪ Δ_ctrl ∪ Δ_Sch ∪ Δ_aut ∪ Δ_tan ∪ Δ_obs ∪ Δ_Kur ∪ Δ_conv ∪ Δ_orb ∪ Δ_D ∪ Δ_Dom ∪ Δ_glue.   (16.28)</w:t>
      </w:r>
    </w:p>
    <w:p>
      <w:pPr>
        <w:spacing w:after="100"/>
      </w:pPr>
      <w:r>
        <w:t>Компоненты фиксируют соответственно: потерю Hodge-Fredholm условий; разрушение controlling algebra; отказ Schlessinger conditions; jump stabilizer; изменение tangent/obstruction ranks; смену Kuranishi germ; потерю convergence margin; orbit/stratum transition; повреждение Evidence-D, domain или descent.</w:t>
      </w:r>
    </w:p>
    <w:p>
      <w:pPr>
        <w:spacing w:after="100"/>
      </w:pPr>
      <w:r>
        <w:t>Для конкретного tangent candidate x_t определяется Kuranishi residual</w:t>
      </w:r>
    </w:p>
    <w:p>
      <w:pPr>
        <w:pStyle w:val="Quote"/>
        <w:spacing w:before="80" w:after="120"/>
        <w:jc w:val="center"/>
      </w:pPr>
      <w:r>
        <w:t>η_K(t)=||K_{N_t}(x_t)||.                                                        (16.29)</w:t>
      </w:r>
    </w:p>
    <w:p>
      <w:pPr>
        <w:spacing w:after="100"/>
      </w:pPr>
      <w:r>
        <w:t>Если η_K≥ε_K&gt;0 на интервале, соответствующий класс не интегрируется в local MC-family. Если η_K=0, получается только локальный candidate-lift; глобализация, внешний E-мост, λ-шлюз и независимая проверка остаются отдельными.</w:t>
      </w:r>
    </w:p>
    <w:p>
      <w:pPr>
        <w:jc w:val="center"/>
      </w:pPr>
      <w:r>
        <w:drawing>
          <wp:inline xmlns:a="http://schemas.openxmlformats.org/drawingml/2006/main" xmlns:pic="http://schemas.openxmlformats.org/drawingml/2006/picture">
            <wp:extent cx="6035040" cy="3440507"/>
            <wp:docPr id="41" name="Picture 41"/>
            <wp:cNvGraphicFramePr>
              <a:graphicFrameLocks noChangeAspect="1"/>
            </wp:cNvGraphicFramePr>
            <a:graphic>
              <a:graphicData uri="http://schemas.openxmlformats.org/drawingml/2006/picture">
                <pic:pic>
                  <pic:nvPicPr>
                    <pic:cNvPr id="0" name="fig16_3.png"/>
                    <pic:cNvPicPr/>
                  </pic:nvPicPr>
                  <pic:blipFill>
                    <a:blip r:embed="rId70"/>
                    <a:stretch>
                      <a:fillRect/>
                    </a:stretch>
                  </pic:blipFill>
                  <pic:spPr>
                    <a:xfrm>
                      <a:off x="0" y="0"/>
                      <a:ext cx="6035040" cy="3440507"/>
                    </a:xfrm>
                    <a:prstGeom prst="rect"/>
                  </pic:spPr>
                </pic:pic>
              </a:graphicData>
            </a:graphic>
          </wp:inline>
        </w:drawing>
      </w:r>
    </w:p>
    <w:p>
      <w:pPr>
        <w:pStyle w:val="Caption"/>
        <w:jc w:val="center"/>
      </w:pPr>
      <w:r>
        <w:t>Рисунок 16.3. Модульный переходный горизонт и blocker-safe вывод. Собственная схема Тома II.</w:t>
      </w:r>
    </w:p>
    <w:p>
      <w:pPr>
        <w:pStyle w:val="Heading1"/>
      </w:pPr>
      <w:r>
        <w:t>167. Сертифицированная тривиализация семейства moduli problems</w:t>
      </w:r>
    </w:p>
    <w:p>
      <w:pPr>
        <w:spacing w:after="100"/>
      </w:pPr>
      <w:r>
        <w:t>Простого постоянства размерностей H_N^i недостаточно для постоянства moduli germ. Поэтому вводится сильный сертификат ModTriv(I), содержащий:</w:t>
      </w:r>
    </w:p>
    <w:p>
      <w:pPr>
        <w:pStyle w:val="ListBullet"/>
      </w:pPr>
      <w:r>
        <w:t>идентификации graded Hilbert spaces и domains вдоль I;</w:t>
      </w:r>
    </w:p>
    <w:p>
      <w:pPr>
        <w:pStyle w:val="ListBullet"/>
      </w:pPr>
      <w:r>
        <w:t>filtered L_infinity-isomorphisms controlling algebras, непрерывные по параметру;</w:t>
      </w:r>
    </w:p>
    <w:p>
      <w:pPr>
        <w:pStyle w:val="ListBullet"/>
      </w:pPr>
      <w:r>
        <w:t>совместимые Hodge contractions (p_t,i_t,h_t) с uniform bounds;</w:t>
      </w:r>
    </w:p>
    <w:p>
      <w:pPr>
        <w:pStyle w:val="ListBullet"/>
      </w:pPr>
      <w:r>
        <w:t>right-equivalence K_t = B_t∘K_{t0}∘A_t^{-1} для локальных аналитических координат;</w:t>
      </w:r>
    </w:p>
    <w:p>
      <w:pPr>
        <w:pStyle w:val="ListBullet"/>
      </w:pPr>
      <w:r>
        <w:t>сохранение stabilizer groupoids, D/Dom, charts и globalization data;</w:t>
      </w:r>
    </w:p>
    <w:p>
      <w:pPr>
        <w:pStyle w:val="ListBullet"/>
      </w:pPr>
      <w:r>
        <w:t>равномерный Kuranishi radius и separation from Δ_mod.</w:t>
      </w:r>
    </w:p>
    <w:p>
      <w:pPr>
        <w:spacing w:after="100"/>
      </w:pPr>
      <w:r>
        <w:t>Только такой сертификат разрешает переносить отрицательный прогноз между параметрами. Постоянные Betti numbers без ModTriv(I) этого не обеспечивают.</w:t>
      </w:r>
    </w:p>
    <w:p>
      <w:pPr>
        <w:pStyle w:val="Heading1"/>
      </w:pPr>
      <w:r>
        <w:t>168. Главная условная теорема T2-RP-v0.13</w:t>
      </w:r>
    </w:p>
    <w:p>
      <w:pPr>
        <w:spacing w:after="100"/>
      </w:pPr>
      <w:r>
        <w:t>Теорема 16.9 (Moduli-Kuranishi-safe predictive theorem). [COND] Пусть семейство N_t на компактном интервале I удовлетворяет:</w:t>
      </w:r>
    </w:p>
    <w:p>
      <w:pPr>
        <w:pStyle w:val="ListNumber"/>
      </w:pPr>
      <w:r>
        <w:t>существует complete filtered controlling L_infinity-algebra g_t для каждой N_t;</w:t>
      </w:r>
    </w:p>
    <w:p>
      <w:pPr>
        <w:pStyle w:val="ListNumber"/>
      </w:pPr>
      <w:r>
        <w:t>выполнены H1-H3 Шлессингера и существует miniversal hull;</w:t>
      </w:r>
    </w:p>
    <w:p>
      <w:pPr>
        <w:pStyle w:val="ListNumber"/>
      </w:pPr>
      <w:r>
        <w:t>Hodge-Green contractions корректны и имеют uniform spectral/convergence margins;</w:t>
      </w:r>
    </w:p>
    <w:p>
      <w:pPr>
        <w:pStyle w:val="ListNumber"/>
      </w:pPr>
      <w:r>
        <w:t>задан сертификат ModTriv(I) и I∩Δ_mod=∅;</w:t>
      </w:r>
    </w:p>
    <w:p>
      <w:pPr>
        <w:pStyle w:val="ListNumber"/>
      </w:pPr>
      <w:r>
        <w:t>candidate section x_t∈H_{N_t}^2 непрерывен и сохраняет Evidence-D/Dom;</w:t>
      </w:r>
    </w:p>
    <w:p>
      <w:pPr>
        <w:pStyle w:val="ListNumber"/>
      </w:pPr>
      <w:r>
        <w:t>все предыдущие tangent, differential, external, projective и global blockers закрыты.</w:t>
      </w:r>
    </w:p>
    <w:p>
      <w:pPr>
        <w:spacing w:after="100"/>
      </w:pPr>
      <w:r>
        <w:t>Тогда локальный moduli type и order profile ν_K постоянны в сертифицированной тривиализации. Если</w:t>
      </w:r>
    </w:p>
    <w:p>
      <w:pPr>
        <w:pStyle w:val="Quote"/>
        <w:spacing w:before="80" w:after="120"/>
        <w:jc w:val="center"/>
      </w:pPr>
      <w:r>
        <w:t>η_K(t)=||K_t(x_t)|| ≥ ε_K &gt; 0  для всех t∈I,                                 (16.30)</w:t>
      </w:r>
    </w:p>
    <w:p>
      <w:pPr>
        <w:spacing w:after="100"/>
      </w:pPr>
      <w:r>
        <w:t>то ни один x_t не интегрируется в MC-deformation в пределах указанного Kuranishi neighborhood. Следовательно, структурный переход, требующий именно этой ветви, невозможен внутри модели.</w:t>
      </w:r>
    </w:p>
    <w:p>
      <w:pPr>
        <w:spacing w:after="100"/>
      </w:pPr>
      <w:r>
        <w:t>Если η_K(t)=0, существует локальный formal/analytic candidate-lift при остальных гипотезах, но теорема не утверждает его глобальность, уникальность, устойчивость вне радиуса, физическую реализацию или вероятность события.</w:t>
      </w:r>
    </w:p>
    <w:p>
      <w:pPr>
        <w:pStyle w:val="Heading1"/>
      </w:pPr>
      <w:r>
        <w:t>169. Blocker-safe вывод главы</w:t>
      </w:r>
    </w:p>
    <w:p>
      <w:pPr>
        <w:pStyle w:val="Quote"/>
        <w:spacing w:before="80" w:after="120"/>
        <w:jc w:val="center"/>
      </w:pPr>
      <w:r>
        <w:t>Block_mod = B_ctrl ∪ B_Sch ∪ B_HF ∪ B_gauge ∪ B_conv ∪ B_Kur ∪ B_aut ∪ B_stack ∪ B_D ∪ B_Dom ∪ B_glue ∪ B_ind. (16.31)</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3168"/>
            <w:vAlign w:val="center"/>
            <w:tcMar>
              <w:top w:w="90" w:type="dxa"/>
              <w:start w:w="110" w:type="dxa"/>
              <w:bottom w:w="90" w:type="dxa"/>
              <w:end w:w="110" w:type="dxa"/>
            </w:tcMar>
            <w:shd w:fill="173b63"/>
          </w:tcPr>
          <w:p>
            <w:pPr>
              <w:jc w:val="center"/>
            </w:pPr>
            <w:r/>
            <w:r>
              <w:rPr>
                <w:b/>
                <w:color w:val="FFFFFF"/>
                <w:sz w:val="18"/>
              </w:rPr>
              <w:t>Условие</w:t>
            </w:r>
          </w:p>
        </w:tc>
        <w:tc>
          <w:tcPr>
            <w:tcW w:type="dxa" w:w="2304"/>
            <w:vAlign w:val="center"/>
            <w:tcMar>
              <w:top w:w="90" w:type="dxa"/>
              <w:start w:w="110" w:type="dxa"/>
              <w:bottom w:w="90" w:type="dxa"/>
              <w:end w:w="110" w:type="dxa"/>
            </w:tcMar>
            <w:shd w:fill="173b63"/>
          </w:tcPr>
          <w:p>
            <w:pPr>
              <w:jc w:val="center"/>
            </w:pPr>
            <w:r/>
            <w:r>
              <w:rPr>
                <w:b/>
                <w:color w:val="FFFFFF"/>
                <w:sz w:val="18"/>
              </w:rPr>
              <w:t>Вердикт</w:t>
            </w:r>
          </w:p>
        </w:tc>
        <w:tc>
          <w:tcPr>
            <w:tcW w:type="dxa" w:w="3600"/>
            <w:vAlign w:val="center"/>
            <w:tcMar>
              <w:top w:w="90" w:type="dxa"/>
              <w:start w:w="110" w:type="dxa"/>
              <w:bottom w:w="90" w:type="dxa"/>
              <w:end w:w="110" w:type="dxa"/>
            </w:tcMar>
            <w:shd w:fill="173b63"/>
          </w:tcPr>
          <w:p>
            <w:pPr>
              <w:jc w:val="center"/>
            </w:pPr>
            <w:r/>
            <w:r>
              <w:rPr>
                <w:b/>
                <w:color w:val="FFFFFF"/>
                <w:sz w:val="18"/>
              </w:rPr>
              <w:t>Смысл</w:t>
            </w:r>
          </w:p>
        </w:tc>
      </w:tr>
      <w:tr>
        <w:tc>
          <w:tcPr>
            <w:tcW w:type="dxa" w:w="3168"/>
            <w:vAlign w:val="center"/>
            <w:tcMar>
              <w:top w:w="90" w:type="dxa"/>
              <w:start w:w="110" w:type="dxa"/>
              <w:bottom w:w="90" w:type="dxa"/>
              <w:end w:w="110" w:type="dxa"/>
            </w:tcMar>
          </w:tcPr>
          <w:p>
            <w:pPr>
              <w:jc w:val="center"/>
            </w:pPr>
            <w:r/>
            <w:r>
              <w:rPr>
                <w:b w:val="0"/>
                <w:sz w:val="17"/>
              </w:rPr>
              <w:t>η_K≥ε_K, Block_mod=∅</w:t>
            </w:r>
          </w:p>
        </w:tc>
        <w:tc>
          <w:tcPr>
            <w:tcW w:type="dxa" w:w="2304"/>
            <w:vAlign w:val="center"/>
            <w:tcMar>
              <w:top w:w="90" w:type="dxa"/>
              <w:start w:w="110" w:type="dxa"/>
              <w:bottom w:w="90" w:type="dxa"/>
              <w:end w:w="110" w:type="dxa"/>
            </w:tcMar>
          </w:tcPr>
          <w:p>
            <w:pPr>
              <w:jc w:val="left"/>
            </w:pPr>
            <w:r/>
            <w:r>
              <w:rPr>
                <w:b w:val="0"/>
                <w:sz w:val="17"/>
              </w:rPr>
              <w:t>NO-LIFT-IN-MODEL</w:t>
            </w:r>
          </w:p>
        </w:tc>
        <w:tc>
          <w:tcPr>
            <w:tcW w:type="dxa" w:w="3600"/>
            <w:vAlign w:val="center"/>
            <w:tcMar>
              <w:top w:w="90" w:type="dxa"/>
              <w:start w:w="110" w:type="dxa"/>
              <w:bottom w:w="90" w:type="dxa"/>
              <w:end w:w="110" w:type="dxa"/>
            </w:tcMar>
          </w:tcPr>
          <w:p>
            <w:pPr>
              <w:jc w:val="center"/>
            </w:pPr>
            <w:r/>
            <w:r>
              <w:rPr>
                <w:b w:val="0"/>
                <w:sz w:val="17"/>
              </w:rPr>
              <w:t>Класс не принадлежит локальному нулевому локусу Kuranishi map.</w:t>
            </w:r>
          </w:p>
        </w:tc>
      </w:tr>
      <w:tr>
        <w:tc>
          <w:tcPr>
            <w:tcW w:type="dxa" w:w="3168"/>
            <w:vAlign w:val="center"/>
            <w:tcMar>
              <w:top w:w="90" w:type="dxa"/>
              <w:start w:w="110" w:type="dxa"/>
              <w:bottom w:w="90" w:type="dxa"/>
              <w:end w:w="110" w:type="dxa"/>
            </w:tcMar>
          </w:tcPr>
          <w:p>
            <w:pPr>
              <w:jc w:val="center"/>
            </w:pPr>
            <w:r/>
            <w:r>
              <w:rPr>
                <w:b w:val="0"/>
                <w:sz w:val="17"/>
              </w:rPr>
              <w:t>η_K=0, Cert_mod полный</w:t>
            </w:r>
          </w:p>
        </w:tc>
        <w:tc>
          <w:tcPr>
            <w:tcW w:type="dxa" w:w="2304"/>
            <w:vAlign w:val="center"/>
            <w:tcMar>
              <w:top w:w="90" w:type="dxa"/>
              <w:start w:w="110" w:type="dxa"/>
              <w:bottom w:w="90" w:type="dxa"/>
              <w:end w:w="110" w:type="dxa"/>
            </w:tcMar>
          </w:tcPr>
          <w:p>
            <w:pPr>
              <w:jc w:val="left"/>
            </w:pPr>
            <w:r/>
            <w:r>
              <w:rPr>
                <w:b w:val="0"/>
                <w:sz w:val="17"/>
              </w:rPr>
              <w:t>CANDIDATE-LIFT</w:t>
            </w:r>
          </w:p>
        </w:tc>
        <w:tc>
          <w:tcPr>
            <w:tcW w:type="dxa" w:w="3600"/>
            <w:vAlign w:val="center"/>
            <w:tcMar>
              <w:top w:w="90" w:type="dxa"/>
              <w:start w:w="110" w:type="dxa"/>
              <w:bottom w:w="90" w:type="dxa"/>
              <w:end w:w="110" w:type="dxa"/>
            </w:tcMar>
          </w:tcPr>
          <w:p>
            <w:pPr>
              <w:jc w:val="center"/>
            </w:pPr>
            <w:r/>
            <w:r>
              <w:rPr>
                <w:b w:val="0"/>
                <w:sz w:val="17"/>
              </w:rPr>
              <w:t>Локальный интегрируемый кандидат; дальнейшие мосты ещё нужны.</w:t>
            </w:r>
          </w:p>
        </w:tc>
      </w:tr>
      <w:tr>
        <w:tc>
          <w:tcPr>
            <w:tcW w:type="dxa" w:w="3168"/>
            <w:vAlign w:val="center"/>
            <w:tcMar>
              <w:top w:w="90" w:type="dxa"/>
              <w:start w:w="110" w:type="dxa"/>
              <w:bottom w:w="90" w:type="dxa"/>
              <w:end w:w="110" w:type="dxa"/>
            </w:tcMar>
          </w:tcPr>
          <w:p>
            <w:pPr>
              <w:jc w:val="center"/>
            </w:pPr>
            <w:r/>
            <w:r>
              <w:rPr>
                <w:b w:val="0"/>
                <w:sz w:val="17"/>
              </w:rPr>
              <w:t>любой blocker ненулевой</w:t>
            </w:r>
          </w:p>
        </w:tc>
        <w:tc>
          <w:tcPr>
            <w:tcW w:type="dxa" w:w="2304"/>
            <w:vAlign w:val="center"/>
            <w:tcMar>
              <w:top w:w="90" w:type="dxa"/>
              <w:start w:w="110" w:type="dxa"/>
              <w:bottom w:w="90" w:type="dxa"/>
              <w:end w:w="110" w:type="dxa"/>
            </w:tcMar>
          </w:tcPr>
          <w:p>
            <w:pPr>
              <w:jc w:val="left"/>
            </w:pPr>
            <w:r/>
            <w:r>
              <w:rPr>
                <w:b w:val="0"/>
                <w:sz w:val="17"/>
              </w:rPr>
              <w:t>ABSTAIN</w:t>
            </w:r>
          </w:p>
        </w:tc>
        <w:tc>
          <w:tcPr>
            <w:tcW w:type="dxa" w:w="3600"/>
            <w:vAlign w:val="center"/>
            <w:tcMar>
              <w:top w:w="90" w:type="dxa"/>
              <w:start w:w="110" w:type="dxa"/>
              <w:bottom w:w="90" w:type="dxa"/>
              <w:end w:w="110" w:type="dxa"/>
            </w:tcMar>
          </w:tcPr>
          <w:p>
            <w:pPr>
              <w:jc w:val="center"/>
            </w:pPr>
            <w:r/>
            <w:r>
              <w:rPr>
                <w:b w:val="0"/>
                <w:sz w:val="17"/>
              </w:rPr>
              <w:t>Доказательная цепь недостаточна или плохо обусловлена.</w:t>
            </w:r>
          </w:p>
        </w:tc>
      </w:tr>
    </w:tbl>
    <w:p>
      <w:pPr>
        <w:pStyle w:val="Heading1"/>
      </w:pPr>
      <w:r>
        <w:t>170. Контрпримеры и разделяющие модели</w:t>
      </w:r>
    </w:p>
    <w:p>
      <w:pPr>
        <w:pStyle w:val="ListBullet"/>
      </w:pPr>
      <w:r>
        <w:t>Тangent без lift: functor с ненулевым H^2_N и квадратичным K(x)=x² имеет все first-order directions, но only x=0 интегрируется.</w:t>
      </w:r>
    </w:p>
    <w:p>
      <w:pPr>
        <w:pStyle w:val="ListBullet"/>
      </w:pPr>
      <w:r>
        <w:t>Primary obstruction zero, higher obstruction nonzero: κ_2=0 и κ_3(x,x,x)≠0.</w:t>
      </w:r>
    </w:p>
    <w:p>
      <w:pPr>
        <w:pStyle w:val="ListBullet"/>
      </w:pPr>
      <w:r>
        <w:t>Miniversal не universal: наличие H^1_N≠0 создаёт несколько base maps, связанные автоморфизмами.</w:t>
      </w:r>
    </w:p>
    <w:p>
      <w:pPr>
        <w:pStyle w:val="ListBullet"/>
      </w:pPr>
      <w:r>
        <w:t>Одинаковые dim H^i, разные germs: K_1(x,y)=xy и K_2(x,y)=x²+y³ имеют одинаковые ambient tangent/obstruction dimensions, но различные singularity types.</w:t>
      </w:r>
    </w:p>
    <w:p>
      <w:pPr>
        <w:pStyle w:val="ListBullet"/>
      </w:pPr>
      <w:r>
        <w:t>Формальное без аналитического: формальная серия может не иметь положительного радиуса сходимости без analytic estimates.</w:t>
      </w:r>
    </w:p>
    <w:p>
      <w:pPr>
        <w:pStyle w:val="ListBullet"/>
      </w:pPr>
      <w:r>
        <w:t>Green dependence: разные метрики дают разные representatives и Kuranishi maps, хотя корректные germs могут быть equivalent.</w:t>
      </w:r>
    </w:p>
    <w:p>
      <w:pPr>
        <w:pStyle w:val="ListBullet"/>
      </w:pPr>
      <w:r>
        <w:t>Coarse-space blindness: quotient [A¹/{±1}] и его coarse A¹ имеют разные stabilizer data.</w:t>
      </w:r>
    </w:p>
    <w:p>
      <w:pPr>
        <w:pStyle w:val="ListBullet"/>
      </w:pPr>
      <w:r>
        <w:t>Нуль K не физическое событие: статическая алгебраическая family может иметь гладкую miniversal base без времени, причинности и наблюдаемой.</w:t>
      </w:r>
    </w:p>
    <w:p>
      <w:pPr>
        <w:spacing w:after="100"/>
      </w:pPr>
      <w:r>
        <w:t>Эти модели запрещают цепочку «tangent → deformation → event» без lift, convergence, globalization и domain evidence.</w:t>
      </w:r>
    </w:p>
    <w:p>
      <w:pPr>
        <w:pStyle w:val="Heading1"/>
      </w:pPr>
      <w:r>
        <w:t>171. Вычислительный сертификат MOD-KUR v0.13</w:t>
      </w:r>
    </w:p>
    <w:p>
      <w:pPr>
        <w:spacing w:after="100"/>
      </w:pPr>
      <w:r>
        <w:t>Минимальный воспроизводимый пакет MOD-01-MOD-24:</w:t>
      </w:r>
    </w:p>
    <w:p>
      <w:pPr>
        <w:pStyle w:val="ListBullet"/>
      </w:pPr>
      <w:r>
        <w:t>MOD-01 Art_K/base specification; MOD-02 object and morphism schemas; MOD-03 gauge groupoid;</w:t>
      </w:r>
    </w:p>
    <w:p>
      <w:pPr>
        <w:pStyle w:val="ListBullet"/>
      </w:pPr>
      <w:r>
        <w:t>MOD-04 complex d¹,d²; MOD-05 exact d²d¹ test; MOD-06 H¹,H²,H³ bases;</w:t>
      </w:r>
    </w:p>
    <w:p>
      <w:pPr>
        <w:pStyle w:val="ListBullet"/>
      </w:pPr>
      <w:r>
        <w:t>MOD-07 small-extension generator; MOD-08 obstruction-class independence; MOD-09 lift torsor test;</w:t>
      </w:r>
    </w:p>
    <w:p>
      <w:pPr>
        <w:pStyle w:val="ListBullet"/>
      </w:pPr>
      <w:r>
        <w:t>MOD-10 Schlessinger H1; MOD-11 H2; MOD-12 H3 finite-dimensionality; MOD-13 H4/prorepresentability flag;</w:t>
      </w:r>
    </w:p>
    <w:p>
      <w:pPr>
        <w:pStyle w:val="ListBullet"/>
      </w:pPr>
      <w:r>
        <w:t>MOD-14 controlling L_infinity identities; MOD-15 MC equation; MOD-16 gauge invariance;</w:t>
      </w:r>
    </w:p>
    <w:p>
      <w:pPr>
        <w:pStyle w:val="ListBullet"/>
      </w:pPr>
      <w:r>
        <w:t>MOD-17 Hodge contraction identity; MOD-18 Green norm and spectral margin; MOD-19 fixed-point contraction;</w:t>
      </w:r>
    </w:p>
    <w:p>
      <w:pPr>
        <w:pStyle w:val="ListBullet"/>
      </w:pPr>
      <w:r>
        <w:t>MOD-20 Kuranishi Taylor coefficients; MOD-21 zero-locus and local algebra; MOD-22 stabilizer/orbit strata;</w:t>
      </w:r>
    </w:p>
    <w:p>
      <w:pPr>
        <w:pStyle w:val="ListBullet"/>
      </w:pPr>
      <w:r>
        <w:t>MOD-23 blocker-safe verdict; MOD-24 sources, code, environment and artifact hashes.</w:t>
      </w:r>
    </w:p>
    <w:p>
      <w:pPr>
        <w:pStyle w:val="Heading2"/>
      </w:pPr>
      <w:r>
        <w:t>171.1. Псевдокод</w:t>
      </w:r>
    </w:p>
    <w:p>
      <w:pPr>
        <w:pStyle w:val="Quote"/>
        <w:spacing w:before="80" w:after="120"/>
        <w:jc w:val="center"/>
      </w:pPr>
      <w:r>
        <w:t>INPUT NAPG frame N, controlling data g, Artin bases, Hodge-Green package, candidate x, D/Dom</w:t>
        <w:br/>
        <w:t>CHECK l_infinity_identities; compute H1,H2,H3; test small extensions and Schlessinger maps</w:t>
        <w:br/>
        <w:t>BUILD contraction (p,i,h); verify id-ip=l1h+hl1 and uniform bounds</w:t>
        <w:br/>
        <w:t>SOLVE alpha=i(x)-hN(alpha); COMPUTE K(x)=pN(alpha) with interval enclosure</w:t>
        <w:br/>
        <w:t>IF blockers != empty: ABSTAIN</w:t>
        <w:br/>
        <w:t>ELSE IF lower_bound(||K(x)||)&gt;0: NO-LIFT-IN-MODEL</w:t>
        <w:br/>
        <w:t>ELSE IF K(x)=0 exactly and all certificates pass: CANDIDATE-LIFT</w:t>
        <w:br/>
        <w:t>STORE proof objects, choices, hashes and rollback checkpoint.                                  (16.32)</w:t>
      </w:r>
    </w:p>
    <w:p>
      <w:pPr>
        <w:pStyle w:val="Heading1"/>
      </w:pPr>
      <w:r>
        <w:t>172. Доказательные обязательства T2-PO-171-T2-PO-196</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ID</w:t>
            </w:r>
          </w:p>
        </w:tc>
        <w:tc>
          <w:tcPr>
            <w:tcW w:type="dxa" w:w="4464"/>
            <w:vAlign w:val="center"/>
            <w:tcMar>
              <w:top w:w="90" w:type="dxa"/>
              <w:start w:w="110" w:type="dxa"/>
              <w:bottom w:w="90" w:type="dxa"/>
              <w:end w:w="110" w:type="dxa"/>
            </w:tcMar>
            <w:shd w:fill="173b63"/>
          </w:tcPr>
          <w:p>
            <w:pPr>
              <w:jc w:val="center"/>
            </w:pPr>
            <w:r/>
            <w:r>
              <w:rPr>
                <w:b/>
                <w:color w:val="FFFFFF"/>
                <w:sz w:val="18"/>
              </w:rPr>
              <w:t>Обязательство</w:t>
            </w:r>
          </w:p>
        </w:tc>
        <w:tc>
          <w:tcPr>
            <w:tcW w:type="dxa" w:w="1584"/>
            <w:vAlign w:val="center"/>
            <w:tcMar>
              <w:top w:w="90" w:type="dxa"/>
              <w:start w:w="110" w:type="dxa"/>
              <w:bottom w:w="90" w:type="dxa"/>
              <w:end w:w="110" w:type="dxa"/>
            </w:tcMar>
            <w:shd w:fill="173b63"/>
          </w:tcPr>
          <w:p>
            <w:pPr>
              <w:jc w:val="center"/>
            </w:pPr>
            <w:r/>
            <w:r>
              <w:rPr>
                <w:b/>
                <w:color w:val="FFFFFF"/>
                <w:sz w:val="18"/>
              </w:rPr>
              <w:t>Статус</w:t>
            </w:r>
          </w:p>
        </w:tc>
        <w:tc>
          <w:tcPr>
            <w:tcW w:type="dxa" w:w="2448"/>
            <w:vAlign w:val="center"/>
            <w:tcMar>
              <w:top w:w="90" w:type="dxa"/>
              <w:start w:w="110" w:type="dxa"/>
              <w:bottom w:w="90" w:type="dxa"/>
              <w:end w:w="110" w:type="dxa"/>
            </w:tcMar>
            <w:shd w:fill="173b63"/>
          </w:tcPr>
          <w:p>
            <w:pPr>
              <w:jc w:val="center"/>
            </w:pPr>
            <w:r/>
            <w:r>
              <w:rPr>
                <w:b/>
                <w:color w:val="FFFFFF"/>
                <w:sz w:val="18"/>
              </w:rPr>
              <w:t>Условие закрытия</w:t>
            </w:r>
          </w:p>
        </w:tc>
      </w:tr>
      <w:tr>
        <w:tc>
          <w:tcPr>
            <w:tcW w:type="dxa" w:w="1440"/>
            <w:vAlign w:val="center"/>
            <w:tcMar>
              <w:top w:w="90" w:type="dxa"/>
              <w:start w:w="110" w:type="dxa"/>
              <w:bottom w:w="90" w:type="dxa"/>
              <w:end w:w="110" w:type="dxa"/>
            </w:tcMar>
          </w:tcPr>
          <w:p>
            <w:pPr>
              <w:jc w:val="center"/>
            </w:pPr>
            <w:r/>
            <w:r>
              <w:rPr>
                <w:b w:val="0"/>
                <w:sz w:val="15"/>
              </w:rPr>
              <w:t>T2-PO-171</w:t>
            </w:r>
          </w:p>
        </w:tc>
        <w:tc>
          <w:tcPr>
            <w:tcW w:type="dxa" w:w="4464"/>
            <w:vAlign w:val="center"/>
            <w:tcMar>
              <w:top w:w="90" w:type="dxa"/>
              <w:start w:w="110" w:type="dxa"/>
              <w:bottom w:w="90" w:type="dxa"/>
              <w:end w:w="110" w:type="dxa"/>
            </w:tcMar>
          </w:tcPr>
          <w:p>
            <w:pPr>
              <w:jc w:val="left"/>
            </w:pPr>
            <w:r/>
            <w:r>
              <w:rPr>
                <w:b w:val="0"/>
                <w:sz w:val="15"/>
              </w:rPr>
              <w:t>Определить Art_K и base-change для частичных NAPG-операций.</w:t>
            </w:r>
          </w:p>
        </w:tc>
        <w:tc>
          <w:tcPr>
            <w:tcW w:type="dxa" w:w="1584"/>
            <w:vAlign w:val="center"/>
            <w:tcMar>
              <w:top w:w="90" w:type="dxa"/>
              <w:start w:w="110" w:type="dxa"/>
              <w:bottom w:w="90" w:type="dxa"/>
              <w:end w:w="110" w:type="dxa"/>
            </w:tcMar>
          </w:tcPr>
          <w:p>
            <w:pPr>
              <w:jc w:val="center"/>
            </w:pPr>
            <w:r/>
            <w:r>
              <w:rPr>
                <w:b w:val="0"/>
                <w:sz w:val="15"/>
              </w:rPr>
              <w:t>CLOSED-FD</w:t>
            </w:r>
          </w:p>
        </w:tc>
        <w:tc>
          <w:tcPr>
            <w:tcW w:type="dxa" w:w="2448"/>
            <w:vAlign w:val="center"/>
            <w:tcMar>
              <w:top w:w="90" w:type="dxa"/>
              <w:start w:w="110" w:type="dxa"/>
              <w:bottom w:w="90" w:type="dxa"/>
              <w:end w:w="110" w:type="dxa"/>
            </w:tcMar>
          </w:tcPr>
          <w:p>
            <w:pPr>
              <w:jc w:val="left"/>
            </w:pPr>
            <w:r/>
            <w:r>
              <w:rPr>
                <w:b w:val="0"/>
                <w:sz w:val="15"/>
              </w:rPr>
              <w:t>Конечномерный типизированный сектор.</w:t>
            </w:r>
          </w:p>
        </w:tc>
      </w:tr>
      <w:tr>
        <w:tc>
          <w:tcPr>
            <w:tcW w:type="dxa" w:w="1440"/>
            <w:vAlign w:val="center"/>
            <w:tcMar>
              <w:top w:w="90" w:type="dxa"/>
              <w:start w:w="110" w:type="dxa"/>
              <w:bottom w:w="90" w:type="dxa"/>
              <w:end w:w="110" w:type="dxa"/>
            </w:tcMar>
          </w:tcPr>
          <w:p>
            <w:pPr>
              <w:jc w:val="center"/>
            </w:pPr>
            <w:r/>
            <w:r>
              <w:rPr>
                <w:b w:val="0"/>
                <w:sz w:val="15"/>
              </w:rPr>
              <w:t>T2-PO-172</w:t>
            </w:r>
          </w:p>
        </w:tc>
        <w:tc>
          <w:tcPr>
            <w:tcW w:type="dxa" w:w="4464"/>
            <w:vAlign w:val="center"/>
            <w:tcMar>
              <w:top w:w="90" w:type="dxa"/>
              <w:start w:w="110" w:type="dxa"/>
              <w:bottom w:w="90" w:type="dxa"/>
              <w:end w:w="110" w:type="dxa"/>
            </w:tcMar>
          </w:tcPr>
          <w:p>
            <w:pPr>
              <w:jc w:val="left"/>
            </w:pPr>
            <w:r/>
            <w:r>
              <w:rPr>
                <w:b w:val="0"/>
                <w:sz w:val="15"/>
              </w:rPr>
              <w:t>Построить groupoid-valued Def_N, сохраняющий D/Dom.</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Нужна полная morphism specification.</w:t>
            </w:r>
          </w:p>
        </w:tc>
      </w:tr>
      <w:tr>
        <w:tc>
          <w:tcPr>
            <w:tcW w:type="dxa" w:w="1440"/>
            <w:vAlign w:val="center"/>
            <w:tcMar>
              <w:top w:w="90" w:type="dxa"/>
              <w:start w:w="110" w:type="dxa"/>
              <w:bottom w:w="90" w:type="dxa"/>
              <w:end w:w="110" w:type="dxa"/>
            </w:tcMar>
          </w:tcPr>
          <w:p>
            <w:pPr>
              <w:jc w:val="center"/>
            </w:pPr>
            <w:r/>
            <w:r>
              <w:rPr>
                <w:b w:val="0"/>
                <w:sz w:val="15"/>
              </w:rPr>
              <w:t>T2-PO-173</w:t>
            </w:r>
          </w:p>
        </w:tc>
        <w:tc>
          <w:tcPr>
            <w:tcW w:type="dxa" w:w="4464"/>
            <w:vAlign w:val="center"/>
            <w:tcMar>
              <w:top w:w="90" w:type="dxa"/>
              <w:start w:w="110" w:type="dxa"/>
              <w:bottom w:w="90" w:type="dxa"/>
              <w:end w:w="110" w:type="dxa"/>
            </w:tcMar>
          </w:tcPr>
          <w:p>
            <w:pPr>
              <w:jc w:val="left"/>
            </w:pPr>
            <w:r/>
            <w:r>
              <w:rPr>
                <w:b w:val="0"/>
                <w:sz w:val="15"/>
              </w:rPr>
              <w:t>Доказать small-extension obstruction class.</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Следует из CTRL-16.1.</w:t>
            </w:r>
          </w:p>
        </w:tc>
      </w:tr>
      <w:tr>
        <w:tc>
          <w:tcPr>
            <w:tcW w:type="dxa" w:w="1440"/>
            <w:vAlign w:val="center"/>
            <w:tcMar>
              <w:top w:w="90" w:type="dxa"/>
              <w:start w:w="110" w:type="dxa"/>
              <w:bottom w:w="90" w:type="dxa"/>
              <w:end w:w="110" w:type="dxa"/>
            </w:tcMar>
          </w:tcPr>
          <w:p>
            <w:pPr>
              <w:jc w:val="center"/>
            </w:pPr>
            <w:r/>
            <w:r>
              <w:rPr>
                <w:b w:val="0"/>
                <w:sz w:val="15"/>
              </w:rPr>
              <w:t>T2-PO-174</w:t>
            </w:r>
          </w:p>
        </w:tc>
        <w:tc>
          <w:tcPr>
            <w:tcW w:type="dxa" w:w="4464"/>
            <w:vAlign w:val="center"/>
            <w:tcMar>
              <w:top w:w="90" w:type="dxa"/>
              <w:start w:w="110" w:type="dxa"/>
              <w:bottom w:w="90" w:type="dxa"/>
              <w:end w:w="110" w:type="dxa"/>
            </w:tcMar>
          </w:tcPr>
          <w:p>
            <w:pPr>
              <w:jc w:val="left"/>
            </w:pPr>
            <w:r/>
            <w:r>
              <w:rPr>
                <w:b w:val="0"/>
                <w:sz w:val="15"/>
              </w:rPr>
              <w:t>Доказать lift torsor H_N^2⊗I.</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Полная obstruction theory.</w:t>
            </w:r>
          </w:p>
        </w:tc>
      </w:tr>
      <w:tr>
        <w:tc>
          <w:tcPr>
            <w:tcW w:type="dxa" w:w="1440"/>
            <w:vAlign w:val="center"/>
            <w:tcMar>
              <w:top w:w="90" w:type="dxa"/>
              <w:start w:w="110" w:type="dxa"/>
              <w:bottom w:w="90" w:type="dxa"/>
              <w:end w:w="110" w:type="dxa"/>
            </w:tcMar>
          </w:tcPr>
          <w:p>
            <w:pPr>
              <w:jc w:val="center"/>
            </w:pPr>
            <w:r/>
            <w:r>
              <w:rPr>
                <w:b w:val="0"/>
                <w:sz w:val="15"/>
              </w:rPr>
              <w:t>T2-PO-175</w:t>
            </w:r>
          </w:p>
        </w:tc>
        <w:tc>
          <w:tcPr>
            <w:tcW w:type="dxa" w:w="4464"/>
            <w:vAlign w:val="center"/>
            <w:tcMar>
              <w:top w:w="90" w:type="dxa"/>
              <w:start w:w="110" w:type="dxa"/>
              <w:bottom w:w="90" w:type="dxa"/>
              <w:end w:w="110" w:type="dxa"/>
            </w:tcMar>
          </w:tcPr>
          <w:p>
            <w:pPr>
              <w:jc w:val="left"/>
            </w:pPr>
            <w:r/>
            <w:r>
              <w:rPr>
                <w:b w:val="0"/>
                <w:sz w:val="15"/>
              </w:rPr>
              <w:t>Идентифицировать infinitesimal automorphisms с H_N^1.</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completeness.</w:t>
            </w:r>
          </w:p>
        </w:tc>
      </w:tr>
      <w:tr>
        <w:tc>
          <w:tcPr>
            <w:tcW w:type="dxa" w:w="1440"/>
            <w:vAlign w:val="center"/>
            <w:tcMar>
              <w:top w:w="90" w:type="dxa"/>
              <w:start w:w="110" w:type="dxa"/>
              <w:bottom w:w="90" w:type="dxa"/>
              <w:end w:w="110" w:type="dxa"/>
            </w:tcMar>
          </w:tcPr>
          <w:p>
            <w:pPr>
              <w:jc w:val="center"/>
            </w:pPr>
            <w:r/>
            <w:r>
              <w:rPr>
                <w:b w:val="0"/>
                <w:sz w:val="15"/>
              </w:rPr>
              <w:t>T2-PO-176</w:t>
            </w:r>
          </w:p>
        </w:tc>
        <w:tc>
          <w:tcPr>
            <w:tcW w:type="dxa" w:w="4464"/>
            <w:vAlign w:val="center"/>
            <w:tcMar>
              <w:top w:w="90" w:type="dxa"/>
              <w:start w:w="110" w:type="dxa"/>
              <w:bottom w:w="90" w:type="dxa"/>
              <w:end w:w="110" w:type="dxa"/>
            </w:tcMar>
          </w:tcPr>
          <w:p>
            <w:pPr>
              <w:jc w:val="left"/>
            </w:pPr>
            <w:r/>
            <w:r>
              <w:rPr>
                <w:b w:val="0"/>
                <w:sz w:val="15"/>
              </w:rPr>
              <w:t>Построить controlling filtered L_infinity algebra NAPG.</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Главный алгебраический blocker.</w:t>
            </w:r>
          </w:p>
        </w:tc>
      </w:tr>
      <w:tr>
        <w:tc>
          <w:tcPr>
            <w:tcW w:type="dxa" w:w="1440"/>
            <w:vAlign w:val="center"/>
            <w:tcMar>
              <w:top w:w="90" w:type="dxa"/>
              <w:start w:w="110" w:type="dxa"/>
              <w:bottom w:w="90" w:type="dxa"/>
              <w:end w:w="110" w:type="dxa"/>
            </w:tcMar>
          </w:tcPr>
          <w:p>
            <w:pPr>
              <w:jc w:val="center"/>
            </w:pPr>
            <w:r/>
            <w:r>
              <w:rPr>
                <w:b w:val="0"/>
                <w:sz w:val="15"/>
              </w:rPr>
              <w:t>T2-PO-177</w:t>
            </w:r>
          </w:p>
        </w:tc>
        <w:tc>
          <w:tcPr>
            <w:tcW w:type="dxa" w:w="4464"/>
            <w:vAlign w:val="center"/>
            <w:tcMar>
              <w:top w:w="90" w:type="dxa"/>
              <w:start w:w="110" w:type="dxa"/>
              <w:bottom w:w="90" w:type="dxa"/>
              <w:end w:w="110" w:type="dxa"/>
            </w:tcMar>
          </w:tcPr>
          <w:p>
            <w:pPr>
              <w:jc w:val="left"/>
            </w:pPr>
            <w:r/>
            <w:r>
              <w:rPr>
                <w:b w:val="0"/>
                <w:sz w:val="15"/>
              </w:rPr>
              <w:t>Проверить Schlessinger H1.</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Fiber-product lifting.</w:t>
            </w:r>
          </w:p>
        </w:tc>
      </w:tr>
      <w:tr>
        <w:tc>
          <w:tcPr>
            <w:tcW w:type="dxa" w:w="1440"/>
            <w:vAlign w:val="center"/>
            <w:tcMar>
              <w:top w:w="90" w:type="dxa"/>
              <w:start w:w="110" w:type="dxa"/>
              <w:bottom w:w="90" w:type="dxa"/>
              <w:end w:w="110" w:type="dxa"/>
            </w:tcMar>
          </w:tcPr>
          <w:p>
            <w:pPr>
              <w:jc w:val="center"/>
            </w:pPr>
            <w:r/>
            <w:r>
              <w:rPr>
                <w:b w:val="0"/>
                <w:sz w:val="15"/>
              </w:rPr>
              <w:t>T2-PO-178</w:t>
            </w:r>
          </w:p>
        </w:tc>
        <w:tc>
          <w:tcPr>
            <w:tcW w:type="dxa" w:w="4464"/>
            <w:vAlign w:val="center"/>
            <w:tcMar>
              <w:top w:w="90" w:type="dxa"/>
              <w:start w:w="110" w:type="dxa"/>
              <w:bottom w:w="90" w:type="dxa"/>
              <w:end w:w="110" w:type="dxa"/>
            </w:tcMar>
          </w:tcPr>
          <w:p>
            <w:pPr>
              <w:jc w:val="left"/>
            </w:pPr>
            <w:r/>
            <w:r>
              <w:rPr>
                <w:b w:val="0"/>
                <w:sz w:val="15"/>
              </w:rPr>
              <w:t>Проверить Schlessinger H2.</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Dual-number compatibility.</w:t>
            </w:r>
          </w:p>
        </w:tc>
      </w:tr>
      <w:tr>
        <w:tc>
          <w:tcPr>
            <w:tcW w:type="dxa" w:w="1440"/>
            <w:vAlign w:val="center"/>
            <w:tcMar>
              <w:top w:w="90" w:type="dxa"/>
              <w:start w:w="110" w:type="dxa"/>
              <w:bottom w:w="90" w:type="dxa"/>
              <w:end w:w="110" w:type="dxa"/>
            </w:tcMar>
          </w:tcPr>
          <w:p>
            <w:pPr>
              <w:jc w:val="center"/>
            </w:pPr>
            <w:r/>
            <w:r>
              <w:rPr>
                <w:b w:val="0"/>
                <w:sz w:val="15"/>
              </w:rPr>
              <w:t>T2-PO-179</w:t>
            </w:r>
          </w:p>
        </w:tc>
        <w:tc>
          <w:tcPr>
            <w:tcW w:type="dxa" w:w="4464"/>
            <w:vAlign w:val="center"/>
            <w:tcMar>
              <w:top w:w="90" w:type="dxa"/>
              <w:start w:w="110" w:type="dxa"/>
              <w:bottom w:w="90" w:type="dxa"/>
              <w:end w:w="110" w:type="dxa"/>
            </w:tcMar>
          </w:tcPr>
          <w:p>
            <w:pPr>
              <w:jc w:val="left"/>
            </w:pPr>
            <w:r/>
            <w:r>
              <w:rPr>
                <w:b w:val="0"/>
                <w:sz w:val="15"/>
              </w:rPr>
              <w:t>Доказать H3 finite tangent.</w:t>
            </w:r>
          </w:p>
        </w:tc>
        <w:tc>
          <w:tcPr>
            <w:tcW w:type="dxa" w:w="1584"/>
            <w:vAlign w:val="center"/>
            <w:tcMar>
              <w:top w:w="90" w:type="dxa"/>
              <w:start w:w="110" w:type="dxa"/>
              <w:bottom w:w="90" w:type="dxa"/>
              <w:end w:w="110" w:type="dxa"/>
            </w:tcMar>
          </w:tcPr>
          <w:p>
            <w:pPr>
              <w:jc w:val="center"/>
            </w:pPr>
            <w:r/>
            <w:r>
              <w:rPr>
                <w:b w:val="0"/>
                <w:sz w:val="15"/>
              </w:rPr>
              <w:t>COND-FD</w:t>
            </w:r>
          </w:p>
        </w:tc>
        <w:tc>
          <w:tcPr>
            <w:tcW w:type="dxa" w:w="2448"/>
            <w:vAlign w:val="center"/>
            <w:tcMar>
              <w:top w:w="90" w:type="dxa"/>
              <w:start w:w="110" w:type="dxa"/>
              <w:bottom w:w="90" w:type="dxa"/>
              <w:end w:w="110" w:type="dxa"/>
            </w:tcMar>
          </w:tcPr>
          <w:p>
            <w:pPr>
              <w:jc w:val="left"/>
            </w:pPr>
            <w:r/>
            <w:r>
              <w:rPr>
                <w:b w:val="0"/>
                <w:sz w:val="15"/>
              </w:rPr>
              <w:t>Fredholm/finite sector.</w:t>
            </w:r>
          </w:p>
        </w:tc>
      </w:tr>
      <w:tr>
        <w:tc>
          <w:tcPr>
            <w:tcW w:type="dxa" w:w="1440"/>
            <w:vAlign w:val="center"/>
            <w:tcMar>
              <w:top w:w="90" w:type="dxa"/>
              <w:start w:w="110" w:type="dxa"/>
              <w:bottom w:w="90" w:type="dxa"/>
              <w:end w:w="110" w:type="dxa"/>
            </w:tcMar>
          </w:tcPr>
          <w:p>
            <w:pPr>
              <w:jc w:val="center"/>
            </w:pPr>
            <w:r/>
            <w:r>
              <w:rPr>
                <w:b w:val="0"/>
                <w:sz w:val="15"/>
              </w:rPr>
              <w:t>T2-PO-180</w:t>
            </w:r>
          </w:p>
        </w:tc>
        <w:tc>
          <w:tcPr>
            <w:tcW w:type="dxa" w:w="4464"/>
            <w:vAlign w:val="center"/>
            <w:tcMar>
              <w:top w:w="90" w:type="dxa"/>
              <w:start w:w="110" w:type="dxa"/>
              <w:bottom w:w="90" w:type="dxa"/>
              <w:end w:w="110" w:type="dxa"/>
            </w:tcMar>
          </w:tcPr>
          <w:p>
            <w:pPr>
              <w:jc w:val="left"/>
            </w:pPr>
            <w:r/>
            <w:r>
              <w:rPr>
                <w:b w:val="0"/>
                <w:sz w:val="15"/>
              </w:rPr>
              <w:t>Проверить H4 или явно отказаться от universality.</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Automorphism-sensitive.</w:t>
            </w:r>
          </w:p>
        </w:tc>
      </w:tr>
      <w:tr>
        <w:tc>
          <w:tcPr>
            <w:tcW w:type="dxa" w:w="1440"/>
            <w:vAlign w:val="center"/>
            <w:tcMar>
              <w:top w:w="90" w:type="dxa"/>
              <w:start w:w="110" w:type="dxa"/>
              <w:bottom w:w="90" w:type="dxa"/>
              <w:end w:w="110" w:type="dxa"/>
            </w:tcMar>
          </w:tcPr>
          <w:p>
            <w:pPr>
              <w:jc w:val="center"/>
            </w:pPr>
            <w:r/>
            <w:r>
              <w:rPr>
                <w:b w:val="0"/>
                <w:sz w:val="15"/>
              </w:rPr>
              <w:t>T2-PO-181</w:t>
            </w:r>
          </w:p>
        </w:tc>
        <w:tc>
          <w:tcPr>
            <w:tcW w:type="dxa" w:w="4464"/>
            <w:vAlign w:val="center"/>
            <w:tcMar>
              <w:top w:w="90" w:type="dxa"/>
              <w:start w:w="110" w:type="dxa"/>
              <w:bottom w:w="90" w:type="dxa"/>
              <w:end w:w="110" w:type="dxa"/>
            </w:tcMar>
          </w:tcPr>
          <w:p>
            <w:pPr>
              <w:jc w:val="left"/>
            </w:pPr>
            <w:r/>
            <w:r>
              <w:rPr>
                <w:b w:val="0"/>
                <w:sz w:val="15"/>
              </w:rPr>
              <w:t>Согласовать shift g=C[1] и derived tangent degrees.</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Фиксированная convention.</w:t>
            </w:r>
          </w:p>
        </w:tc>
      </w:tr>
      <w:tr>
        <w:tc>
          <w:tcPr>
            <w:tcW w:type="dxa" w:w="1440"/>
            <w:vAlign w:val="center"/>
            <w:tcMar>
              <w:top w:w="90" w:type="dxa"/>
              <w:start w:w="110" w:type="dxa"/>
              <w:bottom w:w="90" w:type="dxa"/>
              <w:end w:w="110" w:type="dxa"/>
            </w:tcMar>
          </w:tcPr>
          <w:p>
            <w:pPr>
              <w:jc w:val="center"/>
            </w:pPr>
            <w:r/>
            <w:r>
              <w:rPr>
                <w:b w:val="0"/>
                <w:sz w:val="15"/>
              </w:rPr>
              <w:t>T2-PO-182</w:t>
            </w:r>
          </w:p>
        </w:tc>
        <w:tc>
          <w:tcPr>
            <w:tcW w:type="dxa" w:w="4464"/>
            <w:vAlign w:val="center"/>
            <w:tcMar>
              <w:top w:w="90" w:type="dxa"/>
              <w:start w:w="110" w:type="dxa"/>
              <w:bottom w:w="90" w:type="dxa"/>
              <w:end w:w="110" w:type="dxa"/>
            </w:tcMar>
          </w:tcPr>
          <w:p>
            <w:pPr>
              <w:jc w:val="left"/>
            </w:pPr>
            <w:r/>
            <w:r>
              <w:rPr>
                <w:b w:val="0"/>
                <w:sz w:val="15"/>
              </w:rPr>
              <w:t>Доказать совместимость bracket maps с domains.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Unbounded/partial maps.</w:t>
            </w:r>
          </w:p>
        </w:tc>
      </w:tr>
      <w:tr>
        <w:tc>
          <w:tcPr>
            <w:tcW w:type="dxa" w:w="1440"/>
            <w:vAlign w:val="center"/>
            <w:tcMar>
              <w:top w:w="90" w:type="dxa"/>
              <w:start w:w="110" w:type="dxa"/>
              <w:bottom w:w="90" w:type="dxa"/>
              <w:end w:w="110" w:type="dxa"/>
            </w:tcMar>
          </w:tcPr>
          <w:p>
            <w:pPr>
              <w:jc w:val="center"/>
            </w:pPr>
            <w:r/>
            <w:r>
              <w:rPr>
                <w:b w:val="0"/>
                <w:sz w:val="15"/>
              </w:rPr>
              <w:t>T2-PO-183</w:t>
            </w:r>
          </w:p>
        </w:tc>
        <w:tc>
          <w:tcPr>
            <w:tcW w:type="dxa" w:w="4464"/>
            <w:vAlign w:val="center"/>
            <w:tcMar>
              <w:top w:w="90" w:type="dxa"/>
              <w:start w:w="110" w:type="dxa"/>
              <w:bottom w:w="90" w:type="dxa"/>
              <w:end w:w="110" w:type="dxa"/>
            </w:tcMar>
          </w:tcPr>
          <w:p>
            <w:pPr>
              <w:jc w:val="left"/>
            </w:pPr>
            <w:r/>
            <w:r>
              <w:rPr>
                <w:b w:val="0"/>
                <w:sz w:val="15"/>
              </w:rPr>
              <w:t>Построить Hodge contraction p,i,h.</w:t>
            </w:r>
          </w:p>
        </w:tc>
        <w:tc>
          <w:tcPr>
            <w:tcW w:type="dxa" w:w="1584"/>
            <w:vAlign w:val="center"/>
            <w:tcMar>
              <w:top w:w="90" w:type="dxa"/>
              <w:start w:w="110" w:type="dxa"/>
              <w:bottom w:w="90" w:type="dxa"/>
              <w:end w:w="110" w:type="dxa"/>
            </w:tcMar>
          </w:tcPr>
          <w:p>
            <w:pPr>
              <w:jc w:val="center"/>
            </w:pPr>
            <w:r/>
            <w:r>
              <w:rPr>
                <w:b w:val="0"/>
                <w:sz w:val="15"/>
              </w:rPr>
              <w:t>COND-HF</w:t>
            </w:r>
          </w:p>
        </w:tc>
        <w:tc>
          <w:tcPr>
            <w:tcW w:type="dxa" w:w="2448"/>
            <w:vAlign w:val="center"/>
            <w:tcMar>
              <w:top w:w="90" w:type="dxa"/>
              <w:start w:w="110" w:type="dxa"/>
              <w:bottom w:w="90" w:type="dxa"/>
              <w:end w:w="110" w:type="dxa"/>
            </w:tcMar>
          </w:tcPr>
          <w:p>
            <w:pPr>
              <w:jc w:val="left"/>
            </w:pPr>
            <w:r/>
            <w:r>
              <w:rPr>
                <w:b w:val="0"/>
                <w:sz w:val="15"/>
              </w:rPr>
              <w:t>Опирается на v0.12.</w:t>
            </w:r>
          </w:p>
        </w:tc>
      </w:tr>
      <w:tr>
        <w:tc>
          <w:tcPr>
            <w:tcW w:type="dxa" w:w="1440"/>
            <w:vAlign w:val="center"/>
            <w:tcMar>
              <w:top w:w="90" w:type="dxa"/>
              <w:start w:w="110" w:type="dxa"/>
              <w:bottom w:w="90" w:type="dxa"/>
              <w:end w:w="110" w:type="dxa"/>
            </w:tcMar>
          </w:tcPr>
          <w:p>
            <w:pPr>
              <w:jc w:val="center"/>
            </w:pPr>
            <w:r/>
            <w:r>
              <w:rPr>
                <w:b w:val="0"/>
                <w:sz w:val="15"/>
              </w:rPr>
              <w:t>T2-PO-184</w:t>
            </w:r>
          </w:p>
        </w:tc>
        <w:tc>
          <w:tcPr>
            <w:tcW w:type="dxa" w:w="4464"/>
            <w:vAlign w:val="center"/>
            <w:tcMar>
              <w:top w:w="90" w:type="dxa"/>
              <w:start w:w="110" w:type="dxa"/>
              <w:bottom w:w="90" w:type="dxa"/>
              <w:end w:w="110" w:type="dxa"/>
            </w:tcMar>
          </w:tcPr>
          <w:p>
            <w:pPr>
              <w:jc w:val="left"/>
            </w:pPr>
            <w:r/>
            <w:r>
              <w:rPr>
                <w:b w:val="0"/>
                <w:sz w:val="15"/>
              </w:rPr>
              <w:t>Доказать homotopy-transfer convergence.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Uniform multilinear estimates.</w:t>
            </w:r>
          </w:p>
        </w:tc>
      </w:tr>
      <w:tr>
        <w:tc>
          <w:tcPr>
            <w:tcW w:type="dxa" w:w="1440"/>
            <w:vAlign w:val="center"/>
            <w:tcMar>
              <w:top w:w="90" w:type="dxa"/>
              <w:start w:w="110" w:type="dxa"/>
              <w:bottom w:w="90" w:type="dxa"/>
              <w:end w:w="110" w:type="dxa"/>
            </w:tcMar>
          </w:tcPr>
          <w:p>
            <w:pPr>
              <w:jc w:val="center"/>
            </w:pPr>
            <w:r/>
            <w:r>
              <w:rPr>
                <w:b w:val="0"/>
                <w:sz w:val="15"/>
              </w:rPr>
              <w:t>T2-PO-185</w:t>
            </w:r>
          </w:p>
        </w:tc>
        <w:tc>
          <w:tcPr>
            <w:tcW w:type="dxa" w:w="4464"/>
            <w:vAlign w:val="center"/>
            <w:tcMar>
              <w:top w:w="90" w:type="dxa"/>
              <w:start w:w="110" w:type="dxa"/>
              <w:bottom w:w="90" w:type="dxa"/>
              <w:end w:w="110" w:type="dxa"/>
            </w:tcMar>
          </w:tcPr>
          <w:p>
            <w:pPr>
              <w:jc w:val="left"/>
            </w:pPr>
            <w:r/>
            <w:r>
              <w:rPr>
                <w:b w:val="0"/>
                <w:sz w:val="15"/>
              </w:rPr>
              <w:t>Построить Kuranishi recursion.</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Contraction margin m_K&gt;0.</w:t>
            </w:r>
          </w:p>
        </w:tc>
      </w:tr>
      <w:tr>
        <w:tc>
          <w:tcPr>
            <w:tcW w:type="dxa" w:w="1440"/>
            <w:vAlign w:val="center"/>
            <w:tcMar>
              <w:top w:w="90" w:type="dxa"/>
              <w:start w:w="110" w:type="dxa"/>
              <w:bottom w:w="90" w:type="dxa"/>
              <w:end w:w="110" w:type="dxa"/>
            </w:tcMar>
          </w:tcPr>
          <w:p>
            <w:pPr>
              <w:jc w:val="center"/>
            </w:pPr>
            <w:r/>
            <w:r>
              <w:rPr>
                <w:b w:val="0"/>
                <w:sz w:val="15"/>
              </w:rPr>
              <w:t>T2-PO-186</w:t>
            </w:r>
          </w:p>
        </w:tc>
        <w:tc>
          <w:tcPr>
            <w:tcW w:type="dxa" w:w="4464"/>
            <w:vAlign w:val="center"/>
            <w:tcMar>
              <w:top w:w="90" w:type="dxa"/>
              <w:start w:w="110" w:type="dxa"/>
              <w:bottom w:w="90" w:type="dxa"/>
              <w:end w:w="110" w:type="dxa"/>
            </w:tcMar>
          </w:tcPr>
          <w:p>
            <w:pPr>
              <w:jc w:val="left"/>
            </w:pPr>
            <w:r/>
            <w:r>
              <w:rPr>
                <w:b w:val="0"/>
                <w:sz w:val="15"/>
              </w:rPr>
              <w:t>Доказать MC iff K=0 в выбранной окрестности.</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and convergence.</w:t>
            </w:r>
          </w:p>
        </w:tc>
      </w:tr>
      <w:tr>
        <w:tc>
          <w:tcPr>
            <w:tcW w:type="dxa" w:w="1440"/>
            <w:vAlign w:val="center"/>
            <w:tcMar>
              <w:top w:w="90" w:type="dxa"/>
              <w:start w:w="110" w:type="dxa"/>
              <w:bottom w:w="90" w:type="dxa"/>
              <w:end w:w="110" w:type="dxa"/>
            </w:tcMar>
          </w:tcPr>
          <w:p>
            <w:pPr>
              <w:jc w:val="center"/>
            </w:pPr>
            <w:r/>
            <w:r>
              <w:rPr>
                <w:b w:val="0"/>
                <w:sz w:val="15"/>
              </w:rPr>
              <w:t>T2-PO-187</w:t>
            </w:r>
          </w:p>
        </w:tc>
        <w:tc>
          <w:tcPr>
            <w:tcW w:type="dxa" w:w="4464"/>
            <w:vAlign w:val="center"/>
            <w:tcMar>
              <w:top w:w="90" w:type="dxa"/>
              <w:start w:w="110" w:type="dxa"/>
              <w:bottom w:w="90" w:type="dxa"/>
              <w:end w:w="110" w:type="dxa"/>
            </w:tcMar>
          </w:tcPr>
          <w:p>
            <w:pPr>
              <w:jc w:val="left"/>
            </w:pPr>
            <w:r/>
            <w:r>
              <w:rPr>
                <w:b w:val="0"/>
                <w:sz w:val="15"/>
              </w:rPr>
              <w:t>Вычислить κ_2,κ_3 на модели A_2.</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Нужны structural constants.</w:t>
            </w:r>
          </w:p>
        </w:tc>
      </w:tr>
      <w:tr>
        <w:tc>
          <w:tcPr>
            <w:tcW w:type="dxa" w:w="1440"/>
            <w:vAlign w:val="center"/>
            <w:tcMar>
              <w:top w:w="90" w:type="dxa"/>
              <w:start w:w="110" w:type="dxa"/>
              <w:bottom w:w="90" w:type="dxa"/>
              <w:end w:w="110" w:type="dxa"/>
            </w:tcMar>
          </w:tcPr>
          <w:p>
            <w:pPr>
              <w:jc w:val="center"/>
            </w:pPr>
            <w:r/>
            <w:r>
              <w:rPr>
                <w:b w:val="0"/>
                <w:sz w:val="15"/>
              </w:rPr>
              <w:t>T2-PO-188</w:t>
            </w:r>
          </w:p>
        </w:tc>
        <w:tc>
          <w:tcPr>
            <w:tcW w:type="dxa" w:w="4464"/>
            <w:vAlign w:val="center"/>
            <w:tcMar>
              <w:top w:w="90" w:type="dxa"/>
              <w:start w:w="110" w:type="dxa"/>
              <w:bottom w:w="90" w:type="dxa"/>
              <w:end w:w="110" w:type="dxa"/>
            </w:tcMar>
          </w:tcPr>
          <w:p>
            <w:pPr>
              <w:jc w:val="left"/>
            </w:pPr>
            <w:r/>
            <w:r>
              <w:rPr>
                <w:b w:val="0"/>
                <w:sz w:val="15"/>
              </w:rPr>
              <w:t>Построить miniversal local algebra.</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После T2-PO-176/185.</w:t>
            </w:r>
          </w:p>
        </w:tc>
      </w:tr>
      <w:tr>
        <w:tc>
          <w:tcPr>
            <w:tcW w:type="dxa" w:w="1440"/>
            <w:vAlign w:val="center"/>
            <w:tcMar>
              <w:top w:w="90" w:type="dxa"/>
              <w:start w:w="110" w:type="dxa"/>
              <w:bottom w:w="90" w:type="dxa"/>
              <w:end w:w="110" w:type="dxa"/>
            </w:tcMar>
          </w:tcPr>
          <w:p>
            <w:pPr>
              <w:jc w:val="center"/>
            </w:pPr>
            <w:r/>
            <w:r>
              <w:rPr>
                <w:b w:val="0"/>
                <w:sz w:val="15"/>
              </w:rPr>
              <w:t>T2-PO-189</w:t>
            </w:r>
          </w:p>
        </w:tc>
        <w:tc>
          <w:tcPr>
            <w:tcW w:type="dxa" w:w="4464"/>
            <w:vAlign w:val="center"/>
            <w:tcMar>
              <w:top w:w="90" w:type="dxa"/>
              <w:start w:w="110" w:type="dxa"/>
              <w:bottom w:w="90" w:type="dxa"/>
              <w:end w:w="110" w:type="dxa"/>
            </w:tcMar>
          </w:tcPr>
          <w:p>
            <w:pPr>
              <w:jc w:val="left"/>
            </w:pPr>
            <w:r/>
            <w:r>
              <w:rPr>
                <w:b w:val="0"/>
                <w:sz w:val="15"/>
              </w:rPr>
              <w:t>Доказать independence до right-equivalence.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Смена metric/splitting.</w:t>
            </w:r>
          </w:p>
        </w:tc>
      </w:tr>
      <w:tr>
        <w:tc>
          <w:tcPr>
            <w:tcW w:type="dxa" w:w="1440"/>
            <w:vAlign w:val="center"/>
            <w:tcMar>
              <w:top w:w="90" w:type="dxa"/>
              <w:start w:w="110" w:type="dxa"/>
              <w:bottom w:w="90" w:type="dxa"/>
              <w:end w:w="110" w:type="dxa"/>
            </w:tcMar>
          </w:tcPr>
          <w:p>
            <w:pPr>
              <w:jc w:val="center"/>
            </w:pPr>
            <w:r/>
            <w:r>
              <w:rPr>
                <w:b w:val="0"/>
                <w:sz w:val="15"/>
              </w:rPr>
              <w:t>T2-PO-190</w:t>
            </w:r>
          </w:p>
        </w:tc>
        <w:tc>
          <w:tcPr>
            <w:tcW w:type="dxa" w:w="4464"/>
            <w:vAlign w:val="center"/>
            <w:tcMar>
              <w:top w:w="90" w:type="dxa"/>
              <w:start w:w="110" w:type="dxa"/>
              <w:bottom w:w="90" w:type="dxa"/>
              <w:end w:w="110" w:type="dxa"/>
            </w:tcMar>
          </w:tcPr>
          <w:p>
            <w:pPr>
              <w:jc w:val="left"/>
            </w:pPr>
            <w:r/>
            <w:r>
              <w:rPr>
                <w:b w:val="0"/>
                <w:sz w:val="15"/>
              </w:rPr>
              <w:t>Классифицировать stabilizer strata.</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Stack-level data.</w:t>
            </w:r>
          </w:p>
        </w:tc>
      </w:tr>
      <w:tr>
        <w:tc>
          <w:tcPr>
            <w:tcW w:type="dxa" w:w="1440"/>
            <w:vAlign w:val="center"/>
            <w:tcMar>
              <w:top w:w="90" w:type="dxa"/>
              <w:start w:w="110" w:type="dxa"/>
              <w:bottom w:w="90" w:type="dxa"/>
              <w:end w:w="110" w:type="dxa"/>
            </w:tcMar>
          </w:tcPr>
          <w:p>
            <w:pPr>
              <w:jc w:val="center"/>
            </w:pPr>
            <w:r/>
            <w:r>
              <w:rPr>
                <w:b w:val="0"/>
                <w:sz w:val="15"/>
              </w:rPr>
              <w:t>T2-PO-191</w:t>
            </w:r>
          </w:p>
        </w:tc>
        <w:tc>
          <w:tcPr>
            <w:tcW w:type="dxa" w:w="4464"/>
            <w:vAlign w:val="center"/>
            <w:tcMar>
              <w:top w:w="90" w:type="dxa"/>
              <w:start w:w="110" w:type="dxa"/>
              <w:bottom w:w="90" w:type="dxa"/>
              <w:end w:w="110" w:type="dxa"/>
            </w:tcMar>
          </w:tcPr>
          <w:p>
            <w:pPr>
              <w:jc w:val="left"/>
            </w:pPr>
            <w:r/>
            <w:r>
              <w:rPr>
                <w:b w:val="0"/>
                <w:sz w:val="15"/>
              </w:rPr>
              <w:t>Определить derived formal NAPG problem.</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Nilcomplete/infinitesimal cohesive.</w:t>
            </w:r>
          </w:p>
        </w:tc>
      </w:tr>
      <w:tr>
        <w:tc>
          <w:tcPr>
            <w:tcW w:type="dxa" w:w="1440"/>
            <w:vAlign w:val="center"/>
            <w:tcMar>
              <w:top w:w="90" w:type="dxa"/>
              <w:start w:w="110" w:type="dxa"/>
              <w:bottom w:w="90" w:type="dxa"/>
              <w:end w:w="110" w:type="dxa"/>
            </w:tcMar>
          </w:tcPr>
          <w:p>
            <w:pPr>
              <w:jc w:val="center"/>
            </w:pPr>
            <w:r/>
            <w:r>
              <w:rPr>
                <w:b w:val="0"/>
                <w:sz w:val="15"/>
              </w:rPr>
              <w:t>T2-PO-192</w:t>
            </w:r>
          </w:p>
        </w:tc>
        <w:tc>
          <w:tcPr>
            <w:tcW w:type="dxa" w:w="4464"/>
            <w:vAlign w:val="center"/>
            <w:tcMar>
              <w:top w:w="90" w:type="dxa"/>
              <w:start w:w="110" w:type="dxa"/>
              <w:bottom w:w="90" w:type="dxa"/>
              <w:end w:w="110" w:type="dxa"/>
            </w:tcMar>
          </w:tcPr>
          <w:p>
            <w:pPr>
              <w:jc w:val="left"/>
            </w:pPr>
            <w:r/>
            <w:r>
              <w:rPr>
                <w:b w:val="0"/>
                <w:sz w:val="15"/>
              </w:rPr>
              <w:t>Построить ModTriv(I) certificate.</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Параметрическое family data.</w:t>
            </w:r>
          </w:p>
        </w:tc>
      </w:tr>
      <w:tr>
        <w:tc>
          <w:tcPr>
            <w:tcW w:type="dxa" w:w="1440"/>
            <w:vAlign w:val="center"/>
            <w:tcMar>
              <w:top w:w="90" w:type="dxa"/>
              <w:start w:w="110" w:type="dxa"/>
              <w:bottom w:w="90" w:type="dxa"/>
              <w:end w:w="110" w:type="dxa"/>
            </w:tcMar>
          </w:tcPr>
          <w:p>
            <w:pPr>
              <w:jc w:val="center"/>
            </w:pPr>
            <w:r/>
            <w:r>
              <w:rPr>
                <w:b w:val="0"/>
                <w:sz w:val="15"/>
              </w:rPr>
              <w:t>T2-PO-193</w:t>
            </w:r>
          </w:p>
        </w:tc>
        <w:tc>
          <w:tcPr>
            <w:tcW w:type="dxa" w:w="4464"/>
            <w:vAlign w:val="center"/>
            <w:tcMar>
              <w:top w:w="90" w:type="dxa"/>
              <w:start w:w="110" w:type="dxa"/>
              <w:bottom w:w="90" w:type="dxa"/>
              <w:end w:w="110" w:type="dxa"/>
            </w:tcMar>
          </w:tcPr>
          <w:p>
            <w:pPr>
              <w:jc w:val="left"/>
            </w:pPr>
            <w:r/>
            <w:r>
              <w:rPr>
                <w:b w:val="0"/>
                <w:sz w:val="15"/>
              </w:rPr>
              <w:t>Сертифицировать interval bound для ||K(x)||.</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Validated numerics.</w:t>
            </w:r>
          </w:p>
        </w:tc>
      </w:tr>
      <w:tr>
        <w:tc>
          <w:tcPr>
            <w:tcW w:type="dxa" w:w="1440"/>
            <w:vAlign w:val="center"/>
            <w:tcMar>
              <w:top w:w="90" w:type="dxa"/>
              <w:start w:w="110" w:type="dxa"/>
              <w:bottom w:w="90" w:type="dxa"/>
              <w:end w:w="110" w:type="dxa"/>
            </w:tcMar>
          </w:tcPr>
          <w:p>
            <w:pPr>
              <w:jc w:val="center"/>
            </w:pPr>
            <w:r/>
            <w:r>
              <w:rPr>
                <w:b w:val="0"/>
                <w:sz w:val="15"/>
              </w:rPr>
              <w:t>T2-PO-194</w:t>
            </w:r>
          </w:p>
        </w:tc>
        <w:tc>
          <w:tcPr>
            <w:tcW w:type="dxa" w:w="4464"/>
            <w:vAlign w:val="center"/>
            <w:tcMar>
              <w:top w:w="90" w:type="dxa"/>
              <w:start w:w="110" w:type="dxa"/>
              <w:bottom w:w="90" w:type="dxa"/>
              <w:end w:w="110" w:type="dxa"/>
            </w:tcMar>
          </w:tcPr>
          <w:p>
            <w:pPr>
              <w:jc w:val="left"/>
            </w:pPr>
            <w:r/>
            <w:r>
              <w:rPr>
                <w:b w:val="0"/>
                <w:sz w:val="15"/>
              </w:rPr>
              <w:t>Согласовать Kuranishi carrier с Π_E и β_Ass.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Bridge theorem.</w:t>
            </w:r>
          </w:p>
        </w:tc>
      </w:tr>
      <w:tr>
        <w:tc>
          <w:tcPr>
            <w:tcW w:type="dxa" w:w="1440"/>
            <w:vAlign w:val="center"/>
            <w:tcMar>
              <w:top w:w="90" w:type="dxa"/>
              <w:start w:w="110" w:type="dxa"/>
              <w:bottom w:w="90" w:type="dxa"/>
              <w:end w:w="110" w:type="dxa"/>
            </w:tcMar>
          </w:tcPr>
          <w:p>
            <w:pPr>
              <w:jc w:val="center"/>
            </w:pPr>
            <w:r/>
            <w:r>
              <w:rPr>
                <w:b w:val="0"/>
                <w:sz w:val="15"/>
              </w:rPr>
              <w:t>T2-PO-195</w:t>
            </w:r>
          </w:p>
        </w:tc>
        <w:tc>
          <w:tcPr>
            <w:tcW w:type="dxa" w:w="4464"/>
            <w:vAlign w:val="center"/>
            <w:tcMar>
              <w:top w:w="90" w:type="dxa"/>
              <w:start w:w="110" w:type="dxa"/>
              <w:bottom w:w="90" w:type="dxa"/>
              <w:end w:w="110" w:type="dxa"/>
            </w:tcMar>
          </w:tcPr>
          <w:p>
            <w:pPr>
              <w:jc w:val="left"/>
            </w:pPr>
            <w:r/>
            <w:r>
              <w:rPr>
                <w:b w:val="0"/>
                <w:sz w:val="15"/>
              </w:rPr>
              <w:t>Провести независимый moduli run.</w:t>
            </w:r>
          </w:p>
        </w:tc>
        <w:tc>
          <w:tcPr>
            <w:tcW w:type="dxa" w:w="1584"/>
            <w:vAlign w:val="center"/>
            <w:tcMar>
              <w:top w:w="90" w:type="dxa"/>
              <w:start w:w="110" w:type="dxa"/>
              <w:bottom w:w="90" w:type="dxa"/>
              <w:end w:w="110" w:type="dxa"/>
            </w:tcMar>
          </w:tcPr>
          <w:p>
            <w:pPr>
              <w:jc w:val="center"/>
            </w:pPr>
            <w:r/>
            <w:r>
              <w:rPr>
                <w:b w:val="0"/>
                <w:sz w:val="15"/>
              </w:rPr>
              <w:t>OPEN-IND</w:t>
            </w:r>
          </w:p>
        </w:tc>
        <w:tc>
          <w:tcPr>
            <w:tcW w:type="dxa" w:w="2448"/>
            <w:vAlign w:val="center"/>
            <w:tcMar>
              <w:top w:w="90" w:type="dxa"/>
              <w:start w:w="110" w:type="dxa"/>
              <w:bottom w:w="90" w:type="dxa"/>
              <w:end w:w="110" w:type="dxa"/>
            </w:tcMar>
          </w:tcPr>
          <w:p>
            <w:pPr>
              <w:jc w:val="left"/>
            </w:pPr>
            <w:r/>
            <w:r>
              <w:rPr>
                <w:b w:val="0"/>
                <w:sz w:val="15"/>
              </w:rPr>
              <w:t>Внешний код и данные.</w:t>
            </w:r>
          </w:p>
        </w:tc>
      </w:tr>
      <w:tr>
        <w:tc>
          <w:tcPr>
            <w:tcW w:type="dxa" w:w="1440"/>
            <w:vAlign w:val="center"/>
            <w:tcMar>
              <w:top w:w="90" w:type="dxa"/>
              <w:start w:w="110" w:type="dxa"/>
              <w:bottom w:w="90" w:type="dxa"/>
              <w:end w:w="110" w:type="dxa"/>
            </w:tcMar>
          </w:tcPr>
          <w:p>
            <w:pPr>
              <w:jc w:val="center"/>
            </w:pPr>
            <w:r/>
            <w:r>
              <w:rPr>
                <w:b w:val="0"/>
                <w:sz w:val="15"/>
              </w:rPr>
              <w:t>T2-PO-196</w:t>
            </w:r>
          </w:p>
        </w:tc>
        <w:tc>
          <w:tcPr>
            <w:tcW w:type="dxa" w:w="4464"/>
            <w:vAlign w:val="center"/>
            <w:tcMar>
              <w:top w:w="90" w:type="dxa"/>
              <w:start w:w="110" w:type="dxa"/>
              <w:bottom w:w="90" w:type="dxa"/>
              <w:end w:w="110" w:type="dxa"/>
            </w:tcMar>
          </w:tcPr>
          <w:p>
            <w:pPr>
              <w:jc w:val="left"/>
            </w:pPr>
            <w:r/>
            <w:r>
              <w:rPr>
                <w:b w:val="0"/>
                <w:sz w:val="15"/>
              </w:rPr>
              <w:t>Сохранить физический status lock.</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truth_layer_promotion=0.</w:t>
            </w:r>
          </w:p>
        </w:tc>
      </w:tr>
    </w:tbl>
    <w:p>
      <w:pPr>
        <w:pStyle w:val="Heading1"/>
      </w:pPr>
      <w:r>
        <w:t>173. Prior art, граница авторского вклада и контрольная точка</w:t>
      </w:r>
    </w:p>
    <w:p>
      <w:pPr>
        <w:spacing w:after="100"/>
      </w:pPr>
      <w:r>
        <w:t>Классический prior art включает: функторы артиевых колец и критерии hull/prorepresentability Шлессингера; теорию деформаций Кодайры-Спенсера и локально полные семейства Кураниши; cohomology-controlled deformation theory Герштенхабера и Нейенхёйса-Ричардсона; quadratic deformation germs Goldman-Millson; derived formal moduli frameworks Lurie-Pridham. Эти результаты не являются авторскими результатами проекта.</w:t>
      </w:r>
    </w:p>
    <w:p>
      <w:pPr>
        <w:spacing w:after="100"/>
      </w:pPr>
      <w:r>
        <w:t>Авторский слой Курпишева в этой главе состоит в типизированном включении moduli-Kuranishi apparatus в архитектуру NAPG/KLT-RBD: триада H_N^1/H_N^2/H_N^3 связывается с D/Dom, Evidence-D, projective harmonic gate, внутренним и внешним obstruction carriers, Hodge-Green certificate, модульным переходным горизонтом и трёхзначным предсказательным выводом.</w:t>
      </w:r>
    </w:p>
    <w:p>
      <w:pPr>
        <w:spacing w:after="100"/>
      </w:pPr>
      <w:r>
        <w:t>[V0.13-1] Schlessinger, M. Functors of Artin Rings. Transactions of the AMS 130 (1968), 208-222.</w:t>
      </w:r>
    </w:p>
    <w:p>
      <w:pPr>
        <w:spacing w:after="100"/>
      </w:pPr>
      <w:r>
        <w:t>[V0.13-2] Kodaira, K.; Spencer, D. C. On Deformations of Complex Analytic Structures I-II. Annals of Mathematics 67 (1958), 328-466. DOI 10.2307/1970009.</w:t>
      </w:r>
    </w:p>
    <w:p>
      <w:pPr>
        <w:spacing w:after="100"/>
      </w:pPr>
      <w:r>
        <w:t>[V0.13-3] Kuranishi, M. On the Locally Complete Families of Complex Analytic Structures. Annals of Mathematics 75 (1962), 536-577. DOI 10.2307/1970211.</w:t>
      </w:r>
    </w:p>
    <w:p>
      <w:pPr>
        <w:spacing w:after="100"/>
      </w:pPr>
      <w:r>
        <w:t>[V0.13-4] Kuranishi, M. New Proof for the Existence of Locally Complete Families of Complex Structures. Proc. Conf. Complex Analysis, Springer (1965), 142-154. DOI 10.1007/978-3-642-48016-4_13.</w:t>
      </w:r>
    </w:p>
    <w:p>
      <w:pPr>
        <w:spacing w:after="100"/>
      </w:pPr>
      <w:r>
        <w:t>[V0.13-5] Nijenhuis, A.; Richardson, R. W. Cohomology and Deformations in Graded Lie Algebras. Bull. AMS 72 (1966), 1-29. DOI 10.1090/S0002-9904-1966-11401-5.</w:t>
      </w:r>
    </w:p>
    <w:p>
      <w:pPr>
        <w:spacing w:after="100"/>
      </w:pPr>
      <w:r>
        <w:t>[V0.13-6] Goldman, W. M.; Millson, J. J. The Deformation Theory of Representations of Fundamental Groups of Compact Kähler Manifolds. Publ. Math. IHES 67 (1988), 43-96. DOI 10.1007/BF02699127.</w:t>
      </w:r>
    </w:p>
    <w:p>
      <w:pPr>
        <w:spacing w:after="100"/>
      </w:pPr>
      <w:r>
        <w:t>[V0.13-7] Pridham, J. P. Unifying Derived Deformation Theories. Advances in Mathematics 224 (2010), 772-826. arXiv:0705.0344.</w:t>
      </w:r>
    </w:p>
    <w:p>
      <w:pPr>
        <w:spacing w:after="100"/>
      </w:pPr>
      <w:r>
        <w:t>[V0.13-8] Lurie, J. Derived Algebraic Geometry IV: Deformation Theory. arXiv:0709.3091.</w:t>
      </w:r>
    </w:p>
    <w:p>
      <w:pPr>
        <w:spacing w:after="100"/>
      </w:pPr>
      <w:r>
        <w:t>[V0.13-9] Kurpishev, I. B. Том I v197 RU; Том II T2-RP-v0.1-v0.12.</w:t>
      </w:r>
    </w:p>
    <w:p>
      <w:pPr>
        <w:pStyle w:val="Quote"/>
        <w:spacing w:before="80" w:after="120"/>
        <w:jc w:val="center"/>
      </w:pPr>
      <w:r>
        <w:t>truth_layer_promotion=0; checkpoint=T2-RP-v0.13; next=T2-RP-v0.14.                  (16.33)</w:t>
      </w:r>
    </w:p>
    <w:p>
      <w:pPr>
        <w:pStyle w:val="Lead"/>
        <w:spacing w:after="100"/>
      </w:pPr>
      <w:r>
        <w:t>Глава 16 построила локальную модульную машину NAPG: от Artin deformation functor и small-extension obstruction calculus до derived tangent complex, Hodge-Green contraction, Kuranishi map, miniversal base, higher obstruction tower и moduli-safe predictive horizon. Главный отрицательный результат: равномерно ненулевой Kuranishi residual исключает интегрируемость выбранной ветви в сертифицированной локальной модели. Нулевой residual создаёт только candidate-lift, а не событие.</w:t>
      </w:r>
    </w:p>
    <w:p>
      <w:pPr>
        <w:pStyle w:val="Small"/>
        <w:spacing w:after="100"/>
      </w:pPr>
      <w:r>
        <w:t>Следующая сборка tom2_v0_14 развивает каноническую главу 17: стратифицированные пространства модулей, wall-crossing, bifurcation loci, monodromy of branches и устойчивые переходные инварианты.</w:t>
      </w:r>
    </w:p>
    <w:p>
      <w:pPr>
        <w:pStyle w:val="Small"/>
        <w:spacing w:after="100"/>
      </w:pPr>
      <w:r>
        <w:t>checkpoint=T2-RP-v0.13; source=T2-RP-v0.12; truth_layer_promotion=0; next=T2-RP-v0.14.</w:t>
      </w:r>
    </w:p>
    <w:sectPr w:rsidR="00FC693F" w:rsidRPr="0006063C" w:rsidSect="00034616">
      <w:headerReference w:type="default" r:id="rId64"/>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v0.13</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v0.13</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header" Target="header3.xml"/><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png"/><Relationship Id="rId59" Type="http://schemas.openxmlformats.org/officeDocument/2006/relationships/image" Target="media/image32.png"/><Relationship Id="rId60" Type="http://schemas.openxmlformats.org/officeDocument/2006/relationships/image" Target="media/image33.png"/><Relationship Id="rId61" Type="http://schemas.openxmlformats.org/officeDocument/2006/relationships/image" Target="media/image34.png"/><Relationship Id="rId62" Type="http://schemas.openxmlformats.org/officeDocument/2006/relationships/image" Target="media/image35.png"/><Relationship Id="rId63" Type="http://schemas.openxmlformats.org/officeDocument/2006/relationships/header" Target="header4.xml"/><Relationship Id="rId64" Type="http://schemas.openxmlformats.org/officeDocument/2006/relationships/header" Target="header5.xml"/><Relationship Id="rId65" Type="http://schemas.openxmlformats.org/officeDocument/2006/relationships/image" Target="media/image36.png"/><Relationship Id="rId66" Type="http://schemas.openxmlformats.org/officeDocument/2006/relationships/image" Target="media/image37.png"/><Relationship Id="rId67" Type="http://schemas.openxmlformats.org/officeDocument/2006/relationships/image" Target="media/image38.png"/><Relationship Id="rId68" Type="http://schemas.openxmlformats.org/officeDocument/2006/relationships/image" Target="media/image39.png"/><Relationship Id="rId69" Type="http://schemas.openxmlformats.org/officeDocument/2006/relationships/image" Target="media/image40.png"/><Relationship Id="rId70"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tom2_v0_13</dc:title>
  <dc:subject>T2-RP-v0.13: деформационные функторы, moduli, Kuranishi maps и высшие препятствия</dc:subject>
  <dc:creator>Курпишев Иван Борисович</dc:creator>
  <cp:keywords>KLT-RBD; NAPG 3.0; external complex; chain map; Pi_E; mapping cone; obstruction detection</cp:keywords>
  <dc:description>Кумулятивная редакция T2-RP-v0.13; truth_layer_promotion=0</dc:description>
  <cp:lastModifiedBy/>
  <cp:revision>1</cp:revision>
  <dcterms:created xsi:type="dcterms:W3CDTF">2013-12-23T23:15:00Z</dcterms:created>
  <dcterms:modified xsi:type="dcterms:W3CDTF">2013-12-23T23:15:00Z</dcterms:modified>
  <cp:category/>
</cp:coreProperties>
</file>