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rFonts w:ascii="DejaVu Sans" w:hAnsi="DejaVu Sans" w:eastAsia="DejaVu Sans"/>
          <w:b/>
          <w:i w:val="0"/>
          <w:color w:val="173F69"/>
          <w:sz w:val="44"/>
        </w:rPr>
        <w:t>MONOGRAPH</w:t>
      </w:r>
    </w:p>
    <w:p>
      <w:pPr>
        <w:jc w:val="center"/>
      </w:pPr>
      <w:r>
        <w:rPr>
          <w:rFonts w:ascii="DejaVu Sans" w:hAnsi="DejaVu Sans" w:eastAsia="DejaVu Sans"/>
          <w:b/>
          <w:i w:val="0"/>
          <w:color w:val="173F69"/>
          <w:sz w:val="54"/>
        </w:rPr>
        <w:t>BASIC KLT-RBD PROJECT</w:t>
      </w:r>
    </w:p>
    <w:p>
      <w:pPr>
        <w:jc w:val="center"/>
      </w:pPr>
      <w:r>
        <w:rPr>
          <w:rFonts w:ascii="DejaVu Sans" w:hAnsi="DejaVu Sans" w:eastAsia="DejaVu Sans"/>
          <w:b/>
          <w:i w:val="0"/>
          <w:color w:val="A77317"/>
          <w:sz w:val="48"/>
        </w:rPr>
        <w:t>VOLUME II</w:t>
      </w:r>
    </w:p>
    <w:p>
      <w:pPr>
        <w:jc w:val="center"/>
      </w:pPr>
      <w:r>
        <w:rPr>
          <w:rFonts w:ascii="DejaVu Sans" w:hAnsi="DejaVu Sans" w:eastAsia="DejaVu Sans"/>
          <w:b/>
          <w:i w:val="0"/>
          <w:color w:val="173F69"/>
          <w:sz w:val="34"/>
        </w:rPr>
        <w:t>STRICT NONASSOCIATIVE PACKET REPER GEOMETRY NAPG 3.0</w:t>
      </w:r>
    </w:p>
    <w:p>
      <w:pPr>
        <w:jc w:val="center"/>
      </w:pPr>
      <w:r>
        <w:rPr>
          <w:rFonts w:ascii="Aptos" w:hAnsi="Aptos"/>
          <w:b/>
          <w:i w:val="0"/>
          <w:color w:val="1F4E78"/>
          <w:sz w:val="28"/>
        </w:rPr>
        <w:t>Controlled English Derivative - Frozen Authorial Release</w:t>
      </w:r>
    </w:p>
    <w:p>
      <w:pPr>
        <w:jc w:val="center"/>
      </w:pPr>
      <w:r>
        <w:drawing>
          <wp:inline xmlns:a="http://schemas.openxmlformats.org/drawingml/2006/main" xmlns:pic="http://schemas.openxmlformats.org/drawingml/2006/picture">
            <wp:extent cx="1620000" cy="1620000"/>
            <wp:docPr id="1" name="Picture 1" descr="Author portrait: Ivan Borisovich Kurpishev" title="Ivan Borisovich Kurpishev"/>
            <wp:cNvGraphicFramePr>
              <a:graphicFrameLocks noChangeAspect="1"/>
            </wp:cNvGraphicFramePr>
            <a:graphic>
              <a:graphicData uri="http://schemas.openxmlformats.org/drawingml/2006/picture">
                <pic:pic>
                  <pic:nvPicPr>
                    <pic:cNvPr id="0" name="image1.jpg"/>
                    <pic:cNvPicPr/>
                  </pic:nvPicPr>
                  <pic:blipFill>
                    <a:blip r:embed="rId11"/>
                    <a:stretch>
                      <a:fillRect/>
                    </a:stretch>
                  </pic:blipFill>
                  <pic:spPr>
                    <a:xfrm>
                      <a:off x="0" y="0"/>
                      <a:ext cx="1620000" cy="1620000"/>
                    </a:xfrm>
                    <a:prstGeom prst="rect"/>
                  </pic:spPr>
                </pic:pic>
              </a:graphicData>
            </a:graphic>
          </wp:inline>
        </w:drawing>
      </w:r>
    </w:p>
    <w:p>
      <w:pPr>
        <w:jc w:val="center"/>
      </w:pPr>
      <w:r>
        <w:rPr>
          <w:rFonts w:ascii="DejaVu Sans" w:hAnsi="DejaVu Sans" w:eastAsia="DejaVu Sans"/>
          <w:b/>
          <w:i w:val="0"/>
          <w:color w:val="173F69"/>
          <w:sz w:val="32"/>
        </w:rPr>
        <w:t>Ivan Borisovich Kurpishev</w:t>
      </w:r>
    </w:p>
    <w:p>
      <w:pPr>
        <w:jc w:val="center"/>
      </w:pPr>
      <w:r>
        <w:rPr>
          <w:rFonts w:ascii="DejaVu Serif" w:hAnsi="DejaVu Serif" w:eastAsia="DejaVu Serif"/>
          <w:b w:val="0"/>
          <w:i w:val="0"/>
          <w:color w:val="5C6773"/>
          <w:sz w:val="22"/>
        </w:rPr>
        <w:t>Independent Researcher · Kaliningrad · 2026</w:t>
      </w:r>
    </w:p>
    <w:tbl>
      <w:tblPr>
        <w:tblW w:type="auto" w:w="0"/>
        <w:jc w:val="center"/>
        <w:tblLayout w:type="fixed"/>
        <w:tblLook w:firstColumn="1" w:firstRow="1" w:lastColumn="0" w:lastRow="0" w:noHBand="0" w:noVBand="1" w:val="04A0"/>
      </w:tblPr>
      <w:tblGrid>
        <w:gridCol w:w="9951"/>
      </w:tblGrid>
      <w:tr>
        <w:tc>
          <w:tcPr>
            <w:tcW w:type="dxa" w:w="9951"/>
            <w:shd w:fill="FFF4D6"/>
            <w:tcMar>
              <w:top w:w="130" w:type="dxa"/>
              <w:start w:w="160" w:type="dxa"/>
              <w:bottom w:w="130" w:type="dxa"/>
              <w:end w:w="160" w:type="dxa"/>
            </w:tcMar>
            <w:tcBorders>
              <w:left w:val="single" w:sz="16" w:color="A77317"/>
            </w:tcBorders>
          </w:tcPr>
          <w:p>
            <w:pPr>
              <w:spacing w:after="0" w:line="259" w:lineRule="auto"/>
            </w:pPr>
            <w:r>
              <w:rPr>
                <w:rFonts w:ascii="Aptos" w:hAnsi="Aptos"/>
                <w:b w:val="0"/>
                <w:i w:val="0"/>
                <w:sz w:val="18"/>
              </w:rPr>
              <w:t>CHECKPOINT. T2-EN-FREEZE-v1.0 is the immutable authorial English release of Volume II. It is issued exclusively from the accepted freeze candidate T2-EN-FC-v0.9 after final render, integrity, bilingual-audit, no-scientific-change, accessibility, and visual-QA gates.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BE9E7"/>
            <w:tcMar>
              <w:top w:w="130" w:type="dxa"/>
              <w:start w:w="160" w:type="dxa"/>
              <w:bottom w:w="130" w:type="dxa"/>
              <w:end w:w="160" w:type="dxa"/>
            </w:tcMar>
            <w:tcBorders>
              <w:left w:val="single" w:sz="16" w:color="A12B2E"/>
            </w:tcBorders>
          </w:tcPr>
          <w:p>
            <w:pPr>
              <w:spacing w:after="0" w:line="259" w:lineRule="auto"/>
            </w:pPr>
            <w:r>
              <w:rPr>
                <w:rFonts w:ascii="Aptos" w:hAnsi="Aptos"/>
                <w:b w:val="0"/>
                <w:i w:val="0"/>
                <w:color w:val="9C1C1C"/>
                <w:sz w:val="18"/>
              </w:rPr>
              <w:t>FROZEN STATUS LOCK. truth_layer_promotion=0. Authority(T2-RU v1.0) &gt; Authority(T2-EN). Chapters 1-24, canonical Appendices T2-A-T2-E, derivative Appendices T2-F-T2-G, 339 typed formal objects, 500 evidence obligations, 404 formula identifiers, negative results, OPEN, COND, MODEL, PHY-HYP, ABSTAIN, and the absence of independent EXT-RUN / EMP-OBS are unchanged from the accepted v0.9 candidate. Every later change requires a documented change-set and a new version. An external signed bilingual audit remains OPEN NON-VETO.</w:t>
            </w:r>
          </w:p>
        </w:tc>
        <w:trPr>
          <w:tblHeader/>
        </w:trPr>
      </w:tr>
    </w:tbl>
    <w:p>
      <w:pPr>
        <w:spacing w:after="0"/>
      </w:pPr>
    </w:p>
    <w:p>
      <w:r>
        <w:br w:type="page"/>
      </w:r>
    </w:p>
    <w:p>
      <w:pPr>
        <w:pStyle w:val="Heading1"/>
        <w:keepNext/>
        <w:pageBreakBefore w:val="0"/>
      </w:pPr>
      <w:r>
        <w:t>Frozen Release Passport</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283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Field</w:t>
            </w:r>
          </w:p>
        </w:tc>
        <w:tc>
          <w:tcPr>
            <w:tcW w:type="dxa" w:w="6520"/>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Fixed value</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Author</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Ivan Borisovich Kurpishev</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Project</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KURPISHEV LOGIC 2 · Basic KLT-RBD Project</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Volume</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II · Strict Nonassociative Packet Reper Geometry NAPG 3.0</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Checkpoint</w:t>
            </w:r>
          </w:p>
        </w:tc>
        <w:tc>
          <w:tcPr>
            <w:tcW w:type="dxa" w:w="6520"/>
            <w:shd w:fill="FFFFFF"/>
            <w:vAlign w:val="center"/>
            <w:tcMar>
              <w:top w:w="90" w:type="dxa"/>
              <w:start w:w="100" w:type="dxa"/>
              <w:bottom w:w="90" w:type="dxa"/>
              <w:end w:w="100" w:type="dxa"/>
            </w:tcMar>
          </w:tcPr>
          <w:p>
            <w:pPr>
              <w:spacing w:after="0" w:line="252" w:lineRule="auto"/>
              <w:jc w:val="left"/>
            </w:pPr>
            <w:r>
              <w:rPr>
                <w:rFonts w:ascii="Aptos" w:hAnsi="Aptos"/>
                <w:b w:val="0"/>
                <w:i w:val="0"/>
                <w:sz w:val="17"/>
              </w:rPr>
              <w:t>T2-EN-FREEZE-v1.0</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Canonical Russian source</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tom2_v1_0(1).docx / tom2_v1_0(1).pdf · T2-FREEZE-v1.0</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t>Accepted predecessor</w:t>
            </w:r>
            <w:r>
              <w:rPr>
                <w:rFonts w:ascii="DejaVu Serif" w:hAnsi="DejaVu Serif" w:eastAsia="DejaVu Serif"/>
                <w:b w:val="0"/>
                <w:i w:val="0"/>
                <w:color w:val="111111"/>
                <w:sz w:val="18"/>
              </w:rPr>
            </w:r>
          </w:p>
        </w:tc>
        <w:tc>
          <w:tcPr>
            <w:tcW w:type="dxa" w:w="6520"/>
            <w:shd w:fill="FFFFFF"/>
            <w:vAlign w:val="center"/>
            <w:tcMar>
              <w:top w:w="90" w:type="dxa"/>
              <w:start w:w="100" w:type="dxa"/>
              <w:bottom w:w="90" w:type="dxa"/>
              <w:end w:w="100" w:type="dxa"/>
            </w:tcMar>
          </w:tcPr>
          <w:p>
            <w:r>
              <w:rPr>
                <w:rFonts w:ascii="Aptos" w:hAnsi="Aptos"/>
                <w:b w:val="0"/>
                <w:i w:val="0"/>
                <w:sz w:val="17"/>
              </w:rPr>
              <w:t>T2-EN-FC-v0.9</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Upstream English authority</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T1-EN-FREEZE-v1.0</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Translated scope</w:t>
            </w:r>
          </w:p>
        </w:tc>
        <w:tc>
          <w:tcPr>
            <w:tcW w:type="dxa" w:w="6520"/>
            <w:shd w:fill="FFFFFF"/>
            <w:vAlign w:val="center"/>
            <w:tcMar>
              <w:top w:w="90" w:type="dxa"/>
              <w:start w:w="100" w:type="dxa"/>
              <w:bottom w:w="90" w:type="dxa"/>
              <w:end w:w="100" w:type="dxa"/>
            </w:tcMar>
          </w:tcPr>
          <w:p>
            <w:r>
              <w:rPr>
                <w:rFonts w:ascii="Aptos" w:hAnsi="Aptos"/>
                <w:b w:val="0"/>
                <w:i w:val="0"/>
                <w:sz w:val="17"/>
              </w:rPr>
              <w:t>Chapters 1-24; Appendices T2-A-T2-E; derivative Appendices T2-F-T2-G; formulas T2-F001-T2-F404; Figures 3-63</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Derivative authority</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Authority(T2-RU v1.0) &gt; Authority(T2-EN)</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Mathematical status</w:t>
            </w:r>
          </w:p>
        </w:tc>
        <w:tc>
          <w:tcPr>
            <w:tcW w:type="dxa" w:w="6520"/>
            <w:shd w:fill="FFFFFF"/>
            <w:vAlign w:val="center"/>
            <w:tcMar>
              <w:top w:w="90" w:type="dxa"/>
              <w:start w:w="100" w:type="dxa"/>
              <w:bottom w:w="90" w:type="dxa"/>
              <w:end w:w="100" w:type="dxa"/>
            </w:tcMar>
          </w:tcPr>
          <w:p>
            <w:pPr>
              <w:spacing w:after="0" w:line="252" w:lineRule="auto"/>
              <w:jc w:val="left"/>
            </w:pPr>
            <w:r>
              <w:t>DEF-A / THM / COND / MODEL / OPEN / FROZEN-AUTHORIAL-RELEASE; Russian source statuses preserved</w:t>
            </w:r>
            <w:r>
              <w:rPr>
                <w:rFonts w:ascii="DejaVu Serif" w:hAnsi="DejaVu Serif" w:eastAsia="DejaVu Serif"/>
                <w:b w:val="0"/>
                <w:i w:val="0"/>
                <w:color w:val="111111"/>
                <w:sz w:val="18"/>
              </w:rPr>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Physical status</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No empirical validation; EXT-RUN and EMP-OBS absent</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Next checkpoint</w:t>
            </w:r>
          </w:p>
        </w:tc>
        <w:tc>
          <w:tcPr>
            <w:tcW w:type="dxa" w:w="6520"/>
            <w:shd w:fill="FFFFFF"/>
            <w:vAlign w:val="center"/>
            <w:tcMar>
              <w:top w:w="90" w:type="dxa"/>
              <w:start w:w="100" w:type="dxa"/>
              <w:bottom w:w="90" w:type="dxa"/>
              <w:end w:w="100" w:type="dxa"/>
            </w:tcMar>
          </w:tcPr>
          <w:p>
            <w:r>
              <w:rPr>
                <w:rFonts w:ascii="Aptos" w:hAnsi="Aptos"/>
                <w:b w:val="0"/>
                <w:i w:val="0"/>
                <w:sz w:val="17"/>
              </w:rPr>
              <w:t>No in-place successor; changes only through a documented change-set and a new version</w:t>
            </w:r>
          </w:p>
        </w:tc>
      </w:tr>
    </w:tbl>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AUTHORIAL ATTRIBUTION. </w:t>
            </w:r>
            <w:r>
              <w:rPr>
                <w:rFonts w:ascii="DejaVu Serif" w:hAnsi="DejaVu Serif" w:eastAsia="DejaVu Serif"/>
                <w:b w:val="0"/>
                <w:i w:val="0"/>
                <w:color w:val="111111"/>
                <w:sz w:val="19"/>
              </w:rPr>
              <w:t>Ivan Borisovich Kurpishev is the author of the KLT-RBD and NAPG project architecture, the authorial Desargues-Kurpishev construction, the model-form mathematical PN.2 principle, KLT algorithms, and the Reper database architecture. Classical category theory, projective geometry, cohomology, deformation theory, Hodge analysis, and related prior art remain attributed to their established authors.</w:t>
            </w:r>
          </w:p>
        </w:tc>
        <w:trPr>
          <w:tblHeader/>
        </w:trPr>
      </w:tr>
    </w:tbl>
    <w:p>
      <w:pPr>
        <w:pStyle w:val="Heading1"/>
        <w:keepNext/>
        <w:pageBreakBefore/>
      </w:pPr>
      <w:r>
        <w:rPr>
          <w:rFonts w:ascii="Aptos" w:hAnsi="Aptos"/>
          <w:b/>
          <w:i w:val="0"/>
          <w:color w:val="1F4E78"/>
          <w:sz w:val="32"/>
        </w:rPr>
        <w:t>Frozen Release Contract for v1.0</w:t>
      </w:r>
    </w:p>
    <w:p>
      <w:pPr>
        <w:pStyle w:val="ListBullet"/>
        <w:spacing w:after="40" w:line="252" w:lineRule="auto"/>
      </w:pPr>
      <w:r>
        <w:rPr>
          <w:rFonts w:ascii="DejaVu Serif" w:hAnsi="DejaVu Serif" w:eastAsia="DejaVu Serif"/>
          <w:b w:val="0"/>
          <w:i w:val="0"/>
          <w:color w:val="111111"/>
          <w:sz w:val="19"/>
        </w:rPr>
        <w:t>The canonical formula index is synchronized as T2-F001-T2-F404 with a crosswalk to the Russian source identifiers.</w:t>
      </w:r>
    </w:p>
    <w:p>
      <w:pPr>
        <w:pStyle w:val="ListBullet"/>
        <w:spacing w:after="40" w:line="252" w:lineRule="auto"/>
      </w:pPr>
      <w:r>
        <w:rPr>
          <w:rFonts w:ascii="DejaVu Serif" w:hAnsi="DejaVu Serif" w:eastAsia="DejaVu Serif"/>
          <w:b w:val="0"/>
          <w:i w:val="0"/>
          <w:color w:val="111111"/>
          <w:sz w:val="19"/>
        </w:rPr>
        <w:t>Reper, NAPG, KLT-RBD, RBD, RPD, PN.2, D/Dom, R⋆R, PredRep, EXT-RUN, and ABSTAIN remain controlled project terms.</w:t>
      </w:r>
    </w:p>
    <w:p>
      <w:pPr>
        <w:pStyle w:val="ListBullet"/>
        <w:spacing w:after="40" w:line="252" w:lineRule="auto"/>
      </w:pPr>
      <w:r>
        <w:rPr>
          <w:rFonts w:ascii="DejaVu Serif" w:hAnsi="DejaVu Serif" w:eastAsia="DejaVu Serif"/>
          <w:b w:val="0"/>
          <w:i w:val="0"/>
          <w:color w:val="111111"/>
          <w:sz w:val="19"/>
        </w:rPr>
        <w:t>The symbols ⊙, ⋆_Hdg, R⋆R, Ass_⊙, δ_min, external δ, and δ_Hdg are not conflated.</w:t>
      </w:r>
    </w:p>
    <w:p>
      <w:pPr>
        <w:pStyle w:val="ListBullet"/>
        <w:spacing w:after="40" w:line="252" w:lineRule="auto"/>
      </w:pPr>
      <w:r>
        <w:rPr>
          <w:rFonts w:ascii="DejaVu Serif" w:hAnsi="DejaVu Serif" w:eastAsia="DejaVu Serif"/>
          <w:b w:val="0"/>
          <w:i w:val="0"/>
          <w:color w:val="111111"/>
          <w:sz w:val="19"/>
        </w:rPr>
        <w:t>An undefined operation is not translated as a zero value. A missing arrow remains a domain failure.</w:t>
      </w:r>
    </w:p>
    <w:p>
      <w:pPr>
        <w:pStyle w:val="ListBullet"/>
        <w:spacing w:after="40" w:line="252" w:lineRule="auto"/>
      </w:pPr>
      <w:r>
        <w:rPr>
          <w:rFonts w:ascii="DejaVu Serif" w:hAnsi="DejaVu Serif" w:eastAsia="DejaVu Serif"/>
          <w:b w:val="0"/>
          <w:i w:val="0"/>
          <w:color w:val="111111"/>
          <w:sz w:val="19"/>
        </w:rPr>
        <w:t>The word “duality” is qualified by its precise categorical content: representable anti-equivalence, conditional Spec_R/Gamma_R reconstruction, or another explicitly stated bridge.</w:t>
      </w:r>
    </w:p>
    <w:p>
      <w:pPr>
        <w:pStyle w:val="ListBullet"/>
        <w:spacing w:after="40" w:line="252" w:lineRule="auto"/>
      </w:pPr>
      <w:r>
        <w:rPr>
          <w:rFonts w:ascii="DejaVu Serif" w:hAnsi="DejaVu Serif" w:eastAsia="DejaVu Serif"/>
          <w:b w:val="0"/>
          <w:i w:val="0"/>
          <w:color w:val="111111"/>
          <w:sz w:val="19"/>
        </w:rPr>
        <w:t>No numerical certificate is translated as an independent empirical observation.</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306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Status in Russian source</w:t>
            </w:r>
          </w:p>
        </w:tc>
        <w:tc>
          <w:tcPr>
            <w:tcW w:type="dxa" w:w="6293"/>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English derivative rule</w:t>
            </w:r>
          </w:p>
        </w:tc>
      </w:tr>
      <w:tr>
        <w:trPr>
          <w:cantSplit w:val="true"/>
        </w:trPr>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DEF-A / definition</w:t>
            </w:r>
          </w:p>
        </w:tc>
        <w:tc>
          <w:tcPr>
            <w:tcW w:type="dxa" w:w="629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Definition; no theorem language added.</w:t>
            </w:r>
          </w:p>
        </w:tc>
      </w:tr>
      <w:tr>
        <w:trPr>
          <w:cantSplit w:val="true"/>
        </w:trPr>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THM / proposition / lemma</w:t>
            </w:r>
          </w:p>
        </w:tc>
        <w:tc>
          <w:tcPr>
            <w:tcW w:type="dxa" w:w="629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Preserved only under the source hypotheses and domain.</w:t>
            </w:r>
          </w:p>
        </w:tc>
      </w:tr>
      <w:tr>
        <w:trPr>
          <w:cantSplit w:val="true"/>
        </w:trPr>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COND</w:t>
            </w:r>
          </w:p>
        </w:tc>
        <w:tc>
          <w:tcPr>
            <w:tcW w:type="dxa" w:w="629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Conditional statement; all bridge hypotheses retained.</w:t>
            </w:r>
          </w:p>
        </w:tc>
      </w:tr>
      <w:tr>
        <w:trPr>
          <w:cantSplit w:val="true"/>
        </w:trPr>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MODEL / NUM</w:t>
            </w:r>
          </w:p>
        </w:tc>
        <w:tc>
          <w:tcPr>
            <w:tcW w:type="dxa" w:w="629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Model or computational result; not promoted to general theorem or experiment.</w:t>
            </w:r>
          </w:p>
        </w:tc>
      </w:tr>
      <w:tr>
        <w:trPr>
          <w:cantSplit w:val="true"/>
        </w:trPr>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OPEN / blocker</w:t>
            </w:r>
          </w:p>
        </w:tc>
        <w:tc>
          <w:tcPr>
            <w:tcW w:type="dxa" w:w="629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Remains open and blocks downstream promotion.</w:t>
            </w:r>
          </w:p>
        </w:tc>
      </w:tr>
      <w:tr>
        <w:trPr>
          <w:cantSplit w:val="true"/>
        </w:trPr>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PHY-HYP / EMP-PLAN</w:t>
            </w:r>
          </w:p>
        </w:tc>
        <w:tc>
          <w:tcPr>
            <w:tcW w:type="dxa" w:w="629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8"/>
              </w:rPr>
              <w:t>Physical hypothesis or empirical plan; EMP-OBS remains absent.</w:t>
            </w:r>
          </w:p>
        </w:tc>
      </w:tr>
    </w:tbl>
    <w:p>
      <w:pPr>
        <w:pStyle w:val="Heading1"/>
        <w:keepNext/>
        <w:pageBreakBefore/>
      </w:pPr>
      <w:r>
        <w:rPr>
          <w:rFonts w:ascii="Aptos" w:hAnsi="Aptos"/>
          <w:b/>
          <w:i w:val="0"/>
          <w:color w:val="1F4E78"/>
          <w:sz w:val="32"/>
        </w:rPr>
        <w:t>Static Contents and Navigation of the Frozen v1.0 Release</w:t>
      </w:r>
    </w:p>
    <w:p>
      <w:pPr>
        <w:widowControl/>
        <w:tabs>
          <w:tab w:pos="9638" w:val="right" w:leader="dot"/>
        </w:tabs>
        <w:spacing w:after="80" w:line="264" w:lineRule="auto"/>
      </w:pPr>
      <w:hyperlink w:anchor="T2_CH01" w:history="1">
        <w:r>
          <w:rPr>
            <w:color w:val="1F4E78"/>
            <w:u w:val="single"/>
            <w:sz w:val="15"/>
          </w:rPr>
          <w:t>Chapter 1. Interface with Volume I: Subject and Method Boundaries</w:t>
        </w:r>
      </w:hyperlink>
      <w:r>
        <w:rPr>
          <w:sz w:val="15"/>
        </w:rPr>
        <w:tab/>
        <w:t>5</w:t>
      </w:r>
    </w:p>
    <w:p>
      <w:pPr>
        <w:widowControl/>
        <w:tabs>
          <w:tab w:pos="9638" w:val="right" w:leader="dot"/>
        </w:tabs>
        <w:spacing w:after="80" w:line="264" w:lineRule="auto"/>
      </w:pPr>
      <w:hyperlink w:anchor="T2_CH02" w:history="1">
        <w:r>
          <w:rPr>
            <w:color w:val="1F4E78"/>
            <w:u w:val="single"/>
            <w:sz w:val="15"/>
          </w:rPr>
          <w:t>Chapter 2. Frozen Notation Registry</w:t>
        </w:r>
      </w:hyperlink>
      <w:r>
        <w:rPr>
          <w:sz w:val="15"/>
        </w:rPr>
        <w:tab/>
        <w:t>7</w:t>
      </w:r>
    </w:p>
    <w:p>
      <w:pPr>
        <w:widowControl/>
        <w:tabs>
          <w:tab w:pos="9638" w:val="right" w:leader="dot"/>
        </w:tabs>
        <w:spacing w:after="80" w:line="264" w:lineRule="auto"/>
      </w:pPr>
      <w:hyperlink w:anchor="T2_CH03" w:history="1">
        <w:r>
          <w:rPr>
            <w:color w:val="1F4E78"/>
            <w:u w:val="single"/>
            <w:sz w:val="15"/>
          </w:rPr>
          <w:t>Chapter 3. The Category NAPG_q: Objects, Morphisms, and Domains</w:t>
        </w:r>
      </w:hyperlink>
      <w:r>
        <w:rPr>
          <w:sz w:val="15"/>
        </w:rPr>
        <w:tab/>
        <w:t>11</w:t>
      </w:r>
    </w:p>
    <w:p>
      <w:pPr>
        <w:widowControl/>
        <w:tabs>
          <w:tab w:pos="9638" w:val="right" w:leader="dot"/>
        </w:tabs>
        <w:spacing w:after="80" w:line="264" w:lineRule="auto"/>
      </w:pPr>
      <w:hyperlink w:anchor="T2_CH04" w:history="1">
        <w:r>
          <w:rPr>
            <w:color w:val="1F4E78"/>
            <w:u w:val="single"/>
            <w:sz w:val="15"/>
          </w:rPr>
          <w:t>Chapter 4. Graded Packet Algebra and the Strict Selector</w:t>
        </w:r>
      </w:hyperlink>
      <w:r>
        <w:rPr>
          <w:sz w:val="15"/>
        </w:rPr>
        <w:tab/>
        <w:t>16</w:t>
      </w:r>
    </w:p>
    <w:p>
      <w:pPr>
        <w:widowControl/>
        <w:tabs>
          <w:tab w:pos="9638" w:val="right" w:leader="dot"/>
        </w:tabs>
        <w:spacing w:after="80" w:line="264" w:lineRule="auto"/>
      </w:pPr>
      <w:hyperlink w:anchor="T2_CH05" w:history="1">
        <w:r>
          <w:rPr>
            <w:color w:val="1F4E78"/>
            <w:u w:val="single"/>
            <w:sz w:val="15"/>
          </w:rPr>
          <w:t>Chapter 5. Associator, R⋆R, Nuclei, Centers, and Invariants</w:t>
        </w:r>
      </w:hyperlink>
      <w:r>
        <w:rPr>
          <w:sz w:val="15"/>
        </w:rPr>
        <w:tab/>
        <w:t>24</w:t>
      </w:r>
    </w:p>
    <w:p>
      <w:pPr>
        <w:widowControl/>
        <w:tabs>
          <w:tab w:pos="9638" w:val="right" w:leader="dot"/>
        </w:tabs>
        <w:spacing w:after="80" w:line="264" w:lineRule="auto"/>
      </w:pPr>
      <w:hyperlink w:anchor="T2_CH06" w:history="1">
        <w:r>
          <w:rPr>
            <w:color w:val="1F4E78"/>
            <w:u w:val="single"/>
            <w:sz w:val="15"/>
          </w:rPr>
          <w:t>Chapter 6. Packet-Reper Algebraic-Geometric Duality</w:t>
        </w:r>
      </w:hyperlink>
      <w:r>
        <w:rPr>
          <w:sz w:val="15"/>
        </w:rPr>
        <w:tab/>
        <w:t>33</w:t>
      </w:r>
    </w:p>
    <w:p>
      <w:pPr>
        <w:tabs>
          <w:tab w:pos="9638" w:val="right" w:leader="dot"/>
        </w:tabs>
        <w:spacing w:after="80"/>
      </w:pPr>
      <w:hyperlink w:anchor="T2_CH07" w:history="1">
        <w:r>
          <w:rPr>
            <w:color w:val="1F4E78"/>
            <w:u w:val="single"/>
            <w:sz w:val="15"/>
          </w:rPr>
          <w:t>Chapter 7. Atlases, Bundles, and Globalisation Obstructions</w:t>
        </w:r>
      </w:hyperlink>
      <w:r>
        <w:rPr>
          <w:sz w:val="15"/>
        </w:rPr>
        <w:tab/>
        <w:t>48</w:t>
      </w:r>
    </w:p>
    <w:p>
      <w:pPr>
        <w:tabs>
          <w:tab w:pos="9638" w:val="right" w:leader="dot"/>
        </w:tabs>
        <w:spacing w:after="80"/>
      </w:pPr>
      <w:hyperlink w:anchor="T2_CH08" w:history="1">
        <w:r>
          <w:rPr>
            <w:color w:val="1F4E78"/>
            <w:u w:val="single"/>
            <w:sz w:val="15"/>
          </w:rPr>
          <w:t>Chapter 8. Tangent and Cotangent Objects of NAPG</w:t>
        </w:r>
      </w:hyperlink>
      <w:r>
        <w:rPr>
          <w:sz w:val="15"/>
        </w:rPr>
        <w:tab/>
        <w:t>56</w:t>
      </w:r>
    </w:p>
    <w:p>
      <w:pPr>
        <w:tabs>
          <w:tab w:pos="9638" w:val="right" w:leader="dot"/>
        </w:tabs>
        <w:spacing w:after="80"/>
      </w:pPr>
      <w:hyperlink w:anchor="T2_CH09" w:history="1">
        <w:r>
          <w:rPr>
            <w:color w:val="1F4E78"/>
            <w:u w:val="single"/>
            <w:sz w:val="15"/>
          </w:rPr>
          <w:t>Chapter 9. Connections, Curvature, Holonomy, and Associator Curvature</w:t>
        </w:r>
      </w:hyperlink>
      <w:r>
        <w:rPr>
          <w:sz w:val="15"/>
        </w:rPr>
        <w:tab/>
        <w:t>62</w:t>
      </w:r>
    </w:p>
    <w:p>
      <w:pPr>
        <w:tabs>
          <w:tab w:pos="9638" w:val="right" w:leader="dot"/>
        </w:tabs>
        <w:spacing w:after="80"/>
      </w:pPr>
      <w:hyperlink w:anchor="T2_CH10" w:history="1">
        <w:r>
          <w:rPr>
            <w:color w:val="1F4E78"/>
            <w:u w:val="single"/>
            <w:sz w:val="15"/>
          </w:rPr>
          <w:t>Chapter 10. NAPG Differential Forms and Typed Differentials</w:t>
        </w:r>
      </w:hyperlink>
      <w:r>
        <w:rPr>
          <w:sz w:val="15"/>
        </w:rPr>
        <w:tab/>
        <w:t>69</w:t>
      </w:r>
    </w:p>
    <w:p>
      <w:pPr>
        <w:tabs>
          <w:tab w:pos="9638" w:val="right" w:leader="dot"/>
        </w:tabs>
        <w:spacing w:after="80"/>
      </w:pPr>
      <w:hyperlink w:anchor="T2_CH11" w:history="1">
        <w:r>
          <w:rPr>
            <w:color w:val="1F4E78"/>
            <w:u w:val="single"/>
            <w:sz w:val="15"/>
          </w:rPr>
          <w:t>Chapter 11. Hodge Operators, Codifferential, and Laplacian</w:t>
        </w:r>
      </w:hyperlink>
      <w:r>
        <w:rPr>
          <w:sz w:val="15"/>
        </w:rPr>
        <w:tab/>
        <w:t>74</w:t>
      </w:r>
    </w:p>
    <w:p>
      <w:pPr>
        <w:tabs>
          <w:tab w:pos="9638" w:val="right" w:leader="dot"/>
        </w:tabs>
        <w:spacing w:after="80"/>
      </w:pPr>
      <w:hyperlink w:anchor="T2_CH12" w:history="1">
        <w:r>
          <w:rPr>
            <w:color w:val="1F4E78"/>
            <w:u w:val="single"/>
            <w:sz w:val="15"/>
          </w:rPr>
          <w:t>Chapter 12. Internal Construction of C_min^bullet, delta_min, and Theta_min</w:t>
        </w:r>
      </w:hyperlink>
      <w:r>
        <w:rPr>
          <w:sz w:val="15"/>
        </w:rPr>
        <w:tab/>
        <w:t>78</w:t>
      </w:r>
    </w:p>
    <w:p>
      <w:pPr>
        <w:tabs>
          <w:tab w:pos="9638" w:val="right" w:leader="dot"/>
        </w:tabs>
        <w:spacing w:after="80"/>
      </w:pPr>
      <w:hyperlink w:anchor="T2_CH13" w:history="1">
        <w:r>
          <w:rPr>
            <w:color w:val="1F4E78"/>
            <w:u w:val="single"/>
            <w:sz w:val="15"/>
          </w:rPr>
          <w:t>Chapter 13. External E-Complex and the Conditional Bridge Pi_E</w:t>
        </w:r>
      </w:hyperlink>
      <w:r>
        <w:rPr>
          <w:sz w:val="15"/>
        </w:rPr>
        <w:tab/>
        <w:t>83</w:t>
      </w:r>
    </w:p>
    <w:p>
      <w:pPr>
        <w:tabs>
          <w:tab w:pos="9638" w:val="right" w:leader="dot"/>
        </w:tabs>
        <w:spacing w:after="80"/>
      </w:pPr>
      <w:hyperlink w:anchor="T2_CH14" w:history="1">
        <w:r>
          <w:rPr>
            <w:color w:val="1F4E78"/>
            <w:u w:val="single"/>
            <w:sz w:val="15"/>
          </w:rPr>
          <w:t>Chapter 14. Obstruction Spaces and Projective Carriers</w:t>
        </w:r>
      </w:hyperlink>
      <w:r>
        <w:rPr>
          <w:sz w:val="15"/>
        </w:rPr>
        <w:tab/>
        <w:t>91</w:t>
      </w:r>
    </w:p>
    <w:p>
      <w:pPr>
        <w:tabs>
          <w:tab w:pos="9638" w:val="right" w:leader="dot"/>
        </w:tabs>
        <w:spacing w:after="80"/>
      </w:pPr>
      <w:hyperlink w:anchor="T2_CH15" w:history="1">
        <w:r>
          <w:rPr>
            <w:color w:val="1F4E78"/>
            <w:u w:val="single"/>
            <w:sz w:val="15"/>
          </w:rPr>
          <w:t>Chapter 15. Hodge Decomposition and the Analytic NAPG Layer</w:t>
        </w:r>
      </w:hyperlink>
      <w:r>
        <w:rPr>
          <w:sz w:val="15"/>
        </w:rPr>
        <w:tab/>
        <w:t>98</w:t>
      </w:r>
    </w:p>
    <w:p>
      <w:pPr>
        <w:tabs>
          <w:tab w:pos="9638" w:val="right" w:leader="dot"/>
        </w:tabs>
        <w:spacing w:after="80"/>
      </w:pPr>
      <w:hyperlink w:anchor="T2_CH16" w:history="1">
        <w:r>
          <w:rPr>
            <w:color w:val="1F4E78"/>
            <w:u w:val="single"/>
            <w:sz w:val="15"/>
          </w:rPr>
          <w:t>Chapter 16. Deformation Functors, Moduli Spaces, and the Kuranishi Map</w:t>
        </w:r>
      </w:hyperlink>
      <w:r>
        <w:rPr>
          <w:sz w:val="15"/>
        </w:rPr>
        <w:tab/>
        <w:t>107</w:t>
      </w:r>
    </w:p>
    <w:p>
      <w:pPr>
        <w:tabs>
          <w:tab w:pos="9638" w:val="right" w:leader="dot"/>
        </w:tabs>
        <w:spacing w:after="80"/>
      </w:pPr>
      <w:hyperlink w:anchor="T2_CH17" w:history="1">
        <w:r>
          <w:rPr>
            <w:color w:val="1F4E78"/>
            <w:u w:val="single"/>
            <w:sz w:val="15"/>
          </w:rPr>
          <w:t>Chapter 17. Stratified Moduli Spaces, Wall Crossing, and Monodromy</w:t>
        </w:r>
      </w:hyperlink>
      <w:r>
        <w:rPr>
          <w:sz w:val="15"/>
        </w:rPr>
        <w:tab/>
        <w:t>116</w:t>
      </w:r>
    </w:p>
    <w:p>
      <w:pPr>
        <w:tabs>
          <w:tab w:pos="9638" w:val="right" w:leader="dot"/>
        </w:tabs>
        <w:spacing w:after="80"/>
      </w:pPr>
      <w:hyperlink w:anchor="T2_CH18" w:history="1">
        <w:r>
          <w:rPr>
            <w:color w:val="1F4E78"/>
            <w:u w:val="single"/>
            <w:sz w:val="15"/>
          </w:rPr>
          <w:t>Chapter 18. Global Derived/Stacky Moduli Spaces and the Predictive Carrier</w:t>
        </w:r>
      </w:hyperlink>
      <w:r>
        <w:rPr>
          <w:sz w:val="15"/>
        </w:rPr>
        <w:tab/>
        <w:t>123</w:t>
      </w:r>
    </w:p>
    <w:p>
      <w:pPr>
        <w:tabs>
          <w:tab w:pos="9638" w:val="right" w:leader="dot"/>
        </w:tabs>
        <w:spacing w:after="80"/>
      </w:pPr>
      <w:hyperlink w:anchor="T2_CH19" w:history="1">
        <w:r>
          <w:rPr>
            <w:color w:val="1F4E78"/>
            <w:u w:val="single"/>
            <w:sz w:val="15"/>
          </w:rPr>
          <w:t>Chapter 19. Virtual Cycles, Enumerative Invariants, and the Probability Firewall</w:t>
        </w:r>
      </w:hyperlink>
      <w:r>
        <w:rPr>
          <w:sz w:val="15"/>
        </w:rPr>
        <w:tab/>
        <w:t>130</w:t>
      </w:r>
    </w:p>
    <w:p>
      <w:pPr>
        <w:tabs>
          <w:tab w:pos="9638" w:val="right" w:leader="dot"/>
        </w:tabs>
        <w:spacing w:after="80"/>
      </w:pPr>
      <w:hyperlink w:anchor="T2_CH20" w:history="1">
        <w:r>
          <w:rPr>
            <w:color w:val="1F4E78"/>
            <w:u w:val="single"/>
            <w:sz w:val="15"/>
          </w:rPr>
          <w:t>Chapter 20. Categorified, Motivic, and Refined Virtual Invariants</w:t>
        </w:r>
      </w:hyperlink>
      <w:r>
        <w:rPr>
          <w:sz w:val="15"/>
        </w:rPr>
        <w:tab/>
        <w:t>138</w:t>
      </w:r>
    </w:p>
    <w:p>
      <w:pPr>
        <w:tabs>
          <w:tab w:pos="9638" w:val="right" w:leader="dot"/>
        </w:tabs>
        <w:spacing w:after="80"/>
      </w:pPr>
      <w:hyperlink w:anchor="T2_CH21" w:history="1">
        <w:r>
          <w:rPr>
            <w:color w:val="1F4E78"/>
            <w:u w:val="single"/>
            <w:sz w:val="15"/>
          </w:rPr>
          <w:t>Chapter 21. Nonlinear Evolution Semigroups, Transfer Operators, Path-Space Carriers, and Causal Kernels</w:t>
        </w:r>
      </w:hyperlink>
      <w:r>
        <w:rPr>
          <w:sz w:val="15"/>
        </w:rPr>
        <w:tab/>
        <w:t>147</w:t>
      </w:r>
    </w:p>
    <w:p>
      <w:pPr>
        <w:tabs>
          <w:tab w:pos="9638" w:val="right" w:leader="dot"/>
        </w:tabs>
        <w:spacing w:after="80"/>
      </w:pPr>
      <w:hyperlink w:anchor="T2_CH22" w:history="1">
        <w:r>
          <w:rPr>
            <w:color w:val="1F4E78"/>
            <w:u w:val="single"/>
            <w:sz w:val="15"/>
          </w:rPr>
          <w:t>Chapter 22. Stochastic Evolutions, Martingale Problems, Stopping Times, Control, and Causal Inference</w:t>
        </w:r>
      </w:hyperlink>
      <w:r>
        <w:rPr>
          <w:sz w:val="15"/>
        </w:rPr>
        <w:tab/>
        <w:t>156</w:t>
      </w:r>
    </w:p>
    <w:p>
      <w:pPr>
        <w:tabs>
          <w:tab w:pos="9638" w:val="right" w:leader="dot"/>
        </w:tabs>
        <w:spacing w:after="80"/>
      </w:pPr>
      <w:hyperlink w:anchor="T2_CH23" w:history="1">
        <w:r>
          <w:rPr>
            <w:color w:val="1F4E78"/>
            <w:u w:val="single"/>
            <w:sz w:val="15"/>
          </w:rPr>
          <w:t>Chapter 23. Large Deviations, Risk-Sensitive Semigroups, Rare-Event Geometry, and Finite-Sample Certification</w:t>
        </w:r>
      </w:hyperlink>
      <w:r>
        <w:rPr>
          <w:sz w:val="15"/>
        </w:rPr>
        <w:tab/>
        <w:t>166</w:t>
      </w:r>
    </w:p>
    <w:p>
      <w:pPr>
        <w:tabs>
          <w:tab w:pos="9638" w:val="right" w:leader="dot"/>
        </w:tabs>
        <w:spacing w:after="80"/>
      </w:pPr>
      <w:hyperlink w:anchor="T2_CH24" w:history="1">
        <w:r>
          <w:rPr>
            <w:color w:val="1F4E78"/>
            <w:u w:val="single"/>
            <w:sz w:val="15"/>
          </w:rPr>
          <w:t>Chapter 24. End-to-End KLT-RBD Predictive Operator, Budget Composition, and Final Falsifiability</w:t>
        </w:r>
      </w:hyperlink>
      <w:r>
        <w:rPr>
          <w:sz w:val="15"/>
        </w:rPr>
        <w:tab/>
        <w:t>178</w:t>
      </w:r>
    </w:p>
    <w:p>
      <w:pPr>
        <w:widowControl/>
        <w:tabs>
          <w:tab w:pos="9600" w:val="right" w:leader="dot"/>
        </w:tabs>
        <w:spacing w:after="80" w:line="264" w:lineRule="auto"/>
      </w:pPr>
      <w:hyperlink w:anchor="T2_APP_A" w:history="1">
        <w:r>
          <w:rPr>
            <w:color w:val="1F4E78"/>
            <w:u w:val="single"/>
            <w:sz w:val="17"/>
          </w:rPr>
          <w:t>Appendix T2-A. Synchronized Register of Formal Statements</w:t>
        </w:r>
      </w:hyperlink>
      <w:r>
        <w:rPr>
          <w:rFonts w:ascii="Aptos" w:hAnsi="Aptos"/>
          <w:b w:val="0"/>
          <w:sz w:val="17"/>
        </w:rPr>
        <w:tab/>
        <w:t>191</w:t>
      </w:r>
    </w:p>
    <w:p>
      <w:pPr>
        <w:widowControl/>
        <w:tabs>
          <w:tab w:pos="9600" w:val="right" w:leader="dot"/>
        </w:tabs>
        <w:spacing w:after="80" w:line="264" w:lineRule="auto"/>
      </w:pPr>
      <w:hyperlink w:anchor="T2_APP_B" w:history="1">
        <w:r>
          <w:rPr>
            <w:color w:val="1F4E78"/>
            <w:u w:val="single"/>
            <w:sz w:val="16"/>
          </w:rPr>
          <w:t>Appendix T2-B. Complete Register of Evidence Obligations T2-PO-001-T2-PO-500</w:t>
        </w:r>
      </w:hyperlink>
      <w:r>
        <w:rPr>
          <w:rFonts w:ascii="Aptos" w:hAnsi="Aptos"/>
          <w:b w:val="0"/>
          <w:sz w:val="16"/>
        </w:rPr>
        <w:tab/>
        <w:t>212</w:t>
      </w:r>
    </w:p>
    <w:p>
      <w:pPr>
        <w:widowControl/>
        <w:spacing w:after="80" w:line="264" w:lineRule="auto"/>
      </w:pPr>
      <w:hyperlink w:anchor="T2_APP_C" w:history="1">
        <w:r>
          <w:rPr>
            <w:color w:val="1F4E78"/>
            <w:u w:val="single"/>
            <w:sz w:val="16"/>
          </w:rPr>
          <w:t>Appendix T2-C. Formula Index</w:t>
        </w:r>
      </w:hyperlink>
      <w:r>
        <w:rPr>
          <w:rFonts w:ascii="Aptos" w:hAnsi="Aptos"/>
          <w:b w:val="0"/>
          <w:sz w:val="16"/>
        </w:rPr>
        <w:t xml:space="preserve"> · 233; </w:t>
      </w:r>
      <w:hyperlink w:anchor="T2_APP_D" w:history="1">
        <w:r>
          <w:rPr>
            <w:color w:val="1F4E78"/>
            <w:u w:val="single"/>
            <w:sz w:val="16"/>
          </w:rPr>
          <w:t>T2-D. Subject Index</w:t>
        </w:r>
      </w:hyperlink>
      <w:r>
        <w:rPr>
          <w:rFonts w:ascii="Aptos" w:hAnsi="Aptos"/>
          <w:b w:val="0"/>
          <w:sz w:val="16"/>
        </w:rPr>
        <w:t xml:space="preserve"> · 259; </w:t>
      </w:r>
      <w:hyperlink w:anchor="T2_APP_E" w:history="1">
        <w:r>
          <w:rPr>
            <w:color w:val="1F4E78"/>
            <w:u w:val="single"/>
            <w:sz w:val="16"/>
          </w:rPr>
          <w:t>T2-E. Accessibility and Publication Gate</w:t>
        </w:r>
      </w:hyperlink>
      <w:r>
        <w:rPr>
          <w:rFonts w:ascii="Aptos" w:hAnsi="Aptos"/>
          <w:b w:val="0"/>
          <w:sz w:val="16"/>
        </w:rPr>
        <w:t xml:space="preserve"> · 264</w:t>
      </w:r>
    </w:p>
    <w:p>
      <w:pPr/>
      <w:r>
        <w:rPr>
          <w:rFonts w:ascii="Aptos" w:hAnsi="Aptos"/>
          <w:b w:val="0"/>
          <w:sz w:val="16"/>
        </w:rPr>
        <w:t>Derivative Appendix T2-F. Bilingual Mathematical Audit</w:t>
        <w:tab/>
        <w:t>282</w:t>
      </w:r>
    </w:p>
    <w:p>
      <w:pPr/>
      <w:r>
        <w:rPr>
          <w:rFonts w:ascii="Aptos" w:hAnsi="Aptos"/>
          <w:b w:val="0"/>
          <w:sz w:val="16"/>
        </w:rPr>
        <w:t>Derivative Appendix T2-G. Freeze-Candidate Record and Release Receipt</w:t>
        <w:tab/>
        <w:t>288</w:t>
      </w:r>
    </w:p>
    <w:p>
      <w:pPr>
        <w:pStyle w:val="Heading1"/>
        <w:keepNext/>
        <w:pageBreakBefore/>
      </w:pPr>
      <w:bookmarkStart w:id="1000" w:name="T2_CH01"/>
      <w:r>
        <w:t>Chapter 1. Interface with Volume I: Subject and Method Boundaries</w:t>
      </w:r>
      <w:bookmarkEnd w:id="1000"/>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2"/>
        <w:keepNext/>
        <w:pageBreakBefore w:val="0"/>
      </w:pPr>
      <w:r>
        <w:t>1.1. Canonical Import from Volume I</w:t>
      </w:r>
    </w:p>
    <w:p>
      <w:pPr>
        <w:widowControl/>
        <w:spacing w:after="80" w:line="264" w:lineRule="auto"/>
      </w:pPr>
      <w:r>
        <w:rPr>
          <w:rFonts w:ascii="DejaVu Serif" w:hAnsi="DejaVu Serif" w:eastAsia="DejaVu Serif"/>
          <w:b w:val="0"/>
          <w:i w:val="0"/>
          <w:color w:val="111111"/>
          <w:sz w:val="20"/>
        </w:rPr>
        <w:t>Volume I v197 RU establishes the language of packet Reper logic, Reper(R,I,U;D), the projective-harmonic coordinate, PN.2 in its proved model form, and the evidential discipline of KLT-RBD. Volume II does not rewrite those foundations; it builds geometric, deformation-theoretic, analytic, and predictive layers over them.</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2"/>
        <w:keepNext/>
        <w:pageBreakBefore w:val="0"/>
      </w:pPr>
      <w:r>
        <w:t>1.2. Subject of Volume II</w:t>
      </w:r>
    </w:p>
    <w:p>
      <w:pPr>
        <w:widowControl/>
        <w:spacing w:after="80" w:line="264" w:lineRule="auto"/>
      </w:pPr>
      <w:r>
        <w:rPr>
          <w:rFonts w:ascii="DejaVu Serif" w:hAnsi="DejaVu Serif" w:eastAsia="DejaVu Serif"/>
          <w:b w:val="0"/>
          <w:i w:val="0"/>
          <w:color w:val="111111"/>
          <w:sz w:val="20"/>
        </w:rPr>
        <w:t>The subject is not a universal theory of the future but a strict architecture of admissible structural continuations. It asks which configurations are defined, which invariants are preserved, where an obstruction occurs, which transitions are excluded within the model, and under which conditions a transition candidate may be admitted.</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end-to-end operator exists as a composition of partial certified modules.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correctness is established through local soundness, interface contracts, and transport of budgets.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a set of admissible continuations carrying proof certificates.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Heterogeneous errors may not be silently scalarised, and status may not be promoted according to the strongest module.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a unified blocker-safe KLT-RBD predictive operator and a falsifiability matrix.</w:t>
            </w:r>
          </w:p>
        </w:tc>
      </w:tr>
    </w:tbl>
    <w:p>
      <w:pPr>
        <w:spacing w:after="20"/>
      </w:pPr>
    </w:p>
    <w:p>
      <w:pPr>
        <w:pStyle w:val="Heading2"/>
        <w:keepNext/>
        <w:pageBreakBefore w:val="0"/>
      </w:pPr>
      <w:r>
        <w:t>1.3. Partial Predictive Operator</w:t>
      </w:r>
    </w:p>
    <w:p>
      <w:pPr>
        <w:widowControl/>
        <w:spacing w:after="80" w:line="264" w:lineRule="auto"/>
      </w:pPr>
      <w:r>
        <w:rPr>
          <w:rFonts w:ascii="DejaVu Serif" w:hAnsi="DejaVu Serif" w:eastAsia="DejaVu Serif"/>
          <w:b w:val="0"/>
          <w:i w:val="0"/>
          <w:color w:val="111111"/>
          <w:sz w:val="20"/>
        </w:rPr>
        <w:t>The KLT-RBD predictive operator is partial: it is defined only on a certified domain. Its value is a set of admissible candidates accompanied by an evidential passport. Missing foundation is not hidden by a numerical score; it yields ABSTAIN.</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historical layer exists as a network of sources and priorities, not as an anonymous background.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of authorship requires separation of classical constructions from the new composition.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a precise bibliography and a dependency map of ideas.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Use of prior art does not diminish the novelty of a synthesis, but it forbids reattribution of classical results.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fixed in the architecture of connection, new objects, and evidential gates.</w:t>
            </w:r>
          </w:p>
        </w:tc>
      </w:tr>
    </w:tbl>
    <w:p>
      <w:pPr>
        <w:spacing w:after="20"/>
      </w:pPr>
    </w:p>
    <w:p>
      <w:pPr>
        <w:pStyle w:val="Heading2"/>
        <w:keepNext/>
        <w:pageBreakBefore w:val="0"/>
      </w:pPr>
      <w:r>
        <w:t>1.4. Authorial and Classical Layers</w:t>
      </w:r>
    </w:p>
    <w:p>
      <w:pPr>
        <w:widowControl/>
        <w:spacing w:after="80" w:line="264" w:lineRule="auto"/>
      </w:pPr>
      <w:r>
        <w:rPr>
          <w:rFonts w:ascii="DejaVu Serif" w:hAnsi="DejaVu Serif" w:eastAsia="DejaVu Serif"/>
          <w:b w:val="0"/>
          <w:i w:val="0"/>
          <w:color w:val="111111"/>
          <w:sz w:val="20"/>
        </w:rPr>
        <w:t>The authorial novelty of Volume II lies in the typed connection of Reper, D/Dom, NAPG, R⋆R, the λ-selector, obstruction carriers, transition horizons, and the algorithmic contract. Categories, cohomology, Hodge theory, deformation theory, moduli, stochastic analysis, and large deviations are used as classical apparatus and are not reattributed.</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2"/>
        <w:keepNext/>
        <w:pageBreakBefore w:val="0"/>
      </w:pPr>
      <w:r>
        <w:t>1.5. Boundary of Physical Interpretation</w:t>
      </w:r>
    </w:p>
    <w:p>
      <w:pPr>
        <w:widowControl/>
        <w:spacing w:after="80" w:line="264" w:lineRule="auto"/>
      </w:pPr>
      <w:r>
        <w:rPr>
          <w:rFonts w:ascii="DejaVu Serif" w:hAnsi="DejaVu Serif" w:eastAsia="DejaVu Serif"/>
          <w:b w:val="0"/>
          <w:i w:val="0"/>
          <w:color w:val="111111"/>
          <w:sz w:val="20"/>
        </w:rPr>
        <w:t>Mathematical impossibility within a model is not physical impossibility in general. A transition candidate is not an event. A probabilistic bound is not a causal conclusion. Export to physics, chemistry, biology, economics, or another field requires a separate adapter, data, calibration, and independent validation.</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pStyle w:val="Heading1"/>
        <w:keepNext/>
        <w:pageBreakBefore/>
      </w:pPr>
      <w:bookmarkStart w:id="1001" w:name="T2_CH02"/>
      <w:r>
        <w:t>Chapter 2. Frozen Notation Registry</w:t>
      </w:r>
      <w:bookmarkEnd w:id="1001"/>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192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Layer</w:t>
            </w:r>
          </w:p>
        </w:tc>
        <w:tc>
          <w:tcPr>
            <w:tcW w:type="dxa" w:w="742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Controlled meaning</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ONTOLOGY</w:t>
            </w:r>
          </w:p>
        </w:tc>
        <w:tc>
          <w:tcPr>
            <w:tcW w:type="dxa" w:w="742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Notation is part of the mathematical object: it fixes the type, degree, and role of a symbol. Changing a sign without a collision ledger can silently replace one theory by another.</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EPISTEMOLOGY</w:t>
            </w:r>
          </w:p>
        </w:tc>
        <w:tc>
          <w:tcPr>
            <w:tcW w:type="dxa" w:w="742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Reading a formula begins by answering four questions: where its arguments live, where the value lands, on what domain the operation is defined, and which choices affect the result.</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PHENOMENOLOGY</w:t>
            </w:r>
          </w:p>
        </w:tc>
        <w:tc>
          <w:tcPr>
            <w:tcW w:type="dxa" w:w="742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A notational collision appears as the inability to read a diagram or composition unambiguously. Therefore the star of the associator layer and ⋆_Hdg are never treated as one operator.</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BOUNDARY</w:t>
            </w:r>
          </w:p>
        </w:tc>
        <w:tc>
          <w:tcPr>
            <w:tcW w:type="dxa" w:w="742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The registry does not prove existence. It prohibits use of a symbol before definition and prohibits transfer of properties among internal δ_min, external δ, and δ_Hdg.</w:t>
            </w:r>
          </w:p>
        </w:tc>
      </w:tr>
    </w:tbl>
    <w:p>
      <w:pPr>
        <w:spacing w:after="2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2"/>
      </w:pPr>
      <w:r>
        <w:rPr>
          <w:color w:val="1F4E78"/>
          <w:b/>
        </w:rPr>
        <w:t>2.1. Formal Notation Architecture</w:t>
      </w:r>
    </w:p>
    <w:p>
      <w:pPr>
        <w:pStyle w:val="Heading3"/>
        <w:keepNext/>
        <w:pageBreakBefore w:val="0"/>
      </w:pPr>
      <w:r>
        <w:t>2.1.1. Basic Sorts and Types</w:t>
      </w:r>
    </w:p>
    <w:p>
      <w:pPr>
        <w:widowControl/>
        <w:spacing w:after="80" w:line="264" w:lineRule="auto"/>
      </w:pPr>
      <w:r>
        <w:rPr>
          <w:rFonts w:ascii="DejaVu Serif" w:hAnsi="DejaVu Serif" w:eastAsia="DejaVu Serif"/>
          <w:b w:val="0"/>
          <w:i w:val="0"/>
          <w:color w:val="111111"/>
          <w:sz w:val="20"/>
        </w:rPr>
        <w:t>Fix a commutative ground field 𝕂. Unless stated otherwise, the algebraic core is constructed in the category of 𝕂-vector spaces. Analytic norms, topologies, completeness, and continuity are not included automatically; they form an additional data layer. The set of degrees is denoted by Γ. In the basic case Γ=ℤ, but the proofs for the category NAPG_q use only a degree function and a compatible rule for deriving the degree of a product.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𝒜• = ⨁_{p∈Γ} 𝒜ᵖ,     |x|=p for x∈𝒜ᵖ.</w:t>
            </w:r>
          </w:p>
        </w:tc>
        <w:tc>
          <w:tcPr>
            <w:tcW w:type="dxa" w:w="1531"/>
            <w:shd w:fill="F6F8FA"/>
          </w:tcPr>
          <w:p>
            <w:pPr>
              <w:jc w:val="right"/>
            </w:pPr>
            <w:r>
              <w:rPr>
                <w:rFonts w:ascii="DejaVu Sans" w:hAnsi="DejaVu Sans" w:eastAsia="DejaVu Sans"/>
                <w:b/>
                <w:i w:val="0"/>
                <w:color w:val="5C6773"/>
                <w:sz w:val="17"/>
              </w:rPr>
              <w:t>T2-F001</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structural data 𝔊 include admissible generators, syntactic operations, domain restrictions, the degree law χ, and, where required, Reper, D/Dom, and provenance labels. Thus the domain of an operation is part of the object rather than an editorial footnote.</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2488"/>
        <w:gridCol w:w="2488"/>
        <w:gridCol w:w="2488"/>
        <w:gridCol w:w="2488"/>
      </w:tblGrid>
      <w:tr>
        <w:trPr>
          <w:cantSplit w:val="true"/>
          <w:tblHeader w:val="true"/>
        </w:trPr>
        <w:tc>
          <w:tcPr>
            <w:tcW w:type="dxa" w:w="119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Symbol</w:t>
            </w:r>
          </w:p>
        </w:tc>
        <w:tc>
          <w:tcPr>
            <w:tcW w:type="dxa" w:w="317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Fixed meaning</w:t>
            </w:r>
          </w:p>
        </w:tc>
        <w:tc>
          <w:tcPr>
            <w:tcW w:type="dxa" w:w="192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Type</w:t>
            </w:r>
          </w:p>
        </w:tc>
        <w:tc>
          <w:tcPr>
            <w:tcW w:type="dxa" w:w="306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Safeguard</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𝕂</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commutative ground field</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data object</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Not replaced by ℝ without an explicit restriction.</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Γ</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set/semigroup of degrees</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grading index</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Γ=ℤ in the basic model.</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𝒜•</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Γ-graded 𝕂-space</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carrier</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 direct sum, not an unlabelled set.</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bilinear operation on declared Dom_⊙</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operation</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Generally nonassociative; not the Hodge star.</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Ass_⊙</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(x⊙y)⊙z−x⊙(y⊙z)</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trilinear defect</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Defined only when both bracketings exist.</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R⋆R</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authorial object of the associator-packet layer</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object/notation</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star is not used for Hodge.</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⋆_Hdg</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Hodge operator</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analytic-geometric operator</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Requires a metric, orientation, and regularity.</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ℛ</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admissible Reper class</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subspace/class</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Closure conditions are stated explicitly.</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F²_N</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formal language of degree ≤2</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syntax vector space</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Pre-evaluation; not automatically a subset of X².</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X²_N</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tested quadratic layer</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subspace of 𝒜• or T_N</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Quadratic, not the associator channel.</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Ψ²_N</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F²_N→X²_N</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linear evaluation map</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Codomain is fixed in advance.</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O_B(N)</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X²_N/Im Ψ²_N</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obstruction quotient</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Depends on the selected language F²_N.</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Π_N</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X²_N→O_B(N)</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canonical projection</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Not the external E-bridge.</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C_min•</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minimal internal complex</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cochain complex</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Concentrated in degrees 2 and 3.</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δ_min</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δ_min²=Ψ², δ_min³=0</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internal differential</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Not conflated with external δ.</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Θ_min</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id_{X²_N}:X²_N→C_min³(N)</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canonical internal bridge</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An identity, not a physical hypothesis.</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λ</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cr(U,I;R,D̲)</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projective coordinate</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Defined away from poles and degeneracies.</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δ_truth</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|λ+1|</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diagnostic defect</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Only after choosing an absolute value/norm.</w:t>
            </w:r>
          </w:p>
        </w:tc>
      </w:tr>
      <w:tr>
        <w:trPr>
          <w:cantSplit w:val="true"/>
        </w:trPr>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D/Dom</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sufficient foundation and admissible domain</w:t>
            </w:r>
          </w:p>
        </w:tc>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validation barrier</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λ≈−1 does not replace D/Dom.</w:t>
            </w:r>
          </w:p>
        </w:tc>
      </w:tr>
    </w:tbl>
    <w:p>
      <w:pPr>
        <w:spacing w:after="2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3"/>
        <w:keepNext/>
        <w:pageBreakBefore w:val="0"/>
      </w:pPr>
      <w:r>
        <w:t>2.1.2. Degree Law and Admissible Compositions</w:t>
      </w:r>
    </w:p>
    <w:p>
      <w:pPr>
        <w:widowControl/>
        <w:spacing w:after="80" w:line="264" w:lineRule="auto"/>
      </w:pPr>
      <w:r>
        <w:rPr>
          <w:rFonts w:ascii="DejaVu Serif" w:hAnsi="DejaVu Serif" w:eastAsia="DejaVu Serif"/>
          <w:b w:val="0"/>
          <w:i w:val="0"/>
          <w:color w:val="111111"/>
          <w:sz w:val="20"/>
        </w:rPr>
        <w:t>For homogeneous elements introduce a partial degree law χ:Dom(χ)⊆Γ×Γ→Γ. If (p,q)∈Dom(χ), an admissible product 𝒜ᵖ⊗𝒜ᑫ lands in 𝒜^{χ(p,q)}. The standard case χ(p,q)=p+q+s includes an operation of fixed degree s. Partiality of χ records impossible compositions without assigning them the artificial value zero.</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⊙_{p,q}: Dom_{p,q}⊆𝒜ᵖ⊗𝒜ᑫ → 𝒜^{χ(p,q)}.</w:t>
            </w:r>
          </w:p>
        </w:tc>
        <w:tc>
          <w:tcPr>
            <w:tcW w:type="dxa" w:w="1531"/>
            <w:shd w:fill="F6F8FA"/>
          </w:tcPr>
          <w:p>
            <w:pPr>
              <w:jc w:val="right"/>
            </w:pPr>
            <w:r>
              <w:rPr>
                <w:rFonts w:ascii="DejaVu Sans" w:hAnsi="DejaVu Sans" w:eastAsia="DejaVu Sans"/>
                <w:b/>
                <w:i w:val="0"/>
                <w:color w:val="5C6773"/>
                <w:sz w:val="17"/>
              </w:rPr>
              <w:t>T2-F002</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MEANING OF THE DIFFICULT TRANSITION. </w:t>
            </w:r>
            <w:r>
              <w:rPr>
                <w:rFonts w:ascii="DejaVu Serif" w:hAnsi="DejaVu Serif" w:eastAsia="DejaVu Serif"/>
                <w:b w:val="0"/>
                <w:i w:val="0"/>
                <w:color w:val="111111"/>
                <w:sz w:val="19"/>
              </w:rPr>
              <w:t>If a product is forbidden by the domain, it is not zero. Zero is a value of a defined operation; undefinedness means that no arrow exists. Conflating the two destroys the distinction between structural prohibition and actual cancellation. In the predictive method, a candidate outside Dom receives no “bad score”; it is excluded as untyped.</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Lemma 2.1. Type of the associator [THM] </w:t>
            </w:r>
            <w:r>
              <w:rPr>
                <w:rFonts w:ascii="DejaVu Serif" w:hAnsi="DejaVu Serif" w:eastAsia="DejaVu Serif"/>
                <w:b w:val="0"/>
                <w:i w:val="0"/>
                <w:color w:val="111111"/>
                <w:sz w:val="19"/>
              </w:rPr>
              <w:t>Let x∈𝒜ᵖ, y∈𝒜ᑫ, z∈𝒜ʳ, and suppose both bracketings are defined. If χ(χ(p,q),r)=χ(p,χ(q,r))=s, then Ass_⊙(x,y,z)∈𝒜ˢ. If the branch degrees differ, their difference is not a homogeneous associator and must either be placed in a direct sum or the test must be rejected.</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Each branch belongs to the component obtained by successive application of χ. A difference of two vectors lies in one homogeneous component only when the degrees agree. If they differ, it lies in their direct sum but has no single degree s. □</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3"/>
        <w:keepNext/>
        <w:pageBreakBefore w:val="0"/>
      </w:pPr>
      <w:r>
        <w:t>2.1.3. NOTATION LEDGER Extension Protocol</w:t>
      </w:r>
    </w:p>
    <w:p>
      <w:pPr>
        <w:pStyle w:val="ListNumber"/>
        <w:spacing w:after="40" w:line="252" w:lineRule="auto"/>
      </w:pPr>
      <w:r>
        <w:rPr>
          <w:rFonts w:ascii="DejaVu Serif" w:hAnsi="DejaVu Serif" w:eastAsia="DejaVu Serif"/>
          <w:b w:val="0"/>
          <w:i w:val="0"/>
          <w:color w:val="111111"/>
          <w:sz w:val="19"/>
        </w:rPr>
        <w:t>Every new notation receives a unique NTL-xxx identifier, Dom, Cod, degree, source, status, and collision list.</w:t>
      </w:r>
    </w:p>
    <w:p>
      <w:pPr>
        <w:pStyle w:val="ListNumber"/>
        <w:spacing w:after="40" w:line="252" w:lineRule="auto"/>
      </w:pPr>
      <w:r>
        <w:rPr>
          <w:rFonts w:ascii="DejaVu Serif" w:hAnsi="DejaVu Serif" w:eastAsia="DejaVu Serif"/>
          <w:b w:val="0"/>
          <w:i w:val="0"/>
          <w:color w:val="111111"/>
          <w:sz w:val="19"/>
        </w:rPr>
        <w:t>A symbol already occupied in P0 is not redefined; only an indexed form with an explicit map to the canon is permitted.</w:t>
      </w:r>
    </w:p>
    <w:p>
      <w:pPr>
        <w:pStyle w:val="ListNumber"/>
        <w:spacing w:after="40" w:line="252" w:lineRule="auto"/>
      </w:pPr>
      <w:r>
        <w:rPr>
          <w:rFonts w:ascii="DejaVu Serif" w:hAnsi="DejaVu Serif" w:eastAsia="DejaVu Serif"/>
          <w:b w:val="0"/>
          <w:i w:val="0"/>
          <w:color w:val="111111"/>
          <w:sz w:val="19"/>
        </w:rPr>
        <w:t>A temporary notation is marked TMP and does not enter the theorem package until the mark is removed.</w:t>
      </w:r>
    </w:p>
    <w:p>
      <w:pPr>
        <w:pStyle w:val="ListNumber"/>
        <w:spacing w:after="40" w:line="252" w:lineRule="auto"/>
      </w:pPr>
      <w:r>
        <w:rPr>
          <w:rFonts w:ascii="DejaVu Serif" w:hAnsi="DejaVu Serif" w:eastAsia="DejaVu Serif"/>
          <w:b w:val="0"/>
          <w:i w:val="0"/>
          <w:color w:val="111111"/>
          <w:sz w:val="19"/>
        </w:rPr>
        <w:t>Every transition from algebraic to topological, analytic, or physical meaning is represented by a separate bridge symbol.</w:t>
      </w:r>
    </w:p>
    <w:p>
      <w:pPr>
        <w:pStyle w:val="ListNumber"/>
        <w:spacing w:after="40" w:line="252" w:lineRule="auto"/>
      </w:pPr>
      <w:r>
        <w:rPr>
          <w:rFonts w:ascii="DejaVu Serif" w:hAnsi="DejaVu Serif" w:eastAsia="DejaVu Serif"/>
          <w:b w:val="0"/>
          <w:i w:val="0"/>
          <w:color w:val="111111"/>
          <w:sz w:val="19"/>
        </w:rPr>
        <w:t>In predictive formulas the word “truth” is not used as a numerical variable; λ and δ_truth are diagnostic coordinates, not substitutes for proof.</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2.1. Collision of δ [COUNTEREXAMPLE] </w:t>
            </w:r>
            <w:r>
              <w:rPr>
                <w:rFonts w:ascii="DejaVu Serif" w:hAnsi="DejaVu Serif" w:eastAsia="DejaVu Serif"/>
                <w:b w:val="0"/>
                <w:i w:val="0"/>
                <w:color w:val="111111"/>
                <w:sz w:val="19"/>
              </w:rPr>
              <w:t>Let δ_min²=Ψ² in the internal two-stage complex, while δ_Hdg denotes the codifferential on forms. From δ_min³δ_min²=0 one cannot infer δ_Hdg²=0, nor conversely: the domains, degrees, and definitions differ. The same unindexed letter creates a false bridge.</w:t>
            </w:r>
          </w:p>
        </w:tc>
        <w:trPr>
          <w:tblHeader/>
        </w:trPr>
      </w:tr>
    </w:tbl>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2.2. Inhomogeneous associator [COUNTEREXAMPLE] </w:t>
            </w:r>
            <w:r>
              <w:rPr>
                <w:rFonts w:ascii="DejaVu Serif" w:hAnsi="DejaVu Serif" w:eastAsia="DejaVu Serif"/>
                <w:b w:val="0"/>
                <w:i w:val="0"/>
                <w:color w:val="111111"/>
                <w:sz w:val="19"/>
              </w:rPr>
              <w:t>If χ(χ(p,q),r)≠χ(p,χ(q,r)), the two branches lie in different components. The statement Ass_⊙∈𝒜ˢ with a single s is untyped even when both branches are computable.</w:t>
            </w:r>
          </w:p>
        </w:tc>
        <w:trPr>
          <w:tblHeader/>
        </w:trPr>
      </w:tr>
    </w:tbl>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Only a typed structure with declared domain and codomain counts as an object.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obtained by checking morphisms, commutative diagrams, and admissible domains.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structure appears as the ability to transport data correctly without loss of type.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Similarity of notation neither licenses composition nor proves existence.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packet-Reper typing of NAPG and the inclusion of D/Dom in the object itself.</w:t>
            </w:r>
          </w:p>
        </w:tc>
      </w:tr>
    </w:tbl>
    <w:p>
      <w:pPr>
        <w:pStyle w:val="Heading1"/>
        <w:keepNext/>
        <w:pageBreakBefore/>
      </w:pPr>
      <w:bookmarkStart w:id="1002" w:name="T2_CH03"/>
      <w:r>
        <w:t>Chapter 3. The Category NAPG_q: Objects, Morphisms, and Domains</w:t>
      </w:r>
      <w:bookmarkEnd w:id="1002"/>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192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Layer</w:t>
            </w:r>
          </w:p>
        </w:tc>
        <w:tc>
          <w:tcPr>
            <w:tcW w:type="dxa" w:w="742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Controlled meaning</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ONTOLOGY</w:t>
            </w:r>
          </w:p>
        </w:tc>
        <w:tc>
          <w:tcPr>
            <w:tcW w:type="dxa" w:w="742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The minimal object is a typed quadratic frame sufficient to construct a formal language, evaluation, and an obstruction quotient.</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EPISTEMOLOGY</w:t>
            </w:r>
          </w:p>
        </w:tc>
        <w:tc>
          <w:tcPr>
            <w:tcW w:type="dxa" w:w="742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Objects are known through morphisms: if an obstruction class changes under an admissible relabelling or isomorphism, it is not a structural invariant of the chosen category.</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PHENOMENOLOGY</w:t>
            </w:r>
          </w:p>
        </w:tc>
        <w:tc>
          <w:tcPr>
            <w:tcW w:type="dxa" w:w="742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Commutative diagrams reveal correct transport. Failure of two routes to agree is a specific typing or naturality error, not a metaphysical incompleteness.</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BOUNDARY</w:t>
            </w:r>
          </w:p>
        </w:tc>
        <w:tc>
          <w:tcPr>
            <w:tcW w:type="dxa" w:w="742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NAPG_q is an internal algebraic category. It does not automatically contain manifolds, Hodge operators, connections, dynamics, or measurement procedures.</w:t>
            </w:r>
          </w:p>
        </w:tc>
      </w:tr>
    </w:tbl>
    <w:p>
      <w:pPr>
        <w:spacing w:after="2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Only a typed structure with declared domain and codomain counts as an object.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obtained by checking morphisms, commutative diagrams, and admissible domains.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structure appears as the ability to transport data correctly without loss of type.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Similarity of notation neither licenses composition nor proves existence.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packet-Reper typing of NAPG and the inclusion of D/Dom in the object itself.</w:t>
            </w:r>
          </w:p>
        </w:tc>
      </w:tr>
    </w:tbl>
    <w:p>
      <w:pPr>
        <w:spacing w:after="20"/>
      </w:pPr>
    </w:p>
    <w:p>
      <w:pPr>
        <w:pStyle w:val="Heading2"/>
      </w:pPr>
      <w:r>
        <w:rPr>
          <w:color w:val="1F4E78"/>
          <w:b/>
        </w:rPr>
        <w:t>3.1. Categorical Core</w:t>
      </w:r>
    </w:p>
    <w:p>
      <w:pPr>
        <w:pStyle w:val="Heading3"/>
        <w:keepNext/>
        <w:pageBreakBefore w:val="0"/>
      </w:pPr>
      <w:r>
        <w:t>3.1.1. Object of the Category</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3.1. Typed Quadratic NAPG Frame [DEF-A] </w:t>
            </w:r>
            <w:r>
              <w:rPr>
                <w:rFonts w:ascii="DejaVu Serif" w:hAnsi="DejaVu Serif" w:eastAsia="DejaVu Serif"/>
                <w:b w:val="0"/>
                <w:i w:val="0"/>
                <w:color w:val="111111"/>
                <w:sz w:val="19"/>
              </w:rPr>
              <w:t>An object of NAPG_q is a tuple N=(𝕂,𝒜•,⊙,𝔊,ℛ;F²_N,X²_N,Ψ²_N), where 𝕂 is a commutative field; 𝒜• is graded; ⊙ is bilinear on domains encoded by 𝔊; ℛ⊆𝒜• is an admissible class; F²_N is a vector space of admissible formal expressions of degree at most two; X²_N is the tested quadratic layer; and Ψ²_N:F²_N→X²_N is a linear evaluation map. The inclusion Im Ψ²_N⊆X²_N is built into the codomain.</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X²_N = Span_𝕂{ R⊙R, R⊙S+S⊙R : R,S,R+S∈ℛ and all products are defined }.</w:t>
            </w:r>
          </w:p>
        </w:tc>
        <w:tc>
          <w:tcPr>
            <w:tcW w:type="dxa" w:w="1531"/>
            <w:shd w:fill="F6F8FA"/>
          </w:tcPr>
          <w:p>
            <w:pPr>
              <w:jc w:val="right"/>
            </w:pPr>
            <w:r>
              <w:rPr>
                <w:rFonts w:ascii="DejaVu Sans" w:hAnsi="DejaVu Sans" w:eastAsia="DejaVu Sans"/>
                <w:b/>
                <w:i w:val="0"/>
                <w:color w:val="5C6773"/>
                <w:sz w:val="17"/>
              </w:rPr>
              <w:t>T2-F003</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O_B(N)=X²_N/Im Ψ²_N,     Π_N:X²_N→O_B(N).</w:t>
            </w:r>
          </w:p>
        </w:tc>
        <w:tc>
          <w:tcPr>
            <w:tcW w:type="dxa" w:w="1531"/>
            <w:shd w:fill="F6F8FA"/>
          </w:tcPr>
          <w:p>
            <w:pPr>
              <w:jc w:val="right"/>
            </w:pPr>
            <w:r>
              <w:rPr>
                <w:rFonts w:ascii="DejaVu Sans" w:hAnsi="DejaVu Sans" w:eastAsia="DejaVu Sans"/>
                <w:b/>
                <w:i w:val="0"/>
                <w:color w:val="5C6773"/>
                <w:sz w:val="17"/>
              </w:rPr>
              <w:t>T2-F004</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formal language F²_N must be separated from the evaluated layer X²_N. A strict implementation may use the free 𝕂-space on typed syntax trees of height at most two and quotient by linear syntactic relations. Ψ²_N evaluates a tree in 𝒜•. Distinct languages may share the same algebra and have different O_B; hence O_B measures completeness of the selected language relative to X²_N, not “absolute nonassociativity”.</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Only a typed structure with declared domain and codomain counts as an object.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obtained by checking morphisms, commutative diagrams, and admissible domains.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structure appears as the ability to transport data correctly without loss of type.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Similarity of notation neither licenses composition nor proves existence.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packet-Reper typing of NAPG and the inclusion of D/Dom in the object itself.</w:t>
            </w:r>
          </w:p>
        </w:tc>
      </w:tr>
    </w:tbl>
    <w:p>
      <w:pPr>
        <w:spacing w:after="20"/>
      </w:pPr>
    </w:p>
    <w:p>
      <w:pPr>
        <w:pStyle w:val="Heading3"/>
        <w:keepNext/>
        <w:pageBreakBefore w:val="0"/>
      </w:pPr>
      <w:r>
        <w:t>3.1.2. Morphism and Four Compatibility Conditions</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3.2. Morphism of Quadratic Frames [DEF-A] </w:t>
            </w:r>
            <w:r>
              <w:rPr>
                <w:rFonts w:ascii="DejaVu Serif" w:hAnsi="DejaVu Serif" w:eastAsia="DejaVu Serif"/>
                <w:b w:val="0"/>
                <w:i w:val="0"/>
                <w:color w:val="111111"/>
                <w:sz w:val="19"/>
              </w:rPr>
              <w:t>A morphism f:N→N′ is a family f=(Φ•,φ_G,φ_F,φ_X,φ_O). Here Φ•:𝒜•→𝒜′• is graded linear; φ_G transports generators, domains, and labels; φ_F:F²_N→F²_N′ transports the formal language; φ_X:X²_N→X²_N′ transports evaluated elements; and φ_O:O_B(N)→O_B(N′) is induced. The family is a morphism only when M1-M4 hold.</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2488"/>
        <w:gridCol w:w="2488"/>
        <w:gridCol w:w="2488"/>
        <w:gridCol w:w="2488"/>
      </w:tblGrid>
      <w:tr>
        <w:trPr>
          <w:cantSplit w:val="true"/>
          <w:tblHeader w:val="true"/>
        </w:trPr>
        <w:tc>
          <w:tcPr>
            <w:tcW w:type="dxa" w:w="794"/>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Code</w:t>
            </w:r>
          </w:p>
        </w:tc>
        <w:tc>
          <w:tcPr>
            <w:tcW w:type="dxa" w:w="170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Compatibility</w:t>
            </w:r>
          </w:p>
        </w:tc>
        <w:tc>
          <w:tcPr>
            <w:tcW w:type="dxa" w:w="351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Formula / requirement</w:t>
            </w:r>
          </w:p>
        </w:tc>
        <w:tc>
          <w:tcPr>
            <w:tcW w:type="dxa" w:w="334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Purpose</w:t>
            </w:r>
          </w:p>
        </w:tc>
      </w:tr>
      <w:tr>
        <w:trPr>
          <w:cantSplit w:val="true"/>
        </w:trPr>
        <w:tc>
          <w:tcPr>
            <w:tcW w:type="dxa" w:w="79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M1</w:t>
            </w:r>
          </w:p>
        </w:tc>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Algebra and Dom</w:t>
            </w:r>
          </w:p>
        </w:tc>
        <w:tc>
          <w:tcPr>
            <w:tcW w:type="dxa" w:w="351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Φ(x⊙y)=Φ(x)⊙′Φ(y) for every admissible pair; Φ(ℛ)⊆ℛ′.</w:t>
            </w:r>
          </w:p>
        </w:tc>
        <w:tc>
          <w:tcPr>
            <w:tcW w:type="dxa" w:w="334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Preserves the operation and does not silently enlarge the domain.</w:t>
            </w:r>
          </w:p>
        </w:tc>
      </w:tr>
      <w:tr>
        <w:trPr>
          <w:cantSplit w:val="true"/>
        </w:trPr>
        <w:tc>
          <w:tcPr>
            <w:tcW w:type="dxa" w:w="79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M2</w:t>
            </w:r>
          </w:p>
        </w:tc>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Syntax</w:t>
            </w:r>
          </w:p>
        </w:tc>
        <w:tc>
          <w:tcPr>
            <w:tcW w:type="dxa" w:w="351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φ_F is compatible with φ_G and substitution of Φ into expression leaves.</w:t>
            </w:r>
          </w:p>
        </w:tc>
        <w:tc>
          <w:tcPr>
            <w:tcW w:type="dxa" w:w="334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Prevents the formal language from changing meaning.</w:t>
            </w:r>
          </w:p>
        </w:tc>
      </w:tr>
      <w:tr>
        <w:trPr>
          <w:cantSplit w:val="true"/>
        </w:trPr>
        <w:tc>
          <w:tcPr>
            <w:tcW w:type="dxa" w:w="79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M3</w:t>
            </w:r>
          </w:p>
        </w:tc>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Evaluation</w:t>
            </w:r>
          </w:p>
        </w:tc>
        <w:tc>
          <w:tcPr>
            <w:tcW w:type="dxa" w:w="351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φ_X∘Ψ²_N=Ψ²_N′∘φ_F.</w:t>
            </w:r>
          </w:p>
        </w:tc>
        <w:tc>
          <w:tcPr>
            <w:tcW w:type="dxa" w:w="334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Commutativity of the evaluation square.</w:t>
            </w:r>
          </w:p>
        </w:tc>
      </w:tr>
      <w:tr>
        <w:trPr>
          <w:cantSplit w:val="true"/>
        </w:trPr>
        <w:tc>
          <w:tcPr>
            <w:tcW w:type="dxa" w:w="79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M4</w:t>
            </w:r>
          </w:p>
        </w:tc>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Quotient</w:t>
            </w:r>
          </w:p>
        </w:tc>
        <w:tc>
          <w:tcPr>
            <w:tcW w:type="dxa" w:w="351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φ_O∘Π_N=Π_N′∘φ_X.</w:t>
            </w:r>
          </w:p>
        </w:tc>
        <w:tc>
          <w:tcPr>
            <w:tcW w:type="dxa" w:w="334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Naturality of the obstruction class.</w:t>
            </w:r>
          </w:p>
        </w:tc>
      </w:tr>
    </w:tbl>
    <w:p>
      <w:pPr>
        <w:spacing w:after="2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φ_X Ψ²_N = Ψ²_N′ φ_F,      φ_O Π_N = Π_N′ φ_X.</w:t>
            </w:r>
          </w:p>
        </w:tc>
        <w:tc>
          <w:tcPr>
            <w:tcW w:type="dxa" w:w="1531"/>
            <w:shd w:fill="F6F8FA"/>
          </w:tcPr>
          <w:p>
            <w:pPr>
              <w:jc w:val="right"/>
            </w:pPr>
            <w:r>
              <w:rPr>
                <w:rFonts w:ascii="DejaVu Sans" w:hAnsi="DejaVu Sans" w:eastAsia="DejaVu Sans"/>
                <w:b/>
                <w:i w:val="0"/>
                <w:color w:val="5C6773"/>
                <w:sz w:val="17"/>
              </w:rPr>
              <w:t>T2-F005</w:t>
            </w:r>
          </w:p>
        </w:tc>
        <w:trPr>
          <w:tblHeader/>
        </w:trPr>
      </w:tr>
    </w:tbl>
    <w:p>
      <w:pPr>
        <w:spacing w:after="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3"/>
        <w:keepNext/>
        <w:pageBreakBefore w:val="0"/>
      </w:pPr>
      <w:r>
        <w:t>3.1.3. Well-Defined Quotient Transport</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Lemma 3.1. Descent to the Quotient [THM] </w:t>
            </w:r>
            <w:r>
              <w:rPr>
                <w:rFonts w:ascii="DejaVu Serif" w:hAnsi="DejaVu Serif" w:eastAsia="DejaVu Serif"/>
                <w:b w:val="0"/>
                <w:i w:val="0"/>
                <w:color w:val="111111"/>
                <w:sz w:val="19"/>
              </w:rPr>
              <w:t>If M3 holds, then φ_X(Im Ψ²_N)⊆Im Ψ²_N′. Therefore φ_O([x])=[φ_X(x)] defines the unique linear map satisfying M4.</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For y=Ψ²_N(a), φ_X(y)=φ_XΨ²_N(a)=Ψ²_N′φ_F(a), hence φ_X(y) lies in Im Ψ²_N′. Representatives x and x+y of one class are therefore sent to elements differing by an element of Im Ψ²_N′. Well-definedness and uniqueness follow from the universal property of the quotient. □</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3.1. Existence of the Category NAPG_q [THM] </w:t>
            </w:r>
            <w:r>
              <w:rPr>
                <w:rFonts w:ascii="DejaVu Serif" w:hAnsi="DejaVu Serif" w:eastAsia="DejaVu Serif"/>
                <w:b w:val="0"/>
                <w:i w:val="0"/>
                <w:color w:val="111111"/>
                <w:sz w:val="19"/>
              </w:rPr>
              <w:t>Typed quadratic frames with morphisms M1-M4 form a category. Identity morphisms have identity components; composition is componentwise and again satisfies M1-M4.</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Identity maps preserve all data and make the diagrams commute. If f:N→N′ and g:N′→N″, product preservation follows for Φ_gΦ_f. Condition M3 follows from φ_X^gφ_X^fΨ_N=φ_X^gΨ_N′φ_F^f=Ψ_N″φ_F^gφ_F^f, and M4 is analogous. Associativity and unit laws are inherited from vector spaces. □</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Proposition 3.2. Isomorphism Criterion [THM] </w:t>
            </w:r>
            <w:r>
              <w:rPr>
                <w:rFonts w:ascii="DejaVu Serif" w:hAnsi="DejaVu Serif" w:eastAsia="DejaVu Serif"/>
                <w:b w:val="0"/>
                <w:i w:val="0"/>
                <w:color w:val="111111"/>
                <w:sz w:val="19"/>
              </w:rPr>
              <w:t>A morphism f is an isomorphism in NAPG_q if Φ•, φ_G, φ_F, and φ_X are invertible and the inverse maps satisfy M1-M3. Then φ_O is automatically invertible and is induced by φ_X^{-1}.</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The inverse components define f^{-1}; the quotient map is well-defined by Lemma 3.1. The compositions are identities on representatives, so φ_O^{-1}([x′])=[φ_X^{-1}(x′)]. □</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Nonassociativity is treated as intrinsic structure, not as a computational error.</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is known through the associator, nuclei, ideals, invariants, and explicit countermodels.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dependence of the result on the bracketing architecture of a packet.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nonzero associator is not by itself physical curvature or a physical event.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R⋆R and its role in packet Reper-harmonic geometry.</w:t>
            </w:r>
          </w:p>
        </w:tc>
      </w:tr>
    </w:tbl>
    <w:p>
      <w:pPr>
        <w:spacing w:after="20"/>
      </w:pPr>
    </w:p>
    <w:p>
      <w:pPr>
        <w:pStyle w:val="Heading3"/>
        <w:keepNext/>
        <w:pageBreakBefore w:val="0"/>
      </w:pPr>
      <w:r>
        <w:t>3.1.4. Functors of the Internal Core</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3.3. Quadratic Obstruction Functor [THM] </w:t>
            </w:r>
            <w:r>
              <w:rPr>
                <w:rFonts w:ascii="DejaVu Serif" w:hAnsi="DejaVu Serif" w:eastAsia="DejaVu Serif"/>
                <w:b w:val="0"/>
                <w:i w:val="0"/>
                <w:color w:val="111111"/>
                <w:sz w:val="19"/>
              </w:rPr>
              <w:t>The assignments N↦O_B(N) and f↦φ_O define a functor O_B:NAPG_q→Vect_𝕂.</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The identity morphism induces the identity on classes. For g∘f, the map [x]↦[φ_X^f(x)]↦[φ_X^gφ_X^f(x)] is precisely the quotient map of the composition. □</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3.4. Minimal Complex as a Functor [THM] </w:t>
            </w:r>
            <w:r>
              <w:rPr>
                <w:rFonts w:ascii="DejaVu Serif" w:hAnsi="DejaVu Serif" w:eastAsia="DejaVu Serif"/>
                <w:b w:val="0"/>
                <w:i w:val="0"/>
                <w:color w:val="111111"/>
                <w:sz w:val="19"/>
              </w:rPr>
              <w:t>Put C_min²(N)=F²_N, C_min³(N)=X²_N, all other degrees zero, δ_min²=Ψ²_N, and δ_min³=0. Then C_min•:NAPG_q→CoCh_𝕂 is a functor, and κ_N:O_B(N)→H³(C_min•(N)), κ_N([x])=[x], is a natural isomorphism.</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H³(C_min•(N))=Ker δ_min³/Im δ_min²=X²_N/Im Ψ²_N=O_B(N).</w:t>
            </w:r>
          </w:p>
        </w:tc>
        <w:tc>
          <w:tcPr>
            <w:tcW w:type="dxa" w:w="1531"/>
            <w:shd w:fill="F6F8FA"/>
          </w:tcPr>
          <w:p>
            <w:pPr>
              <w:jc w:val="right"/>
            </w:pPr>
            <w:r>
              <w:rPr>
                <w:rFonts w:ascii="DejaVu Sans" w:hAnsi="DejaVu Sans" w:eastAsia="DejaVu Sans"/>
                <w:b/>
                <w:i w:val="0"/>
                <w:color w:val="5C6773"/>
                <w:sz w:val="17"/>
              </w:rPr>
              <w:t>T2-F006</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Nilpotency follows from δ_min³=0. M3 is exactly the cochain-map condition in degree 2. The canonical identification of quotient spaces is representative-independent, and naturality holds because both routes send [x] to [φ_X(x)]. □</w:t>
      </w:r>
    </w:p>
    <w:p>
      <w:pPr>
        <w:keepNext/>
        <w:jc w:val="center"/>
      </w:pPr>
      <w:r>
        <w:drawing>
          <wp:inline xmlns:a="http://schemas.openxmlformats.org/drawingml/2006/main" xmlns:pic="http://schemas.openxmlformats.org/drawingml/2006/picture">
            <wp:extent cx="5903999" cy="3253695"/>
            <wp:docPr id="2" name="Picture 2" descr="Internal defining core of NAPG_q and the minimal complex" title="Internal defining core of NAPG_q and the minimal complex"/>
            <wp:cNvGraphicFramePr>
              <a:graphicFrameLocks noChangeAspect="1"/>
            </wp:cNvGraphicFramePr>
            <a:graphic>
              <a:graphicData uri="http://schemas.openxmlformats.org/drawingml/2006/picture">
                <pic:pic>
                  <pic:nvPicPr>
                    <pic:cNvPr id="0" name="fig3_internal_core.png"/>
                    <pic:cNvPicPr/>
                  </pic:nvPicPr>
                  <pic:blipFill>
                    <a:blip r:embed="rId12"/>
                    <a:stretch>
                      <a:fillRect/>
                    </a:stretch>
                  </pic:blipFill>
                  <pic:spPr>
                    <a:xfrm>
                      <a:off x="0" y="0"/>
                      <a:ext cx="5903999" cy="3253695"/>
                    </a:xfrm>
                    <a:prstGeom prst="rect"/>
                  </pic:spPr>
                </pic:pic>
              </a:graphicData>
            </a:graphic>
          </wp:inline>
        </w:drawing>
      </w:r>
    </w:p>
    <w:p>
      <w:pPr>
        <w:spacing w:before="40" w:after="140"/>
        <w:jc w:val="center"/>
      </w:pPr>
      <w:r>
        <w:rPr>
          <w:rFonts w:ascii="DejaVu Serif" w:hAnsi="DejaVu Serif" w:eastAsia="DejaVu Serif"/>
          <w:b w:val="0"/>
          <w:i/>
          <w:color w:val="5C6773"/>
          <w:sz w:val="18"/>
        </w:rPr>
        <w:t>Figure 3. Internal defining core of NAPG_q and the minimal complex. English reconstruction of the authorial diagram in the frozen Russian Volume II.</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Only a typed structure with declared domain and codomain counts as an object.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obtained by checking morphisms, commutative diagrams, and admissible domains.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structure appears as the ability to transport data correctly without loss of type.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Similarity of notation neither licenses composition nor proves existence.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packet-Reper typing of NAPG and the inclusion of D/Dom in the object itself.</w:t>
            </w:r>
          </w:p>
        </w:tc>
      </w:tr>
    </w:tbl>
    <w:p>
      <w:pPr>
        <w:spacing w:after="20"/>
      </w:pPr>
    </w:p>
    <w:p>
      <w:pPr>
        <w:pStyle w:val="Heading3"/>
        <w:keepNext/>
        <w:pageBreakBefore w:val="0"/>
      </w:pPr>
      <w:r>
        <w:t>3.1.5. Countermodels to Weakened Morphisms</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3.1. Failure of M1 [COUNTEREXAMPLE] </w:t>
            </w:r>
            <w:r>
              <w:rPr>
                <w:rFonts w:ascii="DejaVu Serif" w:hAnsi="DejaVu Serif" w:eastAsia="DejaVu Serif"/>
                <w:b w:val="0"/>
                <w:i w:val="0"/>
                <w:color w:val="111111"/>
                <w:sz w:val="19"/>
              </w:rPr>
              <w:t>Let 𝒜=𝕂e with e⊙e=e, 𝒜′=𝕂e′ with e′⊙′e′=0, and Φ(e)=e′. Linearity holds, but Φ(e⊙e)=e′≠0=Φ(e)⊙′Φ(e). The map does not transport the algebra and is not a NAPG_q morphism.</w:t>
            </w:r>
          </w:p>
        </w:tc>
        <w:trPr>
          <w:tblHeader/>
        </w:trPr>
      </w:tr>
    </w:tbl>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3.2. Failure of M3 [COUNTEREXAMPLE] </w:t>
            </w:r>
            <w:r>
              <w:rPr>
                <w:rFonts w:ascii="DejaVu Serif" w:hAnsi="DejaVu Serif" w:eastAsia="DejaVu Serif"/>
                <w:b w:val="0"/>
                <w:i w:val="0"/>
                <w:color w:val="111111"/>
                <w:sz w:val="19"/>
              </w:rPr>
              <w:t>Let F²=X²=𝕂 with Ψ=id, while Ψ′=0 in the target. Take φ_F=id and φ_X=id. Then φ_XΨ=id but Ψ′φ_F=0. A formally realisable element ceases to be formally realisable; quotient transport is not canonical.</w:t>
            </w:r>
          </w:p>
        </w:tc>
        <w:trPr>
          <w:tblHeader/>
        </w:trPr>
      </w:tr>
    </w:tbl>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3.3. Arbitrary Map of Classes [COUNTEREXAMPLE] </w:t>
            </w:r>
            <w:r>
              <w:rPr>
                <w:rFonts w:ascii="DejaVu Serif" w:hAnsi="DejaVu Serif" w:eastAsia="DejaVu Serif"/>
                <w:b w:val="0"/>
                <w:i w:val="0"/>
                <w:color w:val="111111"/>
                <w:sz w:val="19"/>
              </w:rPr>
              <w:t>Even when O_B(N) and O_B(N′) are isomorphic as vector spaces, an arbitrarily chosen isomorphism is not a morphism component until M4 holds. Otherwise the class is no longer the transported result of the original quadratic element.</w:t>
            </w:r>
          </w:p>
        </w:tc>
        <w:trPr>
          <w:tblHeader/>
        </w:trPr>
      </w:tr>
    </w:tbl>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3.4. Forgotten Dom [COUNTEREXAMPLE] </w:t>
            </w:r>
            <w:r>
              <w:rPr>
                <w:rFonts w:ascii="DejaVu Serif" w:hAnsi="DejaVu Serif" w:eastAsia="DejaVu Serif"/>
                <w:b w:val="0"/>
                <w:i w:val="0"/>
                <w:color w:val="111111"/>
                <w:sz w:val="19"/>
              </w:rPr>
              <w:t>A map Φ may preserve the product formula on the common part of two domains while sending an admissible pair to a forbidden one. Then the right-hand side of M1 is undefined. Preservation of Dom is part of the morphism, not a later check.</w:t>
            </w:r>
          </w:p>
        </w:tc>
        <w:trPr>
          <w:tblHeader/>
        </w:trPr>
      </w:tr>
    </w:tbl>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3.5. O_B Does Not Detect the Associator [COUNTEREXAMPLE] </w:t>
            </w:r>
            <w:r>
              <w:rPr>
                <w:rFonts w:ascii="DejaVu Serif" w:hAnsi="DejaVu Serif" w:eastAsia="DejaVu Serif"/>
                <w:b w:val="0"/>
                <w:i w:val="0"/>
                <w:color w:val="111111"/>
                <w:sz w:val="19"/>
              </w:rPr>
              <w:t>In a nonassociative algebra Ψ² can be surjective, giving O_B=0. Conversely, a poor F² can give O_B≠0 in an associative algebra. Thus O_B is not an associator functor without a separate map β_Ass.</w:t>
            </w:r>
          </w:p>
        </w:tc>
        <w:trPr>
          <w:tblHeader/>
        </w:trPr>
      </w:tr>
    </w:tbl>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3.6. Nonnatural Basis Choice [COUNTEREXAMPLE] </w:t>
            </w:r>
            <w:r>
              <w:rPr>
                <w:rFonts w:ascii="DejaVu Serif" w:hAnsi="DejaVu Serif" w:eastAsia="DejaVu Serif"/>
                <w:b w:val="0"/>
                <w:i w:val="0"/>
                <w:color w:val="111111"/>
                <w:sz w:val="19"/>
              </w:rPr>
              <w:t>If φ_X changes sign while a manually assigned “external” identification of classes does not, the M4 square fails. Isomorphism invariance requires a natural map, not merely one with the same name.</w:t>
            </w:r>
          </w:p>
        </w:tc>
        <w:trPr>
          <w:tblHeader/>
        </w:trPr>
      </w:tr>
    </w:tbl>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Reper exists as the quadruple R,I,U;D, not as a triad without foundation.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harmonic coordinate is informative only together with an evidence package and a domain.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Phenomenologically, λ records the alignment of fact, idea, possibilities, and foundation.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equality λ=-1 does not replace proof, measurement, or causal identification.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strict KLT-RBD λ-gate with D/Dom and an abstention rule.</w:t>
            </w:r>
          </w:p>
        </w:tc>
      </w:tr>
    </w:tbl>
    <w:p>
      <w:pPr>
        <w:pStyle w:val="Heading1"/>
        <w:keepNext/>
        <w:pageBreakBefore/>
      </w:pPr>
      <w:bookmarkStart w:id="1003" w:name="T2_CH04"/>
      <w:r>
        <w:t>Chapter 4. Graded Packet Algebra and the Strict Selector</w:t>
      </w:r>
      <w:bookmarkEnd w:id="1003"/>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192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Layer</w:t>
            </w:r>
          </w:p>
        </w:tc>
        <w:tc>
          <w:tcPr>
            <w:tcW w:type="dxa" w:w="742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Controlled meaning</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ONTOLOGY</w:t>
            </w:r>
          </w:p>
        </w:tc>
        <w:tc>
          <w:tcPr>
            <w:tcW w:type="dxa" w:w="742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The predictive Reper method acquires mathematical meaning only as a composition of invariants and barriers: projective harmony evaluates a configuration of points, D/Dom validates admissibility, and the NAPG obstruction checks internal expressibility in the selected language.</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EPISTEMOLOGY</w:t>
            </w:r>
          </w:p>
        </w:tc>
        <w:tc>
          <w:tcPr>
            <w:tcW w:type="dxa" w:w="742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No numerical proximity produces knowledge by itself. Knowledge requires invariance, stability under admissible transport, control of poles, and an explicit abstention rule.</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PHENOMENOLOGY</w:t>
            </w:r>
          </w:p>
        </w:tc>
        <w:tc>
          <w:tcPr>
            <w:tcW w:type="dxa" w:w="742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In data the method appears as a candidate set that narrows as measurement improves and whose structural verdict is unchanged by a projective coordinate change or a NAPG basis change.</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BOUNDARY</w:t>
            </w:r>
          </w:p>
        </w:tc>
        <w:tc>
          <w:tcPr>
            <w:tcW w:type="dxa" w:w="742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This chapter constructs a selector of structural admissibility, not a theorem asserting the occurrence of physical events. Statistical calibration, causality, and independent validation are later layers.</w:t>
            </w:r>
          </w:p>
        </w:tc>
      </w:tr>
    </w:tbl>
    <w:p>
      <w:pPr>
        <w:spacing w:after="2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Nonassociativity is treated as intrinsic structure, not as a computational error.</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is known through the associator, nuclei, ideals, invariants, and explicit countermodels.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dependence of the result on the bracketing architecture of a packet.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nonzero associator is not by itself physical curvature or a physical event.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R⋆R and its role in packet Reper-harmonic geometry.</w:t>
            </w:r>
          </w:p>
        </w:tc>
      </w:tr>
    </w:tbl>
    <w:p>
      <w:pPr>
        <w:spacing w:after="20"/>
      </w:pPr>
    </w:p>
    <w:p>
      <w:pPr>
        <w:pStyle w:val="Heading2"/>
      </w:pPr>
      <w:r>
        <w:rPr>
          <w:color w:val="1F4E78"/>
          <w:b/>
        </w:rPr>
        <w:t>4.1. Algebraic Core</w:t>
      </w:r>
    </w:p>
    <w:p>
      <w:pPr>
        <w:pStyle w:val="Heading3"/>
        <w:keepNext/>
        <w:pageBreakBefore w:val="0"/>
      </w:pPr>
      <w:r>
        <w:t>4.1.1. Graded Operation and Associator</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4.1. Graded Packet Algebra [DEF-A] </w:t>
            </w:r>
            <w:r>
              <w:rPr>
                <w:rFonts w:ascii="DejaVu Serif" w:hAnsi="DejaVu Serif" w:eastAsia="DejaVu Serif"/>
                <w:b w:val="0"/>
                <w:i w:val="0"/>
                <w:color w:val="111111"/>
                <w:sz w:val="19"/>
              </w:rPr>
              <w:t>A graded packet algebra is a tuple (𝕂,𝒜•,⊙,𝔊), where 𝒜•=⨁_{p∈Γ}𝒜ᵖ and, for every admissible pair of degrees (p,q), a bilinear map ⊙_{p,q}:Dom_{p,q}→𝒜^{χ(p,q)} is specified. The operation may be partial and need not be associative, commutative, alternative, or unital.</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Ass_⊙(x,y,z)=(x⊙y)⊙z−x⊙(y⊙z).</w:t>
            </w:r>
          </w:p>
        </w:tc>
        <w:tc>
          <w:tcPr>
            <w:tcW w:type="dxa" w:w="1531"/>
            <w:shd w:fill="F6F8FA"/>
          </w:tcPr>
          <w:p>
            <w:pPr>
              <w:jc w:val="right"/>
            </w:pPr>
            <w:r>
              <w:rPr>
                <w:rFonts w:ascii="DejaVu Sans" w:hAnsi="DejaVu Sans" w:eastAsia="DejaVu Sans"/>
                <w:b/>
                <w:i w:val="0"/>
                <w:color w:val="5C6773"/>
                <w:sz w:val="17"/>
              </w:rPr>
              <w:t>T2-F007</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Lemma 4.1. Trilinearity on a Common Domain [THM] </w:t>
            </w:r>
            <w:r>
              <w:rPr>
                <w:rFonts w:ascii="DejaVu Serif" w:hAnsi="DejaVu Serif" w:eastAsia="DejaVu Serif"/>
                <w:b w:val="0"/>
                <w:i w:val="0"/>
                <w:color w:val="111111"/>
                <w:sz w:val="19"/>
              </w:rPr>
              <w:t>If both bracketings are defined on a linear subspace T_Ass⊆𝒜•⊗³ and ⊙ is bilinear, then Ass_⊙:T_Ass→𝒜• is linear in formal triples and trilinear in the arguments on rectangular domain components.</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Each branch is a composition of bilinear maps and is therefore trilinear on the common domain. Their difference is trilinear. □</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differential layer exists as an operator with a domain, degree, and rule of action.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correctness is tested by Leibniz rules, locality, gluing, and the square of the operator.</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through flows of forms, compatibility defects, and differential curvature.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Leibniz rule does not imply d²=0.</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a typed differential firewall inside NAPG and KLT-RBD.</w:t>
            </w:r>
          </w:p>
        </w:tc>
      </w:tr>
    </w:tbl>
    <w:p>
      <w:pPr>
        <w:spacing w:after="20"/>
      </w:pPr>
    </w:p>
    <w:p>
      <w:pPr>
        <w:pStyle w:val="Heading3"/>
        <w:keepNext/>
        <w:pageBreakBefore w:val="0"/>
      </w:pPr>
      <w:r>
        <w:t>4.1.2. Formal Quadratic Language</w:t>
      </w:r>
    </w:p>
    <w:p>
      <w:pPr>
        <w:widowControl/>
        <w:spacing w:after="80" w:line="264" w:lineRule="auto"/>
      </w:pPr>
      <w:r>
        <w:rPr>
          <w:rFonts w:ascii="DejaVu Serif" w:hAnsi="DejaVu Serif" w:eastAsia="DejaVu Serif"/>
          <w:b w:val="0"/>
          <w:i w:val="0"/>
          <w:color w:val="111111"/>
          <w:sz w:val="20"/>
        </w:rPr>
        <w:t>Let Syn₂(N) be the set of typed syntax trees whose leaves are elements of ℛ and admissible generators of 𝔊, and whose internal vertices are linear operations and one application of ⊙. Define F²_N as the free 𝕂-space on Syn₂(N), quotiented by linear syntactic relations. This makes “formal expressions of degree at most two” mathematically reproducible.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F²_N := 𝕂[Syn₂(N)] / J_syn,      Ψ²_N([t]) := eval_N(t).</w:t>
            </w:r>
          </w:p>
        </w:tc>
        <w:tc>
          <w:tcPr>
            <w:tcW w:type="dxa" w:w="1531"/>
            <w:shd w:fill="F6F8FA"/>
          </w:tcPr>
          <w:p>
            <w:pPr>
              <w:jc w:val="right"/>
            </w:pPr>
            <w:r>
              <w:rPr>
                <w:rFonts w:ascii="DejaVu Sans" w:hAnsi="DejaVu Sans" w:eastAsia="DejaVu Sans"/>
                <w:b/>
                <w:i w:val="0"/>
                <w:color w:val="5C6773"/>
                <w:sz w:val="17"/>
              </w:rPr>
              <w:t>T2-F008</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4.2. Quadratic Completeness Criterion [THM] </w:t>
            </w:r>
            <w:r>
              <w:rPr>
                <w:rFonts w:ascii="DejaVu Serif" w:hAnsi="DejaVu Serif" w:eastAsia="DejaVu Serif"/>
                <w:b w:val="0"/>
                <w:i w:val="0"/>
                <w:color w:val="111111"/>
                <w:sz w:val="19"/>
              </w:rPr>
              <w:t>For a quadratic frame N the following are equivalent: (i) every element of X²_N is evaluated from an admissible expression in F²_N; (ii) Ψ²_N is surjective; (iii) O_B(N)=0.</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Condition (i) is the definition of surjectivity. The quotient X²_N/Im Ψ²_N vanishes exactly when Im Ψ²_N=X²_N. □</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model is a concrete carrier of a definition; a counterexample is a boundary of an admissible claim.</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produced by explicit computation rather than analogy.</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through the operation of formulas on a basis or parameterised family.</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One example does not prove universality, while one valid counterexample refutes an overstrong statement.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systematic inclusion of countermodels in KLT-RBD predictive audit.</w:t>
            </w:r>
          </w:p>
        </w:tc>
      </w:tr>
    </w:tbl>
    <w:p>
      <w:pPr>
        <w:spacing w:after="20"/>
      </w:pPr>
    </w:p>
    <w:p>
      <w:pPr>
        <w:pStyle w:val="Heading3"/>
        <w:keepNext/>
        <w:pageBreakBefore w:val="0"/>
      </w:pPr>
      <w:r>
        <w:t>4.1.3. Explicit Nontrivial Models</w:t>
      </w:r>
    </w:p>
    <w:tbl>
      <w:tblPr>
        <w:tblW w:type="auto" w:w="0"/>
        <w:jc w:val="center"/>
        <w:tblLayout w:type="fixed"/>
        <w:tblLook w:firstColumn="1" w:firstRow="1" w:lastColumn="0" w:lastRow="0" w:noHBand="0" w:noVBand="1" w:val="04A0"/>
      </w:tblPr>
      <w:tblGrid>
        <w:gridCol w:w="9951"/>
      </w:tblGrid>
      <w:tr>
        <w:tc>
          <w:tcPr>
            <w:tcW w:type="dxa" w:w="9951"/>
            <w:shd w:fill="EDF5E8"/>
            <w:tcMar>
              <w:top w:w="130" w:type="dxa"/>
              <w:start w:w="160" w:type="dxa"/>
              <w:bottom w:w="130" w:type="dxa"/>
              <w:end w:w="160" w:type="dxa"/>
            </w:tcMar>
            <w:tcBorders>
              <w:left w:val="single" w:sz="16" w:color="4E7A36"/>
            </w:tcBorders>
          </w:tcPr>
          <w:p>
            <w:pPr>
              <w:spacing w:after="0" w:line="259" w:lineRule="auto"/>
            </w:pPr>
            <w:r>
              <w:rPr>
                <w:rFonts w:ascii="DejaVu Sans" w:hAnsi="DejaVu Sans" w:eastAsia="DejaVu Sans"/>
                <w:b/>
                <w:i w:val="0"/>
                <w:color w:val="4E7A36"/>
                <w:sz w:val="19"/>
              </w:rPr>
              <w:t xml:space="preserve">Example 4.1. Two-Dimensional Nonassociative Model [MODEL] </w:t>
            </w:r>
            <w:r>
              <w:rPr>
                <w:rFonts w:ascii="DejaVu Serif" w:hAnsi="DejaVu Serif" w:eastAsia="DejaVu Serif"/>
                <w:b w:val="0"/>
                <w:i w:val="0"/>
                <w:color w:val="111111"/>
                <w:sz w:val="19"/>
              </w:rPr>
              <w:t>Let 𝒜=Span_𝕂{e₁,e₂}, with e₁⊙e₁=e₂, e₂⊙e₁=e₁, and all remaining products zero. Then Ass_⊙(e₁,e₁,e₁)=e₁≠0. If ℛ=𝒜 and the quadratic language is complete, Ψ² is surjective, so O_B=0 although the associator is nonzero.</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(e₁⊙e₁)⊙e₁=e₂⊙e₁=e₁, whereas e₁⊙(e₁⊙e₁)=e₁⊙e₂=0. The complete language contains every basis quadratic expression, hence its image is X². □</w:t>
      </w:r>
    </w:p>
    <w:tbl>
      <w:tblPr>
        <w:tblW w:type="auto" w:w="0"/>
        <w:jc w:val="center"/>
        <w:tblLayout w:type="fixed"/>
        <w:tblLook w:firstColumn="1" w:firstRow="1" w:lastColumn="0" w:lastRow="0" w:noHBand="0" w:noVBand="1" w:val="04A0"/>
      </w:tblPr>
      <w:tblGrid>
        <w:gridCol w:w="9951"/>
      </w:tblGrid>
      <w:tr>
        <w:tc>
          <w:tcPr>
            <w:tcW w:type="dxa" w:w="9951"/>
            <w:shd w:fill="EDF5E8"/>
            <w:tcMar>
              <w:top w:w="130" w:type="dxa"/>
              <w:start w:w="160" w:type="dxa"/>
              <w:bottom w:w="130" w:type="dxa"/>
              <w:end w:w="160" w:type="dxa"/>
            </w:tcMar>
            <w:tcBorders>
              <w:left w:val="single" w:sz="16" w:color="4E7A36"/>
            </w:tcBorders>
          </w:tcPr>
          <w:p>
            <w:pPr>
              <w:spacing w:after="0" w:line="259" w:lineRule="auto"/>
            </w:pPr>
            <w:r>
              <w:rPr>
                <w:rFonts w:ascii="DejaVu Sans" w:hAnsi="DejaVu Sans" w:eastAsia="DejaVu Sans"/>
                <w:b/>
                <w:i w:val="0"/>
                <w:color w:val="4E7A36"/>
                <w:sz w:val="19"/>
              </w:rPr>
              <w:t xml:space="preserve">Example 4.2. Associative Model with a Language Obstruction [MODEL] </w:t>
            </w:r>
            <w:r>
              <w:rPr>
                <w:rFonts w:ascii="DejaVu Serif" w:hAnsi="DejaVu Serif" w:eastAsia="DejaVu Serif"/>
                <w:b w:val="0"/>
                <w:i w:val="0"/>
                <w:color w:val="111111"/>
                <w:sz w:val="19"/>
              </w:rPr>
              <w:t>Assume char(𝕂)≠2 and take 𝒜=𝕂[t]/(t²) with ordinary associative multiplication, ℛ=𝒜, X²=Span{1,t}, and F² chosen so that Im Ψ²=Span{1}. Then O_B≅Span{[t]}≠0 while Ass_⊙=0.</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Associativity is inherited from the quotient ring. The quotient of the two-dimensional X² by the one-dimensional image has dimension one. □</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Reper exists as the quadruple R,I,U;D, not as a triad without foundation.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harmonic coordinate is informative only together with an evidence package and a domain.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Phenomenologically, λ records the alignment of fact, idea, possibilities, and foundation.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equality λ=-1 does not replace proof, measurement, or causal identification.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strict KLT-RBD λ-gate with D/Dom and an abstention rule.</w:t>
            </w:r>
          </w:p>
        </w:tc>
      </w:tr>
    </w:tbl>
    <w:p>
      <w:pPr>
        <w:spacing w:after="20"/>
      </w:pPr>
    </w:p>
    <w:p>
      <w:pPr>
        <w:pStyle w:val="Heading3"/>
        <w:keepNext/>
        <w:pageBreakBefore w:val="0"/>
      </w:pPr>
      <w:r>
        <w:t>4.1.4. Anchored Sufficient Foundation and Strict Reper</w:t>
      </w:r>
    </w:p>
    <w:p>
      <w:pPr>
        <w:widowControl/>
        <w:spacing w:after="80" w:line="264" w:lineRule="auto"/>
      </w:pPr>
      <w:r>
        <w:rPr>
          <w:rFonts w:ascii="DejaVu Serif" w:hAnsi="DejaVu Serif" w:eastAsia="DejaVu Serif"/>
          <w:b w:val="0"/>
          <w:i w:val="0"/>
          <w:color w:val="111111"/>
          <w:sz w:val="20"/>
        </w:rPr>
        <w:t>To remove the ambiguity between D as the fourth projective point and D as sufficient foundation, introduce an anchored sufficient foundation. This does not change the canonical notation (R,I,U;D), but it exposes the internal type of D.</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4.2. Anchored Sufficient Foundation [DEF-A] </w:t>
            </w:r>
            <w:r>
              <w:rPr>
                <w:rFonts w:ascii="DejaVu Serif" w:hAnsi="DejaVu Serif" w:eastAsia="DejaVu Serif"/>
                <w:b w:val="0"/>
                <w:i w:val="0"/>
                <w:color w:val="111111"/>
                <w:sz w:val="19"/>
              </w:rPr>
              <w:t>Let L be a two-dimensional 𝕂-space, ℙ(L) its projective line, and 𝔇_Ω a class of evidence objects for domain Ω. An anchored foundation is a pair D=(d,E_D), where d∈ℙ(L) is the projective anchor and E_D∈𝔇_Ω is the evidence object. Write D̲=d and Valid_Ω(D)∈{0,1}. A typed Reper is ρ=(R,I,U;D), with R,I,U,D̲∈ℙ(L).</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projective coordinate uses D̲; evidential authorisation uses Valid_Ω(D). Thus one letter preserves the authorial semantics of sufficient foundation while the mathematical notation no longer conflates a point with a document.</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Reper exists as the quadruple R,I,U;D, not as a triad without foundation.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harmonic coordinate is informative only together with an evidence package and a domain.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Phenomenologically, λ records the alignment of fact, idea, possibilities, and foundation.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equality λ=-1 does not replace proof, measurement, or causal identification.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strict KLT-RBD λ-gate with D/Dom and an abstention rule.</w:t>
            </w:r>
          </w:p>
        </w:tc>
      </w:tr>
    </w:tbl>
    <w:p>
      <w:pPr>
        <w:spacing w:after="20"/>
      </w:pPr>
    </w:p>
    <w:p>
      <w:pPr>
        <w:pStyle w:val="Heading3"/>
        <w:keepNext/>
        <w:pageBreakBefore w:val="0"/>
      </w:pPr>
      <w:r>
        <w:t>4.1.5. Projective-Harmonic Coordinate</w:t>
      </w:r>
    </w:p>
    <w:p>
      <w:pPr>
        <w:widowControl/>
        <w:spacing w:after="80" w:line="264" w:lineRule="auto"/>
      </w:pPr>
      <w:r>
        <w:rPr>
          <w:rFonts w:ascii="DejaVu Serif" w:hAnsi="DejaVu Serif" w:eastAsia="DejaVu Serif"/>
          <w:b w:val="0"/>
          <w:i w:val="0"/>
          <w:color w:val="111111"/>
          <w:sz w:val="20"/>
        </w:rPr>
        <w:t>For nonzero representatives r,i,u,d∈L write [x,y]=det(x,y) relative to any oriented basis. The determinant ratio is independent of the scale of representatives and of the common determinant factor introduced by a basis change.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λ(ρ)=cr(U,I;R,D̲)=([u,r][i,d])/([u,d][i,r]).</w:t>
            </w:r>
          </w:p>
        </w:tc>
        <w:tc>
          <w:tcPr>
            <w:tcW w:type="dxa" w:w="1531"/>
            <w:shd w:fill="F6F8FA"/>
          </w:tcPr>
          <w:p>
            <w:pPr>
              <w:jc w:val="right"/>
            </w:pPr>
            <w:r>
              <w:rPr>
                <w:rFonts w:ascii="DejaVu Sans" w:hAnsi="DejaVu Sans" w:eastAsia="DejaVu Sans"/>
                <w:b/>
                <w:i w:val="0"/>
                <w:color w:val="5C6773"/>
                <w:sz w:val="17"/>
              </w:rPr>
              <w:t>T2-F009</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domain consists of quadruples with [u,d]≠0 and [i,r]≠0. This holds for pairwise distinct points. In an affine chart the formula becomes ((u−r)(i−d))/((u−d)(i−r)). The harmonic condition λ=−1 is used below under char(𝕂)≠2; characteristic 2 requires a separate formulation.</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4.3. Projective Invariance of λ [THM] </w:t>
            </w:r>
            <w:r>
              <w:rPr>
                <w:rFonts w:ascii="DejaVu Serif" w:hAnsi="DejaVu Serif" w:eastAsia="DejaVu Serif"/>
                <w:b w:val="0"/>
                <w:i w:val="0"/>
                <w:color w:val="111111"/>
                <w:sz w:val="19"/>
              </w:rPr>
              <w:t>For every g∈PGL(L) and every ρ in the domain, λ(gρ)=λ(ρ). In particular, λ=−1 is a projective invariant.</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Choose a linear representative G∈GL(L) of g. Then det(Gx,Gy)=det(G)det(x,y). The numerator and denominator each acquire two identical factors det(G), which cancel. The scales of individual representatives cancel pairwise as well. □</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4.1. Cross-Ratio Pole [COUNTEREXAMPLE] </w:t>
            </w:r>
            <w:r>
              <w:rPr>
                <w:rFonts w:ascii="DejaVu Serif" w:hAnsi="DejaVu Serif" w:eastAsia="DejaVu Serif"/>
                <w:b w:val="0"/>
                <w:i w:val="0"/>
                <w:color w:val="111111"/>
                <w:sz w:val="19"/>
              </w:rPr>
              <w:t>If U=D̲ or I=R, the denominator is zero. The numerical λ is undefined; assigning it a large value or zero is an editorial substitution for Dom.</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4.2. Harmony without Foundation [COUNTEREXAMPLE] </w:t>
            </w:r>
            <w:r>
              <w:rPr>
                <w:rFonts w:ascii="DejaVu Serif" w:hAnsi="DejaVu Serif" w:eastAsia="DejaVu Serif"/>
                <w:b w:val="0"/>
                <w:i w:val="0"/>
                <w:color w:val="111111"/>
                <w:sz w:val="19"/>
              </w:rPr>
              <w:t>Four points may satisfy λ=−1 while Valid_Ω(D)=0. The projective configuration is harmonic, but the structural selector must abstain because the D/Dom barrier has not been passed.</w:t>
            </w:r>
          </w:p>
        </w:tc>
        <w:trPr>
          <w:tblHeader/>
        </w:trPr>
      </w:tr>
    </w:tbl>
    <w:p>
      <w:pPr>
        <w:spacing w:after="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Reper exists as the quadruple R,I,U;D, not as a triad without foundation.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harmonic coordinate is informative only together with an evidence package and a domain.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Phenomenologically, λ records the alignment of fact, idea, possibilities, and foundation.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equality λ=-1 does not replace proof, measurement, or causal identification.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strict KLT-RBD λ-gate with D/Dom and an abstention rule.</w:t>
            </w:r>
          </w:p>
        </w:tc>
      </w:tr>
    </w:tbl>
    <w:p>
      <w:pPr>
        <w:spacing w:after="20"/>
      </w:pPr>
    </w:p>
    <w:p>
      <w:pPr>
        <w:pStyle w:val="Heading3"/>
        <w:keepNext/>
        <w:pageBreakBefore w:val="0"/>
      </w:pPr>
      <w:r>
        <w:t>4.1.6. Strict Structural Selector of the Predictive Method</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4.3. Structural Selector [DEF-A] </w:t>
            </w:r>
            <w:r>
              <w:rPr>
                <w:rFonts w:ascii="DejaVu Serif" w:hAnsi="DejaVu Serif" w:eastAsia="DejaVu Serif"/>
                <w:b w:val="0"/>
                <w:i w:val="0"/>
                <w:color w:val="111111"/>
                <w:sz w:val="19"/>
              </w:rPr>
              <w:t>Let N∈NAPG_q, let ρ=(R,I,U;D) be a typed Reper, and let x∈X²_N be the candidate quadratic test. Define Sel_N(ρ,x)=1 exactly when: (S1) ρ∈Dom λ; (S2) Valid_Ω(D)=1; (S3) λ(ρ)=−1; and (S4) Π_N(x)=0. Otherwise Sel_N=0, while failure of S1 or missing D receives a separate ABSTAIN status rather than a negative verdict.</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Sel_N(ρ,x)=1 ⇔ Dom_λ(ρ) ∧ Valid_Ω(D) ∧ λ(ρ)=−1 ∧ Π_N(x)=0.</w:t>
            </w:r>
          </w:p>
        </w:tc>
        <w:tc>
          <w:tcPr>
            <w:tcW w:type="dxa" w:w="1531"/>
            <w:shd w:fill="F6F8FA"/>
          </w:tcPr>
          <w:p>
            <w:pPr>
              <w:jc w:val="right"/>
            </w:pPr>
            <w:r>
              <w:rPr>
                <w:rFonts w:ascii="DejaVu Sans" w:hAnsi="DejaVu Sans" w:eastAsia="DejaVu Sans"/>
                <w:b/>
                <w:i w:val="0"/>
                <w:color w:val="5C6773"/>
                <w:sz w:val="17"/>
              </w:rPr>
              <w:t>T2-F010</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condition Π_N(x)=0 means x∈Im Ψ²_N: the selected quadratic test is reproducible in the formal language of the frame. It does not mean Ass_⊙=0 and does not prove physical realisability of the candidate.</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4.4. Double Invariance of the Selector [THM] </w:t>
            </w:r>
            <w:r>
              <w:rPr>
                <w:rFonts w:ascii="DejaVu Serif" w:hAnsi="DejaVu Serif" w:eastAsia="DejaVu Serif"/>
                <w:b w:val="0"/>
                <w:i w:val="0"/>
                <w:color w:val="111111"/>
                <w:sz w:val="19"/>
              </w:rPr>
              <w:t>Let g∈PGL(L), let f:N→N′ be an isomorphism in NAPG_q, and suppose evidence transport D↦gD preserves Valid_Ω. Then for every admissible (ρ,x), Sel_N(ρ,x)=Sel_N′(gρ,φ_X(x)).</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S1 and S3 are preserved by projective invariance of λ. S2 is preserved by the evidence-transport hypothesis. For S4, M4 gives Π_N′(φ_Xx)=φ_O(Π_Nx). Because φ_O is an isomorphism, Π_Nx=0 exactly when Π_N′φ_Xx=0. □</w:t>
      </w:r>
    </w:p>
    <w:p>
      <w:pPr>
        <w:keepNext/>
        <w:jc w:val="center"/>
      </w:pPr>
      <w:r>
        <w:drawing>
          <wp:inline xmlns:a="http://schemas.openxmlformats.org/drawingml/2006/main" xmlns:pic="http://schemas.openxmlformats.org/drawingml/2006/picture">
            <wp:extent cx="5903999" cy="3253695"/>
            <wp:docPr id="3" name="Picture 3" descr="Double invariance of the structural selector" title="Double invariance of the structural selector"/>
            <wp:cNvGraphicFramePr>
              <a:graphicFrameLocks noChangeAspect="1"/>
            </wp:cNvGraphicFramePr>
            <a:graphic>
              <a:graphicData uri="http://schemas.openxmlformats.org/drawingml/2006/picture">
                <pic:pic>
                  <pic:nvPicPr>
                    <pic:cNvPr id="0" name="fig4_selector.png"/>
                    <pic:cNvPicPr/>
                  </pic:nvPicPr>
                  <pic:blipFill>
                    <a:blip r:embed="rId13"/>
                    <a:stretch>
                      <a:fillRect/>
                    </a:stretch>
                  </pic:blipFill>
                  <pic:spPr>
                    <a:xfrm>
                      <a:off x="0" y="0"/>
                      <a:ext cx="5903999" cy="3253695"/>
                    </a:xfrm>
                    <a:prstGeom prst="rect"/>
                  </pic:spPr>
                </pic:pic>
              </a:graphicData>
            </a:graphic>
          </wp:inline>
        </w:drawing>
      </w:r>
    </w:p>
    <w:p>
      <w:pPr>
        <w:spacing w:before="40" w:after="140"/>
        <w:jc w:val="center"/>
      </w:pPr>
      <w:r>
        <w:rPr>
          <w:rFonts w:ascii="DejaVu Serif" w:hAnsi="DejaVu Serif" w:eastAsia="DejaVu Serif"/>
          <w:b w:val="0"/>
          <w:i/>
          <w:color w:val="5C6773"/>
          <w:sz w:val="18"/>
        </w:rPr>
        <w:t>Figure 4. Double invariance of the structural selector. English reconstruction of the authorial diagram in the frozen Russian Volume II.</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Reper exists as the quadruple R,I,U;D, not as a triad without foundation.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harmonic coordinate is informative only together with an evidence package and a domain.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Phenomenologically, λ records the alignment of fact, idea, possibilities, and foundation.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equality λ=-1 does not replace proof, measurement, or causal identification.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strict KLT-RBD λ-gate with D/Dom and an abstention rule.</w:t>
            </w:r>
          </w:p>
        </w:tc>
      </w:tr>
    </w:tbl>
    <w:p>
      <w:pPr>
        <w:spacing w:after="20"/>
      </w:pPr>
    </w:p>
    <w:p>
      <w:pPr>
        <w:pStyle w:val="Heading3"/>
        <w:keepNext/>
        <w:pageBreakBefore w:val="0"/>
      </w:pPr>
      <w:r>
        <w:t>4.1.7. Approximate Harmony and Local Stability</w:t>
      </w:r>
    </w:p>
    <w:p>
      <w:pPr>
        <w:widowControl/>
        <w:spacing w:after="80" w:line="264" w:lineRule="auto"/>
      </w:pPr>
      <w:r>
        <w:rPr>
          <w:rFonts w:ascii="DejaVu Serif" w:hAnsi="DejaVu Serif" w:eastAsia="DejaVu Serif"/>
          <w:b w:val="0"/>
          <w:i w:val="0"/>
          <w:color w:val="111111"/>
          <w:sz w:val="20"/>
        </w:rPr>
        <w:t>For 𝕂=ℝ or ℂ with a fixed absolute value define δ_truth(ρ)=|λ(ρ)+1|. This defect is meaningful only inside Dom λ. For τ≥0 define the τ-harmonic sector H_τ={ρ:δ_truth(ρ)≤τ}.</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δ_truth(ρ)=|λ(ρ)+1|,      H_τ={ρ∈Dom λ : δ_truth(ρ)≤τ}.</w:t>
            </w:r>
          </w:p>
        </w:tc>
        <w:tc>
          <w:tcPr>
            <w:tcW w:type="dxa" w:w="1531"/>
            <w:shd w:fill="F6F8FA"/>
          </w:tcPr>
          <w:p>
            <w:pPr>
              <w:jc w:val="right"/>
            </w:pPr>
            <w:r>
              <w:rPr>
                <w:rFonts w:ascii="DejaVu Sans" w:hAnsi="DejaVu Sans" w:eastAsia="DejaVu Sans"/>
                <w:b/>
                <w:i w:val="0"/>
                <w:color w:val="5C6773"/>
                <w:sz w:val="17"/>
              </w:rPr>
              <w:t>T2-F011</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4.5. Local Lipschitz Stability [THM] </w:t>
            </w:r>
            <w:r>
              <w:rPr>
                <w:rFonts w:ascii="DejaVu Serif" w:hAnsi="DejaVu Serif" w:eastAsia="DejaVu Serif"/>
                <w:b w:val="0"/>
                <w:i w:val="0"/>
                <w:color w:val="111111"/>
                <w:sz w:val="19"/>
              </w:rPr>
              <w:t>Let Ω⊂ℝ⁴ be a compact convex set of affine coordinates (u,i,r,d) such that |u−d|≥m&gt;0 and |i−r|≥m&gt;0. Then there is a finite L_Ω with |δ_truth(q)−δ_truth(q′)|≤L_Ω‖q−q′‖ for all q,q′∈Ω whose connecting segment stays inside the domain.</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The rational function λ is smooth where its denominator is nonzero. Its gradient is bounded on compact Ω: L_Ω:=sup_{q∈Ω}‖∇λ(q)‖&lt;∞. The mean-value theorem gives |λ(q)−λ(q′)|≤L_Ω‖q−q′‖, and ||a+1|−|b+1||≤|a−b| completes the proof. □</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STABILITY LIMITATION. </w:t>
            </w:r>
            <w:r>
              <w:rPr>
                <w:rFonts w:ascii="DejaVu Serif" w:hAnsi="DejaVu Serif" w:eastAsia="DejaVu Serif"/>
                <w:b w:val="0"/>
                <w:i w:val="0"/>
                <w:color w:val="111111"/>
                <w:sz w:val="19"/>
              </w:rPr>
              <w:t>L_Ω may grow sharply near the poles u=d or i=r. Therefore small numerical noise does not imply a small λ error without an explicit estimate of distance to the degenerate set. The KLT software layer requires a separate pole margin, not δ_truth alone.</w:t>
            </w:r>
          </w:p>
        </w:tc>
        <w:trPr>
          <w:tblHeader/>
        </w:trPr>
      </w:tr>
    </w:tbl>
    <w:p>
      <w:pPr>
        <w:spacing w:after="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Reper exists as the quadruple R,I,U;D, not as a triad without foundation.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harmonic coordinate is informative only together with an evidence package and a domain.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Phenomenologically, λ records the alignment of fact, idea, possibilities, and foundation.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equality λ=-1 does not replace proof, measurement, or causal identification.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strict KLT-RBD λ-gate with D/Dom and an abstention rule.</w:t>
            </w:r>
          </w:p>
        </w:tc>
      </w:tr>
    </w:tbl>
    <w:p>
      <w:pPr>
        <w:spacing w:after="20"/>
      </w:pPr>
    </w:p>
    <w:p>
      <w:pPr>
        <w:pStyle w:val="Heading3"/>
        <w:keepNext/>
        <w:pageBreakBefore w:val="0"/>
      </w:pPr>
      <w:r>
        <w:t>4.1.8. Interval Reper and the Abstention Rule</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4.4. Interval Image of λ [DEF-A] </w:t>
            </w:r>
            <w:r>
              <w:rPr>
                <w:rFonts w:ascii="DejaVu Serif" w:hAnsi="DejaVu Serif" w:eastAsia="DejaVu Serif"/>
                <w:b w:val="0"/>
                <w:i w:val="0"/>
                <w:color w:val="111111"/>
                <w:sz w:val="19"/>
              </w:rPr>
              <w:t>Let B⊂Dom λ be the set of all quadruples compatible with input uncertainty. Define Λ(B)={λ(q):q∈B}. A candidate is τ-certified if sup_{z∈Λ(B)}|z+1|≤τ and inf_{q∈B}|u−d||i−r|&gt;0. If B intersects a pole, the status is ABSTAIN_POLE.</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Lemma 4.2. Monotonicity under Refinement [THM] </w:t>
            </w:r>
            <w:r>
              <w:rPr>
                <w:rFonts w:ascii="DejaVu Serif" w:hAnsi="DejaVu Serif" w:eastAsia="DejaVu Serif"/>
                <w:b w:val="0"/>
                <w:i w:val="0"/>
                <w:color w:val="111111"/>
                <w:sz w:val="19"/>
              </w:rPr>
              <w:t>If B′⊆B, then Λ(B′)⊆Λ(B). Hence sup_{Λ(B′)}|z+1| does not exceed the corresponding bound for B.</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The image of a subset is contained in the image of the containing set. Supremum is monotone under inclusion. □</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3"/>
        <w:keepNext/>
        <w:pageBreakBefore w:val="0"/>
      </w:pPr>
      <w:r>
        <w:t>4.1.9. Set of Structurally Admissible Candidates</w:t>
      </w:r>
    </w:p>
    <w:p>
      <w:pPr>
        <w:widowControl/>
        <w:spacing w:after="80" w:line="264" w:lineRule="auto"/>
      </w:pPr>
      <w:r>
        <w:rPr>
          <w:rFonts w:ascii="DejaVu Serif" w:hAnsi="DejaVu Serif" w:eastAsia="DejaVu Serif"/>
          <w:b w:val="0"/>
          <w:i w:val="0"/>
          <w:color w:val="111111"/>
          <w:sz w:val="20"/>
        </w:rPr>
        <w:t>Let Cand(y) be the set of state or event candidates generated by observation y. Associate to every c a Reper ρ_c, a quadratic test x_c∈X²_N, and an evidence foundation D_c. Define exact and robust sets of structural admissibility.</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C₀(y;N)={c∈Cand(y): Sel_N(ρ_c,x_c)=1}.</w:t>
            </w:r>
          </w:p>
        </w:tc>
        <w:tc>
          <w:tcPr>
            <w:tcW w:type="dxa" w:w="1531"/>
            <w:shd w:fill="F6F8FA"/>
          </w:tcPr>
          <w:p>
            <w:pPr>
              <w:jc w:val="right"/>
            </w:pPr>
            <w:r>
              <w:rPr>
                <w:rFonts w:ascii="DejaVu Sans" w:hAnsi="DejaVu Sans" w:eastAsia="DejaVu Sans"/>
                <w:b/>
                <w:i w:val="0"/>
                <w:color w:val="5C6773"/>
                <w:sz w:val="17"/>
              </w:rPr>
              <w:t>T2-F012</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C_{τ,η}(y;N)={c: Valid(D_c), δ_truth(ρ_c)≤τ, dist(x_c,Im Ψ²_N)≤η}.</w:t>
            </w:r>
          </w:p>
        </w:tc>
        <w:tc>
          <w:tcPr>
            <w:tcW w:type="dxa" w:w="1531"/>
            <w:shd w:fill="F6F8FA"/>
          </w:tcPr>
          <w:p>
            <w:pPr>
              <w:jc w:val="right"/>
            </w:pPr>
            <w:r>
              <w:rPr>
                <w:rFonts w:ascii="DejaVu Sans" w:hAnsi="DejaVu Sans" w:eastAsia="DejaVu Sans"/>
                <w:b/>
                <w:i w:val="0"/>
                <w:color w:val="5C6773"/>
                <w:sz w:val="17"/>
              </w:rPr>
              <w:t>T2-F013</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formula containing dist requires a norm on X²_N and therefore has MODEL status until an analytic layer has been selected. C₀ is purely algebraic. If C₀ is empty, the method need not choose the “least bad” outcome; ABSTAIN correctly reports insufficiency of the current language, domain, or foundation.</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4.1. Coordinate Independence of the Exact Candidate Set [THM] </w:t>
            </w:r>
            <w:r>
              <w:rPr>
                <w:rFonts w:ascii="DejaVu Serif" w:hAnsi="DejaVu Serif" w:eastAsia="DejaVu Serif"/>
                <w:b w:val="0"/>
                <w:i w:val="0"/>
                <w:color w:val="111111"/>
                <w:sz w:val="19"/>
              </w:rPr>
              <w:t>Under the hypotheses of Theorem 4.4, an isomorphism of candidates c↦c′ induces a bijection C₀(y;N)≅C₀(gy;N′).</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Membership of each candidate is preserved by Theorem 4.4, and invertibility of g and f gives the inverse correspondence. □</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3"/>
        <w:keepNext/>
        <w:pageBreakBefore w:val="0"/>
      </w:pPr>
      <w:r>
        <w:t>4.1.10. Negative Results and Forbidden Shortcuts</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4.3. λ≈−1 Does Not Give Truth Status [COUNTEREXAMPLE] </w:t>
            </w:r>
            <w:r>
              <w:rPr>
                <w:rFonts w:ascii="DejaVu Serif" w:hAnsi="DejaVu Serif" w:eastAsia="DejaVu Serif"/>
                <w:b w:val="0"/>
                <w:i w:val="0"/>
                <w:color w:val="111111"/>
                <w:sz w:val="19"/>
              </w:rPr>
              <w:t>Let δ_truth be small while D is invalid or the candidate is outside the subject-domain. Numerical proximity remains, but Sel=ABSTAIN. Any automatic rule “small δ_truth ⇒ true” violates S2.</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4.4. O_B=0 Does Not Give Physics [COUNTEREXAMPLE] </w:t>
            </w:r>
            <w:r>
              <w:rPr>
                <w:rFonts w:ascii="DejaVu Serif" w:hAnsi="DejaVu Serif" w:eastAsia="DejaVu Serif"/>
                <w:b w:val="0"/>
                <w:i w:val="0"/>
                <w:color w:val="111111"/>
                <w:sz w:val="19"/>
              </w:rPr>
              <w:t>The minimal complex and O_B are defined for a finite-dimensional formal algebra without topology, time, or observables. A zero class reports only quadratic expressibility in the selected language.</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4.5. The Associator Does Not Automatically Live in X² [COUNTEREXAMPLE] </w:t>
            </w:r>
            <w:r>
              <w:rPr>
                <w:rFonts w:ascii="DejaVu Serif" w:hAnsi="DejaVu Serif" w:eastAsia="DejaVu Serif"/>
                <w:b w:val="0"/>
                <w:i w:val="0"/>
                <w:color w:val="111111"/>
                <w:sz w:val="19"/>
              </w:rPr>
              <w:t>Ass_⊙ depends on three arguments and two bracketings, while X² is built from quadratic expressions. Without β_Ass:T_Ass→X² the formula Π(Ass_⊙)=0 is untyped.</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4.6. Instability at a Pole [COUNTEREXAMPLE] </w:t>
            </w:r>
            <w:r>
              <w:rPr>
                <w:rFonts w:ascii="DejaVu Serif" w:hAnsi="DejaVu Serif" w:eastAsia="DejaVu Serif"/>
                <w:b w:val="0"/>
                <w:i w:val="0"/>
                <w:color w:val="111111"/>
                <w:sz w:val="19"/>
              </w:rPr>
              <w:t>A sequence of quadruples may converge to U=D̲ while λ becomes unbounded. Thus there is no global Lipschitz constant over the whole affine domain.</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4.7. Narrowing Candidates Is Not Causal Prediction [COUNTEREXAMPLE] </w:t>
            </w:r>
            <w:r>
              <w:rPr>
                <w:rFonts w:ascii="DejaVu Serif" w:hAnsi="DejaVu Serif" w:eastAsia="DejaVu Serif"/>
                <w:b w:val="0"/>
                <w:i w:val="0"/>
                <w:color w:val="111111"/>
                <w:sz w:val="19"/>
              </w:rPr>
              <w:t>Even if C₀(y;N) contains one element, this proves uniqueness only inside the selected formal language and domain, not causal occurrence of the event in the external world.</w:t>
            </w:r>
          </w:p>
        </w:tc>
        <w:trPr>
          <w:tblHeader/>
        </w:trPr>
      </w:tr>
    </w:tbl>
    <w:p>
      <w:pPr>
        <w:spacing w:after="0"/>
      </w:pPr>
    </w:p>
    <w:p>
      <w:pPr>
        <w:pStyle w:val="Heading2"/>
        <w:keepNext/>
        <w:pageBreakBefore w:val="0"/>
      </w:pPr>
      <w:r>
        <w:t>4.2. Bibliographic Synchronisation</w:t>
      </w:r>
    </w:p>
    <w:p>
      <w:pPr>
        <w:widowControl/>
        <w:spacing w:after="80" w:line="264" w:lineRule="auto"/>
      </w:pPr>
      <w:r>
        <w:rPr>
          <w:rFonts w:ascii="DejaVu Serif" w:hAnsi="DejaVu Serif" w:eastAsia="DejaVu Serif"/>
          <w:b w:val="0"/>
          <w:i w:val="0"/>
          <w:color w:val="111111"/>
          <w:sz w:val="20"/>
        </w:rPr>
        <w:t>This checkpoint uses classical sources as prior art and does not attribute categories, cross-ratio, quotient spaces, or general deformation theory to the project. The authorial contribution is their typed assembly into NAPG_q, anchored sufficient foundation, the structural selector, and the D/Dom evidential discipline.</w:t>
      </w:r>
    </w:p>
    <w:p>
      <w:pPr>
        <w:widowControl/>
        <w:spacing w:after="80" w:line="264" w:lineRule="auto"/>
      </w:pPr>
      <w:r>
        <w:rPr>
          <w:rFonts w:ascii="DejaVu Serif" w:hAnsi="DejaVu Serif" w:eastAsia="DejaVu Serif"/>
          <w:b w:val="0"/>
          <w:i w:val="0"/>
          <w:color w:val="111111"/>
          <w:sz w:val="20"/>
        </w:rPr>
        <w:t>[S1] Eilenberg, S.; Mac Lane, S. General Theory of Natural Equivalences. Transactions of the AMS 58 (1945), 231-294. DOI 10.1090/S0002-9947-1945-0013131-6.</w:t>
      </w:r>
    </w:p>
    <w:p>
      <w:pPr>
        <w:widowControl/>
        <w:spacing w:after="80" w:line="264" w:lineRule="auto"/>
      </w:pPr>
      <w:r>
        <w:rPr>
          <w:rFonts w:ascii="DejaVu Serif" w:hAnsi="DejaVu Serif" w:eastAsia="DejaVu Serif"/>
          <w:b w:val="0"/>
          <w:i w:val="0"/>
          <w:color w:val="111111"/>
          <w:sz w:val="20"/>
        </w:rPr>
        <w:t>[S2] Mac Lane, S. Categories for the Working Mathematician. 2nd ed. Springer. DOI 10.1007/978-1-4757-4721-8.</w:t>
      </w:r>
    </w:p>
    <w:p>
      <w:pPr>
        <w:widowControl/>
        <w:spacing w:after="80" w:line="264" w:lineRule="auto"/>
      </w:pPr>
      <w:r>
        <w:rPr>
          <w:rFonts w:ascii="DejaVu Serif" w:hAnsi="DejaVu Serif" w:eastAsia="DejaVu Serif"/>
          <w:b w:val="0"/>
          <w:i w:val="0"/>
          <w:color w:val="111111"/>
          <w:sz w:val="20"/>
        </w:rPr>
        <w:t>[S3] Gerstenhaber, M. On the Deformation of Rings and Algebras. Annals of Mathematics 79 (1964), 59-103. DOI 10.2307/1970484.</w:t>
      </w:r>
    </w:p>
    <w:p>
      <w:pPr>
        <w:widowControl/>
        <w:spacing w:after="80" w:line="264" w:lineRule="auto"/>
      </w:pPr>
      <w:r>
        <w:rPr>
          <w:rFonts w:ascii="DejaVu Serif" w:hAnsi="DejaVu Serif" w:eastAsia="DejaVu Serif"/>
          <w:b w:val="0"/>
          <w:i w:val="0"/>
          <w:color w:val="111111"/>
          <w:sz w:val="20"/>
        </w:rPr>
        <w:t>[S4] Veblen, O.; Young, J. W. Projective Geometry. Vol. I. Ginn, 1910.</w:t>
      </w:r>
    </w:p>
    <w:p>
      <w:pPr>
        <w:widowControl/>
        <w:spacing w:after="80" w:line="264" w:lineRule="auto"/>
      </w:pPr>
      <w:r>
        <w:rPr>
          <w:rFonts w:ascii="DejaVu Serif" w:hAnsi="DejaVu Serif" w:eastAsia="DejaVu Serif"/>
          <w:b w:val="0"/>
          <w:i w:val="0"/>
          <w:color w:val="111111"/>
          <w:sz w:val="20"/>
        </w:rPr>
        <w:t>[S5] Kurpishev, I. B. Basic KLT-RBD Project. Volume I. Edition v197 RU. §§26.5, 52.9-52.18. 2026.</w:t>
      </w:r>
    </w:p>
    <w:p>
      <w:pPr>
        <w:widowControl/>
        <w:spacing w:after="80" w:line="264" w:lineRule="auto"/>
      </w:pPr>
      <w:r>
        <w:rPr>
          <w:rFonts w:ascii="DejaVu Serif" w:hAnsi="DejaVu Serif" w:eastAsia="DejaVu Serif"/>
          <w:b w:val="0"/>
          <w:i w:val="0"/>
          <w:color w:val="111111"/>
          <w:sz w:val="20"/>
        </w:rPr>
        <w:t>[S6] Kurpishev, I. B. Reper-Projective Architecture of Formula Chains: PILOT-01. 2026.</w:t>
      </w:r>
    </w:p>
    <w:p>
      <w:pPr>
        <w:widowControl/>
        <w:spacing w:after="80" w:line="264" w:lineRule="auto"/>
      </w:pPr>
      <w:r>
        <w:rPr>
          <w:rFonts w:ascii="DejaVu Serif" w:hAnsi="DejaVu Serif" w:eastAsia="DejaVu Serif"/>
          <w:b w:val="0"/>
          <w:i w:val="0"/>
          <w:color w:val="111111"/>
          <w:sz w:val="20"/>
        </w:rPr>
        <w:t>[S7] Kurpishev, I. B. Kurpishev’s Theory of Stratified Time: Associator Rigidity and Nonassociative Packet Geometry. Canonical SIGMA corpus of the project, 2026.</w:t>
      </w:r>
    </w:p>
    <w:p>
      <w:pPr>
        <w:pStyle w:val="Heading1"/>
        <w:keepNext/>
        <w:pageBreakBefore/>
      </w:pPr>
      <w:bookmarkStart w:id="1004" w:name="T2_CH05"/>
      <w:r>
        <w:t>Chapter 5. Associator, R⋆R, Nuclei, Centers, and Invariants</w:t>
      </w:r>
      <w:bookmarkEnd w:id="1004"/>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EPISTEMOLOGICAL BLOCK. </w:t>
            </w:r>
            <w:r>
              <w:rPr>
                <w:rFonts w:ascii="DejaVu Serif" w:hAnsi="DejaVu Serif" w:eastAsia="DejaVu Serif"/>
                <w:b w:val="0"/>
                <w:i w:val="0"/>
                <w:color w:val="111111"/>
                <w:sz w:val="19"/>
              </w:rPr>
              <w:t>Observation of a single diagonal of a multilinear object inevitably loses information. For the associator this is decisive: an alternative algebra may have Ass(x,x,x)=0 for every x and still be essentially nonassociative. Knowledge must retain the channel type, argument order, and admissible domain in addition to the value.</w:t>
            </w:r>
          </w:p>
        </w:tc>
        <w:trPr>
          <w:tblHeader/>
        </w:trPr>
      </w:tr>
    </w:tbl>
    <w:p>
      <w:pPr>
        <w:spacing w:after="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Nonassociativity is treated as intrinsic structure, not as a computational error.</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is known through the associator, nuclei, ideals, invariants, and explicit countermodels.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dependence of the result on the bracketing architecture of a packet.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nonzero associator is not by itself physical curvature or a physical event.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R⋆R and its role in packet Reper-harmonic geometry.</w:t>
            </w:r>
          </w:p>
        </w:tc>
      </w:tr>
    </w:tbl>
    <w:p>
      <w:pPr>
        <w:spacing w:after="20"/>
      </w:pPr>
    </w:p>
    <w:p>
      <w:pPr>
        <w:pStyle w:val="Heading2"/>
      </w:pPr>
      <w:r>
        <w:rPr>
          <w:color w:val="1F4E78"/>
          <w:b/>
        </w:rPr>
        <w:t>5.1. Associator and Invariant Core</w:t>
      </w:r>
    </w:p>
    <w:p>
      <w:pPr>
        <w:pStyle w:val="Heading3"/>
        <w:keepNext/>
        <w:pageBreakBefore w:val="0"/>
      </w:pPr>
      <w:r>
        <w:t>5.1.1. Typed Domain of the Associator</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5.1. Domain of the Associator [DEF-A] </w:t>
            </w:r>
            <w:r>
              <w:rPr>
                <w:rFonts w:ascii="DejaVu Serif" w:hAnsi="DejaVu Serif" w:eastAsia="DejaVu Serif"/>
                <w:b w:val="0"/>
                <w:i w:val="0"/>
                <w:color w:val="111111"/>
                <w:sz w:val="19"/>
              </w:rPr>
              <w:t>Let (𝒜,⊙) be a packet algebra with a possibly partial operation. Dom_Ass consists of triples (a,b,c) for which a⊙b, b⊙c, (a⊙b)⊙c, and a⊙(b⊙c) are all defined. On Dom_Ass set Ass_⊙(a,b,c)=(a⊙b)⊙c−a⊙(b⊙c).</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Dom_Ass = {(a,b,c): (a,b),(b,c),(a⊙b,c),(a,b⊙c) ∈ Dom_⊙}.</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Lemma 5.2. Trilinearity on the Full Domain [THM] </w:t>
            </w:r>
            <w:r>
              <w:rPr>
                <w:rFonts w:ascii="DejaVu Serif" w:hAnsi="DejaVu Serif" w:eastAsia="DejaVu Serif"/>
                <w:b w:val="0"/>
                <w:i w:val="0"/>
                <w:color w:val="111111"/>
                <w:sz w:val="19"/>
              </w:rPr>
              <w:t>If ⊙ is an everywhere-defined 𝕂-bilinear operation, then Ass_⊙:𝒜⊗𝒜⊗𝒜→𝒜 is 𝕂-linear.</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Each term is a composition of bilinear maps and is therefore trilinear; their difference is trilinear. □</w:t>
      </w:r>
    </w:p>
    <w:p>
      <w:pPr>
        <w:widowControl/>
        <w:spacing w:after="80" w:line="264" w:lineRule="auto"/>
      </w:pPr>
      <w:r>
        <w:rPr>
          <w:rFonts w:ascii="DejaVu Serif" w:hAnsi="DejaVu Serif" w:eastAsia="DejaVu Serif"/>
          <w:b w:val="0"/>
          <w:i w:val="0"/>
          <w:color w:val="111111"/>
          <w:sz w:val="20"/>
        </w:rPr>
        <w:t>For a partial operation, trilinearity is asserted only on compatible linear slices of Dom_Ass. Extending it beyond the domain by formal analogy is prohibited.</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Nonassociativity is treated as intrinsic structure, not as a computational error.</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is known through the associator, nuclei, ideals, invariants, and explicit countermodels.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dependence of the result on the bracketing architecture of a packet.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nonzero associator is not by itself physical curvature or a physical event.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R⋆R and its role in packet Reper-harmonic geometry.</w:t>
            </w:r>
          </w:p>
        </w:tc>
      </w:tr>
    </w:tbl>
    <w:p>
      <w:pPr>
        <w:spacing w:after="20"/>
      </w:pPr>
    </w:p>
    <w:p>
      <w:pPr>
        <w:pStyle w:val="Heading3"/>
        <w:keepNext/>
        <w:pageBreakBefore w:val="0"/>
      </w:pPr>
      <w:r>
        <w:t>5.1.2. Left, Middle, and Right Nuclei</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5.3. Three Nuclei and the Nucleus [DEF-A] </w:t>
            </w:r>
            <w:r>
              <w:rPr>
                <w:rFonts w:ascii="DejaVu Serif" w:hAnsi="DejaVu Serif" w:eastAsia="DejaVu Serif"/>
                <w:b w:val="0"/>
                <w:i w:val="0"/>
                <w:color w:val="111111"/>
                <w:sz w:val="19"/>
              </w:rPr>
              <w:t>For an everywhere-defined algebra 𝒜 define N_l={a:Ass(a,x,y)=0 for all x,y}, N_m={a:Ass(x,a,y)=0 for all x,y}, and N_r={a:Ass(x,y,a)=0 for all x,y}. The full nucleus is N(𝒜)=N_l∩N_m∩N_r.</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N_l = ker L_Ass,     N_m = ker M_Ass,     N_r = ker R_Ass,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L_Ass(a)(x,y)=Ass(a,x,y),   M_Ass(a)(x,y)=Ass(x,a,y),   R_Ass(a)(x,y)=Ass(x,y,a).</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Proposition 5.4. Linearity of the Nuclei [THM] </w:t>
            </w:r>
            <w:r>
              <w:rPr>
                <w:rFonts w:ascii="DejaVu Serif" w:hAnsi="DejaVu Serif" w:eastAsia="DejaVu Serif"/>
                <w:b w:val="0"/>
                <w:i w:val="0"/>
                <w:color w:val="111111"/>
                <w:sz w:val="19"/>
              </w:rPr>
              <w:t>If 𝒜 is a bilinear algebra, then N_l, N_m, N_r, and N(𝒜) are linear subspaces.</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L_Ass, M_Ass, and R_Ass are linear in the distinguished argument. Their kernels are subspaces, and an intersection of subspaces is a subspace. □</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5.5. Commutant and Center [DEF-A] </w:t>
            </w:r>
            <w:r>
              <w:rPr>
                <w:rFonts w:ascii="DejaVu Serif" w:hAnsi="DejaVu Serif" w:eastAsia="DejaVu Serif"/>
                <w:b w:val="0"/>
                <w:i w:val="0"/>
                <w:color w:val="111111"/>
                <w:sz w:val="19"/>
              </w:rPr>
              <w:t>The commutant C_comm(𝒜) consists of z satisfying z⊙x=x⊙z for every x. The center is Z(𝒜)=N(𝒜)∩C_comm(𝒜).</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DF5E8"/>
            <w:tcMar>
              <w:top w:w="130" w:type="dxa"/>
              <w:start w:w="160" w:type="dxa"/>
              <w:bottom w:w="130" w:type="dxa"/>
              <w:end w:w="160" w:type="dxa"/>
            </w:tcMar>
            <w:tcBorders>
              <w:left w:val="single" w:sz="16" w:color="4E7A36"/>
            </w:tcBorders>
          </w:tcPr>
          <w:p>
            <w:pPr>
              <w:spacing w:after="0" w:line="259" w:lineRule="auto"/>
            </w:pPr>
            <w:r>
              <w:rPr>
                <w:rFonts w:ascii="DejaVu Sans" w:hAnsi="DejaVu Sans" w:eastAsia="DejaVu Sans"/>
                <w:b/>
                <w:i w:val="0"/>
                <w:color w:val="4E7A36"/>
                <w:sz w:val="19"/>
              </w:rPr>
              <w:t xml:space="preserve">PHENOMENOLOGICAL BLOCK. </w:t>
            </w:r>
            <w:r>
              <w:rPr>
                <w:rFonts w:ascii="DejaVu Serif" w:hAnsi="DejaVu Serif" w:eastAsia="DejaVu Serif"/>
                <w:b w:val="0"/>
                <w:i w:val="0"/>
                <w:color w:val="111111"/>
                <w:sz w:val="19"/>
              </w:rPr>
              <w:t>A central element does more than “not disturb” multiplication. It is insensitive both to permutation and to a change of bracketing. The center therefore defines a stable layer relative to which different packet-assembly routes agree.</w:t>
            </w:r>
          </w:p>
        </w:tc>
        <w:trPr>
          <w:tblHeader/>
        </w:trPr>
      </w:tr>
    </w:tbl>
    <w:p>
      <w:pPr>
        <w:spacing w:after="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Nonassociativity is treated as intrinsic structure, not as a computational error.</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is known through the associator, nuclei, ideals, invariants, and explicit countermodels.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dependence of the result on the bracketing architecture of a packet.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nonzero associator is not by itself physical curvature or a physical event.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R⋆R and its role in packet Reper-harmonic geometry.</w:t>
            </w:r>
          </w:p>
        </w:tc>
      </w:tr>
    </w:tbl>
    <w:p>
      <w:pPr>
        <w:spacing w:after="20"/>
      </w:pPr>
    </w:p>
    <w:p>
      <w:pPr>
        <w:pStyle w:val="Heading3"/>
        <w:keepNext/>
        <w:pageBreakBefore w:val="0"/>
      </w:pPr>
      <w:r>
        <w:t>5.1.3. Associator Ideal and Universal Associative Reflection</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5.6. Associator Ideal [DEF-A] </w:t>
            </w:r>
            <w:r>
              <w:rPr>
                <w:rFonts w:ascii="DejaVu Serif" w:hAnsi="DejaVu Serif" w:eastAsia="DejaVu Serif"/>
                <w:b w:val="0"/>
                <w:i w:val="0"/>
                <w:color w:val="111111"/>
                <w:sz w:val="19"/>
              </w:rPr>
              <w:t>J_Ass(𝒜) is the least two-sided ideal of 𝒜 containing all values Ass_⊙(a,b,c). The internal KLT-RBD notation Rad_Ass(𝒜):=J_Ass(𝒜) is permitted, but it is not identified with the Jacobson radical or another classical radical.</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5.7. Universal Associative Reflection [THM] </w:t>
            </w:r>
            <w:r>
              <w:rPr>
                <w:rFonts w:ascii="DejaVu Serif" w:hAnsi="DejaVu Serif" w:eastAsia="DejaVu Serif"/>
                <w:b w:val="0"/>
                <w:i w:val="0"/>
                <w:color w:val="111111"/>
                <w:sz w:val="19"/>
              </w:rPr>
              <w:t>For every everywhere-defined bilinear algebra 𝒜, the quotient 𝒜_as:=𝒜/J_Ass(𝒜) is associative. Moreover, every homomorphism f:𝒜→B into an associative algebra B factors uniquely through q:𝒜→𝒜_as.</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Every associator has zero image in the quotient, so the quotient multiplication is associative. If B is associative, then f(Ass(a,b,c))=Ass(fa,fb,fc)=0; hence J_Ass⊆ker f. The universal property of the quotient gives a unique f̄ with f=f̄∘q. □</w:t>
      </w:r>
    </w:p>
    <w:p>
      <w:pPr>
        <w:keepNext/>
        <w:jc w:val="center"/>
      </w:pPr>
      <w:r>
        <w:drawing>
          <wp:inline xmlns:a="http://schemas.openxmlformats.org/drawingml/2006/main" xmlns:pic="http://schemas.openxmlformats.org/drawingml/2006/picture">
            <wp:extent cx="5832000" cy="3214017"/>
            <wp:docPr id="4" name="Picture 4" descr="Universal associative reflection" title="Universal associative reflection"/>
            <wp:cNvGraphicFramePr>
              <a:graphicFrameLocks noChangeAspect="1"/>
            </wp:cNvGraphicFramePr>
            <a:graphic>
              <a:graphicData uri="http://schemas.openxmlformats.org/drawingml/2006/picture">
                <pic:pic>
                  <pic:nvPicPr>
                    <pic:cNvPr id="0" name="fig5_reflection.png"/>
                    <pic:cNvPicPr/>
                  </pic:nvPicPr>
                  <pic:blipFill>
                    <a:blip r:embed="rId14"/>
                    <a:stretch>
                      <a:fillRect/>
                    </a:stretch>
                  </pic:blipFill>
                  <pic:spPr>
                    <a:xfrm>
                      <a:off x="0" y="0"/>
                      <a:ext cx="5832000" cy="3214017"/>
                    </a:xfrm>
                    <a:prstGeom prst="rect"/>
                  </pic:spPr>
                </pic:pic>
              </a:graphicData>
            </a:graphic>
          </wp:inline>
        </w:drawing>
      </w:r>
    </w:p>
    <w:p>
      <w:pPr>
        <w:spacing w:before="40" w:after="140"/>
        <w:jc w:val="center"/>
      </w:pPr>
      <w:r>
        <w:rPr>
          <w:rFonts w:ascii="DejaVu Serif" w:hAnsi="DejaVu Serif" w:eastAsia="DejaVu Serif"/>
          <w:b w:val="0"/>
          <w:i/>
          <w:color w:val="5C6773"/>
          <w:sz w:val="18"/>
        </w:rPr>
        <w:t>Figure 5. Universal associative reflection. English reconstruction of the authorial diagram in the frozen Russian Volume II.</w:t>
      </w:r>
    </w:p>
    <w:p>
      <w:pPr>
        <w:widowControl/>
        <w:spacing w:after="80" w:line="264" w:lineRule="auto"/>
      </w:pPr>
      <w:r>
        <w:rPr>
          <w:rFonts w:ascii="DejaVu Serif" w:hAnsi="DejaVu Serif" w:eastAsia="DejaVu Serif"/>
          <w:b w:val="0"/>
          <w:i w:val="0"/>
          <w:color w:val="111111"/>
          <w:sz w:val="20"/>
        </w:rPr>
        <w:t>The reflection gives a strict measure of information loss under forced associativisation. If J_Ass=0, the algebra is already associative; if J_Ass=𝒜, the associative reflection is zero.</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3"/>
        <w:keepNext/>
        <w:pageBreakBefore w:val="0"/>
      </w:pPr>
      <w:r>
        <w:t>5.1.4. No Universal Diagonal-Quadratic Encoding</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5.8. Degree No-Go [THM] </w:t>
            </w:r>
            <w:r>
              <w:rPr>
                <w:rFonts w:ascii="DejaVu Serif" w:hAnsi="DejaVu Serif" w:eastAsia="DejaVu Serif"/>
                <w:b w:val="0"/>
                <w:i w:val="0"/>
                <w:color w:val="111111"/>
                <w:sz w:val="19"/>
              </w:rPr>
              <w:t>There is no nonzero homogeneous quadratic map Q:𝒜→W that, functorially for every bilinear algebra and every x, coincides with the diagonal associator Ass(x,x,x).</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For a scalar t, Q(tx)=t²Q(x), while Ass(tx,tx,tx)=t³Ass(x,x,x). Over a field with more than two elements, equality for every t is possible only when Ass(x,x,x)=0. Thus a general cubic diagonal channel is not quadratic. □</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5.9. Even the Cubic Diagonal Is Insufficient [THM] </w:t>
            </w:r>
            <w:r>
              <w:rPr>
                <w:rFonts w:ascii="DejaVu Serif" w:hAnsi="DejaVu Serif" w:eastAsia="DejaVu Serif"/>
                <w:b w:val="0"/>
                <w:i w:val="0"/>
                <w:color w:val="111111"/>
                <w:sz w:val="19"/>
              </w:rPr>
              <w:t>In general the map q_Ass(x)=Ass(x,x,x) does not determine the full trilinear associator.</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In an alternative algebra the associator is alternating, so Ass(x,x,x)=0 for every x. The real octonions are nonassociative and have nonzero values on triples of distinct units. Hence q_Ass≡0 does not imply Ass≡0. □</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LIMITATION. </w:t>
            </w:r>
            <w:r>
              <w:rPr>
                <w:rFonts w:ascii="DejaVu Serif" w:hAnsi="DejaVu Serif" w:eastAsia="DejaVu Serif"/>
                <w:b w:val="0"/>
                <w:i w:val="0"/>
                <w:color w:val="111111"/>
                <w:sz w:val="19"/>
              </w:rPr>
              <w:t>The symbol R⋆R cannot mean one number or one diagonal quadratic form capable of recovering arbitrary nonassociativity. A complete certificate needs several polarised channels and a separate alternating component.</w:t>
            </w:r>
          </w:p>
        </w:tc>
        <w:trPr>
          <w:tblHeader/>
        </w:trPr>
      </w:tr>
    </w:tbl>
    <w:p>
      <w:pPr>
        <w:spacing w:after="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Nonassociativity is treated as intrinsic structure, not as a computational error.</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is known through the associator, nuclei, ideals, invariants, and explicit countermodels.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dependence of the result on the bracketing architecture of a packet.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nonzero associator is not by itself physical curvature or a physical event.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R⋆R and its role in packet Reper-harmonic geometry.</w:t>
            </w:r>
          </w:p>
        </w:tc>
      </w:tr>
    </w:tbl>
    <w:p>
      <w:pPr>
        <w:spacing w:after="20"/>
      </w:pPr>
    </w:p>
    <w:p>
      <w:pPr>
        <w:pStyle w:val="Heading3"/>
        <w:keepNext/>
        <w:pageBreakBefore w:val="0"/>
      </w:pPr>
      <w:r>
        <w:t>5.1.5. Quadratic-Alternating R⋆R Certificate</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5.10. Three Quadratic Pencils [DEF-A] </w:t>
            </w:r>
            <w:r>
              <w:rPr>
                <w:rFonts w:ascii="DejaVu Serif" w:hAnsi="DejaVu Serif" w:eastAsia="DejaVu Serif"/>
                <w:b w:val="0"/>
                <w:i w:val="0"/>
                <w:color w:val="111111"/>
                <w:sz w:val="19"/>
              </w:rPr>
              <w:t>For the trilinear tensor T=Ass_⊙ define Q₁₂(c;x)=T(x,x,c), Q₁₃(b;x)=T(x,b,x), and Q₂₃(a;x)=T(a,x,x). If char 𝕂≠2, their polarisations recover the symmetrisations of T in the corresponding pairs of slots.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S₁₂T(x,y,c) = ½[Q₁₂(c;x+y)−Q₁₂(c;x)−Q₁₂(c;y)] = ½[T(x,y,c)+T(y,x,c)],</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S₁₃T(x,b,y) = ½[T(x,b,y)+T(y,b,x)],</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S₂₃T(a,x,y) = ½[T(a,x,y)+T(a,y,x)].</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5.11. Alternating Component [DEF-A] </w:t>
            </w:r>
            <w:r>
              <w:rPr>
                <w:rFonts w:ascii="DejaVu Serif" w:hAnsi="DejaVu Serif" w:eastAsia="DejaVu Serif"/>
                <w:b w:val="0"/>
                <w:i w:val="0"/>
                <w:color w:val="111111"/>
                <w:sz w:val="19"/>
              </w:rPr>
              <w:t>If char 𝕂≠2,3, set Alt(T)=(1/6)Σ_{σ∈S₃}sgn(σ)·T∘σ.</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5.12. Completeness of the Quadratic-Alternating Certificate [THM] </w:t>
            </w:r>
            <w:r>
              <w:rPr>
                <w:rFonts w:ascii="DejaVu Serif" w:hAnsi="DejaVu Serif" w:eastAsia="DejaVu Serif"/>
                <w:b w:val="0"/>
                <w:i w:val="0"/>
                <w:color w:val="111111"/>
                <w:sz w:val="19"/>
              </w:rPr>
              <w:t>If char 𝕂≠2,3, the map T↦(S₁₂T,S₁₃T,S₂₃T,Alt(T)) is injective. Therefore the three polarised quadratic pencils together with Alt(T) determine T uniquely.</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Assume all four components vanish. The equations S_ijT=0 say that T changes sign under each transposition of the corresponding slots, so T is alternating. For an alternating T, Alt(T)=T; the hypothesis Alt(T)=0 therefore gives T=0. □</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5.13. Strict Realisation of R⋆R [DEF-A] </w:t>
            </w:r>
            <w:r>
              <w:rPr>
                <w:rFonts w:ascii="DejaVu Serif" w:hAnsi="DejaVu Serif" w:eastAsia="DejaVu Serif"/>
                <w:b w:val="0"/>
                <w:i w:val="0"/>
                <w:color w:val="111111"/>
                <w:sz w:val="19"/>
              </w:rPr>
              <w:t>For an admissible Reper layer ℛ⊆𝒜 define R⋆R as the certificate (Dom_Ass|ℛ³, Q₁₂, Q₁₃, Q₂₃, Alt(Ass), J_Ass, Prof_Ass). This is neither a new multiplication nor a Hodge operator; the star is reserved for the associator-packet layer.</w:t>
            </w:r>
          </w:p>
        </w:tc>
        <w:trPr>
          <w:tblHeader/>
        </w:trPr>
      </w:tr>
    </w:tbl>
    <w:p>
      <w:pPr>
        <w:spacing w:after="0"/>
      </w:pPr>
    </w:p>
    <w:p>
      <w:pPr>
        <w:keepNext/>
        <w:jc w:val="center"/>
      </w:pPr>
      <w:r>
        <w:drawing>
          <wp:inline xmlns:a="http://schemas.openxmlformats.org/drawingml/2006/main" xmlns:pic="http://schemas.openxmlformats.org/drawingml/2006/picture">
            <wp:extent cx="5832000" cy="3214017"/>
            <wp:docPr id="5" name="Picture 5" descr="Full R-star-R certificate" title="Full R-star-R certificate"/>
            <wp:cNvGraphicFramePr>
              <a:graphicFrameLocks noChangeAspect="1"/>
            </wp:cNvGraphicFramePr>
            <a:graphic>
              <a:graphicData uri="http://schemas.openxmlformats.org/drawingml/2006/picture">
                <pic:pic>
                  <pic:nvPicPr>
                    <pic:cNvPr id="0" name="fig6_rstar.png"/>
                    <pic:cNvPicPr/>
                  </pic:nvPicPr>
                  <pic:blipFill>
                    <a:blip r:embed="rId15"/>
                    <a:stretch>
                      <a:fillRect/>
                    </a:stretch>
                  </pic:blipFill>
                  <pic:spPr>
                    <a:xfrm>
                      <a:off x="0" y="0"/>
                      <a:ext cx="5832000" cy="3214017"/>
                    </a:xfrm>
                    <a:prstGeom prst="rect"/>
                  </pic:spPr>
                </pic:pic>
              </a:graphicData>
            </a:graphic>
          </wp:inline>
        </w:drawing>
      </w:r>
    </w:p>
    <w:p>
      <w:pPr>
        <w:spacing w:before="40" w:after="140"/>
        <w:jc w:val="center"/>
      </w:pPr>
      <w:r>
        <w:rPr>
          <w:rFonts w:ascii="DejaVu Serif" w:hAnsi="DejaVu Serif" w:eastAsia="DejaVu Serif"/>
          <w:b w:val="0"/>
          <w:i/>
          <w:color w:val="5C6773"/>
          <w:sz w:val="18"/>
        </w:rPr>
        <w:t>Figure 6. Full R⋆R certificate: quadratic channels and the alternating component. English reconstruction of the authorial diagram in the frozen Russian Volume II.</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model is a concrete carrier of a definition; a counterexample is a boundary of an admissible claim.</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produced by explicit computation rather than analogy.</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through the operation of formulas on a basis or parameterised family.</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One example does not prove universality, while one valid counterexample refutes an overstrong statement.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systematic inclusion of countermodels in KLT-RBD predictive audit.</w:t>
            </w:r>
          </w:p>
        </w:tc>
      </w:tr>
    </w:tbl>
    <w:p>
      <w:pPr>
        <w:spacing w:after="20"/>
      </w:pPr>
    </w:p>
    <w:p>
      <w:pPr>
        <w:pStyle w:val="Heading3"/>
        <w:keepNext/>
        <w:pageBreakBefore w:val="0"/>
      </w:pPr>
      <w:r>
        <w:t>5.1.6. Explicit Models and Counterexamples</w:t>
      </w:r>
    </w:p>
    <w:p>
      <w:pPr>
        <w:widowControl/>
        <w:spacing w:after="80" w:line="264" w:lineRule="auto"/>
      </w:pPr>
      <w:r>
        <w:rPr>
          <w:rFonts w:ascii="DejaVu Serif" w:hAnsi="DejaVu Serif" w:eastAsia="DejaVu Serif"/>
          <w:b w:val="0"/>
          <w:i w:val="0"/>
          <w:color w:val="111111"/>
          <w:sz w:val="20"/>
        </w:rPr>
        <w:t>Model 𝒜₂. Let 𝒜₂=span{u,v} and define u⊙u=u, u⊙v=v, v⊙u=0, v⊙v=u.</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124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w:t>
            </w:r>
          </w:p>
        </w:tc>
        <w:tc>
          <w:tcPr>
            <w:tcW w:type="dxa" w:w="3912"/>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u</w:t>
            </w:r>
          </w:p>
        </w:tc>
        <w:tc>
          <w:tcPr>
            <w:tcW w:type="dxa" w:w="3912"/>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v</w:t>
            </w:r>
          </w:p>
        </w:tc>
      </w:tr>
      <w:tr>
        <w:trPr>
          <w:cantSplit w:val="true"/>
        </w:trPr>
        <w:tc>
          <w:tcPr>
            <w:tcW w:type="dxa" w:w="124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8"/>
              </w:rPr>
              <w:t>u</w:t>
            </w:r>
          </w:p>
        </w:tc>
        <w:tc>
          <w:tcPr>
            <w:tcW w:type="dxa" w:w="3912"/>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8"/>
              </w:rPr>
              <w:t>u</w:t>
            </w:r>
          </w:p>
        </w:tc>
        <w:tc>
          <w:tcPr>
            <w:tcW w:type="dxa" w:w="3912"/>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8"/>
              </w:rPr>
              <w:t>v</w:t>
            </w:r>
          </w:p>
        </w:tc>
      </w:tr>
      <w:tr>
        <w:trPr>
          <w:cantSplit w:val="true"/>
        </w:trPr>
        <w:tc>
          <w:tcPr>
            <w:tcW w:type="dxa" w:w="124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8"/>
              </w:rPr>
              <w:t>v</w:t>
            </w:r>
          </w:p>
        </w:tc>
        <w:tc>
          <w:tcPr>
            <w:tcW w:type="dxa" w:w="3912"/>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8"/>
              </w:rPr>
              <w:t>0</w:t>
            </w:r>
          </w:p>
        </w:tc>
        <w:tc>
          <w:tcPr>
            <w:tcW w:type="dxa" w:w="3912"/>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8"/>
              </w:rPr>
              <w:t>u</w:t>
            </w:r>
          </w:p>
        </w:tc>
      </w:tr>
    </w:tbl>
    <w:p>
      <w:pPr>
        <w:spacing w:after="2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Ass(v,u,v)=−u,     Ass(v,v,u)=u,     Ass(v,v,v)=v.</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Proposition 5.14. Profile of Model 𝒜₂ [THM] </w:t>
            </w:r>
            <w:r>
              <w:rPr>
                <w:rFonts w:ascii="DejaVu Serif" w:hAnsi="DejaVu Serif" w:eastAsia="DejaVu Serif"/>
                <w:b w:val="0"/>
                <w:i w:val="0"/>
                <w:color w:val="111111"/>
                <w:sz w:val="19"/>
              </w:rPr>
              <w:t>For 𝒜₂, N_l=𝕂u, N_m=0, N_r=0, N=0, Z=0, and J_Ass=𝒜₂.</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Direct computation on basis triples gives the displayed associators. The nucleus conditions reduce to a linear system: the left nucleus is generated by u, while the middle and right nuclei are trivial. The values Ass(v,v,u)=u and Ass(v,v,v)=v span the algebra, so J_Ass=𝒜₂. □</w:t>
      </w:r>
    </w:p>
    <w:p>
      <w:pPr>
        <w:widowControl/>
        <w:spacing w:after="80" w:line="264" w:lineRule="auto"/>
      </w:pPr>
      <w:r>
        <w:rPr>
          <w:rFonts w:ascii="DejaVu Serif" w:hAnsi="DejaVu Serif" w:eastAsia="DejaVu Serif"/>
          <w:b w:val="0"/>
          <w:i w:val="0"/>
          <w:color w:val="111111"/>
          <w:sz w:val="20"/>
        </w:rPr>
        <w:t>Model M₂. For the matrix algebra M₂(𝕂), the associator is identically zero, all three nuclei are M₂(𝕂), J_Ass=0, and the center consists of scalar matrices.</w:t>
      </w:r>
    </w:p>
    <w:p>
      <w:pPr>
        <w:widowControl/>
        <w:spacing w:after="80" w:line="264" w:lineRule="auto"/>
      </w:pPr>
      <w:r>
        <w:rPr>
          <w:rFonts w:ascii="DejaVu Serif" w:hAnsi="DejaVu Serif" w:eastAsia="DejaVu Serif"/>
          <w:b w:val="0"/>
          <w:i w:val="0"/>
          <w:color w:val="111111"/>
          <w:sz w:val="20"/>
        </w:rPr>
        <w:t>Model 𝕆. In the real octonions choose the oriented cycles (123), (145), (176), (246), (257), (347), (365). Then</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Ass(e₁,e₂,e₄) = (e₁e₂)e₄ − e₁(e₂e₄) = e₇ − (−e₇) = 2e₇ ≠ 0,</w:t>
            </w:r>
          </w:p>
        </w:tc>
        <w:trPr>
          <w:tblHeader/>
        </w:trPr>
      </w:tr>
    </w:tbl>
    <w:p>
      <w:pPr>
        <w:spacing w:after="0"/>
      </w:pPr>
    </w:p>
    <w:p>
      <w:pPr>
        <w:widowControl/>
        <w:spacing w:after="80" w:line="264" w:lineRule="auto"/>
      </w:pPr>
      <w:r>
        <w:rPr>
          <w:rFonts w:ascii="DejaVu Serif" w:hAnsi="DejaVu Serif" w:eastAsia="DejaVu Serif"/>
          <w:b w:val="0"/>
          <w:i w:val="0"/>
          <w:color w:val="111111"/>
          <w:sz w:val="20"/>
        </w:rPr>
        <w:t>while alternativity gives Ass(x,x,y)=Ass(y,x,x)=0 and in particular Ass(x,x,x)=0. This is a certificate against diagonal recovery.</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1658"/>
        <w:gridCol w:w="1658"/>
        <w:gridCol w:w="1658"/>
        <w:gridCol w:w="1658"/>
        <w:gridCol w:w="1658"/>
        <w:gridCol w:w="1658"/>
      </w:tblGrid>
      <w:tr>
        <w:trPr>
          <w:cantSplit w:val="true"/>
          <w:tblHeader w:val="true"/>
        </w:trPr>
        <w:tc>
          <w:tcPr>
            <w:tcW w:type="dxa" w:w="124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Model</w:t>
            </w:r>
          </w:p>
        </w:tc>
        <w:tc>
          <w:tcPr>
            <w:tcW w:type="dxa" w:w="1134"/>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rank Ass</w:t>
            </w:r>
          </w:p>
        </w:tc>
        <w:tc>
          <w:tcPr>
            <w:tcW w:type="dxa" w:w="175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N_l/N_m/N_r</w:t>
            </w:r>
          </w:p>
        </w:tc>
        <w:tc>
          <w:tcPr>
            <w:tcW w:type="dxa" w:w="850"/>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Z</w:t>
            </w:r>
          </w:p>
        </w:tc>
        <w:tc>
          <w:tcPr>
            <w:tcW w:type="dxa" w:w="119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J_Ass</w:t>
            </w:r>
          </w:p>
        </w:tc>
        <w:tc>
          <w:tcPr>
            <w:tcW w:type="dxa" w:w="317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Role</w:t>
            </w:r>
          </w:p>
        </w:tc>
      </w:tr>
      <w:tr>
        <w:trPr>
          <w:cantSplit w:val="true"/>
        </w:trPr>
        <w:tc>
          <w:tcPr>
            <w:tcW w:type="dxa" w:w="124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M₂(𝕂)</w:t>
            </w:r>
          </w:p>
        </w:tc>
        <w:tc>
          <w:tcPr>
            <w:tcW w:type="dxa" w:w="113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0</w:t>
            </w:r>
          </w:p>
        </w:tc>
        <w:tc>
          <w:tcPr>
            <w:tcW w:type="dxa" w:w="175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whole algebra</w:t>
            </w:r>
          </w:p>
        </w:tc>
        <w:tc>
          <w:tcPr>
            <w:tcW w:type="dxa" w:w="85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𝕂·I</w:t>
            </w:r>
          </w:p>
        </w:tc>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0</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associative zero control</w:t>
            </w:r>
          </w:p>
        </w:tc>
      </w:tr>
      <w:tr>
        <w:trPr>
          <w:cantSplit w:val="true"/>
        </w:trPr>
        <w:tc>
          <w:tcPr>
            <w:tcW w:type="dxa" w:w="124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𝒜₂</w:t>
            </w:r>
          </w:p>
        </w:tc>
        <w:tc>
          <w:tcPr>
            <w:tcW w:type="dxa" w:w="113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&gt;0</w:t>
            </w:r>
          </w:p>
        </w:tc>
        <w:tc>
          <w:tcPr>
            <w:tcW w:type="dxa" w:w="175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1 / 0 / 0</w:t>
            </w:r>
          </w:p>
        </w:tc>
        <w:tc>
          <w:tcPr>
            <w:tcW w:type="dxa" w:w="85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0</w:t>
            </w:r>
          </w:p>
        </w:tc>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𝒜₂</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explicit complete collapse of the associative reflection</w:t>
            </w:r>
          </w:p>
        </w:tc>
      </w:tr>
      <w:tr>
        <w:trPr>
          <w:cantSplit w:val="true"/>
        </w:trPr>
        <w:tc>
          <w:tcPr>
            <w:tcW w:type="dxa" w:w="124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𝕆</w:t>
            </w:r>
          </w:p>
        </w:tc>
        <w:tc>
          <w:tcPr>
            <w:tcW w:type="dxa" w:w="113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&gt;0</w:t>
            </w:r>
          </w:p>
        </w:tc>
        <w:tc>
          <w:tcPr>
            <w:tcW w:type="dxa" w:w="175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𝕂 / 𝕂 / 𝕂</w:t>
            </w:r>
          </w:p>
        </w:tc>
        <w:tc>
          <w:tcPr>
            <w:tcW w:type="dxa" w:w="85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𝕂</w:t>
            </w:r>
          </w:p>
        </w:tc>
        <w:tc>
          <w:tcPr>
            <w:tcW w:type="dxa" w:w="11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not fixed here</w:t>
            </w:r>
          </w:p>
        </w:tc>
        <w:tc>
          <w:tcPr>
            <w:tcW w:type="dxa" w:w="317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counterexample to diagonal encoding</w:t>
            </w:r>
          </w:p>
        </w:tc>
      </w:tr>
    </w:tbl>
    <w:p>
      <w:pPr>
        <w:spacing w:after="2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Nonassociativity is treated as intrinsic structure, not as a computational error.</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is known through the associator, nuclei, ideals, invariants, and explicit countermodels.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dependence of the result on the bracketing architecture of a packet.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nonzero associator is not by itself physical curvature or a physical event.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R⋆R and its role in packet Reper-harmonic geometry.</w:t>
            </w:r>
          </w:p>
        </w:tc>
      </w:tr>
    </w:tbl>
    <w:p>
      <w:pPr>
        <w:spacing w:after="20"/>
      </w:pPr>
    </w:p>
    <w:p>
      <w:pPr>
        <w:pStyle w:val="Heading3"/>
        <w:keepNext/>
        <w:pageBreakBefore w:val="0"/>
      </w:pPr>
      <w:r>
        <w:t>5.1.7. Associator Invariant Profile</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5.15. Basic Profile [DEF-A] </w:t>
            </w:r>
            <w:r>
              <w:rPr>
                <w:rFonts w:ascii="DejaVu Serif" w:hAnsi="DejaVu Serif" w:eastAsia="DejaVu Serif"/>
                <w:b w:val="0"/>
                <w:i w:val="0"/>
                <w:color w:val="111111"/>
                <w:sz w:val="19"/>
              </w:rPr>
              <w:t>For a finite-dimensional algebra define Prof_Ass(𝒜)=(n,r_Ass,n_l,n_m,n_r,n_N,n_Z), where n=dim𝒜, r_Ass=rank(Ass:𝒜^{⊗3}→𝒜), and the remaining coordinates are the dimensions of the three nuclei, their intersection, and the center. An extended profile additionally records dim J_Ass and the ranks of selected quadratic channels.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5.16. Isomorphism Invariance of the Profile [THM] </w:t>
            </w:r>
            <w:r>
              <w:rPr>
                <w:rFonts w:ascii="DejaVu Serif" w:hAnsi="DejaVu Serif" w:eastAsia="DejaVu Serif"/>
                <w:b w:val="0"/>
                <w:i w:val="0"/>
                <w:color w:val="111111"/>
                <w:sz w:val="19"/>
              </w:rPr>
              <w:t>If Φ:𝒜→ℬ is an algebra isomorphism, then Prof_Ass(𝒜)=Prof_Ass(ℬ).</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The identity Φ(Ass_𝒜(a,b,c))=Ass_ℬ(Φa,Φb,Φc) gives conjugate structural maps. Ranks are preserved, and Φ bijectively transports N_l,N_m,N_r,N, and Z. □</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5.17. Profile Pseudodistance [DEF-A] </w:t>
            </w:r>
            <w:r>
              <w:rPr>
                <w:rFonts w:ascii="DejaVu Serif" w:hAnsi="DejaVu Serif" w:eastAsia="DejaVu Serif"/>
                <w:b w:val="0"/>
                <w:i w:val="0"/>
                <w:color w:val="111111"/>
                <w:sz w:val="19"/>
              </w:rPr>
              <w:t>For weights w_j≥0 set d_prof(𝒜,ℬ)=Σ_j w_j|p_j(𝒜)−p_j(ℬ)|. This is a coarse isomorphism-invariant diagnostic, not a complete classifier: d_prof=0 need not imply isomorphism.</w:t>
            </w:r>
          </w:p>
        </w:tc>
        <w:trPr>
          <w:tblHeader/>
        </w:trPr>
      </w:tr>
    </w:tbl>
    <w:p>
      <w:pPr>
        <w:spacing w:after="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3"/>
        <w:keepNext/>
        <w:pageBreakBefore w:val="0"/>
      </w:pPr>
      <w:r>
        <w:t>5.1.8. Determinantal Horizon of Structural Transitions</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ONTOLOGICAL BLOCK. </w:t>
            </w:r>
            <w:r>
              <w:rPr>
                <w:rFonts w:ascii="DejaVu Serif" w:hAnsi="DejaVu Serif" w:eastAsia="DejaVu Serif"/>
                <w:b w:val="0"/>
                <w:i w:val="0"/>
                <w:color w:val="111111"/>
                <w:sz w:val="19"/>
              </w:rPr>
              <w:t>A structural change need not be visible in individual coefficients. It becomes mathematically detectable when a tensor rank or the dimension of a nucleus or center changes. Such changes are not arbitrary: they are localised by zeros of determinants.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5.18. Polynomial Family of Algebras [DEF-A] </w:t>
            </w:r>
            <w:r>
              <w:rPr>
                <w:rFonts w:ascii="DejaVu Serif" w:hAnsi="DejaVu Serif" w:eastAsia="DejaVu Serif"/>
                <w:b w:val="0"/>
                <w:i w:val="0"/>
                <w:color w:val="111111"/>
                <w:sz w:val="19"/>
              </w:rPr>
              <w:t>Let V be n-dimensional, T an irreducible algebraic parameter variety, and μ_t∈Hom(V⊗V,V) have structure constants polynomial in t. Let A_t, L_t, M_t, R_t, and C_t be the matrices of the associator, the three nucleus maps, and the commutator channel.</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5.19. Determinantal Horizon [DEF-A] </w:t>
            </w:r>
            <w:r>
              <w:rPr>
                <w:rFonts w:ascii="DejaVu Serif" w:hAnsi="DejaVu Serif" w:eastAsia="DejaVu Serif"/>
                <w:b w:val="0"/>
                <w:i w:val="0"/>
                <w:color w:val="111111"/>
                <w:sz w:val="19"/>
              </w:rPr>
              <w:t>Δ_NAPG is the union of determinantal loci where the rank of at least one of A_t,L_t,M_t,R_t, the block nucleus matrix N_t=(L_t,M_t,R_t), or the block center matrix Z_t=(L_t,M_t,R_t,C_t) is below its generic rank on a nonempty open subset of T.</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5.20. Localisation of Structural Transitions [THM] </w:t>
            </w:r>
            <w:r>
              <w:rPr>
                <w:rFonts w:ascii="DejaVu Serif" w:hAnsi="DejaVu Serif" w:eastAsia="DejaVu Serif"/>
                <w:b w:val="0"/>
                <w:i w:val="0"/>
                <w:color w:val="111111"/>
                <w:sz w:val="19"/>
              </w:rPr>
              <w:t>On the nonempty Zariski-open set T°=T∖Δ_NAPG, the basic profile Prof_Ass(𝒜_t) is constant. In particular, along a continuous path γ contained in one connected component of T°, the profile does not change. Any change of profile requires crossing Δ_NAPG.</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The matrix entries are polynomial in t. The condition rank≤r is defined by vanishing of all minors of order r+1. Each matrix reaches its generic rank on a nonempty Zariski-open set. After removing the union of the corresponding determinantal loci, all ranks are constant. The dimensions of the nuclei and center are n minus the ranks of the relevant linear or block maps; hence all profile coordinates are constant. □</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5.21. Negative Prediction Theorem [THM] </w:t>
            </w:r>
            <w:r>
              <w:rPr>
                <w:rFonts w:ascii="DejaVu Serif" w:hAnsi="DejaVu Serif" w:eastAsia="DejaVu Serif"/>
                <w:b w:val="0"/>
                <w:i w:val="0"/>
                <w:color w:val="111111"/>
                <w:sz w:val="19"/>
              </w:rPr>
              <w:t>If γ([t₀,t₁])∩Δ_NAPG=∅, then a change of the basic associator profile is excluded throughout the interval within the model.</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This is immediate from Theorem 5.20. The claim is exact inside the specified family μ_t and does not automatically transfer to physical systems. □</w:t>
      </w:r>
    </w:p>
    <w:p>
      <w:pPr>
        <w:keepNext/>
        <w:jc w:val="center"/>
      </w:pPr>
      <w:r>
        <w:drawing>
          <wp:inline xmlns:a="http://schemas.openxmlformats.org/drawingml/2006/main" xmlns:pic="http://schemas.openxmlformats.org/drawingml/2006/picture">
            <wp:extent cx="5832000" cy="3214017"/>
            <wp:docPr id="6" name="Picture 6" descr="Determinantal horizon of possible structural transitions" title="Determinantal horizon of possible structural transitions"/>
            <wp:cNvGraphicFramePr>
              <a:graphicFrameLocks noChangeAspect="1"/>
            </wp:cNvGraphicFramePr>
            <a:graphic>
              <a:graphicData uri="http://schemas.openxmlformats.org/drawingml/2006/picture">
                <pic:pic>
                  <pic:nvPicPr>
                    <pic:cNvPr id="0" name="fig7_horizon.png"/>
                    <pic:cNvPicPr/>
                  </pic:nvPicPr>
                  <pic:blipFill>
                    <a:blip r:embed="rId16"/>
                    <a:stretch>
                      <a:fillRect/>
                    </a:stretch>
                  </pic:blipFill>
                  <pic:spPr>
                    <a:xfrm>
                      <a:off x="0" y="0"/>
                      <a:ext cx="5832000" cy="3214017"/>
                    </a:xfrm>
                    <a:prstGeom prst="rect"/>
                  </pic:spPr>
                </pic:pic>
              </a:graphicData>
            </a:graphic>
          </wp:inline>
        </w:drawing>
      </w:r>
    </w:p>
    <w:p>
      <w:pPr>
        <w:spacing w:before="40" w:after="140"/>
        <w:jc w:val="center"/>
      </w:pPr>
      <w:r>
        <w:rPr>
          <w:rFonts w:ascii="DejaVu Serif" w:hAnsi="DejaVu Serif" w:eastAsia="DejaVu Serif"/>
          <w:b w:val="0"/>
          <w:i/>
          <w:color w:val="5C6773"/>
          <w:sz w:val="18"/>
        </w:rPr>
        <w:t>Figure 7. Determinantal horizon of possible structural transitions. English reconstruction of the authorial diagram in the frozen Russian Volume II.</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Reper exists as the quadruple R,I,U;D, not as a triad without foundation.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harmonic coordinate is informative only together with an evidence package and a domain.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Phenomenologically, λ records the alignment of fact, idea, possibilities, and foundation.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equality λ=-1 does not replace proof, measurement, or causal identification.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strict KLT-RBD λ-gate with D/Dom and an abstention rule.</w:t>
            </w:r>
          </w:p>
        </w:tc>
      </w:tr>
    </w:tbl>
    <w:p>
      <w:pPr>
        <w:spacing w:after="20"/>
      </w:pPr>
    </w:p>
    <w:p>
      <w:pPr>
        <w:pStyle w:val="Heading3"/>
        <w:keepNext/>
        <w:pageBreakBefore w:val="0"/>
      </w:pPr>
      <w:r>
        <w:t>5.1.9. Projective-Harmonic Localisation of Candidates</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5.22. Predictive Horizon along a Path [DEF-A] </w:t>
            </w:r>
            <w:r>
              <w:rPr>
                <w:rFonts w:ascii="DejaVu Serif" w:hAnsi="DejaVu Serif" w:eastAsia="DejaVu Serif"/>
                <w:b w:val="0"/>
                <w:i w:val="0"/>
                <w:color w:val="111111"/>
                <w:sz w:val="19"/>
              </w:rPr>
              <w:t>For an observed parameter t₀ and a path γ:[t₀,t₁]→T, set Hor_Ass(γ)=γ^{-1}(Δ_NAPG). This is the set of parameter times at which a structural transition is not excluded by the determinantal theorem.</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5.23. Harmonic Transition Candidate [DEF-A] </w:t>
            </w:r>
            <w:r>
              <w:rPr>
                <w:rFonts w:ascii="DejaVu Serif" w:hAnsi="DejaVu Serif" w:eastAsia="DejaVu Serif"/>
                <w:b w:val="0"/>
                <w:i w:val="0"/>
                <w:color w:val="111111"/>
                <w:sz w:val="19"/>
              </w:rPr>
              <w:t>Compactify the parameter line to P¹(𝕂), and let ρ=(r,i,u;d) be a Reper with u∈Δ_NAPG. The candidate is harmonic if λ(u,i;r,d)=−1, Valid(D)=1, ρ∈Dom_λ, and the minor certificate is reproducible.</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Cand_H = {ρ : u∈Δ_NAPG, λ(ρ)=−1, Valid(D)=1, Cert_det(u)=PASS}.</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187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Level</w:t>
            </w:r>
          </w:p>
        </w:tc>
        <w:tc>
          <w:tcPr>
            <w:tcW w:type="dxa" w:w="368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Condition</w:t>
            </w:r>
          </w:p>
        </w:tc>
        <w:tc>
          <w:tcPr>
            <w:tcW w:type="dxa" w:w="379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Permitted conclusion</w:t>
            </w:r>
          </w:p>
        </w:tc>
      </w:tr>
      <w:tr>
        <w:trPr>
          <w:cantSplit w:val="true"/>
        </w:trPr>
        <w:tc>
          <w:tcPr>
            <w:tcW w:type="dxa" w:w="187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Algebraic locus</w:t>
            </w:r>
          </w:p>
        </w:tc>
        <w:tc>
          <w:tcPr>
            <w:tcW w:type="dxa" w:w="368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u∈Δ_NAPG</w:t>
            </w:r>
          </w:p>
        </w:tc>
        <w:tc>
          <w:tcPr>
            <w:tcW w:type="dxa" w:w="379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a structural transition is not excluded</w:t>
            </w:r>
          </w:p>
        </w:tc>
      </w:tr>
      <w:tr>
        <w:trPr>
          <w:cantSplit w:val="true"/>
        </w:trPr>
        <w:tc>
          <w:tcPr>
            <w:tcW w:type="dxa" w:w="187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Harmonic candidate</w:t>
            </w:r>
          </w:p>
        </w:tc>
        <w:tc>
          <w:tcPr>
            <w:tcW w:type="dxa" w:w="368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u∈Δ_NAPG and λ=−1 with D/Dom</w:t>
            </w:r>
          </w:p>
        </w:tc>
        <w:tc>
          <w:tcPr>
            <w:tcW w:type="dxa" w:w="379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coordinate-invariant candidate for testing</w:t>
            </w:r>
          </w:p>
        </w:tc>
      </w:tr>
      <w:tr>
        <w:trPr>
          <w:cantSplit w:val="true"/>
        </w:trPr>
        <w:tc>
          <w:tcPr>
            <w:tcW w:type="dxa" w:w="187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Certified transition</w:t>
            </w:r>
          </w:p>
        </w:tc>
        <w:tc>
          <w:tcPr>
            <w:tcW w:type="dxa" w:w="368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one-sided profiles differ and computations are reproducible</w:t>
            </w:r>
          </w:p>
        </w:tc>
        <w:tc>
          <w:tcPr>
            <w:tcW w:type="dxa" w:w="379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the profile changes in the specified model</w:t>
            </w:r>
          </w:p>
        </w:tc>
      </w:tr>
      <w:tr>
        <w:trPr>
          <w:cantSplit w:val="true"/>
        </w:trPr>
        <w:tc>
          <w:tcPr>
            <w:tcW w:type="dxa" w:w="187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Physical event</w:t>
            </w:r>
          </w:p>
        </w:tc>
        <w:tc>
          <w:tcPr>
            <w:tcW w:type="dxa" w:w="368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independent data and operationalisation</w:t>
            </w:r>
          </w:p>
        </w:tc>
        <w:tc>
          <w:tcPr>
            <w:tcW w:type="dxa" w:w="379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only after a separate external protocol</w:t>
            </w:r>
          </w:p>
        </w:tc>
      </w:tr>
    </w:tbl>
    <w:p>
      <w:pPr>
        <w:spacing w:after="2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5.24. Projective Invariance of a Harmonic Candidate [THM] </w:t>
            </w:r>
            <w:r>
              <w:rPr>
                <w:rFonts w:ascii="DejaVu Serif" w:hAnsi="DejaVu Serif" w:eastAsia="DejaVu Serif"/>
                <w:b w:val="0"/>
                <w:i w:val="0"/>
                <w:color w:val="111111"/>
                <w:sz w:val="19"/>
              </w:rPr>
              <w:t>Under a projective change of coordinate on the parameter line, λ=−1 is preserved and the determinantal locus is transported by the family isomorphism. Thus Cand_H is invariant under a compatible projective reparameterisation and transport of D.</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Cross-ratio is projectively invariant. Under isomorphic transport, the structural matrices are conjugated by invertible matrices, so their ranks and determinantal loci are preserved. Valid(D) is transported under the separate evidence-equivalence hypothesis. □</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LIMITATION. </w:t>
            </w:r>
            <w:r>
              <w:rPr>
                <w:rFonts w:ascii="DejaVu Serif" w:hAnsi="DejaVu Serif" w:eastAsia="DejaVu Serif"/>
                <w:b w:val="0"/>
                <w:i w:val="0"/>
                <w:color w:val="111111"/>
                <w:sz w:val="19"/>
              </w:rPr>
              <w:t>Harmony λ=−1 does not create a transition. It marks a projectively invariant relation among four already defined points. A positive conclusion requires the simultaneous determinantal, domain, evidence, and reproducible-computation conditions.</w:t>
            </w:r>
          </w:p>
        </w:tc>
        <w:trPr>
          <w:tblHeader/>
        </w:trPr>
      </w:tr>
    </w:tbl>
    <w:p>
      <w:pPr>
        <w:spacing w:after="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computational object exists only together with inputs, an algorithm, and a reproducible certificate.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supported by repeatability, exact tests, and control of numerical conditioning.</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agreement between expected and computed invariants.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successful run proves neither a universal theorem nor an empirical claim.</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a proof-carrying computational circuit within KLT-RBD.</w:t>
            </w:r>
          </w:p>
        </w:tc>
      </w:tr>
    </w:tbl>
    <w:p>
      <w:pPr>
        <w:spacing w:after="20"/>
      </w:pPr>
    </w:p>
    <w:p>
      <w:pPr>
        <w:pStyle w:val="Heading3"/>
        <w:keepNext/>
        <w:pageBreakBefore w:val="0"/>
      </w:pPr>
      <w:r>
        <w:t>5.1.10. Computational Certificate</w:t>
      </w:r>
    </w:p>
    <w:p>
      <w:pPr>
        <w:widowControl/>
        <w:spacing w:after="80" w:line="264" w:lineRule="auto"/>
      </w:pPr>
      <w:r>
        <w:rPr>
          <w:rFonts w:ascii="DejaVu Serif" w:hAnsi="DejaVu Serif" w:eastAsia="DejaVu Serif"/>
          <w:b w:val="0"/>
          <w:i w:val="0"/>
          <w:color w:val="111111"/>
          <w:sz w:val="20"/>
        </w:rPr>
        <w:t>For a basis e₁,…,e_n and structure constants μ(e_i,e_j)=Σ_k c^k_{ij}e_k, the certificate performs the following sequence:</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794"/>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Step</w:t>
            </w:r>
          </w:p>
        </w:tc>
        <w:tc>
          <w:tcPr>
            <w:tcW w:type="dxa" w:w="453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Operation</w:t>
            </w:r>
          </w:p>
        </w:tc>
        <w:tc>
          <w:tcPr>
            <w:tcW w:type="dxa" w:w="402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Check</w:t>
            </w:r>
          </w:p>
        </w:tc>
      </w:tr>
      <w:tr>
        <w:trPr>
          <w:cantSplit w:val="true"/>
        </w:trPr>
        <w:tc>
          <w:tcPr>
            <w:tcW w:type="dxa" w:w="79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C1</w:t>
            </w:r>
          </w:p>
        </w:tc>
        <w:tc>
          <w:tcPr>
            <w:tcW w:type="dxa" w:w="45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construct the matrix Ass:V^{⊗3}→V</w:t>
            </w:r>
          </w:p>
        </w:tc>
        <w:tc>
          <w:tcPr>
            <w:tcW w:type="dxa" w:w="402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exact coefficients or controlled arithmetic</w:t>
            </w:r>
          </w:p>
        </w:tc>
      </w:tr>
      <w:tr>
        <w:trPr>
          <w:cantSplit w:val="true"/>
        </w:trPr>
        <w:tc>
          <w:tcPr>
            <w:tcW w:type="dxa" w:w="79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C2</w:t>
            </w:r>
          </w:p>
        </w:tc>
        <w:tc>
          <w:tcPr>
            <w:tcW w:type="dxa" w:w="45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construct L_Ass,M_Ass,R_Ass,C_comm</w:t>
            </w:r>
          </w:p>
        </w:tc>
        <w:tc>
          <w:tcPr>
            <w:tcW w:type="dxa" w:w="402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agreement with the chosen basis order</w:t>
            </w:r>
          </w:p>
        </w:tc>
      </w:tr>
      <w:tr>
        <w:trPr>
          <w:cantSplit w:val="true"/>
        </w:trPr>
        <w:tc>
          <w:tcPr>
            <w:tcW w:type="dxa" w:w="79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C3</w:t>
            </w:r>
          </w:p>
        </w:tc>
        <w:tc>
          <w:tcPr>
            <w:tcW w:type="dxa" w:w="45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compute ranks and kernels</w:t>
            </w:r>
          </w:p>
        </w:tc>
        <w:tc>
          <w:tcPr>
            <w:tcW w:type="dxa" w:w="402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exact values and kernel bases</w:t>
            </w:r>
          </w:p>
        </w:tc>
      </w:tr>
      <w:tr>
        <w:trPr>
          <w:cantSplit w:val="true"/>
        </w:trPr>
        <w:tc>
          <w:tcPr>
            <w:tcW w:type="dxa" w:w="79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C4</w:t>
            </w:r>
          </w:p>
        </w:tc>
        <w:tc>
          <w:tcPr>
            <w:tcW w:type="dxa" w:w="45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construct J_Ass by I_{k+1}=I_k+VI_k+I_kV</w:t>
            </w:r>
          </w:p>
        </w:tc>
        <w:tc>
          <w:tcPr>
            <w:tcW w:type="dxa" w:w="402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stabilisation within at most n strict increases</w:t>
            </w:r>
          </w:p>
        </w:tc>
      </w:tr>
      <w:tr>
        <w:trPr>
          <w:cantSplit w:val="true"/>
        </w:trPr>
        <w:tc>
          <w:tcPr>
            <w:tcW w:type="dxa" w:w="79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C5</w:t>
            </w:r>
          </w:p>
        </w:tc>
        <w:tc>
          <w:tcPr>
            <w:tcW w:type="dxa" w:w="45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check Q₁₂,Q₁₃,Q₂₃ and Alt(Ass)</w:t>
            </w:r>
          </w:p>
        </w:tc>
        <w:tc>
          <w:tcPr>
            <w:tcW w:type="dxa" w:w="402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reconstruction of Ass when char≠2,3</w:t>
            </w:r>
          </w:p>
        </w:tc>
      </w:tr>
      <w:tr>
        <w:trPr>
          <w:cantSplit w:val="true"/>
        </w:trPr>
        <w:tc>
          <w:tcPr>
            <w:tcW w:type="dxa" w:w="79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C6</w:t>
            </w:r>
          </w:p>
        </w:tc>
        <w:tc>
          <w:tcPr>
            <w:tcW w:type="dxa" w:w="45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for μ_t compute maximal minors</w:t>
            </w:r>
          </w:p>
        </w:tc>
        <w:tc>
          <w:tcPr>
            <w:tcW w:type="dxa" w:w="402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obtain Δ_NAPG and control polynomials</w:t>
            </w:r>
          </w:p>
        </w:tc>
      </w:tr>
      <w:tr>
        <w:trPr>
          <w:cantSplit w:val="true"/>
        </w:trPr>
        <w:tc>
          <w:tcPr>
            <w:tcW w:type="dxa" w:w="79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C7</w:t>
            </w:r>
          </w:p>
        </w:tc>
        <w:tc>
          <w:tcPr>
            <w:tcW w:type="dxa" w:w="45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check λ, D/Dom, and source hashes</w:t>
            </w:r>
          </w:p>
        </w:tc>
        <w:tc>
          <w:tcPr>
            <w:tcW w:type="dxa" w:w="402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do not merge algebraic and physical statuses</w:t>
            </w:r>
          </w:p>
        </w:tc>
      </w:tr>
    </w:tbl>
    <w:p>
      <w:pPr>
        <w:spacing w:after="2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Proposition 5.25. Finiteness of the Construction of J_Ass [THM] </w:t>
            </w:r>
            <w:r>
              <w:rPr>
                <w:rFonts w:ascii="DejaVu Serif" w:hAnsi="DejaVu Serif" w:eastAsia="DejaVu Serif"/>
                <w:b w:val="0"/>
                <w:i w:val="0"/>
                <w:color w:val="111111"/>
                <w:sz w:val="19"/>
              </w:rPr>
              <w:t>In an n-dimensional algebra, the increasing chain I₀⊆I₁⊆… with I₀=span Im Ass and I_{k+1}=I_k+𝒜I_k+I_k𝒜 stabilises after at most n strict increases; its limit is J_Ass.</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Every strict inclusion increases the dimension by at least one, while the dimension is bounded by n. A stable subspace contains Im Ass and is closed under multiplication on the left and right, so it is the required least two-sided ideal. □</w:t>
      </w:r>
    </w:p>
    <w:p>
      <w:pPr>
        <w:pStyle w:val="Heading2"/>
        <w:keepNext/>
        <w:pageBreakBefore w:val="0"/>
      </w:pPr>
      <w:r>
        <w:t>5.2. Bibliographic Synchronisation</w:t>
      </w:r>
    </w:p>
    <w:p>
      <w:pPr>
        <w:widowControl/>
        <w:spacing w:after="80" w:line="264" w:lineRule="auto"/>
      </w:pPr>
      <w:r>
        <w:rPr>
          <w:rFonts w:ascii="DejaVu Serif" w:hAnsi="DejaVu Serif" w:eastAsia="DejaVu Serif"/>
          <w:b w:val="0"/>
          <w:i w:val="0"/>
          <w:color w:val="111111"/>
          <w:sz w:val="20"/>
        </w:rPr>
        <w:t>[1] Schafer, R. D. Structure and Representation of Nonassociative Algebras. Bulletin of the American Mathematical Society 61 (1955), 469-484.</w:t>
      </w:r>
    </w:p>
    <w:p>
      <w:pPr>
        <w:widowControl/>
        <w:spacing w:after="80" w:line="264" w:lineRule="auto"/>
      </w:pPr>
      <w:r>
        <w:rPr>
          <w:rFonts w:ascii="DejaVu Serif" w:hAnsi="DejaVu Serif" w:eastAsia="DejaVu Serif"/>
          <w:b w:val="0"/>
          <w:i w:val="0"/>
          <w:color w:val="111111"/>
          <w:sz w:val="20"/>
        </w:rPr>
        <w:t>[2] Baez, J. C. The Octonions. Bulletin of the American Mathematical Society 39 (2002), 145-205; arXiv:math/0105155.</w:t>
      </w:r>
    </w:p>
    <w:p>
      <w:pPr>
        <w:widowControl/>
        <w:spacing w:after="80" w:line="264" w:lineRule="auto"/>
      </w:pPr>
      <w:r>
        <w:rPr>
          <w:rFonts w:ascii="Aptos" w:hAnsi="Aptos"/>
          <w:b w:val="0"/>
          <w:i w:val="0"/>
          <w:sz w:val="20"/>
        </w:rPr>
        <w:t>[3] Glassman, N. D. Cohomologicaly of Nonassociative Algebras. Pacific Journal of Mathematics 33 (1970), 617-631.</w:t>
      </w:r>
    </w:p>
    <w:p>
      <w:pPr>
        <w:widowControl/>
        <w:spacing w:after="80" w:line="264" w:lineRule="auto"/>
      </w:pPr>
      <w:r>
        <w:rPr>
          <w:rFonts w:ascii="DejaVu Serif" w:hAnsi="DejaVu Serif" w:eastAsia="DejaVu Serif"/>
          <w:b w:val="0"/>
          <w:i w:val="0"/>
          <w:color w:val="111111"/>
          <w:sz w:val="20"/>
        </w:rPr>
        <w:t>[4] Salzmann, H. et al. The Role of Nonassociative Algebra in Projective Geometry. Graduate Studies in Mathematics 159, AMS, 2014.</w:t>
      </w:r>
    </w:p>
    <w:p>
      <w:pPr>
        <w:widowControl/>
        <w:spacing w:after="80" w:line="264" w:lineRule="auto"/>
      </w:pPr>
      <w:r>
        <w:rPr>
          <w:rFonts w:ascii="DejaVu Serif" w:hAnsi="DejaVu Serif" w:eastAsia="DejaVu Serif"/>
          <w:b w:val="0"/>
          <w:i w:val="0"/>
          <w:color w:val="111111"/>
          <w:sz w:val="20"/>
        </w:rPr>
        <w:t>[5] Kaygorodov, I. Non-associative Algebraic Structures: Classification and Structure. arXiv:2306.00425, revised 2023.</w:t>
      </w:r>
    </w:p>
    <w:p>
      <w:pPr>
        <w:widowControl/>
        <w:spacing w:after="80" w:line="264" w:lineRule="auto"/>
      </w:pPr>
      <w:r>
        <w:rPr>
          <w:rFonts w:ascii="DejaVu Serif" w:hAnsi="DejaVu Serif" w:eastAsia="DejaVu Serif"/>
          <w:b w:val="0"/>
          <w:i w:val="0"/>
          <w:color w:val="111111"/>
          <w:sz w:val="20"/>
        </w:rPr>
        <w:t>[6] Kurpishev, I. B. Volume I v197 RU and T2-RP-v0.2: canonical internal sources of this edition.</w:t>
      </w:r>
    </w:p>
    <w:p>
      <w:pPr>
        <w:widowControl/>
        <w:spacing w:after="80" w:line="264" w:lineRule="auto"/>
      </w:pPr>
      <w:r>
        <w:rPr>
          <w:rFonts w:ascii="DejaVu Serif" w:hAnsi="DejaVu Serif" w:eastAsia="DejaVu Serif"/>
          <w:b w:val="0"/>
          <w:i w:val="0"/>
          <w:color w:val="111111"/>
          <w:sz w:val="20"/>
        </w:rPr>
        <w:t>Classical definitions of the associator, nuclei, center, alternativity, and octonions are prior art. The authorial contribution of this layer is the strict R⋆R certificate, its connection to D/Dom and the λ-selector, the KLT-RBD associator profile, and the determinantal horizon for predictive exclusion.</w:t>
      </w:r>
    </w:p>
    <w:p>
      <w:pPr>
        <w:pStyle w:val="Heading1"/>
        <w:keepNext/>
        <w:pageBreakBefore/>
      </w:pPr>
      <w:bookmarkStart w:id="1005" w:name="T2_CH06"/>
      <w:r>
        <w:t>Chapter 6. Packet-Reper Algebraic-Geometric Duality</w:t>
      </w:r>
      <w:bookmarkEnd w:id="1005"/>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historical layer exists as a network of sources and priorities rather than an anonymous background.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of authorship requires separation of classical constructions from the new composition.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a precise bibliography and a dependency map of ideas.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Use of prior art does not reduce the novelty of synthesis but prohibits reattribution of classical results.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fixed in the architecture of connection, new objects, and evidential gates.</w:t>
            </w:r>
          </w:p>
        </w:tc>
      </w:tr>
    </w:tbl>
    <w:p>
      <w:pPr>
        <w:spacing w:after="20"/>
      </w:pPr>
    </w:p>
    <w:p>
      <w:pPr>
        <w:pStyle w:val="Heading2"/>
      </w:pPr>
      <w:r>
        <w:rPr>
          <w:color w:val="1F4E78"/>
          <w:b/>
        </w:rPr>
        <w:t>6.1. Duality Core</w:t>
      </w:r>
    </w:p>
    <w:p>
      <w:pPr>
        <w:pStyle w:val="Heading3"/>
        <w:keepNext/>
        <w:pageBreakBefore w:val="0"/>
      </w:pPr>
      <w:r>
        <w:t>6.1.1. Boundary between Prior Art and the Authorial Construction</w:t>
      </w:r>
    </w:p>
    <w:p>
      <w:pPr>
        <w:widowControl/>
        <w:spacing w:after="80" w:line="264" w:lineRule="auto"/>
      </w:pPr>
      <w:r>
        <w:rPr>
          <w:rFonts w:ascii="DejaVu Serif" w:hAnsi="DejaVu Serif" w:eastAsia="DejaVu Serif"/>
          <w:b w:val="0"/>
          <w:i w:val="0"/>
          <w:color w:val="111111"/>
          <w:sz w:val="20"/>
        </w:rPr>
        <w:t>Classical mathematics contains several inequivalent paradigms of duality: anti-equivalence between commutative rings and affine schemes; recovery of a compact space from a commutative C*-algebra; correspondence between vector bundles and finitely generated projective modules; and reconstruction of an object from its Hom functor. This chapter neither renames those results nor claims them as authorial.</w:t>
      </w:r>
    </w:p>
    <w:p>
      <w:pPr>
        <w:widowControl/>
        <w:spacing w:after="80" w:line="264" w:lineRule="auto"/>
      </w:pPr>
      <w:r>
        <w:rPr>
          <w:rFonts w:ascii="DejaVu Serif" w:hAnsi="DejaVu Serif" w:eastAsia="DejaVu Serif"/>
          <w:b w:val="0"/>
          <w:i w:val="0"/>
          <w:color w:val="111111"/>
          <w:sz w:val="20"/>
        </w:rPr>
        <w:t>The authorial construction of Volume II is their disciplined transport into NAPG: a representable functor of packet-Reper points, a reconstruction defect, a projective Reper atlas, coordination of algebraic and geometric determinantal horizons, and a blocker-safe rule for predictive transport.</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170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Classical line</w:t>
            </w:r>
          </w:p>
        </w:tc>
        <w:tc>
          <w:tcPr>
            <w:tcW w:type="dxa" w:w="3402"/>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Imported principle</w:t>
            </w:r>
          </w:p>
        </w:tc>
        <w:tc>
          <w:tcPr>
            <w:tcW w:type="dxa" w:w="4252"/>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What is not transported automatically</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Affine schemes</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Contravariance of Spec and recovery from global sections on the affine layer.</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 noncommutative or nonassociative algebra has no canonical scheme spectrum without an additional construction.</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Gelfand-Naimark</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Recovery of a space from a function algebra.</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C*-topology, positivity, and involution are absent from the general NAPG core.</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Serre-Swan</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Relation between local bundle geometry and projective modules.</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An arbitrary NAPG module is not automatically a vector bundle.</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Yoneda</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Full faithfulness of the representable Hom functor.</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 representable functor is not automatically an ordinary topological space.</w:t>
            </w:r>
          </w:p>
        </w:tc>
      </w:tr>
    </w:tbl>
    <w:p>
      <w:pPr>
        <w:spacing w:after="2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Algebraic and geometric carriers are distinct representations of structure.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Their correspondence is established only through functors, unit/counit maps, and reconstruction defects.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Duality appears as mutual recovery of invariants.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static anti-equivalence creates neither dynamics nor causality.</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Reper duality with explicit control of losses in D, Dom, and predictive status.</w:t>
            </w:r>
          </w:p>
        </w:tc>
      </w:tr>
    </w:tbl>
    <w:p>
      <w:pPr>
        <w:spacing w:after="20"/>
      </w:pPr>
    </w:p>
    <w:p>
      <w:pPr>
        <w:pStyle w:val="Heading3"/>
        <w:keepNext/>
        <w:pageBreakBefore w:val="0"/>
      </w:pPr>
      <w:r>
        <w:t>6.1.2. Two Different Dualities</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6.1. Representable Duality [DEF-A] </w:t>
            </w:r>
            <w:r>
              <w:rPr>
                <w:rFonts w:ascii="DejaVu Serif" w:hAnsi="DejaVu Serif" w:eastAsia="DejaVu Serif"/>
                <w:b w:val="0"/>
                <w:i w:val="0"/>
                <w:color w:val="111111"/>
                <w:sz w:val="19"/>
              </w:rPr>
              <w:t>Let 𝒞=NAPG_q^fin be a small category of finite-dimensional NAPG_q objects with the four compatibility conditions of Chapter 3. For A∈Ob(𝒞), define the covariant functor of points h_A:𝒞→Set by h_A(T)=Hom_𝒞(A,T). A morphism f:A→B induces h_f:h_B→h_A by precomposition h_f(T)(g)=g∘f. Thus A↦h_A is contravariant from algebras to geometric functors.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h_A : 𝒞 → Set,      h_A(T)=Hom_𝒞(A,T).</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6.2. Spatial Duality [DEF-A] </w:t>
            </w:r>
            <w:r>
              <w:rPr>
                <w:rFonts w:ascii="DejaVu Serif" w:hAnsi="DejaVu Serif" w:eastAsia="DejaVu Serif"/>
                <w:b w:val="0"/>
                <w:i w:val="0"/>
                <w:color w:val="111111"/>
                <w:sz w:val="19"/>
              </w:rPr>
              <w:t>Spatial duality requires another category Geo_R whose objects possess a carrier, local charts, a structure sheaf, packet-Reper data, and gluing rules. It is given by contravariant functors Spec_R and Gamma_R and does not follow merely from the existence of h_A.</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Spec_R : Alg_R → Geo_R^op,      Gamma_R : Geo_R^op → Alg_R.</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283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Restriction on the word “duality”</w:t>
            </w:r>
          </w:p>
        </w:tc>
        <w:tc>
          <w:tcPr>
            <w:tcW w:type="dxa" w:w="6520"/>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Meaning</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Prohibition 1</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Full faithfulness of a functorial description does not imply an ordinary set of points with a topology.</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Prohibition 2</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Coincidence of character sets does not imply isomorphism of algebras.</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Prohibition 3</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Existence of an adjoint pair does not imply that unit and counit are isomorphisms.</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Prohibition 4</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Anti-equivalence of static categories does not define a law of evolution for a parameter.</w:t>
            </w:r>
          </w:p>
        </w:tc>
      </w:tr>
    </w:tbl>
    <w:p>
      <w:pPr>
        <w:spacing w:after="2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Algebraic and geometric carriers are distinct representations of structure.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Their correspondence is established only through functors, unit/counit maps, and reconstruction defects.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Duality appears as mutual recovery of invariants.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static anti-equivalence creates neither dynamics nor causality.</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Reper duality with explicit control of losses in D, Dom, and predictive status.</w:t>
            </w:r>
          </w:p>
        </w:tc>
      </w:tr>
    </w:tbl>
    <w:p>
      <w:pPr>
        <w:spacing w:after="20"/>
      </w:pPr>
    </w:p>
    <w:p>
      <w:pPr>
        <w:pStyle w:val="Heading2"/>
        <w:keepNext/>
        <w:pageBreakBefore w:val="0"/>
      </w:pPr>
      <w:r>
        <w:t>6.2. Yoneda-Safe Representable Duality</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3"/>
        <w:keepNext/>
        <w:pageBreakBefore w:val="0"/>
      </w:pPr>
      <w:r>
        <w:t>6.2.1. Full-Faithfulness Theorem</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6.3. Yoneda-Safe Anti-Equivalence [THM] </w:t>
            </w:r>
            <w:r>
              <w:rPr>
                <w:rFonts w:ascii="DejaVu Serif" w:hAnsi="DejaVu Serif" w:eastAsia="DejaVu Serif"/>
                <w:b w:val="0"/>
                <w:i w:val="0"/>
                <w:color w:val="111111"/>
                <w:sz w:val="19"/>
              </w:rPr>
              <w:t>The functor Spec_Y:𝒞^op→Set^𝒞 defined by Spec_Y(A)=h_A is full and faithful. Its essential image Aff_NAPG^rep is the category of representable NAPG geometries, and Spec_Y defines an anti-equivalence 𝒞^op≃Aff_NAPG^rep.</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𝒞^op ≃ Aff_NAPG^rep.</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For A,B∈𝒞, Yoneda gives a natural bijection Nat(h_B,h_A)≅Hom_𝒞(A,B), compatible with identities and composition. Hence Spec_Y is full and faithful; restriction to its essential image is an equivalence. □</w:t>
      </w:r>
    </w:p>
    <w:p>
      <w:pPr>
        <w:widowControl/>
        <w:spacing w:after="80" w:line="264" w:lineRule="auto"/>
      </w:pPr>
      <w:r>
        <w:rPr>
          <w:rFonts w:ascii="DejaVu Serif" w:hAnsi="DejaVu Serif" w:eastAsia="DejaVu Serif"/>
          <w:b w:val="0"/>
          <w:i w:val="0"/>
          <w:color w:val="111111"/>
          <w:sz w:val="20"/>
        </w:rPr>
        <w:t>This result is unconditional within the selected small category. It requires no prime spectrum, maximal ideals, norm, topology, or associativity. Its cleanliness is precisely why no stronger claim may be silently attached to it.</w:t>
      </w:r>
    </w:p>
    <w:p>
      <w:pPr>
        <w:keepNext/>
        <w:jc w:val="center"/>
      </w:pPr>
      <w:r>
        <w:drawing>
          <wp:inline xmlns:a="http://schemas.openxmlformats.org/drawingml/2006/main" xmlns:pic="http://schemas.openxmlformats.org/drawingml/2006/picture">
            <wp:extent cx="5760000" cy="3174337"/>
            <wp:docPr id="7" name="Picture 7" descr="Yoneda-safe representable duality" title="Yoneda-safe representable duality"/>
            <wp:cNvGraphicFramePr>
              <a:graphicFrameLocks noChangeAspect="1"/>
            </wp:cNvGraphicFramePr>
            <a:graphic>
              <a:graphicData uri="http://schemas.openxmlformats.org/drawingml/2006/picture">
                <pic:pic>
                  <pic:nvPicPr>
                    <pic:cNvPr id="0" name="fig8_yoneda.png"/>
                    <pic:cNvPicPr/>
                  </pic:nvPicPr>
                  <pic:blipFill>
                    <a:blip r:embed="rId17"/>
                    <a:stretch>
                      <a:fillRect/>
                    </a:stretch>
                  </pic:blipFill>
                  <pic:spPr>
                    <a:xfrm>
                      <a:off x="0" y="0"/>
                      <a:ext cx="5760000" cy="3174337"/>
                    </a:xfrm>
                    <a:prstGeom prst="rect"/>
                  </pic:spPr>
                </pic:pic>
              </a:graphicData>
            </a:graphic>
          </wp:inline>
        </w:drawing>
      </w:r>
    </w:p>
    <w:p>
      <w:pPr>
        <w:spacing w:before="40" w:after="140"/>
        <w:jc w:val="center"/>
      </w:pPr>
      <w:r>
        <w:rPr>
          <w:rFonts w:ascii="DejaVu Serif" w:hAnsi="DejaVu Serif" w:eastAsia="DejaVu Serif"/>
          <w:b w:val="0"/>
          <w:i/>
          <w:color w:val="5C6773"/>
          <w:sz w:val="18"/>
        </w:rPr>
        <w:t>Figure 8. Yoneda-safe representable duality for NAPG_q. English reconstruction of the authorial diagram in the frozen Russian Volume II.</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3"/>
        <w:keepNext/>
        <w:pageBreakBefore w:val="0"/>
      </w:pPr>
      <w:r>
        <w:t>6.2.2. Reper Configuration Functor</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6.4. Rep_A(T) [DEF-A] </w:t>
            </w:r>
            <w:r>
              <w:rPr>
                <w:rFonts w:ascii="DejaVu Serif" w:hAnsi="DejaVu Serif" w:eastAsia="DejaVu Serif"/>
                <w:b w:val="0"/>
                <w:i w:val="0"/>
                <w:color w:val="111111"/>
                <w:sz w:val="19"/>
              </w:rPr>
              <w:t>For a test object T set Rep_A(T)={(r,i,u,d)∈h_A(T)^4:Adm_T(r,i,u,d)=1, Valid_T(D)=1}. The four entries are morphisms A→T; Adm_T checks domain admissibility, distinctness, and absence of poles, while Valid_T(D) checks the evidence package. Rep_A is a subfunctor of h_A^4 when admissibility and sufficient foundation are preserved by all test morphisms.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Rep_A(T) = { (r,i,u,d) ∈ h_A(T)^4 : Adm_T(r,i,u,d)=1, Valid_T(D)=1 }.</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Proposition 6.5. Functoriality of Reper Configurations [THM] </w:t>
            </w:r>
            <w:r>
              <w:rPr>
                <w:rFonts w:ascii="DejaVu Serif" w:hAnsi="DejaVu Serif" w:eastAsia="DejaVu Serif"/>
                <w:b w:val="0"/>
                <w:i w:val="0"/>
                <w:color w:val="111111"/>
                <w:sz w:val="19"/>
              </w:rPr>
              <w:t>If s:T→T′ preserves Adm and Valid(D), then (r,i,u,d)↦(s∘r,s∘i,s∘u,s∘d) defines Rep_A(T)→Rep_A(T′). Identities and composition hold componentwise, so Rep_A:𝒞→Set is a functor.</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6.6. Isomorphism Invariance [THM] </w:t>
            </w:r>
            <w:r>
              <w:rPr>
                <w:rFonts w:ascii="DejaVu Serif" w:hAnsi="DejaVu Serif" w:eastAsia="DejaVu Serif"/>
                <w:b w:val="0"/>
                <w:i w:val="0"/>
                <w:color w:val="111111"/>
                <w:sz w:val="19"/>
              </w:rPr>
              <w:t>An isomorphism A≅B induces a natural isomorphism Rep_B≅Rep_A. Therefore representable Reper geometry is independent of the chosen isomorphic algebraic presentation.</w:t>
            </w:r>
          </w:p>
        </w:tc>
        <w:trPr>
          <w:tblHeader/>
        </w:trPr>
      </w:tr>
    </w:tbl>
    <w:p>
      <w:pPr>
        <w:spacing w:after="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Algebraic and geometric carriers are distinct representations of structure.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Their correspondence is established only through functors, unit/counit maps, and reconstruction defects.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Duality appears as mutual recovery of invariants.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static anti-equivalence creates neither dynamics nor causality.</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Reper duality with explicit control of losses in D, Dom, and predictive status.</w:t>
            </w:r>
          </w:p>
        </w:tc>
      </w:tr>
    </w:tbl>
    <w:p>
      <w:pPr>
        <w:spacing w:after="20"/>
      </w:pPr>
    </w:p>
    <w:p>
      <w:pPr>
        <w:pStyle w:val="Heading2"/>
        <w:keepNext/>
        <w:pageBreakBefore w:val="0"/>
      </w:pPr>
      <w:r>
        <w:t>6.3. Conditional Pair Spec_R / Gamma_R</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3"/>
        <w:keepNext/>
        <w:pageBreakBefore w:val="0"/>
      </w:pPr>
      <w:r>
        <w:t>6.3.1. Adjunction and Reconstruction Maps</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Hypothesis 6.7. Spatial Realisation [COND] </w:t>
            </w:r>
            <w:r>
              <w:rPr>
                <w:rFonts w:ascii="DejaVu Serif" w:hAnsi="DejaVu Serif" w:eastAsia="DejaVu Serif"/>
                <w:b w:val="0"/>
                <w:i w:val="0"/>
                <w:color w:val="111111"/>
                <w:sz w:val="19"/>
              </w:rPr>
              <w:t>Assume a category Geo_R and functors Spec_R,Gamma_R with a natural bijection Hom_Geo_R(X,Spec_R A)≅Hom_Alg_R(A,Gamma_R X). This is an adjunction Spec_R⊣Gamma_R between Alg_R and Geo_R^op. It has a unit η_A:A→Gamma_R Spec_R(A) and a geometrically written counit ε̄_X:X→Spec_R Gamma_R(X).</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Hom_Geo_R(X, Spec_R A) ≅ Hom_Alg_R(A, Gamma_R X).</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η_A : A → Gamma_R Spec_R(A),      ε̄_X : X → Spec_R Gamma_R(X).</w:t>
            </w:r>
          </w:p>
        </w:tc>
        <w:trPr>
          <w:tblHeader/>
        </w:trPr>
      </w:tr>
    </w:tbl>
    <w:p>
      <w:pPr>
        <w:spacing w:after="0"/>
      </w:pPr>
    </w:p>
    <w:p>
      <w:pPr>
        <w:widowControl/>
        <w:spacing w:after="80" w:line="264" w:lineRule="auto"/>
      </w:pPr>
      <w:r>
        <w:rPr>
          <w:rFonts w:ascii="DejaVu Serif" w:hAnsi="DejaVu Serif" w:eastAsia="DejaVu Serif"/>
          <w:b w:val="0"/>
          <w:i w:val="0"/>
          <w:color w:val="111111"/>
          <w:sz w:val="20"/>
        </w:rPr>
        <w:t>Existence of these maps is not asserted for all NAPG objects without a specification of spectrum, sheaf, and admissible localisations. The checkpoint records an exact proof obligation rather than making it disappear rhetorically.</w:t>
      </w:r>
    </w:p>
    <w:p>
      <w:pPr>
        <w:keepNext/>
        <w:jc w:val="center"/>
      </w:pPr>
      <w:r>
        <w:drawing>
          <wp:inline xmlns:a="http://schemas.openxmlformats.org/drawingml/2006/main" xmlns:pic="http://schemas.openxmlformats.org/drawingml/2006/picture">
            <wp:extent cx="5760000" cy="3174337"/>
            <wp:docPr id="8" name="Picture 8" descr="Conditional Spec_R Gamma_R spatial duality" title="Conditional Spec_R Gamma_R spatial duality"/>
            <wp:cNvGraphicFramePr>
              <a:graphicFrameLocks noChangeAspect="1"/>
            </wp:cNvGraphicFramePr>
            <a:graphic>
              <a:graphicData uri="http://schemas.openxmlformats.org/drawingml/2006/picture">
                <pic:pic>
                  <pic:nvPicPr>
                    <pic:cNvPr id="0" name="fig9_spatial.png"/>
                    <pic:cNvPicPr/>
                  </pic:nvPicPr>
                  <pic:blipFill>
                    <a:blip r:embed="rId18"/>
                    <a:stretch>
                      <a:fillRect/>
                    </a:stretch>
                  </pic:blipFill>
                  <pic:spPr>
                    <a:xfrm>
                      <a:off x="0" y="0"/>
                      <a:ext cx="5760000" cy="3174337"/>
                    </a:xfrm>
                    <a:prstGeom prst="rect"/>
                  </pic:spPr>
                </pic:pic>
              </a:graphicData>
            </a:graphic>
          </wp:inline>
        </w:drawing>
      </w:r>
    </w:p>
    <w:p>
      <w:pPr>
        <w:spacing w:before="40" w:after="140"/>
        <w:jc w:val="center"/>
      </w:pPr>
      <w:r>
        <w:rPr>
          <w:rFonts w:ascii="DejaVu Serif" w:hAnsi="DejaVu Serif" w:eastAsia="DejaVu Serif"/>
          <w:b w:val="0"/>
          <w:i/>
          <w:color w:val="5C6773"/>
          <w:sz w:val="18"/>
        </w:rPr>
        <w:t>Figure 9. Conditional Spec_R/Gamma_R pair and reconstruction maps. English reconstruction of the authorial diagram in the frozen Russian Volume II.</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Algebraic and geometric carriers are distinct representations of structure.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Their correspondence is established only through functors, unit/counit maps, and reconstruction defects.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Duality appears as mutual recovery of invariants.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static anti-equivalence creates neither dynamics nor causality.</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Reper duality with explicit control of losses in D, Dom, and predictive status.</w:t>
            </w:r>
          </w:p>
        </w:tc>
      </w:tr>
    </w:tbl>
    <w:p>
      <w:pPr>
        <w:spacing w:after="20"/>
      </w:pPr>
    </w:p>
    <w:p>
      <w:pPr>
        <w:pStyle w:val="Heading3"/>
        <w:keepNext/>
        <w:pageBreakBefore w:val="0"/>
      </w:pPr>
      <w:r>
        <w:t>6.3.2. Reconstruction Defects</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6.8. Algebraic Defect [DEF-A] </w:t>
            </w:r>
            <w:r>
              <w:rPr>
                <w:rFonts w:ascii="DejaVu Serif" w:hAnsi="DejaVu Serif" w:eastAsia="DejaVu Serif"/>
                <w:b w:val="0"/>
                <w:i w:val="0"/>
                <w:color w:val="111111"/>
                <w:sz w:val="19"/>
              </w:rPr>
              <w:t>For finite-dimensional A define K_rec(A)=ker(η_A), Q_rec(A)=coker(η_A), and def_alg(A)=dim K_rec(A)+dim Q_rec(A). In a nonadditive category use the Boolean defect def_alg(A)=0 when η_A is an isomorphism and 1 otherwise.</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K_rec(A)=ker(η_A),     Q_rec(A)=coker(η_A),     def_alg(A)=dim K_rec(A)+dim Q_rec(A).</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6.9. Geometric Defect [DEF-A] </w:t>
            </w:r>
            <w:r>
              <w:rPr>
                <w:rFonts w:ascii="DejaVu Serif" w:hAnsi="DejaVu Serif" w:eastAsia="DejaVu Serif"/>
                <w:b w:val="0"/>
                <w:i w:val="0"/>
                <w:color w:val="111111"/>
                <w:sz w:val="19"/>
              </w:rPr>
              <w:t>Set def_geo(X)=0 if ε̄_X is an isomorphism in Geo_R and def_geo(X)=1 otherwise. A finite-dimensional coordinate model may refine this by ranks of maps on local coordinates and structure sheaves. Set def_rec(A,X)=def_alg(A)+def_geo(X).</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def_rec(A,X)=def_alg(A)+def_geo(X).</w:t>
            </w:r>
          </w:p>
        </w:tc>
        <w:trPr>
          <w:tblHeader/>
        </w:trPr>
      </w:tr>
    </w:tbl>
    <w:p>
      <w:pPr>
        <w:spacing w:after="0"/>
      </w:pPr>
    </w:p>
    <w:p>
      <w:pPr>
        <w:widowControl/>
        <w:spacing w:after="80" w:line="264" w:lineRule="auto"/>
      </w:pPr>
      <w:r>
        <w:rPr>
          <w:rFonts w:ascii="DejaVu Serif" w:hAnsi="DejaVu Serif" w:eastAsia="DejaVu Serif"/>
          <w:b w:val="0"/>
          <w:i w:val="0"/>
          <w:color w:val="111111"/>
          <w:sz w:val="20"/>
        </w:rPr>
        <w:t>Zero reconstruction defect is necessary for transport of a strict predictive status. A nonzero defect does not refute either object; it forbids identification of its algebraic and geometric versions.</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Algebraic and geometric carriers are distinct representations of structure.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Their correspondence is established only through functors, unit/counit maps, and reconstruction defects.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Duality appears as mutual recovery of invariants.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static anti-equivalence creates neither dynamics nor causality.</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Reper duality with explicit control of losses in D, Dom, and predictive status.</w:t>
            </w:r>
          </w:p>
        </w:tc>
      </w:tr>
    </w:tbl>
    <w:p>
      <w:pPr>
        <w:spacing w:after="20"/>
      </w:pPr>
    </w:p>
    <w:p>
      <w:pPr>
        <w:pStyle w:val="Heading3"/>
        <w:keepNext/>
        <w:pageBreakBefore w:val="0"/>
      </w:pPr>
      <w:r>
        <w:t>6.3.3. Reconstruction Anti-Equivalence Theorem</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6.10. Restricted Reconstruction Theorem [THM under Hypothesis 6.7] </w:t>
            </w:r>
            <w:r>
              <w:rPr>
                <w:rFonts w:ascii="DejaVu Serif" w:hAnsi="DejaVu Serif" w:eastAsia="DejaVu Serif"/>
                <w:b w:val="0"/>
                <w:i w:val="0"/>
                <w:color w:val="111111"/>
                <w:sz w:val="19"/>
              </w:rPr>
              <w:t>Assume Hypothesis 6.7. Let Alg_rec be the full subcategory of A for which η_A is an isomorphism, and Geo_rec the full subcategory of X for which ε̄_X is an isomorphism. Then Spec_R and Gamma_R restrict to an anti-equivalence Alg_rec^op≃Geo_rec.</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Alg_rec^op ≃ Geo_rec.</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On these subcategories the unit and counit are natural isomorphisms. The triangular identities of the adjunction show that the restricted functors are quasi-inverse. □</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6.11. Preservation of Isomorphism Invariants [THM under Hypothesis 6.7] </w:t>
            </w:r>
            <w:r>
              <w:rPr>
                <w:rFonts w:ascii="DejaVu Serif" w:hAnsi="DejaVu Serif" w:eastAsia="DejaVu Serif"/>
                <w:b w:val="0"/>
                <w:i w:val="0"/>
                <w:color w:val="111111"/>
                <w:sz w:val="19"/>
              </w:rPr>
              <w:t>Under Hypothesis 6.7, every invariant defined functorially on Alg_rec transports to Geo_rec and back. Numerical features chosen after inspection of the result receive no such right.</w:t>
            </w:r>
          </w:p>
        </w:tc>
        <w:trPr>
          <w:tblHeader/>
        </w:trPr>
      </w:tr>
    </w:tbl>
    <w:p>
      <w:pPr>
        <w:spacing w:after="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Algebraic and geometric carriers are distinct representations of structure.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Their correspondence is established only through functors, unit/counit maps, and reconstruction defects.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Duality appears as mutual recovery of invariants.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static anti-equivalence creates neither dynamics nor causality.</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Reper duality with explicit control of losses in D, Dom, and predictive status.</w:t>
            </w:r>
          </w:p>
        </w:tc>
      </w:tr>
    </w:tbl>
    <w:p>
      <w:pPr>
        <w:spacing w:after="20"/>
      </w:pPr>
    </w:p>
    <w:p>
      <w:pPr>
        <w:pStyle w:val="Heading2"/>
        <w:keepNext/>
        <w:pageBreakBefore w:val="0"/>
      </w:pPr>
      <w:r>
        <w:t>6.4. Countertheorems to False Duality</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3"/>
        <w:keepNext/>
        <w:pageBreakBefore w:val="0"/>
      </w:pPr>
      <w:r>
        <w:t>6.4.1. A Character Set Does Not Reconstruct an Algebra</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6.12. Character-Spectrum No-Go [THM] </w:t>
            </w:r>
            <w:r>
              <w:rPr>
                <w:rFonts w:ascii="DejaVu Serif" w:hAnsi="DejaVu Serif" w:eastAsia="DejaVu Serif"/>
                <w:b w:val="0"/>
                <w:i w:val="0"/>
                <w:color w:val="111111"/>
                <w:sz w:val="19"/>
              </w:rPr>
              <w:t>Let K be a field and V_m an m-dimensional K-space. On A_m=K⊕V_m define the commutative associative multiplication (a,u)(b,v)=(ab,av+bu), with V_m²=0. Every unital K-algebra character χ:A_m→K equals χ(a,u)=a. Hence the K-valued character sets of all A_m are singletons, although A_m≄A_n when m≠n.</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(a,u)(b,v)=(ab, av+bu),      V_m²=0.</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Write χ(a,u)=a+ℓ(u). Multiplicativity gives ℓ(u)ℓ(v)=0 for every u,v. Over a field this implies ℓ=0. Different dimensions prohibit A_m≅A_n when m≠n. □</w:t>
      </w:r>
    </w:p>
    <w:p>
      <w:pPr>
        <w:widowControl/>
        <w:spacing w:after="80" w:line="264" w:lineRule="auto"/>
      </w:pPr>
      <w:r>
        <w:rPr>
          <w:rFonts w:ascii="DejaVu Serif" w:hAnsi="DejaVu Serif" w:eastAsia="DejaVu Serif"/>
          <w:b w:val="0"/>
          <w:i w:val="0"/>
          <w:color w:val="111111"/>
          <w:sz w:val="20"/>
        </w:rPr>
        <w:t>A point-set spectrum without a structure sheaf or full functor of points therefore loses nilpotent directions. This countertheorem already holds in the associative case; nonassociativity cannot be blamed for every oversimplification.</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3"/>
        <w:keepNext/>
        <w:pageBreakBefore w:val="0"/>
      </w:pPr>
      <w:r>
        <w:t>6.4.2. A Nonprojective Chart Change Destroys λ</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6.13. Nonprojective Chart Failure [THM / COUNTEREXAMPLE] </w:t>
            </w:r>
            <w:r>
              <w:rPr>
                <w:rFonts w:ascii="DejaVu Serif" w:hAnsi="DejaVu Serif" w:eastAsia="DejaVu Serif"/>
                <w:b w:val="0"/>
                <w:i w:val="0"/>
                <w:color w:val="111111"/>
                <w:sz w:val="19"/>
              </w:rPr>
              <w:t>On the affine line take (r,i,u,d)=(0,1,2,3). Then λ(u,i;r,d)=((u−r)(i−d))/((u−d)(i−r))=4. After the nonlinear coordinate change x↦x² the quadruple is (0,1,4,9) and λ′=32/5≠4. Hence a global Reper λ-coordinate exists only for PGL₂(K) chart transitions or another separately proved cross-ratio-preserving class.</w:t>
            </w:r>
          </w:p>
        </w:tc>
        <w:trPr>
          <w:tblHeader/>
        </w:trPr>
      </w:tr>
    </w:tbl>
    <w:p>
      <w:pPr>
        <w:spacing w:after="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Algebraic and geometric carriers are distinct representations of structure.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Their correspondence is established only through functors, unit/counit maps, and reconstruction defects.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Duality appears as mutual recovery of invariants.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static anti-equivalence creates neither dynamics nor causality.</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Reper duality with explicit control of losses in D, Dom, and predictive status.</w:t>
            </w:r>
          </w:p>
        </w:tc>
      </w:tr>
    </w:tbl>
    <w:p>
      <w:pPr>
        <w:spacing w:after="20"/>
      </w:pPr>
    </w:p>
    <w:p>
      <w:pPr>
        <w:pStyle w:val="Heading3"/>
        <w:keepNext/>
        <w:pageBreakBefore w:val="0"/>
      </w:pPr>
      <w:r>
        <w:t>6.4.3. Static Duality Does Not Create Dynamics</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Proposition 6.14. No-Dynamics Principle [THM] </w:t>
            </w:r>
            <w:r>
              <w:rPr>
                <w:rFonts w:ascii="DejaVu Serif" w:hAnsi="DejaVu Serif" w:eastAsia="DejaVu Serif"/>
                <w:b w:val="0"/>
                <w:i w:val="0"/>
                <w:color w:val="111111"/>
                <w:sz w:val="19"/>
              </w:rPr>
              <w:t>An anti-equivalence transports objects, morphisms, and functorial invariants. It does not select a time parameter, flow generator, probability law, or causal direction. Therefore Alg_rec^op≃Geo_rec does not imply event prediction without additional dynamic structure.</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The same static category admits different families of endofunctors and different parameterisations of paths of objects. The equivalence chooses none of them. □</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global object exists only after effective gluing of local data.</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Globality requires cocycle, descent, and compatibility on triple overlaps.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Local solutions appear as compatible or conflicting charts.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Pairwise agreement does not guarantee a global section.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a globalisation-safe KLT-RBD gate and an explicit blocker register.</w:t>
            </w:r>
          </w:p>
        </w:tc>
      </w:tr>
    </w:tbl>
    <w:p>
      <w:pPr>
        <w:spacing w:after="20"/>
      </w:pPr>
    </w:p>
    <w:p>
      <w:pPr>
        <w:pStyle w:val="Heading2"/>
        <w:keepNext/>
        <w:pageBreakBefore w:val="0"/>
      </w:pPr>
      <w:r>
        <w:t>6.5. Projective-Reper Atlases and the Global Harmonic Coordinate</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global object exists only after effective gluing of local data.</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Globality requires cocycle, descent, and compatibility on triple overlaps.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Local solutions appear as compatible or conflicting charts.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Pairwise agreement does not guarantee a global section.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a globalisation-safe KLT-RBD gate and an explicit blocker register.</w:t>
            </w:r>
          </w:p>
        </w:tc>
      </w:tr>
    </w:tbl>
    <w:p>
      <w:pPr>
        <w:spacing w:after="20"/>
      </w:pPr>
    </w:p>
    <w:p>
      <w:pPr>
        <w:pStyle w:val="Heading3"/>
        <w:keepNext/>
        <w:pageBreakBefore w:val="0"/>
      </w:pPr>
      <w:r>
        <w:t>6.5.1. Definition of an Atlas</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6.15. Projective Reper Atlas [DEF-A] </w:t>
            </w:r>
            <w:r>
              <w:rPr>
                <w:rFonts w:ascii="DejaVu Serif" w:hAnsi="DejaVu Serif" w:eastAsia="DejaVu Serif"/>
                <w:b w:val="0"/>
                <w:i w:val="0"/>
                <w:color w:val="111111"/>
                <w:sz w:val="19"/>
              </w:rPr>
              <w:t>Let X∈Geo_R. A projective Reper atlas consists of a cover {U_α} and charts κ_α:U_α→P¹(K) such that, on every nonempty overlap U_α∩U_β, the transition κ_β∘κ_α^{-1} is the restriction of an element of PGL₂(K). An admissible Reper quadruple must lie in one common chart or possess a compatible continuation through a chain of overlaps.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6.16. Globalisation of λ [THM] </w:t>
            </w:r>
            <w:r>
              <w:rPr>
                <w:rFonts w:ascii="DejaVu Serif" w:hAnsi="DejaVu Serif" w:eastAsia="DejaVu Serif"/>
                <w:b w:val="0"/>
                <w:i w:val="0"/>
                <w:color w:val="111111"/>
                <w:sz w:val="19"/>
              </w:rPr>
              <w:t>On a projective Reper atlas, λ(u,i;r,d) is chart-independent and therefore defines a global function on the space of admissible Reper quadruples.</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On overlaps the charts differ by a projective transformation, and cross-ratio is PGL₂(K)-invariant. Transitivity of transitions ensures compatibility on triple overlaps. □</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6.17. Global Harmonic Locus [THM] </w:t>
            </w:r>
            <w:r>
              <w:rPr>
                <w:rFonts w:ascii="DejaVu Serif" w:hAnsi="DejaVu Serif" w:eastAsia="DejaVu Serif"/>
                <w:b w:val="0"/>
                <w:i w:val="0"/>
                <w:color w:val="111111"/>
                <w:sz w:val="19"/>
              </w:rPr>
              <w:t>Harm(X)={ρ∈Rep(X):λ(ρ)=−1} is a well-defined subset of the configuration space. If char K=2, harmonic marking requires another normalisation and is not included in this package.</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Harm(X)={ρ∈Rep(X): λ(ρ)=−1}.</w:t>
            </w:r>
          </w:p>
        </w:tc>
        <w:trPr>
          <w:tblHeader/>
        </w:trPr>
      </w:tr>
    </w:tbl>
    <w:p>
      <w:pPr>
        <w:spacing w:after="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Only a typed structure with declared domain and codomain counts as an object.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obtained by checking morphisms, commutative diagrams, and admissible domains.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structure appears as the ability to transport data correctly without loss of type.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Similarity of notation neither licenses composition nor proves existence.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packet-Reper typing of NAPG and the inclusion of D/Dom in the object itself.</w:t>
            </w:r>
          </w:p>
        </w:tc>
      </w:tr>
    </w:tbl>
    <w:p>
      <w:pPr>
        <w:spacing w:after="20"/>
      </w:pPr>
    </w:p>
    <w:p>
      <w:pPr>
        <w:pStyle w:val="Heading3"/>
        <w:keepNext/>
        <w:pageBreakBefore w:val="0"/>
      </w:pPr>
      <w:r>
        <w:t>6.5.2. Naturality with Respect to Morphisms</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6.18. Projective-Reper Morphism [DEF-A] </w:t>
            </w:r>
            <w:r>
              <w:rPr>
                <w:rFonts w:ascii="DejaVu Serif" w:hAnsi="DejaVu Serif" w:eastAsia="DejaVu Serif"/>
                <w:b w:val="0"/>
                <w:i w:val="0"/>
                <w:color w:val="111111"/>
                <w:sz w:val="19"/>
              </w:rPr>
              <w:t>A morphism F:X→Y is projective-Reper if it is locally represented by elements of PGL₂(K), transports Adm, Valid(D), and obstruction labels, and is compatible with the structure sheaves.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6.19. Invariance of the Harmonic Locus [THM] </w:t>
            </w:r>
            <w:r>
              <w:rPr>
                <w:rFonts w:ascii="DejaVu Serif" w:hAnsi="DejaVu Serif" w:eastAsia="DejaVu Serif"/>
                <w:b w:val="0"/>
                <w:i w:val="0"/>
                <w:color w:val="111111"/>
                <w:sz w:val="19"/>
              </w:rPr>
              <w:t>F(Harm(X))⊆Harm(Y). If F is an isomorphism of projective-Reper objects, then F(Harm(X))=Harm(Y).</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This follows from local PGL₂-invariance and preservation of D/Dom. □</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2"/>
        <w:keepNext/>
        <w:pageBreakBefore w:val="0"/>
      </w:pPr>
      <w:r>
        <w:t>6.6. Double Determinantal Horizon</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3"/>
        <w:keepNext/>
        <w:pageBreakBefore w:val="0"/>
      </w:pPr>
      <w:r>
        <w:t>6.6.1. Algebraic and Geometric Channels</w:t>
      </w:r>
    </w:p>
    <w:p>
      <w:pPr>
        <w:widowControl/>
        <w:spacing w:after="80" w:line="264" w:lineRule="auto"/>
      </w:pPr>
      <w:r>
        <w:rPr>
          <w:rFonts w:ascii="DejaVu Serif" w:hAnsi="DejaVu Serif" w:eastAsia="DejaVu Serif"/>
          <w:b w:val="0"/>
          <w:i w:val="0"/>
          <w:color w:val="111111"/>
          <w:sz w:val="20"/>
        </w:rPr>
        <w:t>Let t↦A_t be the algebraic family of Chapter 5 and let X_t=Spec_R(A_t) be its geometric realisation on the reconstructible layer. The algebraic horizon Δ_alg is defined by rank drops of the associator, nucleus, center, and J_Ass maps. The geometric horizon Δ_geo is defined by rank drops of the corresponding tangent, sheaf, or incidence maps.</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Hypothesis 6.20. Conjugacy Bridge [COND] </w:t>
            </w:r>
            <w:r>
              <w:rPr>
                <w:rFonts w:ascii="DejaVu Serif" w:hAnsi="DejaVu Serif" w:eastAsia="DejaVu Serif"/>
                <w:b w:val="0"/>
                <w:i w:val="0"/>
                <w:color w:val="111111"/>
                <w:sz w:val="19"/>
              </w:rPr>
              <w:t>For every structural map M_alg(t) there is a geometric map M_geo(t) and invertible matrices U(t),V(t) such that M_geo(t)=U(t)M_alg(t)V(t)^{-1}.</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M_geo(t)=U(t) M_alg(t) V(t)^{-1}.</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6.21. Coincidence of Rank Horizons [THM under Hypothesis 6.20] </w:t>
            </w:r>
            <w:r>
              <w:rPr>
                <w:rFonts w:ascii="DejaVu Serif" w:hAnsi="DejaVu Serif" w:eastAsia="DejaVu Serif"/>
                <w:b w:val="0"/>
                <w:i w:val="0"/>
                <w:color w:val="111111"/>
                <w:sz w:val="19"/>
              </w:rPr>
              <w:t>Under Hypothesis 6.20, Δ_alg=Δ_geo.</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Left and right multiplication by invertible matrices preserves rank. The parameter sets where corresponding maps lose generic rank therefore coincide. Taking the union over the finite family of structural maps gives equality of horizons. □</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6.22. Double Negative-Prediction Theorem [THM under Hypotheses 6.7 and 6.20] </w:t>
            </w:r>
            <w:r>
              <w:rPr>
                <w:rFonts w:ascii="DejaVu Serif" w:hAnsi="DejaVu Serif" w:eastAsia="DejaVu Serif"/>
                <w:b w:val="0"/>
                <w:i w:val="0"/>
                <w:color w:val="111111"/>
                <w:sz w:val="19"/>
              </w:rPr>
              <w:t>Under Hypotheses 6.7 and 6.20, if a path γ([t₀,t₁]) avoids the common horizon and reconstruction defect is zero, both the algebraic profile Prof_Ass(A_t) and its geometric dual profile are constant on the interval.</w:t>
            </w:r>
          </w:p>
        </w:tc>
        <w:trPr>
          <w:tblHeader/>
        </w:trPr>
      </w:tr>
    </w:tbl>
    <w:p>
      <w:pPr>
        <w:spacing w:after="0"/>
      </w:pPr>
    </w:p>
    <w:p>
      <w:pPr>
        <w:widowControl/>
        <w:spacing w:after="80" w:line="264" w:lineRule="auto"/>
      </w:pPr>
      <w:r>
        <w:rPr>
          <w:rFonts w:ascii="DejaVu Serif" w:hAnsi="DejaVu Serif" w:eastAsia="DejaVu Serif"/>
          <w:b w:val="0"/>
          <w:i w:val="0"/>
          <w:color w:val="111111"/>
          <w:sz w:val="20"/>
        </w:rPr>
        <w:t>This excludes a structural transition within the specified model. It does not assert that a physical system is unchanged unless the system is proved to realise the model and parameter path.</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3"/>
        <w:keepNext/>
        <w:pageBreakBefore w:val="0"/>
      </w:pPr>
      <w:r>
        <w:t>6.6.2. Horizon Mismatch as a Blocker</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6.23. Dual Mismatch Set [DEF-A] </w:t>
            </w:r>
            <w:r>
              <w:rPr>
                <w:rFonts w:ascii="DejaVu Serif" w:hAnsi="DejaVu Serif" w:eastAsia="DejaVu Serif"/>
                <w:b w:val="0"/>
                <w:i w:val="0"/>
                <w:color w:val="111111"/>
                <w:sz w:val="19"/>
              </w:rPr>
              <w:t>Define Mis_dual=Δ_alg△Δ_geo, the symmetric difference. A nonempty mismatch means that reconstruction is not exact, the selected structural maps are not functorial correspondences, or the computational certificate is defective. A transition candidate is then not published.</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Mis_dual = Δ_alg △ Δ_geo.</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83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Situation</w:t>
            </w:r>
          </w:p>
        </w:tc>
        <w:tc>
          <w:tcPr>
            <w:tcW w:type="dxa" w:w="4762"/>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Conclusion</w:t>
            </w:r>
          </w:p>
        </w:tc>
        <w:tc>
          <w:tcPr>
            <w:tcW w:type="dxa" w:w="175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Status</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t outside both horizons</w:t>
            </w:r>
          </w:p>
        </w:tc>
        <w:tc>
          <w:tcPr>
            <w:tcW w:type="dxa" w:w="476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Structural profile is constant in both layers.</w:t>
            </w:r>
          </w:p>
        </w:tc>
        <w:tc>
          <w:tcPr>
            <w:tcW w:type="dxa" w:w="175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7"/>
              </w:rPr>
              <w:t>NO-CHANGE</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t in both horizons</w:t>
            </w:r>
          </w:p>
        </w:tc>
        <w:tc>
          <w:tcPr>
            <w:tcW w:type="dxa" w:w="476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A transition candidate is permitted; λ, D/Dom, and obstruction gates remain required.</w:t>
            </w:r>
          </w:p>
        </w:tc>
        <w:tc>
          <w:tcPr>
            <w:tcW w:type="dxa" w:w="175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7"/>
              </w:rPr>
              <w:t>CANDIDATE</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t in only one horizon</w:t>
            </w:r>
          </w:p>
        </w:tc>
        <w:tc>
          <w:tcPr>
            <w:tcW w:type="dxa" w:w="476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Reconstruction conflict.</w:t>
            </w:r>
          </w:p>
        </w:tc>
        <w:tc>
          <w:tcPr>
            <w:tcW w:type="dxa" w:w="175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7"/>
              </w:rPr>
              <w:t>ABSTAIN</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η or ε̄ is not an isomorphism</w:t>
            </w:r>
          </w:p>
        </w:tc>
        <w:tc>
          <w:tcPr>
            <w:tcW w:type="dxa" w:w="476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Algebraic-geometric transport is prohibited.</w:t>
            </w:r>
          </w:p>
        </w:tc>
        <w:tc>
          <w:tcPr>
            <w:tcW w:type="dxa" w:w="175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7"/>
              </w:rPr>
              <w:t>ABSTAIN</w:t>
            </w:r>
          </w:p>
        </w:tc>
      </w:tr>
    </w:tbl>
    <w:p>
      <w:pPr>
        <w:spacing w:after="2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2"/>
        <w:keepNext/>
        <w:pageBreakBefore w:val="0"/>
      </w:pPr>
      <w:r>
        <w:t>6.7. Double KLT-RBD Predictive Gate</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3"/>
        <w:keepNext/>
        <w:pageBreakBefore w:val="0"/>
      </w:pPr>
      <w:r>
        <w:t>6.7.1. Blocker System</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6.24. Block_dual [DEF-A] </w:t>
            </w:r>
            <w:r>
              <w:rPr>
                <w:rFonts w:ascii="DejaVu Serif" w:hAnsi="DejaVu Serif" w:eastAsia="DejaVu Serif"/>
                <w:b w:val="0"/>
                <w:i w:val="0"/>
                <w:color w:val="111111"/>
                <w:sz w:val="19"/>
              </w:rPr>
              <w:t>Set Block_dual=B_rec∪B_var∪B_chart∪B_D∪B_Dom∪B_ob∪B_ind.</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Block_dual = B_rec ∪ B_var ∪ B_chart ∪ B_D ∪ B_Dom ∪ B_ob ∪ B_ind.</w:t>
            </w:r>
          </w:p>
        </w:tc>
        <w:trPr>
          <w:tblHeader/>
        </w:trPr>
      </w:tr>
    </w:tbl>
    <w:p>
      <w:pPr>
        <w:spacing w:after="0"/>
      </w:pPr>
    </w:p>
    <w:p>
      <w:pPr>
        <w:pStyle w:val="ListBullet"/>
        <w:spacing w:after="40" w:line="252" w:lineRule="auto"/>
      </w:pPr>
      <w:r>
        <w:rPr>
          <w:rFonts w:ascii="DejaVu Serif" w:hAnsi="DejaVu Serif" w:eastAsia="DejaVu Serif"/>
          <w:b w:val="0"/>
          <w:i w:val="0"/>
          <w:color w:val="111111"/>
          <w:sz w:val="19"/>
        </w:rPr>
        <w:t>B_rec: unit or counit is not an isomorphism;</w:t>
      </w:r>
    </w:p>
    <w:p>
      <w:pPr>
        <w:pStyle w:val="ListBullet"/>
        <w:spacing w:after="40" w:line="252" w:lineRule="auto"/>
      </w:pPr>
      <w:r>
        <w:rPr>
          <w:rFonts w:ascii="DejaVu Serif" w:hAnsi="DejaVu Serif" w:eastAsia="DejaVu Serif"/>
          <w:b w:val="0"/>
          <w:i w:val="0"/>
          <w:color w:val="111111"/>
          <w:sz w:val="19"/>
        </w:rPr>
        <w:t>B_var: algebraic and geometric horizons do not coincide;</w:t>
      </w:r>
    </w:p>
    <w:p>
      <w:pPr>
        <w:pStyle w:val="ListBullet"/>
        <w:spacing w:after="40" w:line="252" w:lineRule="auto"/>
      </w:pPr>
      <w:r>
        <w:rPr>
          <w:rFonts w:ascii="DejaVu Serif" w:hAnsi="DejaVu Serif" w:eastAsia="DejaVu Serif"/>
          <w:b w:val="0"/>
          <w:i w:val="0"/>
          <w:color w:val="111111"/>
          <w:sz w:val="19"/>
        </w:rPr>
        <w:t>B_chart: transitions of the Reper atlas are not proved projective;</w:t>
      </w:r>
    </w:p>
    <w:p>
      <w:pPr>
        <w:pStyle w:val="ListBullet"/>
        <w:spacing w:after="40" w:line="252" w:lineRule="auto"/>
      </w:pPr>
      <w:r>
        <w:rPr>
          <w:rFonts w:ascii="DejaVu Serif" w:hAnsi="DejaVu Serif" w:eastAsia="DejaVu Serif"/>
          <w:b w:val="0"/>
          <w:i w:val="0"/>
          <w:color w:val="111111"/>
          <w:sz w:val="19"/>
        </w:rPr>
        <w:t>B_D and B_Dom: sufficient foundation or admissible domain is missing;</w:t>
      </w:r>
    </w:p>
    <w:p>
      <w:pPr>
        <w:pStyle w:val="ListBullet"/>
        <w:spacing w:after="40" w:line="252" w:lineRule="auto"/>
      </w:pPr>
      <w:r>
        <w:rPr>
          <w:rFonts w:ascii="DejaVu Serif" w:hAnsi="DejaVu Serif" w:eastAsia="DejaVu Serif"/>
          <w:b w:val="0"/>
          <w:i w:val="0"/>
          <w:color w:val="111111"/>
          <w:sz w:val="19"/>
        </w:rPr>
        <w:t>B_ob: an internal or declared external obstruction is nonzero;</w:t>
      </w:r>
    </w:p>
    <w:p>
      <w:pPr>
        <w:pStyle w:val="ListBullet"/>
        <w:spacing w:after="40" w:line="252" w:lineRule="auto"/>
      </w:pPr>
      <w:r>
        <w:rPr>
          <w:rFonts w:ascii="DejaVu Serif" w:hAnsi="DejaVu Serif" w:eastAsia="DejaVu Serif"/>
          <w:b w:val="0"/>
          <w:i w:val="0"/>
          <w:color w:val="111111"/>
          <w:sz w:val="19"/>
        </w:rPr>
        <w:t>B_ind: an independent computational or empirical certificate is absent when required.</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6.25. Dual Harmonic Candidate [DEF-A] </w:t>
            </w:r>
            <w:r>
              <w:rPr>
                <w:rFonts w:ascii="DejaVu Serif" w:hAnsi="DejaVu Serif" w:eastAsia="DejaVu Serif"/>
                <w:b w:val="0"/>
                <w:i w:val="0"/>
                <w:color w:val="111111"/>
                <w:sz w:val="19"/>
              </w:rPr>
              <w:t>Cand_dual(t)=1 iff t∈Δ_alg∩Δ_geo, λ_t=−1, Valid(D_t)=1, Π_t=0, and Block_dual=∅. In a numerically relaxed mode λ=−1 is replaced by δ_truth≤τ, but the status remains CANDIDATE. The threshold τ is fixed before result disclosure and belongs to D.</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Cand_dual(t)=1 ⇔ t∈Δ_alg∩Δ_geo ∧ λ_t=−1 ∧ Valid(D_t)=1 ∧ Π_t=0 ∧ Block_dual=∅.</w:t>
            </w:r>
          </w:p>
        </w:tc>
        <w:trPr>
          <w:tblHeader/>
        </w:trPr>
      </w:tr>
    </w:tbl>
    <w:p>
      <w:pPr>
        <w:spacing w:after="0"/>
      </w:pPr>
    </w:p>
    <w:p>
      <w:pPr>
        <w:keepNext/>
        <w:jc w:val="center"/>
      </w:pPr>
      <w:r>
        <w:drawing>
          <wp:inline xmlns:a="http://schemas.openxmlformats.org/drawingml/2006/main" xmlns:pic="http://schemas.openxmlformats.org/drawingml/2006/picture">
            <wp:extent cx="5760000" cy="3174337"/>
            <wp:docPr id="9" name="Picture 9" descr="Dual NAPG KLT-RBD predictive gate" title="Dual NAPG KLT-RBD predictive gate"/>
            <wp:cNvGraphicFramePr>
              <a:graphicFrameLocks noChangeAspect="1"/>
            </wp:cNvGraphicFramePr>
            <a:graphic>
              <a:graphicData uri="http://schemas.openxmlformats.org/drawingml/2006/picture">
                <pic:pic>
                  <pic:nvPicPr>
                    <pic:cNvPr id="0" name="fig10_dual_gate.png"/>
                    <pic:cNvPicPr/>
                  </pic:nvPicPr>
                  <pic:blipFill>
                    <a:blip r:embed="rId19"/>
                    <a:stretch>
                      <a:fillRect/>
                    </a:stretch>
                  </pic:blipFill>
                  <pic:spPr>
                    <a:xfrm>
                      <a:off x="0" y="0"/>
                      <a:ext cx="5760000" cy="3174337"/>
                    </a:xfrm>
                    <a:prstGeom prst="rect"/>
                  </pic:spPr>
                </pic:pic>
              </a:graphicData>
            </a:graphic>
          </wp:inline>
        </w:drawing>
      </w:r>
    </w:p>
    <w:p>
      <w:pPr>
        <w:spacing w:before="40" w:after="140"/>
        <w:jc w:val="center"/>
      </w:pPr>
      <w:r>
        <w:rPr>
          <w:rFonts w:ascii="DejaVu Serif" w:hAnsi="DejaVu Serif" w:eastAsia="DejaVu Serif"/>
          <w:b w:val="0"/>
          <w:i/>
          <w:color w:val="5C6773"/>
          <w:sz w:val="18"/>
        </w:rPr>
        <w:t>Figure 10. Double NAPG/KLT-RBD predictive gate. English reconstruction of the authorial diagram in the frozen Russian Volume II.</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3"/>
        <w:keepNext/>
        <w:pageBreakBefore w:val="0"/>
      </w:pPr>
      <w:r>
        <w:t>6.7.2. Main Conditional Theorem of Candidate Transport</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Theorem 6.26. Functorial Predictive Transport [COND] </w:t>
            </w:r>
            <w:r>
              <w:rPr>
                <w:rFonts w:ascii="DejaVu Serif" w:hAnsi="DejaVu Serif" w:eastAsia="DejaVu Serif"/>
                <w:b w:val="0"/>
                <w:i w:val="0"/>
                <w:color w:val="111111"/>
                <w:sz w:val="19"/>
              </w:rPr>
              <w:t>Assume H1-H8 below. Then Cand_dual is invariant under isomorphisms of the family A_t, projective-Reper isomorphisms of X_t, and projective coordinate changes on the parameter line. If a path does not cross the common horizon, the algorithm must return NO-STRUCTURAL-CHANGE-IN-MODEL. If Block_dual is nonempty, it must return ABSTAIN.</w:t>
            </w:r>
          </w:p>
        </w:tc>
        <w:trPr>
          <w:tblHeader/>
        </w:trPr>
      </w:tr>
    </w:tbl>
    <w:p>
      <w:pPr>
        <w:spacing w:after="0"/>
      </w:pPr>
    </w:p>
    <w:p>
      <w:pPr>
        <w:pStyle w:val="ListBullet"/>
        <w:spacing w:after="40" w:line="252" w:lineRule="auto"/>
      </w:pPr>
      <w:r>
        <w:rPr>
          <w:rFonts w:ascii="DejaVu Serif" w:hAnsi="DejaVu Serif" w:eastAsia="DejaVu Serif"/>
          <w:b w:val="0"/>
          <w:i w:val="0"/>
          <w:color w:val="111111"/>
          <w:sz w:val="19"/>
        </w:rPr>
        <w:t>H1. t↦A_t is a finite-dimensional algebraic or analytic family with computable Δ_alg.</w:t>
      </w:r>
    </w:p>
    <w:p>
      <w:pPr>
        <w:pStyle w:val="ListBullet"/>
        <w:spacing w:after="40" w:line="252" w:lineRule="auto"/>
      </w:pPr>
      <w:r>
        <w:rPr>
          <w:rFonts w:ascii="DejaVu Serif" w:hAnsi="DejaVu Serif" w:eastAsia="DejaVu Serif"/>
          <w:b w:val="0"/>
          <w:i w:val="0"/>
          <w:color w:val="111111"/>
          <w:sz w:val="19"/>
        </w:rPr>
        <w:t>H2. An adjoint pair Spec_R⊣Gamma_R exists.</w:t>
      </w:r>
    </w:p>
    <w:p>
      <w:pPr>
        <w:pStyle w:val="ListBullet"/>
        <w:spacing w:after="40" w:line="252" w:lineRule="auto"/>
      </w:pPr>
      <w:r>
        <w:rPr>
          <w:rFonts w:ascii="DejaVu Serif" w:hAnsi="DejaVu Serif" w:eastAsia="DejaVu Serif"/>
          <w:b w:val="0"/>
          <w:i w:val="0"/>
          <w:color w:val="111111"/>
          <w:sz w:val="19"/>
        </w:rPr>
        <w:t>H3. η_{A_t} and ε̄_{X_t} are isomorphisms in the studied neighbourhood.</w:t>
      </w:r>
    </w:p>
    <w:p>
      <w:pPr>
        <w:pStyle w:val="ListBullet"/>
        <w:spacing w:after="40" w:line="252" w:lineRule="auto"/>
      </w:pPr>
      <w:r>
        <w:rPr>
          <w:rFonts w:ascii="DejaVu Serif" w:hAnsi="DejaVu Serif" w:eastAsia="DejaVu Serif"/>
          <w:b w:val="0"/>
          <w:i w:val="0"/>
          <w:color w:val="111111"/>
          <w:sz w:val="19"/>
        </w:rPr>
        <w:t>H4. Structural maps satisfy the Conjugacy Bridge 6.20.</w:t>
      </w:r>
    </w:p>
    <w:p>
      <w:pPr>
        <w:pStyle w:val="ListBullet"/>
        <w:spacing w:after="40" w:line="252" w:lineRule="auto"/>
      </w:pPr>
      <w:r>
        <w:rPr>
          <w:rFonts w:ascii="DejaVu Serif" w:hAnsi="DejaVu Serif" w:eastAsia="DejaVu Serif"/>
          <w:b w:val="0"/>
          <w:i w:val="0"/>
          <w:color w:val="111111"/>
          <w:sz w:val="19"/>
        </w:rPr>
        <w:t>H5. X_t carries a projective Reper atlas.</w:t>
      </w:r>
    </w:p>
    <w:p>
      <w:pPr>
        <w:pStyle w:val="ListBullet"/>
        <w:spacing w:after="40" w:line="252" w:lineRule="auto"/>
      </w:pPr>
      <w:r>
        <w:rPr>
          <w:rFonts w:ascii="DejaVu Serif" w:hAnsi="DejaVu Serif" w:eastAsia="DejaVu Serif"/>
          <w:b w:val="0"/>
          <w:i w:val="0"/>
          <w:color w:val="111111"/>
          <w:sz w:val="19"/>
        </w:rPr>
        <w:t>H6. D/Dom are valid and fixed before testing.</w:t>
      </w:r>
    </w:p>
    <w:p>
      <w:pPr>
        <w:pStyle w:val="ListBullet"/>
        <w:spacing w:after="40" w:line="252" w:lineRule="auto"/>
      </w:pPr>
      <w:r>
        <w:rPr>
          <w:rFonts w:ascii="DejaVu Serif" w:hAnsi="DejaVu Serif" w:eastAsia="DejaVu Serif"/>
          <w:b w:val="0"/>
          <w:i w:val="0"/>
          <w:color w:val="111111"/>
          <w:sz w:val="19"/>
        </w:rPr>
        <w:t>H7. Internal obstructions and all declared external obstructions vanish.</w:t>
      </w:r>
    </w:p>
    <w:p>
      <w:pPr>
        <w:pStyle w:val="ListBullet"/>
        <w:spacing w:after="40" w:line="252" w:lineRule="auto"/>
      </w:pPr>
      <w:r>
        <w:rPr>
          <w:rFonts w:ascii="DejaVu Serif" w:hAnsi="DejaVu Serif" w:eastAsia="DejaVu Serif"/>
          <w:b w:val="0"/>
          <w:i w:val="0"/>
          <w:color w:val="111111"/>
          <w:sz w:val="19"/>
        </w:rPr>
        <w:t>H8. Computational certificates for the algebraic and geometric channels are reproducible.</w:t>
      </w: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Isomorphism invariance of the algebraic horizon was proved in Chapter 5. Theorem 6.21 transports it to the geometric layer. Theorems 6.16 and 6.19 provide invariance of λ. H6-H8 preserve the evidence gates. Hence the Boolean selector Cand_dual is representation-independent. The negative branch follows from constant ranks outside the horizon; the ABSTAIN branch is the definition of the blocker-safe protocol. □</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Phenomenological element</w:t>
            </w:r>
          </w:p>
        </w:tc>
        <w:tc>
          <w:tcPr>
            <w:tcW w:type="dxa" w:w="6973"/>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Meaning</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Observable</w:t>
            </w:r>
          </w:p>
        </w:tc>
        <w:tc>
          <w:tcPr>
            <w:tcW w:type="dxa" w:w="697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The geometric channel shows how structural possibility appears in configuration space.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Foundation</w:t>
            </w:r>
          </w:p>
        </w:tc>
        <w:tc>
          <w:tcPr>
            <w:tcW w:type="dxa" w:w="697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The algebraic channel fixes which operation, associator, and ideal actually change rank.</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Coordination</w:t>
            </w:r>
          </w:p>
        </w:tc>
        <w:tc>
          <w:tcPr>
            <w:tcW w:type="dxa" w:w="697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Projective-harmonic λ localises a symmetric Reper candidate, but only inside the common determinantal horizon.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Abstention</w:t>
            </w:r>
          </w:p>
        </w:tc>
        <w:tc>
          <w:tcPr>
            <w:tcW w:type="dxa" w:w="697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When the channels disagree, the system does not guess a hidden meaning; it returns ABSTAIN and a register of missing bridges.</w:t>
            </w:r>
          </w:p>
        </w:tc>
      </w:tr>
    </w:tbl>
    <w:p>
      <w:pPr>
        <w:spacing w:after="2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section fixes an autonomous mathematical object within the architecture of Volume II.</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content is regarded as known only after the carrier, maps, and conditions of applicability have been specified.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phenomenological meaning appears through computable invariants and distinguishable regimes.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 conclusion is transported beyond the declared domain without a separate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Novelty is determined not by an isolated term but by its role in the packet-Reper KLT-RBD system.</w:t>
            </w:r>
          </w:p>
        </w:tc>
      </w:tr>
    </w:tbl>
    <w:p>
      <w:pPr>
        <w:spacing w:after="20"/>
      </w:pPr>
    </w:p>
    <w:p>
      <w:pPr>
        <w:pStyle w:val="Heading2"/>
        <w:keepNext/>
        <w:pageBreakBefore w:val="0"/>
      </w:pPr>
      <w:r>
        <w:t>6.8. Geometric Meaning of R⋆R</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Nonassociativity is treated as intrinsic structure, not as a computational error.</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is known through the associator, nuclei, ideals, invariants, and explicit countermodels.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dependence of the result on the bracketing architecture of a packet.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nonzero associator is not by itself physical curvature or a physical event.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R⋆R and its role in packet Reper-harmonic geometry.</w:t>
            </w:r>
          </w:p>
        </w:tc>
      </w:tr>
    </w:tbl>
    <w:p>
      <w:pPr>
        <w:spacing w:after="20"/>
      </w:pPr>
    </w:p>
    <w:p>
      <w:pPr>
        <w:pStyle w:val="Heading3"/>
        <w:keepNext/>
        <w:pageBreakBefore w:val="0"/>
      </w:pPr>
      <w:r>
        <w:t>6.8.1. Representable Image of the Associator</w:t>
      </w:r>
    </w:p>
    <w:p>
      <w:pPr>
        <w:widowControl/>
        <w:spacing w:after="80" w:line="264" w:lineRule="auto"/>
      </w:pPr>
      <w:r>
        <w:rPr>
          <w:rFonts w:ascii="DejaVu Serif" w:hAnsi="DejaVu Serif" w:eastAsia="DejaVu Serif"/>
          <w:b w:val="0"/>
          <w:i w:val="0"/>
          <w:color w:val="111111"/>
          <w:sz w:val="20"/>
        </w:rPr>
        <w:t>For T∈𝒞, every T-point x:A→T transports the associator by</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x(Ass_A(a,b,c)) = Ass_T(xa,xb,xc).</w:t>
            </w:r>
          </w:p>
        </w:tc>
        <w:trPr>
          <w:tblHeader/>
        </w:trPr>
      </w:tr>
    </w:tbl>
    <w:p>
      <w:pPr>
        <w:spacing w:after="0"/>
      </w:pPr>
    </w:p>
    <w:p>
      <w:pPr>
        <w:widowControl/>
        <w:spacing w:after="80" w:line="264" w:lineRule="auto"/>
      </w:pPr>
      <w:r>
        <w:rPr>
          <w:rFonts w:ascii="DejaVu Serif" w:hAnsi="DejaVu Serif" w:eastAsia="DejaVu Serif"/>
          <w:b w:val="0"/>
          <w:i w:val="0"/>
          <w:color w:val="111111"/>
          <w:sz w:val="20"/>
        </w:rPr>
        <w:t>Consequently the R⋆R certificate of Chapter 5 defines a natural family of functions on the functor of points. Its zero locus on a test object T is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Z_Ass(T)={x∈h_A(T): x(J_Ass(A))=0}.</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Proposition 6.27. Representability of the Associative Reflection [THM] </w:t>
            </w:r>
            <w:r>
              <w:rPr>
                <w:rFonts w:ascii="DejaVu Serif" w:hAnsi="DejaVu Serif" w:eastAsia="DejaVu Serif"/>
                <w:b w:val="0"/>
                <w:i w:val="0"/>
                <w:color w:val="111111"/>
                <w:sz w:val="19"/>
              </w:rPr>
              <w:t>For test objects and morphisms for which A/J_Ass exists in 𝒞, Z_Ass(T)≅Hom_𝒞(A/J_Ass(A),T).</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A morphism x:A→T kills J_Ass exactly when it factors uniquely through the universal associative reflection A→A/J_Ass. □</w:t>
      </w:r>
    </w:p>
    <w:p>
      <w:pPr>
        <w:widowControl/>
        <w:spacing w:after="80" w:line="264" w:lineRule="auto"/>
      </w:pPr>
      <w:r>
        <w:rPr>
          <w:rFonts w:ascii="DejaVu Serif" w:hAnsi="DejaVu Serif" w:eastAsia="DejaVu Serif"/>
          <w:b w:val="0"/>
          <w:i w:val="0"/>
          <w:color w:val="111111"/>
          <w:sz w:val="20"/>
        </w:rPr>
        <w:t>Thus the associative geometric layer is a representable subfunctor of the full NAPG geometry. “Geometry sees the associator” now means a factorisation locus rather than a metaphor.</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Nonassociativity is treated as intrinsic structure, not as a computational error.</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is known through the associator, nuclei, ideals, invariants, and explicit countermodels.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dependence of the result on the bracketing architecture of a packet.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nonzero associator is not by itself physical curvature or a physical event.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R⋆R and its role in packet Reper-harmonic geometry.</w:t>
            </w:r>
          </w:p>
        </w:tc>
      </w:tr>
    </w:tbl>
    <w:p>
      <w:pPr>
        <w:spacing w:after="20"/>
      </w:pPr>
    </w:p>
    <w:p>
      <w:pPr>
        <w:pStyle w:val="Heading3"/>
        <w:keepNext/>
        <w:pageBreakBefore w:val="0"/>
      </w:pPr>
      <w:r>
        <w:t>6.8.2. Geometry of Nuclei and the Center</w:t>
      </w:r>
    </w:p>
    <w:p>
      <w:pPr>
        <w:widowControl/>
        <w:spacing w:after="80" w:line="264" w:lineRule="auto"/>
      </w:pPr>
      <w:r>
        <w:rPr>
          <w:rFonts w:ascii="DejaVu Serif" w:hAnsi="DejaVu Serif" w:eastAsia="DejaVu Serif"/>
          <w:b w:val="0"/>
          <w:i w:val="0"/>
          <w:color w:val="111111"/>
          <w:sz w:val="20"/>
        </w:rPr>
        <w:t>For every test T, define subfunctors N_l,N_m,N_r,N,Z by vanishing of the corresponding natural associator and commutator functions. Under finite representability they are systems of polynomial equations in structural coordinates.</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Proposition 6.28. Functoriality of Nucleus Loci [THM] </w:t>
            </w:r>
            <w:r>
              <w:rPr>
                <w:rFonts w:ascii="DejaVu Serif" w:hAnsi="DejaVu Serif" w:eastAsia="DejaVu Serif"/>
                <w:b w:val="0"/>
                <w:i w:val="0"/>
                <w:color w:val="111111"/>
                <w:sz w:val="19"/>
              </w:rPr>
              <w:t>NAPG isomorphisms transport the loci N_l,N_m,N_r,N,Z into one another. Their dimension profiles are invariants on the reconstructible geometric layer.</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The loci are defined by natural identities Ass=0 and [a,b]=0, preserved by morphisms. □</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computational object exists only together with inputs, an algorithm, and a reproducible certificate.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supported by repeatability, exact tests, and control of numerical conditioning.</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agreement between expected and computed invariants.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successful run proves neither a universal theorem nor an empirical claim.</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a proof-carrying computational circuit within KLT-RBD.</w:t>
            </w:r>
          </w:p>
        </w:tc>
      </w:tr>
    </w:tbl>
    <w:p>
      <w:pPr>
        <w:spacing w:after="20"/>
      </w:pPr>
    </w:p>
    <w:p>
      <w:pPr>
        <w:pStyle w:val="Heading2"/>
        <w:keepNext/>
        <w:pageBreakBefore w:val="0"/>
      </w:pPr>
      <w:r>
        <w:t>6.9. Computational Certificate</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Only a typed structure with declared domain and codomain counts as an object.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obtained by checking morphisms, commutative diagrams, and admissible domains.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structure appears as the ability to transport data correctly without loss of type.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Similarity of notation neither licenses composition nor proves existence.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packet-Reper typing of NAPG and the inclusion of D/Dom in the object itself.</w:t>
            </w:r>
          </w:p>
        </w:tc>
      </w:tr>
    </w:tbl>
    <w:p>
      <w:pPr>
        <w:spacing w:after="20"/>
      </w:pPr>
    </w:p>
    <w:p>
      <w:pPr>
        <w:pStyle w:val="Heading3"/>
        <w:keepNext/>
        <w:pageBreakBefore w:val="0"/>
      </w:pPr>
      <w:r>
        <w:t>6.9.1. Required Data Objects</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124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ID</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Object</w:t>
            </w:r>
          </w:p>
        </w:tc>
        <w:tc>
          <w:tcPr>
            <w:tcW w:type="dxa" w:w="5839"/>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Certificate fields</w:t>
            </w:r>
          </w:p>
        </w:tc>
      </w:tr>
      <w:tr>
        <w:trPr>
          <w:cantSplit w:val="true"/>
        </w:trPr>
        <w:tc>
          <w:tcPr>
            <w:tcW w:type="dxa" w:w="124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DUAL-OBJ</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Algebra / geometry</w:t>
            </w:r>
          </w:p>
        </w:tc>
        <w:tc>
          <w:tcPr>
            <w:tcW w:type="dxa" w:w="583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object_id, version, basis/atlas, source hash, status</w:t>
            </w:r>
          </w:p>
        </w:tc>
      </w:tr>
      <w:tr>
        <w:trPr>
          <w:cantSplit w:val="true"/>
        </w:trPr>
        <w:tc>
          <w:tcPr>
            <w:tcW w:type="dxa" w:w="124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DUAL-FUN</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Spec / Gamma</w:t>
            </w:r>
          </w:p>
        </w:tc>
        <w:tc>
          <w:tcPr>
            <w:tcW w:type="dxa" w:w="583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domain, codomain, object map, morphism map, identity/composition tests</w:t>
            </w:r>
          </w:p>
        </w:tc>
      </w:tr>
      <w:tr>
        <w:trPr>
          <w:cantSplit w:val="true"/>
        </w:trPr>
        <w:tc>
          <w:tcPr>
            <w:tcW w:type="dxa" w:w="124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DUAL-UNIT</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η / ε̄</w:t>
            </w:r>
          </w:p>
        </w:tc>
        <w:tc>
          <w:tcPr>
            <w:tcW w:type="dxa" w:w="583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matrix or symbolic map, rank, inverse witness, defect</w:t>
            </w:r>
          </w:p>
        </w:tc>
      </w:tr>
      <w:tr>
        <w:trPr>
          <w:cantSplit w:val="true"/>
        </w:trPr>
        <w:tc>
          <w:tcPr>
            <w:tcW w:type="dxa" w:w="124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DUAL-REP</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Reper atlas</w:t>
            </w:r>
          </w:p>
        </w:tc>
        <w:tc>
          <w:tcPr>
            <w:tcW w:type="dxa" w:w="583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charts, PGL₂ transition matrices, overlap tests, pole set</w:t>
            </w:r>
          </w:p>
        </w:tc>
      </w:tr>
      <w:tr>
        <w:trPr>
          <w:cantSplit w:val="true"/>
        </w:trPr>
        <w:tc>
          <w:tcPr>
            <w:tcW w:type="dxa" w:w="124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DUAL-HOR</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Horizons</w:t>
            </w:r>
          </w:p>
        </w:tc>
        <w:tc>
          <w:tcPr>
            <w:tcW w:type="dxa" w:w="583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minor polynomials, generic rank, Δ_alg, Δ_geo, symmetric difference</w:t>
            </w:r>
          </w:p>
        </w:tc>
      </w:tr>
      <w:tr>
        <w:trPr>
          <w:cantSplit w:val="true"/>
        </w:trPr>
        <w:tc>
          <w:tcPr>
            <w:tcW w:type="dxa" w:w="124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DUAL-GATE</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Predictive gate</w:t>
            </w:r>
          </w:p>
        </w:tc>
        <w:tc>
          <w:tcPr>
            <w:tcW w:type="dxa" w:w="583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λ, δ_truth, D/Dom, Π, blockers, output</w:t>
            </w:r>
          </w:p>
        </w:tc>
      </w:tr>
    </w:tbl>
    <w:p>
      <w:pPr>
        <w:spacing w:after="20"/>
      </w:pP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computational object exists only together with inputs, an algorithm, and a reproducible certificate.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supported by repeatability, exact tests, and control of numerical conditioning.</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agreement between expected and computed invariants.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successful run proves neither a universal theorem nor an empirical claim.</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a proof-carrying computational circuit within KLT-RBD.</w:t>
            </w:r>
          </w:p>
        </w:tc>
      </w:tr>
    </w:tbl>
    <w:p>
      <w:pPr>
        <w:spacing w:after="20"/>
      </w:pPr>
    </w:p>
    <w:p>
      <w:pPr>
        <w:pStyle w:val="Heading3"/>
        <w:keepNext/>
        <w:pageBreakBefore w:val="0"/>
      </w:pPr>
      <w:r>
        <w:t>6.9.2. Automatic Tests</w:t>
      </w:r>
    </w:p>
    <w:p>
      <w:pPr>
        <w:pStyle w:val="ListBullet"/>
        <w:spacing w:after="40" w:line="252" w:lineRule="auto"/>
      </w:pPr>
      <w:r>
        <w:rPr>
          <w:rFonts w:ascii="DejaVu Serif" w:hAnsi="DejaVu Serif" w:eastAsia="DejaVu Serif"/>
          <w:b w:val="0"/>
          <w:i w:val="0"/>
          <w:color w:val="111111"/>
          <w:sz w:val="19"/>
        </w:rPr>
        <w:t>TEST-YONEDA-01: verify the bijection Hom(A,B)↔Nat(h_B,h_A) on a finite test subcorpus;</w:t>
      </w:r>
    </w:p>
    <w:p>
      <w:pPr>
        <w:pStyle w:val="ListBullet"/>
        <w:spacing w:after="40" w:line="252" w:lineRule="auto"/>
      </w:pPr>
      <w:r>
        <w:rPr>
          <w:rFonts w:ascii="DejaVu Serif" w:hAnsi="DejaVu Serif" w:eastAsia="DejaVu Serif"/>
          <w:b w:val="0"/>
          <w:i w:val="0"/>
          <w:color w:val="111111"/>
          <w:sz w:val="19"/>
        </w:rPr>
        <w:t>TEST-FUN-02: preserve identities and composition for Spec_R/Gamma_R;</w:t>
      </w:r>
    </w:p>
    <w:p>
      <w:pPr>
        <w:pStyle w:val="ListBullet"/>
        <w:spacing w:after="40" w:line="252" w:lineRule="auto"/>
      </w:pPr>
      <w:r>
        <w:rPr>
          <w:rFonts w:ascii="DejaVu Serif" w:hAnsi="DejaVu Serif" w:eastAsia="DejaVu Serif"/>
          <w:b w:val="0"/>
          <w:i w:val="0"/>
          <w:color w:val="111111"/>
          <w:sz w:val="19"/>
        </w:rPr>
        <w:t>TEST-ADJ-03: verify the natural Hom bijection and triangular identities;</w:t>
      </w:r>
    </w:p>
    <w:p>
      <w:pPr>
        <w:pStyle w:val="ListBullet"/>
        <w:spacing w:after="40" w:line="252" w:lineRule="auto"/>
      </w:pPr>
      <w:r>
        <w:rPr>
          <w:rFonts w:ascii="DejaVu Serif" w:hAnsi="DejaVu Serif" w:eastAsia="DejaVu Serif"/>
          <w:b w:val="0"/>
          <w:i w:val="0"/>
          <w:color w:val="111111"/>
          <w:sz w:val="19"/>
        </w:rPr>
        <w:t>TEST-REC-04: exact invertibility tests for η and ε̄;</w:t>
      </w:r>
    </w:p>
    <w:p>
      <w:pPr>
        <w:pStyle w:val="ListBullet"/>
        <w:spacing w:after="40" w:line="252" w:lineRule="auto"/>
      </w:pPr>
      <w:r>
        <w:rPr>
          <w:rFonts w:ascii="DejaVu Serif" w:hAnsi="DejaVu Serif" w:eastAsia="DejaVu Serif"/>
          <w:b w:val="0"/>
          <w:i w:val="0"/>
          <w:color w:val="111111"/>
          <w:sz w:val="19"/>
        </w:rPr>
        <w:t>TEST-PGL-05: verify that every chart transition is represented by an invertible 2×2 matrix up to scalar;</w:t>
      </w:r>
    </w:p>
    <w:p>
      <w:pPr>
        <w:pStyle w:val="ListBullet"/>
        <w:spacing w:after="40" w:line="252" w:lineRule="auto"/>
      </w:pPr>
      <w:r>
        <w:rPr>
          <w:rFonts w:ascii="DejaVu Serif" w:hAnsi="DejaVu Serif" w:eastAsia="DejaVu Serif"/>
          <w:b w:val="0"/>
          <w:i w:val="0"/>
          <w:color w:val="111111"/>
          <w:sz w:val="19"/>
        </w:rPr>
        <w:t>TEST-CR-06: equality of cross-ratio in all overlapping charts;</w:t>
      </w:r>
    </w:p>
    <w:p>
      <w:pPr>
        <w:pStyle w:val="ListBullet"/>
        <w:spacing w:after="40" w:line="252" w:lineRule="auto"/>
      </w:pPr>
      <w:r>
        <w:rPr>
          <w:rFonts w:ascii="DejaVu Serif" w:hAnsi="DejaVu Serif" w:eastAsia="DejaVu Serif"/>
          <w:b w:val="0"/>
          <w:i w:val="0"/>
          <w:color w:val="111111"/>
          <w:sz w:val="19"/>
        </w:rPr>
        <w:t>TEST-NONPGL-07: mandatory negative test on a nonlinear chart;</w:t>
      </w:r>
    </w:p>
    <w:p>
      <w:pPr>
        <w:pStyle w:val="ListBullet"/>
        <w:spacing w:after="40" w:line="252" w:lineRule="auto"/>
      </w:pPr>
      <w:r>
        <w:rPr>
          <w:rFonts w:ascii="DejaVu Serif" w:hAnsi="DejaVu Serif" w:eastAsia="DejaVu Serif"/>
          <w:b w:val="0"/>
          <w:i w:val="0"/>
          <w:color w:val="111111"/>
          <w:sz w:val="19"/>
        </w:rPr>
        <w:t>TEST-HOR-08: equality of Δ_alg and Δ_geo;</w:t>
      </w:r>
    </w:p>
    <w:p>
      <w:pPr>
        <w:pStyle w:val="ListBullet"/>
        <w:spacing w:after="40" w:line="252" w:lineRule="auto"/>
      </w:pPr>
      <w:r>
        <w:rPr>
          <w:rFonts w:ascii="DejaVu Serif" w:hAnsi="DejaVu Serif" w:eastAsia="DejaVu Serif"/>
          <w:b w:val="0"/>
          <w:i w:val="0"/>
          <w:color w:val="111111"/>
          <w:sz w:val="19"/>
        </w:rPr>
        <w:t>TEST-GATE-09: ABSTAIN for every nonzero blocker;</w:t>
      </w:r>
    </w:p>
    <w:p>
      <w:pPr>
        <w:pStyle w:val="ListBullet"/>
        <w:spacing w:after="40" w:line="252" w:lineRule="auto"/>
      </w:pPr>
      <w:r>
        <w:rPr>
          <w:rFonts w:ascii="DejaVu Serif" w:hAnsi="DejaVu Serif" w:eastAsia="DejaVu Serif"/>
          <w:b w:val="0"/>
          <w:i w:val="0"/>
          <w:color w:val="111111"/>
          <w:sz w:val="19"/>
        </w:rPr>
        <w:t>TEST-HASH-10: control hashes of code, data, matrices, and report.</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computational object exists only together with inputs, an algorithm, and a reproducible certificate.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supported by repeatability, exact tests, and control of numerical conditioning.</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agreement between expected and computed invariants.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successful run proves neither a universal theorem nor an empirical claim.</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a proof-carrying computational circuit within KLT-RBD.</w:t>
            </w:r>
          </w:p>
        </w:tc>
      </w:tr>
    </w:tbl>
    <w:p>
      <w:pPr>
        <w:spacing w:after="20"/>
      </w:pPr>
    </w:p>
    <w:p>
      <w:pPr>
        <w:pStyle w:val="Heading3"/>
        <w:keepNext/>
        <w:pageBreakBefore w:val="0"/>
      </w:pPr>
      <w:r>
        <w:t>6.9.3. Blocker-Safe Algorithm</w:t>
      </w:r>
    </w:p>
    <w:tbl>
      <w:tblPr>
        <w:tblW w:type="auto" w:w="0"/>
        <w:jc w:val="center"/>
        <w:tblLook w:firstColumn="1" w:firstRow="1" w:lastColumn="0" w:lastRow="0" w:noHBand="0" w:noVBand="1" w:val="04A0"/>
        <w:tblBorders>
          <w:top w:val="single" w:sz="3" w:color="C8D0D9"/>
          <w:left w:val="single" w:sz="3" w:color="C8D0D9"/>
          <w:bottom w:val="single" w:sz="3" w:color="C8D0D9"/>
          <w:right w:val="single" w:sz="3" w:color="C8D0D9"/>
          <w:insideH w:val="single" w:sz="3" w:color="C8D0D9"/>
          <w:insideV w:val="single" w:sz="3" w:color="C8D0D9"/>
        </w:tblBorders>
      </w:tblPr>
      <w:tblGrid>
        <w:gridCol w:w="9951"/>
      </w:tblGrid>
      <w:tr>
        <w:tc>
          <w:tcPr>
            <w:tcW w:type="dxa" w:w="9951"/>
            <w:shd w:fill="F3F5F7"/>
            <w:tcMar>
              <w:top w:w="150" w:type="dxa"/>
              <w:start w:w="180" w:type="dxa"/>
              <w:bottom w:w="150" w:type="dxa"/>
              <w:end w:w="180" w:type="dxa"/>
            </w:tcMar>
          </w:tcPr>
          <w:p>
            <w:pPr>
              <w:spacing w:line="252" w:lineRule="auto"/>
            </w:pPr>
            <w:r>
              <w:rPr>
                <w:rFonts w:ascii="DejaVu Sans Mono" w:hAnsi="DejaVu Sans Mono" w:eastAsia="DejaVu Sans Mono"/>
                <w:b w:val="0"/>
                <w:i w:val="0"/>
                <w:color w:val="173F69"/>
                <w:sz w:val="18"/>
              </w:rPr>
              <w:t>INPUT: family A_t, realisation X_t, Reper ρ_t, evidence D_t</w:t>
              <w:br/>
            </w:r>
            <w:r>
              <w:rPr>
                <w:rFonts w:ascii="DejaVu Sans Mono" w:hAnsi="DejaVu Sans Mono" w:eastAsia="DejaVu Sans Mono"/>
                <w:b w:val="0"/>
                <w:i w:val="0"/>
                <w:color w:val="111111"/>
                <w:sz w:val="18"/>
              </w:rPr>
              <w:t>1. compute Δ_alg; 2. compute Δ_geo; 3. test η and ε̄;</w:t>
              <w:br/>
            </w:r>
            <w:r>
              <w:rPr>
                <w:rFonts w:ascii="DejaVu Sans Mono" w:hAnsi="DejaVu Sans Mono" w:eastAsia="DejaVu Sans Mono"/>
                <w:b w:val="0"/>
                <w:i w:val="0"/>
                <w:color w:val="111111"/>
                <w:sz w:val="18"/>
              </w:rPr>
              <w:t>4. verify the PGL₂ atlas and λ; 5. evaluate Π and D/Dom;</w:t>
              <w:br/>
            </w:r>
            <w:r>
              <w:rPr>
                <w:rFonts w:ascii="DejaVu Sans Mono" w:hAnsi="DejaVu Sans Mono" w:eastAsia="DejaVu Sans Mono"/>
                <w:b w:val="0"/>
                <w:i w:val="0"/>
                <w:color w:val="111111"/>
                <w:sz w:val="18"/>
              </w:rPr>
              <w:t>6. if Block_dual ≠ ∅: return ABSTAIN;</w:t>
              <w:br/>
            </w:r>
            <w:r>
              <w:rPr>
                <w:rFonts w:ascii="DejaVu Sans Mono" w:hAnsi="DejaVu Sans Mono" w:eastAsia="DejaVu Sans Mono"/>
                <w:b w:val="0"/>
                <w:i w:val="0"/>
                <w:color w:val="111111"/>
                <w:sz w:val="18"/>
              </w:rPr>
              <w:t>7. if path ∩ Δ_alg = ∅: return NO-STRUCTURAL-CHANGE-IN-MODEL;</w:t>
              <w:br/>
            </w:r>
            <w:r>
              <w:rPr>
                <w:rFonts w:ascii="DejaVu Sans Mono" w:hAnsi="DejaVu Sans Mono" w:eastAsia="DejaVu Sans Mono"/>
                <w:b w:val="0"/>
                <w:i w:val="0"/>
                <w:color w:val="111111"/>
                <w:sz w:val="18"/>
              </w:rPr>
              <w:t>8. if t ∈ Δ_alg=Δ_geo and λ=-1: return CANDIDATE;</w:t>
              <w:br/>
            </w:r>
            <w:r>
              <w:rPr>
                <w:rFonts w:ascii="DejaVu Sans Mono" w:hAnsi="DejaVu Sans Mono" w:eastAsia="DejaVu Sans Mono"/>
                <w:b w:val="0"/>
                <w:i w:val="0"/>
                <w:color w:val="111111"/>
                <w:sz w:val="18"/>
              </w:rPr>
              <w:t>9. otherwise: return UNRESOLVED-HORIZON.</w:t>
            </w:r>
          </w:p>
        </w:tc>
        <w:trPr>
          <w:tblHeader/>
        </w:trPr>
      </w:tr>
    </w:tbl>
    <w:p>
      <w:pPr>
        <w:pStyle w:val="Heading1"/>
        <w:keepNext/>
        <w:pageBreakBefore/>
      </w:pPr>
      <w:bookmarkStart w:id="1006" w:name="T2_CH07"/>
      <w:r>
        <w:t>Chapter 7. Atlases, Bundles, and Globalisation Obstructions</w:t>
      </w:r>
      <w:bookmarkEnd w:id="1006"/>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global object exists only after effective gluing of local data.</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Globality requires cocycle, descent, and compatibility on triple overlaps.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Local solutions appear as compatible or conflicting charts.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Pairwise agreement does not guarantee a global section.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a globalisation-safe KLT-RBD gate and an explicit blocker register.</w:t>
            </w:r>
          </w:p>
        </w:tc>
      </w:tr>
    </w:tbl>
    <w:p>
      <w:pPr>
        <w:spacing w:after="20"/>
      </w:pPr>
    </w:p>
    <w:p>
      <w:pPr>
        <w:widowControl/>
        <w:spacing w:after="80" w:line="264" w:lineRule="auto"/>
      </w:pPr>
      <w:r>
        <w:rPr>
          <w:rFonts w:ascii="DejaVu Serif" w:hAnsi="DejaVu Serif" w:eastAsia="DejaVu Serif"/>
          <w:b w:val="0"/>
          <w:i w:val="0"/>
          <w:color w:val="111111"/>
          <w:sz w:val="20"/>
        </w:rPr>
        <w:t>This chapter separates local NAPG descriptions from genuinely global objects. A cover of charts, even one whose pairwise overlaps look consistent, does not define a bundle until the transition arrows satisfy an associative cocycle and the declared algebraic, Reper, Hodge, and Evidence-D data descend effectively. The predictive consequence is strict: a family of local candidates is not a global scenario unless it is the restriction of an admissible global section.</w:t>
      </w:r>
    </w:p>
    <w:p>
      <w:pPr>
        <w:pStyle w:val="Heading2"/>
        <w:keepNext/>
        <w:pageBreakBefore w:val="0"/>
      </w:pPr>
      <w:r>
        <w:t>7.1. NAPG Atlases and the Transition Groupoid</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Only a typed structure with declared domain and codomain counts as an object.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obtained by checking morphisms, commutative diagrams, and admissible domains.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structure appears as the ability to transport data correctly without loss of type.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Similarity of notation neither licenses composition nor proves existence.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packet-Reper typing of NAPG and the inclusion of D/Dom in the object itself.</w:t>
            </w:r>
          </w:p>
        </w:tc>
      </w:tr>
    </w:tbl>
    <w:p>
      <w:pPr>
        <w:spacing w:after="2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7.1. Local NAPG Model [DEF-A] </w:t>
            </w:r>
            <w:r>
              <w:rPr>
                <w:rFonts w:ascii="DejaVu Serif" w:hAnsi="DejaVu Serif" w:eastAsia="DejaVu Serif"/>
                <w:b w:val="0"/>
                <w:i w:val="0"/>
                <w:color w:val="111111"/>
                <w:sz w:val="19"/>
              </w:rPr>
              <w:t>A local model is an object F of NAPG_q equipped with the chosen topology or smooth structure on its carriers. The group Aut_NAPG(F) of admissible continuous or smooth automorphisms is regarded as a topological group only when that topology has been supplied; otherwise only the categorical formulation is licensed.</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7.2. NAPG Atlas [DEF-A] </w:t>
            </w:r>
            <w:r>
              <w:rPr>
                <w:rFonts w:ascii="DejaVu Serif" w:hAnsi="DejaVu Serif" w:eastAsia="DejaVu Serif"/>
                <w:b w:val="0"/>
                <w:i w:val="0"/>
                <w:color w:val="111111"/>
                <w:sz w:val="19"/>
              </w:rPr>
              <w:t>An atlas of type F on X consists of an open cover {U_i}, local objects E_i=U_i x F, and overlap isomorphisms phi_ij:E_i|U_ij -&gt; E_j|U_ij. Every phi_ij preserves grading, the operation odot, structural data G, admissible domains, the R-star-R layer, and each evidential field declared global.</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phi_ii = id,   phi_ji = phi_ij^{-1},   phi_jk o phi_ij = phi_ik on U_ijk.</w:t>
            </w:r>
          </w:p>
        </w:tc>
        <w:tc>
          <w:tcPr>
            <w:tcW w:type="dxa" w:w="1531"/>
            <w:shd w:fill="F6F8FA"/>
          </w:tcPr>
          <w:p>
            <w:pPr>
              <w:jc w:val="right"/>
            </w:pPr>
            <w:r>
              <w:rPr>
                <w:rFonts w:ascii="DejaVu Sans" w:hAnsi="DejaVu Sans" w:eastAsia="DejaVu Sans"/>
                <w:b/>
                <w:i w:val="0"/>
                <w:color w:val="5C6773"/>
                <w:sz w:val="17"/>
              </w:rPr>
              <w:t>T2-F014</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7.3. Structural Groupoid [DEF-A] </w:t>
            </w:r>
            <w:r>
              <w:rPr>
                <w:rFonts w:ascii="DejaVu Serif" w:hAnsi="DejaVu Serif" w:eastAsia="DejaVu Serif"/>
                <w:b w:val="0"/>
                <w:i w:val="0"/>
                <w:color w:val="111111"/>
                <w:sz w:val="19"/>
              </w:rPr>
              <w:t>Objects are local NAPG models over charts and arrows are admissible overlap isomorphisms. Composition is ordinary composition of maps and remains associative even when the fibre operation odot is nonassociative.</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7.4. Associative Transition Groupoid Is Necessary [THM] </w:t>
            </w:r>
            <w:r>
              <w:rPr>
                <w:rFonts w:ascii="DejaVu Serif" w:hAnsi="DejaVu Serif" w:eastAsia="DejaVu Serif"/>
                <w:b w:val="0"/>
                <w:i w:val="0"/>
                <w:color w:val="111111"/>
                <w:sz w:val="19"/>
              </w:rPr>
              <w:t>Ordinary gluing of local NAPG objects requires transition data to form a category or groupoid with associative composition. The fibre operation odot cannot itself serve as the transition law unless additional 2-morphisms and explicit coherence data are supplied.</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The quotient of the disjoint union of local trivialisations requires a transitive equivalence relation. On a fourfold overlap the two composites (phi_34 o phi_23) o phi_12 and phi_34 o (phi_23 o phi_12) must agree. Ordinary maps satisfy this identity. A transition law with a nonzero associator makes the equivalence class depend on bracketing and leaves the quotient undefined. A bicategorical repair is a separate OPEN layer. □</w:t>
      </w:r>
    </w:p>
    <w:p>
      <w:pPr>
        <w:keepNext/>
        <w:jc w:val="center"/>
      </w:pPr>
      <w:r>
        <w:drawing>
          <wp:inline xmlns:a="http://schemas.openxmlformats.org/drawingml/2006/main" xmlns:pic="http://schemas.openxmlformats.org/drawingml/2006/picture">
            <wp:extent cx="5760000" cy="3115102"/>
            <wp:docPr id="10" name="Picture 10" descr="Cocycle condition and gluing defect for local NAPG objects" title="Cocycle condition and gluing defect for local NAPG objects"/>
            <wp:cNvGraphicFramePr>
              <a:graphicFrameLocks noChangeAspect="1"/>
            </wp:cNvGraphicFramePr>
            <a:graphic>
              <a:graphicData uri="http://schemas.openxmlformats.org/drawingml/2006/picture">
                <pic:pic>
                  <pic:nvPicPr>
                    <pic:cNvPr id="0" name="fig11_cocycle.png"/>
                    <pic:cNvPicPr/>
                  </pic:nvPicPr>
                  <pic:blipFill>
                    <a:blip r:embed="rId20"/>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11. Cocycle condition and gluing defect of local NAPG objects. English reconstruction of the authorial scheme in the frozen Russian Volume II.</w:t>
      </w:r>
    </w:p>
    <w:p>
      <w:pPr>
        <w:pStyle w:val="Heading3"/>
        <w:keepNext/>
        <w:pageBreakBefore w:val="0"/>
      </w:pPr>
      <w:r>
        <w:t>7.1.2. Projective-Reper Atlas</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7.5. Projective-Reper Chart [DEF-A] </w:t>
            </w:r>
            <w:r>
              <w:rPr>
                <w:rFonts w:ascii="DejaVu Serif" w:hAnsi="DejaVu Serif" w:eastAsia="DejaVu Serif"/>
                <w:b w:val="0"/>
                <w:i w:val="0"/>
                <w:color w:val="111111"/>
                <w:sz w:val="19"/>
              </w:rPr>
              <w:t>A chart over U_i consists of kappa_i:U_i-&gt;P^1(K), a local Evidence-D package E_D,i, and a class of admissible Reper quadruples. On overlaps one requires kappa_j o kappa_i^{-1} in PGL_2(K) together with compatible transport of E_D,i.</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7.6. Globality of lambda [THM] </w:t>
            </w:r>
            <w:r>
              <w:rPr>
                <w:rFonts w:ascii="DejaVu Serif" w:hAnsi="DejaVu Serif" w:eastAsia="DejaVu Serif"/>
                <w:b w:val="0"/>
                <w:i w:val="0"/>
                <w:color w:val="111111"/>
                <w:sz w:val="19"/>
              </w:rPr>
              <w:t>If every transition belongs to PGL_2(K), the cross-ratio lambda(u,i;r,d) and the harmonic locus lambda=-1 are chart-independent. If a transition fails to preserve cross-ratio, lambda remains only a local coordinate.</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Cross-ratio is invariant under PGL_2. Equality on every overlap therefore glues the local values to a global function on the admissible quadruple space. No converse is claimed for a finite sample of values, since a nonprojective map may accidentally preserve selected quadruples without preserving cross-ratio globally. □</w:t>
      </w:r>
    </w:p>
    <w:p>
      <w:pPr>
        <w:pStyle w:val="Heading2"/>
        <w:keepNext/>
        <w:pageBreakBefore w:val="0"/>
      </w:pPr>
      <w:r>
        <w:t>7.2. Descent Data and the Gluing Theorem</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global object exists only after effective gluing of local data.</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Globality requires cocycle, descent, and compatibility on triple overlaps.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Local solutions appear as compatible or conflicting charts.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Pairwise agreement does not guarantee a global section.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a globalisation-safe KLT-RBD gate and an explicit blocker register.</w:t>
            </w:r>
          </w:p>
        </w:tc>
      </w:tr>
    </w:tbl>
    <w:p>
      <w:pPr>
        <w:spacing w:after="2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7.7. Descent Datum [CL / DEF-A] </w:t>
            </w:r>
            <w:r>
              <w:rPr>
                <w:rFonts w:ascii="DejaVu Serif" w:hAnsi="DejaVu Serif" w:eastAsia="DejaVu Serif"/>
                <w:b w:val="0"/>
                <w:i w:val="0"/>
                <w:color w:val="111111"/>
                <w:sz w:val="19"/>
              </w:rPr>
              <w:t>For a fibred category p:S-&gt;C and a cover U_i-&gt;U, a descent datum consists of objects X_i over U_i and isomorphisms phi_ij:pr_0^*X_i-&gt;pr_1^*X_j over U_i x_U U_j satisfying the triangle identity on the triple fibre product. In NAPG, the X_i are local packet-Reper structures.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pr_12^* phi_jk o pr_01^* phi_ij = pr_02^* phi_ik on U_i x_U U_j x_U U_k.</w:t>
            </w:r>
          </w:p>
        </w:tc>
        <w:tc>
          <w:tcPr>
            <w:tcW w:type="dxa" w:w="1531"/>
            <w:shd w:fill="F6F8FA"/>
          </w:tcPr>
          <w:p>
            <w:pPr>
              <w:jc w:val="right"/>
            </w:pPr>
            <w:r>
              <w:rPr>
                <w:rFonts w:ascii="DejaVu Sans" w:hAnsi="DejaVu Sans" w:eastAsia="DejaVu Sans"/>
                <w:b/>
                <w:i w:val="0"/>
                <w:color w:val="5C6773"/>
                <w:sz w:val="17"/>
              </w:rPr>
              <w:t>T2-F015</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Definition 7.8. Effective Descent [CL / COND] </w:t>
            </w:r>
            <w:r>
              <w:rPr>
                <w:rFonts w:ascii="DejaVu Serif" w:hAnsi="DejaVu Serif" w:eastAsia="DejaVu Serif"/>
                <w:b w:val="0"/>
                <w:i w:val="0"/>
                <w:color w:val="111111"/>
                <w:sz w:val="19"/>
              </w:rPr>
              <w:t>A descent datum is effective if it is induced by a global object X over U. The cocycle condition is necessary but, in a general fibred category, not sufficient; sufficiency is a stack or effective-descent property of the selected class of objects.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7.9. Gluing of an NAPG Bundle [THM] </w:t>
            </w:r>
            <w:r>
              <w:rPr>
                <w:rFonts w:ascii="DejaVu Serif" w:hAnsi="DejaVu Serif" w:eastAsia="DejaVu Serif"/>
                <w:b w:val="0"/>
                <w:i w:val="0"/>
                <w:color w:val="111111"/>
                <w:sz w:val="19"/>
              </w:rPr>
              <w:t>Let X be paracompact Hausdorff, F a topological NAPG object, and G=Aut_NAPG(F) a topological group. Continuous maps g_ij:U_ij-&gt;G satisfying g_ii=e, g_ji=g_ij^{-1}, and g_ij g_jk=g_ik define a locally trivial NAPG bundle E=(disjoint union U_i x F)/~. Its isomorphism class depends only on the gauge class of the cocycle.</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Set (x,v,i)~(x,g_ji(x)v,j). Reflexivity and symmetry follow from the first two identities; transitivity follows from the cocycle. The local inclusions give trivialisations. Since every g_ij is an NAPG automorphism, the grading, operation, structural data, and declared invariants descend. Gauge-related cocycles produce an explicit bundle isomorphism. □</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7.10. Pairwise Compatibility Is Not Enough [THM / COUNTEREXAMPLE] </w:t>
            </w:r>
            <w:r>
              <w:rPr>
                <w:rFonts w:ascii="DejaVu Serif" w:hAnsi="DejaVu Serif" w:eastAsia="DejaVu Serif"/>
                <w:b w:val="0"/>
                <w:i w:val="0"/>
                <w:color w:val="111111"/>
                <w:sz w:val="19"/>
              </w:rPr>
              <w:t>Choose three charts with nonempty triple overlap and transitions satisfying g_23 g_12 != g_13. Every pair may be glued in isolation, but the transition from chart 1 to chart 3 depends on the route. No unique global quotient exists.</w:t>
            </w:r>
          </w:p>
        </w:tc>
        <w:trPr>
          <w:tblHeader/>
        </w:trPr>
      </w:tr>
    </w:tbl>
    <w:p>
      <w:pPr>
        <w:spacing w:after="0"/>
      </w:pPr>
    </w:p>
    <w:p>
      <w:pPr>
        <w:widowControl/>
        <w:spacing w:after="80" w:line="264" w:lineRule="auto"/>
      </w:pPr>
      <w:r>
        <w:rPr>
          <w:rFonts w:ascii="DejaVu Serif" w:hAnsi="DejaVu Serif" w:eastAsia="DejaVu Serif"/>
          <w:b w:val="0"/>
          <w:i w:val="0"/>
          <w:color w:val="111111"/>
          <w:sz w:val="20"/>
        </w:rPr>
        <w:t>For KLT-RBD this means that pairwise consistency of sources or models does not establish consistency of the full formula cycle. Triple and higher-route audits are mandatory whenever alternative derivation paths exist.</w:t>
      </w:r>
    </w:p>
    <w:p>
      <w:pPr>
        <w:pStyle w:val="Heading2"/>
        <w:keepNext/>
        <w:pageBreakBefore w:val="0"/>
      </w:pPr>
      <w:r>
        <w:t>7.3. Algebra, Reper, and Hodge Bundles</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global object exists only after effective gluing of local data.</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Globality requires cocycle, descent, and compatibility on triple overlaps.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Local solutions appear as compatible or conflicting charts.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Pairwise agreement does not guarantee a global section.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a globalisation-safe KLT-RBD gate and an explicit blocker register.</w:t>
            </w:r>
          </w:p>
        </w:tc>
      </w:tr>
    </w:tbl>
    <w:p>
      <w:pPr>
        <w:spacing w:after="2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7.11. Bundle of NAPG Algebras [DEF-A] </w:t>
            </w:r>
            <w:r>
              <w:rPr>
                <w:rFonts w:ascii="DejaVu Serif" w:hAnsi="DejaVu Serif" w:eastAsia="DejaVu Serif"/>
                <w:b w:val="0"/>
                <w:i w:val="0"/>
                <w:color w:val="111111"/>
                <w:sz w:val="19"/>
              </w:rPr>
              <w:t>An NAPG algebra bundle is a locally trivial vector or module bundle E-&gt;X with local operations odot_i such that every transition satisfies g_ij(a odot_j b)=g_ij(a) odot_i g_ij(b) and preserves Dom_odot.</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7.12. Descent of the Operation [THM] </w:t>
            </w:r>
            <w:r>
              <w:rPr>
                <w:rFonts w:ascii="DejaVu Serif" w:hAnsi="DejaVu Serif" w:eastAsia="DejaVu Serif"/>
                <w:b w:val="0"/>
                <w:i w:val="0"/>
                <w:color w:val="111111"/>
                <w:sz w:val="19"/>
              </w:rPr>
              <w:t>Under Definition 7.11 the local operations glue to a unique fibrewise operation odot:Dom_odot subset E x_X E -&gt; E. The associator, left/middle/right nuclei, and J_Ass form global subbundles wherever their ranks are locally constant.</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7.13. Operation Descent Defect [DEF-A] </w:t>
            </w:r>
            <w:r>
              <w:rPr>
                <w:rFonts w:ascii="DejaVu Serif" w:hAnsi="DejaVu Serif" w:eastAsia="DejaVu Serif"/>
                <w:b w:val="0"/>
                <w:i w:val="0"/>
                <w:color w:val="111111"/>
                <w:sz w:val="19"/>
              </w:rPr>
              <w:t>For transitions that are merely linear isomorphisms, define q_ij(a,b)=g_ij(a odot_j b)-g_ij(a) odot_i g_ij(b). A nonzero q_ij blocks a global operation even when the transition cocycle is perfect.</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q_ij(a,b)=g_ij(a odot_j b)-g_ij(a) odot_i g_ij(b).</w:t>
            </w:r>
          </w:p>
        </w:tc>
        <w:tc>
          <w:tcPr>
            <w:tcW w:type="dxa" w:w="1531"/>
            <w:shd w:fill="F6F8FA"/>
          </w:tcPr>
          <w:p>
            <w:pPr>
              <w:jc w:val="right"/>
            </w:pPr>
            <w:r>
              <w:rPr>
                <w:rFonts w:ascii="DejaVu Sans" w:hAnsi="DejaVu Sans" w:eastAsia="DejaVu Sans"/>
                <w:b/>
                <w:i w:val="0"/>
                <w:color w:val="5C6773"/>
                <w:sz w:val="17"/>
              </w:rPr>
              <w:t>T2-F016</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7.14. Reper Bundle [DEF-A] </w:t>
            </w:r>
            <w:r>
              <w:rPr>
                <w:rFonts w:ascii="DejaVu Serif" w:hAnsi="DejaVu Serif" w:eastAsia="DejaVu Serif"/>
                <w:b w:val="0"/>
                <w:i w:val="0"/>
                <w:color w:val="111111"/>
                <w:sz w:val="19"/>
              </w:rPr>
              <w:t>The fibre of Rep(E)-&gt;X consists of admissible quadruples (R,I,U;d) together with an Evidence-D package. Transitions act on the geometric anchor d and on the provenance object E_D; transport of E_D must be traceable and reversible.</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Theorem 7.15. Double Descent of Reper [COND] </w:t>
            </w:r>
            <w:r>
              <w:rPr>
                <w:rFonts w:ascii="DejaVu Serif" w:hAnsi="DejaVu Serif" w:eastAsia="DejaVu Serif"/>
                <w:b w:val="0"/>
                <w:i w:val="0"/>
                <w:color w:val="111111"/>
                <w:sz w:val="19"/>
              </w:rPr>
              <w:t>A global Reper exists only when both geometric descent of the quadruple and evidential descent of Evidence-D are effective. Failure in either channel yields ABSTAIN even when every local chart satisfies lambda=-1.</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7.16. Hodge-Compatible Atlas [DEF-A] </w:t>
            </w:r>
            <w:r>
              <w:rPr>
                <w:rFonts w:ascii="DejaVu Serif" w:hAnsi="DejaVu Serif" w:eastAsia="DejaVu Serif"/>
                <w:b w:val="0"/>
                <w:i w:val="0"/>
                <w:color w:val="111111"/>
                <w:sz w:val="19"/>
              </w:rPr>
              <w:t>For fixed-rank oriented metric fibres, an atlas is Hodge-compatible when transitions are orientation-preserving isometries and preserve the declared class of differential forms.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7.17. Descent of the Hodge Star [THM] </w:t>
            </w:r>
            <w:r>
              <w:rPr>
                <w:rFonts w:ascii="DejaVu Serif" w:hAnsi="DejaVu Serif" w:eastAsia="DejaVu Serif"/>
                <w:b w:val="0"/>
                <w:i w:val="0"/>
                <w:color w:val="111111"/>
                <w:sz w:val="19"/>
              </w:rPr>
              <w:t>In a Hodge-compatible atlas the local Hodge stars glue to a global fibrewise operator. An orientation-reversing transition introduces a sign; O(n)-compatibility alone is insufficient without an orientation local system.</w:t>
            </w:r>
          </w:p>
        </w:tc>
        <w:trPr>
          <w:tblHeader/>
        </w:trPr>
      </w:tr>
    </w:tbl>
    <w:p>
      <w:pPr>
        <w:spacing w:after="0"/>
      </w:pPr>
    </w:p>
    <w:p>
      <w:pPr>
        <w:pStyle w:val="Heading2"/>
        <w:keepNext/>
        <w:pageBreakBefore w:val="0"/>
      </w:pPr>
      <w:r>
        <w:rPr>
          <w:rFonts w:ascii="Aptos" w:hAnsi="Aptos"/>
          <w:b w:val="0"/>
          <w:i w:val="0"/>
          <w:sz w:val="20"/>
        </w:rPr>
        <w:t>7.4. Cohomologicalical Globalisation Obstructions</w:t>
      </w:r>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An obstruction is a class of failure of a lift inside a declared structure.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is established by complexes, quotient spaces, and independence from representatives.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a residual component that cannot be removed by an admissible correction.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zero primary class does not exclude higher obstructions and proves no physical realisation.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internal carrier, its external bridge, and its use in the Reper predictive gate.</w:t>
            </w:r>
          </w:p>
        </w:tc>
      </w:tr>
    </w:tbl>
    <w:p>
      <w:pPr>
        <w:spacing w:after="20"/>
      </w:pPr>
    </w:p>
    <w:p>
      <w:pPr>
        <w:widowControl/>
        <w:spacing w:after="80" w:line="264" w:lineRule="auto"/>
      </w:pPr>
      <w:r>
        <w:rPr>
          <w:rFonts w:ascii="DejaVu Serif" w:hAnsi="DejaVu Serif" w:eastAsia="DejaVu Serif"/>
          <w:b w:val="0"/>
          <w:i w:val="0"/>
          <w:color w:val="111111"/>
          <w:sz w:val="20"/>
        </w:rPr>
        <w:t>For a central extension 1-&gt;Z-&gt;G_tilde-&gt;G-&gt;1, local lifts of a G-valued transition cocycle need not satisfy the cocycle identity. Their triple-overlap defect z_ijk is central and defines the obstruction to lifting the structure group.</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7.19. Central Obstruction Class [THM / COND] </w:t>
            </w:r>
            <w:r>
              <w:rPr>
                <w:rFonts w:ascii="DejaVu Serif" w:hAnsi="DejaVu Serif" w:eastAsia="DejaVu Serif"/>
                <w:b w:val="0"/>
                <w:i w:val="0"/>
                <w:color w:val="111111"/>
                <w:sz w:val="19"/>
              </w:rPr>
              <w:t>The family z_ijk is a Cech 2-cocycle with coefficients in the sheaf Z. Its class [z] in Cech H^2(X,Z) is independent of the chosen local lifts. Under the standard effectiveness hypotheses, the principal G-bundle admits a G_tilde lift iff [z]=0.</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[z] in Cech H^2(X,Z),   G-tilde lift exists iff [z]=0.</w:t>
            </w:r>
          </w:p>
        </w:tc>
        <w:tc>
          <w:tcPr>
            <w:tcW w:type="dxa" w:w="1531"/>
            <w:shd w:fill="F6F8FA"/>
          </w:tcPr>
          <w:p>
            <w:pPr>
              <w:jc w:val="right"/>
            </w:pPr>
            <w:r>
              <w:rPr>
                <w:rFonts w:ascii="DejaVu Sans" w:hAnsi="DejaVu Sans" w:eastAsia="DejaVu Sans"/>
                <w:b/>
                <w:i w:val="0"/>
                <w:color w:val="5C6773"/>
                <w:sz w:val="17"/>
              </w:rPr>
              <w:t>T2-F017</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11" name="Picture 11" descr="Central extension and Cech H2 obstruction" title="Central extension and Cech H2 obstruction"/>
            <wp:cNvGraphicFramePr>
              <a:graphicFrameLocks noChangeAspect="1"/>
            </wp:cNvGraphicFramePr>
            <a:graphic>
              <a:graphicData uri="http://schemas.openxmlformats.org/drawingml/2006/picture">
                <pic:pic>
                  <pic:nvPicPr>
                    <pic:cNvPr id="0" name="fig12_cech.png"/>
                    <pic:cNvPicPr/>
                  </pic:nvPicPr>
                  <pic:blipFill>
                    <a:blip r:embed="rId21"/>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12. Central extension and Cech H2 obstruction to lifting the structure group.</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7.20. Globalisation Defect Vector [DEF-A] </w:t>
            </w:r>
            <w:r>
              <w:rPr>
                <w:rFonts w:ascii="DejaVu Serif" w:hAnsi="DejaVu Serif" w:eastAsia="DejaVu Serif"/>
                <w:b w:val="0"/>
                <w:i w:val="0"/>
                <w:color w:val="111111"/>
                <w:sz w:val="19"/>
              </w:rPr>
              <w:t>For an atlas A set Def_glue(A)=(c,q,a,p,h,d,s), where c is the transition cocycle defect, q the operation descent defect, a the coherence defect of the associator layer, p nonprojectivity of Reper charts, h Hodge incompatibility, d the Evidence-D/Dom defect, and s the obstruction to the required global section.</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Def_glue(A)=(c,q,a,p,h,d,s).</w:t>
            </w:r>
          </w:p>
        </w:tc>
        <w:tc>
          <w:tcPr>
            <w:tcW w:type="dxa" w:w="1531"/>
            <w:shd w:fill="F6F8FA"/>
          </w:tcPr>
          <w:p>
            <w:pPr>
              <w:jc w:val="right"/>
            </w:pPr>
            <w:r>
              <w:rPr>
                <w:rFonts w:ascii="DejaVu Sans" w:hAnsi="DejaVu Sans" w:eastAsia="DejaVu Sans"/>
                <w:b/>
                <w:i w:val="0"/>
                <w:color w:val="5C6773"/>
                <w:sz w:val="17"/>
              </w:rPr>
              <w:t>T2-F018</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7.21. Cellular Obstruction Tower [CL / COND] </w:t>
            </w:r>
            <w:r>
              <w:rPr>
                <w:rFonts w:ascii="DejaVu Serif" w:hAnsi="DejaVu Serif" w:eastAsia="DejaVu Serif"/>
                <w:b w:val="0"/>
                <w:i w:val="0"/>
                <w:color w:val="111111"/>
                <w:sz w:val="19"/>
              </w:rPr>
              <w:t>For a fibration p:E-&gt;X over a CW complex with connected simple fibre F, extension of a partial section from the k-skeleton to the (k+1)-skeleton is governed by o_{k+1} in H^{k+1}(X;pi_k(F)_rho). Vanishing of the successive classes, with the standard completeness assumptions, yields a global section.</w:t>
            </w:r>
          </w:p>
        </w:tc>
        <w:trPr>
          <w:tblHeader/>
        </w:trPr>
      </w:tr>
    </w:tbl>
    <w:p>
      <w:pPr>
        <w:spacing w:after="0"/>
      </w:pPr>
    </w:p>
    <w:p>
      <w:pPr>
        <w:widowControl/>
        <w:spacing w:after="80" w:line="264" w:lineRule="auto"/>
      </w:pPr>
      <w:r>
        <w:rPr>
          <w:rFonts w:ascii="DejaVu Serif" w:hAnsi="DejaVu Serif" w:eastAsia="DejaVu Serif"/>
          <w:b w:val="0"/>
          <w:i w:val="0"/>
          <w:color w:val="111111"/>
          <w:sz w:val="20"/>
        </w:rPr>
        <w:t>Consequently, locally admissible scenarios do not guarantee a single global scenario. The coefficient module and monodromy action must be built for the actual model.</w:t>
      </w:r>
    </w:p>
    <w:p>
      <w:pPr>
        <w:pStyle w:val="Heading2"/>
        <w:keepNext/>
        <w:pageBreakBefore w:val="0"/>
      </w:pPr>
      <w:r>
        <w:t>7.5. Globalisation Horizons and Negative Prediction</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7.22. Parametric NAPG Bundle [DEF-A] </w:t>
            </w:r>
            <w:r>
              <w:rPr>
                <w:rFonts w:ascii="DejaVu Serif" w:hAnsi="DejaVu Serif" w:eastAsia="DejaVu Serif"/>
                <w:b w:val="0"/>
                <w:i w:val="0"/>
                <w:color w:val="111111"/>
                <w:sz w:val="19"/>
              </w:rPr>
              <w:t>A family over an interval I is an NAPG object E-&gt;X x I whose restriction E_t-&gt;X is the state at parameter t. The transition maps g_ij(x,t) remain continuous and lie in Aut_NAPG(F) on the admissible domain.</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7.23. Homotopy Constancy [THM] </w:t>
            </w:r>
            <w:r>
              <w:rPr>
                <w:rFonts w:ascii="DejaVu Serif" w:hAnsi="DejaVu Serif" w:eastAsia="DejaVu Serif"/>
                <w:b w:val="0"/>
                <w:i w:val="0"/>
                <w:color w:val="111111"/>
                <w:sz w:val="19"/>
              </w:rPr>
              <w:t>If E-&gt;X x I is a numerable NAPG bundle with fixed structural groupoid and effective descent over all of X x I, then E_t0 and E_t1 are isomorphic for all t0,t1 in I. The discrete bundle isomorphism class cannot change inside one admissible continuous family.</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7.24. Negative Global Prediction [THM] </w:t>
            </w:r>
            <w:r>
              <w:rPr>
                <w:rFonts w:ascii="DejaVu Serif" w:hAnsi="DejaVu Serif" w:eastAsia="DejaVu Serif"/>
                <w:b w:val="0"/>
                <w:i w:val="0"/>
                <w:color w:val="111111"/>
                <w:sz w:val="19"/>
              </w:rPr>
              <w:t>A topological change of the NAPG bundle is impossible while the family remains defined and effective, the structural groupoid remains fixed, and no globalisation horizon is crossed. An observed change of discrete class forces failure of at least one hypothesis.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7.25. Globalisation Horizon [DEF-A] </w:t>
            </w:r>
            <w:r>
              <w:rPr>
                <w:rFonts w:ascii="DejaVu Serif" w:hAnsi="DejaVu Serif" w:eastAsia="DejaVu Serif"/>
                <w:b w:val="0"/>
                <w:i w:val="0"/>
                <w:color w:val="111111"/>
                <w:sz w:val="19"/>
              </w:rPr>
              <w:t>Define Delta_glue as the union of the cocycle, effectiveness, operation, associator, chart, Hodge, Dom, D, and section-failure loci. Each component is the parameter set where the corresponding gluing or section condition loses its certificate.</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Delta_glue = Delta_coc union Delta_eff union Delta_op union Delta_ass union Delta_chart union Delta_Hdg union Delta_Dom union Delta_D union Delta_sec.</w:t>
            </w:r>
          </w:p>
        </w:tc>
        <w:tc>
          <w:tcPr>
            <w:tcW w:type="dxa" w:w="1531"/>
            <w:shd w:fill="F6F8FA"/>
          </w:tcPr>
          <w:p>
            <w:pPr>
              <w:jc w:val="right"/>
            </w:pPr>
            <w:r>
              <w:rPr>
                <w:rFonts w:ascii="DejaVu Sans" w:hAnsi="DejaVu Sans" w:eastAsia="DejaVu Sans"/>
                <w:b/>
                <w:i w:val="0"/>
                <w:color w:val="5C6773"/>
                <w:sz w:val="17"/>
              </w:rPr>
              <w:t>T2-F019</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Theorem 7.26. Localisation of a Possible Global Transition [COND] </w:t>
            </w:r>
            <w:r>
              <w:rPr>
                <w:rFonts w:ascii="DejaVu Serif" w:hAnsi="DejaVu Serif" w:eastAsia="DejaVu Serif"/>
                <w:b w:val="0"/>
                <w:i w:val="0"/>
                <w:color w:val="111111"/>
                <w:sz w:val="19"/>
              </w:rPr>
              <w:t>Under the hypotheses of Theorem 7.23, a discrete algebraic-geometric bundle profile can change only on Delta_total. Outside Delta_total it is locally constant. Membership in the horizon is necessary, not sufficient, for a transition.</w:t>
            </w:r>
          </w:p>
        </w:tc>
        <w:trPr>
          <w:tblHeader/>
        </w:trPr>
      </w:tr>
    </w:tbl>
    <w:p>
      <w:pPr>
        <w:spacing w:after="0"/>
      </w:pPr>
    </w:p>
    <w:p>
      <w:pPr>
        <w:pStyle w:val="Heading2"/>
        <w:keepNext/>
        <w:pageBreakBefore w:val="0"/>
      </w:pPr>
      <w:r>
        <w:t>7.6. Predictive Reper Bundle</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7.27. Predictive Reper Bundle [DEF-A] </w:t>
            </w:r>
            <w:r>
              <w:rPr>
                <w:rFonts w:ascii="DejaVu Serif" w:hAnsi="DejaVu Serif" w:eastAsia="DejaVu Serif"/>
                <w:b w:val="0"/>
                <w:i w:val="0"/>
                <w:color w:val="111111"/>
                <w:sz w:val="19"/>
              </w:rPr>
              <w:t>Let X encode domains, sources, or space-time windows, and let F_x be the admissible future Reper states at x. A predictive Reper bundle p:P-&gt;X carries these fibres, chart transitions, and an admissible subspace fixed by D/Dom, obstructions, and subject-matter limits.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7.28. Globally Admissible Scenario [DEF-A] </w:t>
            </w:r>
            <w:r>
              <w:rPr>
                <w:rFonts w:ascii="DejaVu Serif" w:hAnsi="DejaVu Serif" w:eastAsia="DejaVu Serif"/>
                <w:b w:val="0"/>
                <w:i w:val="0"/>
                <w:color w:val="111111"/>
                <w:sz w:val="19"/>
              </w:rPr>
              <w:t>A scenario is a section s:X-&gt;P. It is globally admissible only when local representations agree under transitions, Evidence-D has effective descent, and every mandatory blocker is empty.</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7.29. Global Structural Candidate [DEF-A] </w:t>
            </w:r>
            <w:r>
              <w:rPr>
                <w:rFonts w:ascii="DejaVu Serif" w:hAnsi="DejaVu Serif" w:eastAsia="DejaVu Serif"/>
                <w:b w:val="0"/>
                <w:i w:val="0"/>
                <w:color w:val="111111"/>
                <w:sz w:val="19"/>
              </w:rPr>
              <w:t>A section has status GLOBAL-CANDIDATE when Block_glue is empty, the internal obstruction vanishes, all declared external obstruction classes vanish, lambda satisfies a predeclared exact or interval criterion, and independent computational checks pass.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7.30. No Local-to-Global Substitution [THM] </w:t>
            </w:r>
            <w:r>
              <w:rPr>
                <w:rFonts w:ascii="DejaVu Serif" w:hAnsi="DejaVu Serif" w:eastAsia="DejaVu Serif"/>
                <w:b w:val="0"/>
                <w:i w:val="0"/>
                <w:color w:val="111111"/>
                <w:sz w:val="19"/>
              </w:rPr>
              <w:t>Local candidates s_i with lambda_i=-1 and Pi_i=0 do not form a global candidate when transition compatibility fails or the global-section obstruction is nonzero. An algorithm returning EVENT in that situation violates the v0.5 specification.</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Main Conditional Theorem 7.31. Globalisation-Safe Predictive Transport [COND] </w:t>
            </w:r>
            <w:r>
              <w:rPr>
                <w:rFonts w:ascii="DejaVu Serif" w:hAnsi="DejaVu Serif" w:eastAsia="DejaVu Serif"/>
                <w:b w:val="0"/>
                <w:i w:val="0"/>
                <w:color w:val="111111"/>
                <w:sz w:val="19"/>
              </w:rPr>
              <w:t>Assume effective NAPG descent, descent of operation and associator, a projective-Reper atlas, Hodge compatibility when used, proved Evidence-D transport, vanishing of internal and declared external obstructions, existence of a global admissible section, and reproducible local and global certificates. Then GLOBAL-CANDIDATE is invariant under refinement of the cover, gauge-equivalence of cocycles, NAPG isomorphisms, and projective changes of Reper charts.</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theorem concerns invariance of a structural candidate inside the formal model. It proves no physical, chemical, biological, or economic event without a domain adapter, data, and independent validation.</w:t>
      </w:r>
    </w:p>
    <w:p>
      <w:pPr>
        <w:keepNext/>
        <w:jc w:val="center"/>
      </w:pPr>
      <w:r>
        <w:drawing>
          <wp:inline xmlns:a="http://schemas.openxmlformats.org/drawingml/2006/main" xmlns:pic="http://schemas.openxmlformats.org/drawingml/2006/picture">
            <wp:extent cx="5760000" cy="3115102"/>
            <wp:docPr id="12" name="Picture 12" descr="Global predictive gate for local candidates" title="Global predictive gate for local candidates"/>
            <wp:cNvGraphicFramePr>
              <a:graphicFrameLocks noChangeAspect="1"/>
            </wp:cNvGraphicFramePr>
            <a:graphic>
              <a:graphicData uri="http://schemas.openxmlformats.org/drawingml/2006/picture">
                <pic:pic>
                  <pic:nvPicPr>
                    <pic:cNvPr id="0" name="fig13_global_gate.png"/>
                    <pic:cNvPicPr/>
                  </pic:nvPicPr>
                  <pic:blipFill>
                    <a:blip r:embed="rId22"/>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13. Global predictive gate: a local candidate is admitted only after effective descent and existence of a global section.</w:t>
      </w:r>
    </w:p>
    <w:p>
      <w:pPr>
        <w:pStyle w:val="Heading2"/>
        <w:keepNext/>
        <w:pageBreakBefore w:val="0"/>
      </w:pPr>
      <w:r>
        <w:t>7.7. Models, Certificate, and Blocker-Safe Algorithm</w:t>
      </w:r>
    </w:p>
    <w:tbl>
      <w:tblPr>
        <w:tblW w:type="auto" w:w="0"/>
        <w:jc w:val="center"/>
        <w:tblLayout w:type="fixed"/>
        <w:tblLook w:firstColumn="1" w:firstRow="1" w:lastColumn="0" w:lastRow="0" w:noHBand="0" w:noVBand="1" w:val="04A0"/>
      </w:tblPr>
      <w:tblGrid>
        <w:gridCol w:w="9951"/>
      </w:tblGrid>
      <w:tr>
        <w:tc>
          <w:tcPr>
            <w:tcW w:type="dxa" w:w="9951"/>
            <w:shd w:fill="F6F8FA"/>
            <w:tcMar>
              <w:top w:w="130" w:type="dxa"/>
              <w:start w:w="160" w:type="dxa"/>
              <w:bottom w:w="130" w:type="dxa"/>
              <w:end w:w="160" w:type="dxa"/>
            </w:tcMar>
            <w:tcBorders>
              <w:left w:val="single" w:sz="16" w:color="5C6773"/>
            </w:tcBorders>
          </w:tcPr>
          <w:p>
            <w:pPr>
              <w:spacing w:after="0" w:line="259" w:lineRule="auto"/>
            </w:pPr>
            <w:r>
              <w:rPr>
                <w:rFonts w:ascii="DejaVu Sans" w:hAnsi="DejaVu Sans" w:eastAsia="DejaVu Sans"/>
                <w:b/>
                <w:i w:val="0"/>
                <w:color w:val="5C6773"/>
                <w:sz w:val="19"/>
              </w:rPr>
              <w:t xml:space="preserve">Example 7.32. Moebius No-Go [CL / EXAMPLE] </w:t>
            </w:r>
            <w:r>
              <w:rPr>
                <w:rFonts w:ascii="DejaVu Serif" w:hAnsi="DejaVu Serif" w:eastAsia="DejaVu Serif"/>
                <w:b w:val="0"/>
                <w:i w:val="0"/>
                <w:color w:val="111111"/>
                <w:sz w:val="19"/>
              </w:rPr>
              <w:t>The Moebius strip and the cylinder are locally products of an interval and a line. Their distinction is entirely in the overlap transition: -1 versus +1. The global object cannot be reconstructed from the local fibre alone.</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Example 7.33. Associator Rank Horizon [COND] </w:t>
            </w:r>
            <w:r>
              <w:rPr>
                <w:rFonts w:ascii="DejaVu Serif" w:hAnsi="DejaVu Serif" w:eastAsia="DejaVu Serif"/>
                <w:b w:val="0"/>
                <w:i w:val="0"/>
                <w:color w:val="111111"/>
                <w:sz w:val="19"/>
              </w:rPr>
              <w:t>For local algebras A_t with associator matrix M_Ass(t), constant rank and effective operation descent give nucleus subbundles of constant rank. A rank change can occur only on the determinantal locus or when operation descent fails.</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283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Certificate object</w:t>
            </w:r>
          </w:p>
        </w:tc>
        <w:tc>
          <w:tcPr>
            <w:tcW w:type="dxa" w:w="6520"/>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fields</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Atlas</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cover, overlap list, transition maps, chart versions</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Cocycle</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double/triple-overlap residuals, gauge class</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Operation descent</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q_ij, Dom_odot transport, associator compatibility</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Reper descent</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PGL_2 matrices, lambda parity, Evidence-D provenance</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Hodge descent</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metric/orientation transport or orientation local system</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Section witness</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local sections, compatibility, obstruction classes</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Verdict</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blocker set, GLOBAL-CANDIDATE / ABSTAIN, hashes</w:t>
            </w:r>
          </w:p>
        </w:tc>
      </w:tr>
    </w:tbl>
    <w:p>
      <w:pPr>
        <w:spacing w:after="20"/>
      </w:pPr>
    </w:p>
    <w:p>
      <w:pPr>
        <w:pStyle w:val="ListBullet"/>
        <w:spacing w:after="40" w:line="252" w:lineRule="auto"/>
      </w:pPr>
      <w:r>
        <w:rPr>
          <w:rFonts w:ascii="DejaVu Serif" w:hAnsi="DejaVu Serif" w:eastAsia="DejaVu Serif"/>
          <w:b w:val="0"/>
          <w:i w:val="0"/>
          <w:color w:val="111111"/>
          <w:sz w:val="19"/>
        </w:rPr>
        <w:t>TEST-ATLAS-01: verify that the charts cover X and no unlabelled region remains;</w:t>
      </w:r>
    </w:p>
    <w:p>
      <w:pPr>
        <w:pStyle w:val="ListBullet"/>
        <w:spacing w:after="40" w:line="252" w:lineRule="auto"/>
      </w:pPr>
      <w:r>
        <w:rPr>
          <w:rFonts w:ascii="DejaVu Serif" w:hAnsi="DejaVu Serif" w:eastAsia="DejaVu Serif"/>
          <w:b w:val="0"/>
          <w:i w:val="0"/>
          <w:color w:val="111111"/>
          <w:sz w:val="19"/>
        </w:rPr>
        <w:t>TEST-INV-02: verify phi_ji o phi_ij=id on every double overlap;</w:t>
      </w:r>
    </w:p>
    <w:p>
      <w:pPr>
        <w:pStyle w:val="ListBullet"/>
        <w:spacing w:after="40" w:line="252" w:lineRule="auto"/>
      </w:pPr>
      <w:r>
        <w:rPr>
          <w:rFonts w:ascii="DejaVu Serif" w:hAnsi="DejaVu Serif" w:eastAsia="DejaVu Serif"/>
          <w:b w:val="0"/>
          <w:i w:val="0"/>
          <w:color w:val="111111"/>
          <w:sz w:val="19"/>
        </w:rPr>
        <w:t>TEST-COC-03: verify phi_jk o phi_ij=phi_ik on every triple overlap;</w:t>
      </w:r>
    </w:p>
    <w:p>
      <w:pPr>
        <w:pStyle w:val="ListBullet"/>
        <w:spacing w:after="40" w:line="252" w:lineRule="auto"/>
      </w:pPr>
      <w:r>
        <w:rPr>
          <w:rFonts w:ascii="DejaVu Serif" w:hAnsi="DejaVu Serif" w:eastAsia="DejaVu Serif"/>
          <w:b w:val="0"/>
          <w:i w:val="0"/>
          <w:color w:val="111111"/>
          <w:sz w:val="19"/>
        </w:rPr>
        <w:t>TEST-OP-05: verify q_ij=0 and preservation of Dom_odot;</w:t>
      </w:r>
    </w:p>
    <w:p>
      <w:pPr>
        <w:pStyle w:val="ListBullet"/>
        <w:spacing w:after="40" w:line="252" w:lineRule="auto"/>
      </w:pPr>
      <w:r>
        <w:rPr>
          <w:rFonts w:ascii="DejaVu Serif" w:hAnsi="DejaVu Serif" w:eastAsia="DejaVu Serif"/>
          <w:b w:val="0"/>
          <w:i w:val="0"/>
          <w:color w:val="111111"/>
          <w:sz w:val="19"/>
        </w:rPr>
        <w:t>TEST-PGL-07: verify PGL_2 Reper transitions and equality of lambda;</w:t>
      </w:r>
    </w:p>
    <w:p>
      <w:pPr>
        <w:pStyle w:val="ListBullet"/>
        <w:spacing w:after="40" w:line="252" w:lineRule="auto"/>
      </w:pPr>
      <w:r>
        <w:rPr>
          <w:rFonts w:ascii="DejaVu Serif" w:hAnsi="DejaVu Serif" w:eastAsia="DejaVu Serif"/>
          <w:b w:val="0"/>
          <w:i w:val="0"/>
          <w:color w:val="111111"/>
          <w:sz w:val="19"/>
        </w:rPr>
        <w:t>TEST-D-08: verify reversible Evidence-D transport and provenance hashes;</w:t>
      </w:r>
    </w:p>
    <w:p>
      <w:pPr>
        <w:pStyle w:val="ListBullet"/>
        <w:spacing w:after="40" w:line="252" w:lineRule="auto"/>
      </w:pPr>
      <w:r>
        <w:rPr>
          <w:rFonts w:ascii="DejaVu Serif" w:hAnsi="DejaVu Serif" w:eastAsia="DejaVu Serif"/>
          <w:b w:val="0"/>
          <w:i w:val="0"/>
          <w:color w:val="111111"/>
          <w:sz w:val="19"/>
        </w:rPr>
        <w:t>TEST-SEC-11: verify that local sections form a global witness;</w:t>
      </w:r>
    </w:p>
    <w:p>
      <w:pPr>
        <w:pStyle w:val="ListBullet"/>
        <w:spacing w:after="40" w:line="252" w:lineRule="auto"/>
      </w:pPr>
      <w:r>
        <w:rPr>
          <w:rFonts w:ascii="DejaVu Serif" w:hAnsi="DejaVu Serif" w:eastAsia="DejaVu Serif"/>
          <w:b w:val="0"/>
          <w:i w:val="0"/>
          <w:color w:val="111111"/>
          <w:sz w:val="19"/>
        </w:rPr>
        <w:t>TEST-GATE-12: force ABSTAIN for every nonzero blocker.</w:t>
      </w:r>
    </w:p>
    <w:tbl>
      <w:tblPr>
        <w:tblW w:type="auto" w:w="0"/>
        <w:tblLook w:firstColumn="1" w:firstRow="1" w:lastColumn="0" w:lastRow="0" w:noHBand="0" w:noVBand="1" w:val="04A0"/>
        <w:tblBorders>
          <w:top w:val="single" w:sz="3" w:color="C8D0D9"/>
          <w:left w:val="single" w:sz="3" w:color="C8D0D9"/>
          <w:bottom w:val="single" w:sz="3" w:color="C8D0D9"/>
          <w:right w:val="single" w:sz="3" w:color="C8D0D9"/>
          <w:insideH w:val="single" w:sz="3" w:color="C8D0D9"/>
          <w:insideV w:val="single" w:sz="3" w:color="C8D0D9"/>
        </w:tblBorders>
      </w:tblPr>
      <w:tblGrid>
        <w:gridCol w:w="9951"/>
      </w:tblGrid>
      <w:tr>
        <w:tc>
          <w:tcPr>
            <w:tcW w:type="dxa" w:w="9951"/>
            <w:shd w:fill="F3F5F7"/>
            <w:tcMar>
              <w:top w:w="150" w:type="dxa"/>
              <w:start w:w="180" w:type="dxa"/>
              <w:bottom w:w="150" w:type="dxa"/>
              <w:end w:w="180" w:type="dxa"/>
            </w:tcMar>
          </w:tcPr>
          <w:p>
            <w:r>
              <w:rPr>
                <w:rFonts w:ascii="DejaVu Sans Mono" w:hAnsi="DejaVu Sans Mono" w:eastAsia="DejaVu Sans Mono"/>
                <w:b w:val="0"/>
                <w:i w:val="0"/>
                <w:color w:val="173F69"/>
                <w:sz w:val="18"/>
              </w:rPr>
              <w:t>INPUT: atlas, local NAPG objects, transitions, local candidates, Evidence-D</w:t>
              <w:br/>
            </w:r>
            <w:r>
              <w:rPr>
                <w:rFonts w:ascii="DejaVu Sans Mono" w:hAnsi="DejaVu Sans Mono" w:eastAsia="DejaVu Sans Mono"/>
                <w:b w:val="0"/>
                <w:i w:val="0"/>
                <w:color w:val="111111"/>
                <w:sz w:val="18"/>
              </w:rPr>
              <w:t>CHECK cover, inverse identities, triple cocycle, and refinement invariance</w:t>
              <w:br/>
            </w:r>
            <w:r>
              <w:rPr>
                <w:rFonts w:ascii="DejaVu Sans Mono" w:hAnsi="DejaVu Sans Mono" w:eastAsia="DejaVu Sans Mono"/>
                <w:b w:val="0"/>
                <w:i w:val="0"/>
                <w:color w:val="111111"/>
                <w:sz w:val="18"/>
              </w:rPr>
              <w:t>CHECK operation/associator descent, PGL2 Reper charts, Hodge transport</w:t>
              <w:br/>
            </w:r>
            <w:r>
              <w:rPr>
                <w:rFonts w:ascii="DejaVu Sans Mono" w:hAnsi="DejaVu Sans Mono" w:eastAsia="DejaVu Sans Mono"/>
                <w:b w:val="0"/>
                <w:i w:val="0"/>
                <w:color w:val="111111"/>
                <w:sz w:val="18"/>
              </w:rPr>
              <w:t>COMPUTE internal and external obstruction classes and section witness</w:t>
              <w:br/>
            </w:r>
            <w:r>
              <w:rPr>
                <w:rFonts w:ascii="DejaVu Sans Mono" w:hAnsi="DejaVu Sans Mono" w:eastAsia="DejaVu Sans Mono"/>
                <w:b w:val="0"/>
                <w:i w:val="0"/>
                <w:color w:val="111111"/>
                <w:sz w:val="18"/>
              </w:rPr>
              <w:t>IF any blocker is nonzero or uncertified: RETURN ABSTAIN</w:t>
              <w:br/>
            </w:r>
            <w:r>
              <w:rPr>
                <w:rFonts w:ascii="DejaVu Sans Mono" w:hAnsi="DejaVu Sans Mono" w:eastAsia="DejaVu Sans Mono"/>
                <w:b w:val="0"/>
                <w:i w:val="0"/>
                <w:color w:val="111111"/>
                <w:sz w:val="18"/>
              </w:rPr>
              <w:t>IF a certified path avoids Delta_glue: RETURN NO-GLOBAL-STRUCTURAL-CHANGE-IN-MODEL</w:t>
              <w:br/>
            </w:r>
            <w:r>
              <w:rPr>
                <w:rFonts w:ascii="DejaVu Sans Mono" w:hAnsi="DejaVu Sans Mono" w:eastAsia="DejaVu Sans Mono"/>
                <w:b w:val="0"/>
                <w:i w:val="0"/>
                <w:color w:val="111111"/>
                <w:sz w:val="18"/>
              </w:rPr>
              <w:t>IF horizon crossed and global section exists: RETURN GLOBAL-CANDIDATE</w:t>
              <w:br/>
            </w:r>
            <w:r>
              <w:rPr>
                <w:rFonts w:ascii="DejaVu Sans Mono" w:hAnsi="DejaVu Sans Mono" w:eastAsia="DejaVu Sans Mono"/>
                <w:b w:val="0"/>
                <w:i w:val="0"/>
                <w:color w:val="111111"/>
                <w:sz w:val="18"/>
              </w:rPr>
              <w:t>ELSE: RETURN ABSTAIN</w:t>
            </w:r>
          </w:p>
        </w:tc>
        <w:trPr>
          <w:tblHeader/>
        </w:trPr>
      </w:tr>
    </w:tbl>
    <w:p>
      <w:pPr>
        <w:pStyle w:val="Heading1"/>
        <w:keepNext/>
        <w:pageBreakBefore/>
      </w:pPr>
      <w:bookmarkStart w:id="1007" w:name="T2_CH08"/>
      <w:r>
        <w:t>Chapter 8. Tangent and Cotangent Objects of NAPG</w:t>
      </w:r>
      <w:bookmarkEnd w:id="1007"/>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tangent direction records only the first order of a possible change.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is known after genuine deformations are separated from gauge directions and higher obstructions are tested.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local sensitivity of structure to parameter variation.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tangent candidate is neither an integrable trajectory nor an event.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joins the deformation complex to R-star-R, lambda, and a blocker-safe lift gate.</w:t>
            </w:r>
          </w:p>
        </w:tc>
      </w:tr>
    </w:tbl>
    <w:p>
      <w:pPr>
        <w:spacing w:after="20"/>
      </w:pPr>
    </w:p>
    <w:p>
      <w:pPr>
        <w:widowControl/>
        <w:spacing w:after="80" w:line="264" w:lineRule="auto"/>
      </w:pPr>
      <w:r>
        <w:rPr>
          <w:rFonts w:ascii="DejaVu Serif" w:hAnsi="DejaVu Serif" w:eastAsia="DejaVu Serif"/>
          <w:b w:val="0"/>
          <w:i w:val="0"/>
          <w:color w:val="111111"/>
          <w:sz w:val="20"/>
        </w:rPr>
        <w:t>The chapter distinguishes four notions often compressed into the word tangent: dual-number lifts, first-contact classes of curves, the cotangent module, and the linearisation of the space of algebraic operations. Their agreement requires explicit smoothness, representability, field, and finite-generation hypotheses. In singular sectors, the Zariski tangent space may contain directions that are not velocities of any admissible arc.</w:t>
      </w:r>
    </w:p>
    <w:p>
      <w:pPr>
        <w:pStyle w:val="Heading2"/>
        <w:keepNext/>
        <w:pageBreakBefore w:val="0"/>
      </w:pPr>
      <w:r>
        <w:t>8.1. Four Tangent Constructions</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8.1. Dual-Number Tangent [CL / DEF-A] </w:t>
            </w:r>
            <w:r>
              <w:rPr>
                <w:rFonts w:ascii="DejaVu Serif" w:hAnsi="DejaVu Serif" w:eastAsia="DejaVu Serif"/>
                <w:b w:val="0"/>
                <w:i w:val="0"/>
                <w:color w:val="111111"/>
                <w:sz w:val="19"/>
              </w:rPr>
              <w:t>For a functor of points X and x in X(K), define T_xX as the fibre of X(K[epsilon]/epsilon^2)-&gt;X(K) over x. A vector-space structure is asserted only after the deformation-functor hypotheses have been checked.</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Lemma 8.2. Derivation Representation [THM] </w:t>
            </w:r>
            <w:r>
              <w:rPr>
                <w:rFonts w:ascii="DejaVu Serif" w:hAnsi="DejaVu Serif" w:eastAsia="DejaVu Serif"/>
                <w:b w:val="0"/>
                <w:i w:val="0"/>
                <w:color w:val="111111"/>
                <w:sz w:val="19"/>
              </w:rPr>
              <w:t>For an affine local object A and K-rational point x:A-&gt;K, a map a |-&gt; x(a)+epsilon D(a) is a homomorphism iff D is a K-derivation relative to x. Hence T_xX is naturally identified with Der_K(A,K_x).</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Comparison of the epsilon coefficients in f(ab)=f(a)f(b) gives D(ab)=x(a)D(b)+D(a)x(b). Conversely this identity makes the lift multiplicative because epsilon^2=0. □</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Definition 8.3. Curve Tangent [CL / COND / OPEN] </w:t>
            </w:r>
            <w:r>
              <w:rPr>
                <w:rFonts w:ascii="DejaVu Serif" w:hAnsi="DejaVu Serif" w:eastAsia="DejaVu Serif"/>
                <w:b w:val="0"/>
                <w:i w:val="0"/>
                <w:color w:val="111111"/>
                <w:sz w:val="19"/>
              </w:rPr>
              <w:t>In a smooth sector, admissible curves through x are equivalent when their coordinate derivatives at zero agree. For a singular, algebraic, or partially defined NAPG object this construction depends on the chosen class of arcs and is not universal without a comparison theorem.</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Definition 8.4. Kahler Cotangent Module [CL / COND] </w:t>
            </w:r>
            <w:r>
              <w:rPr>
                <w:rFonts w:ascii="DejaVu Serif" w:hAnsi="DejaVu Serif" w:eastAsia="DejaVu Serif"/>
                <w:b w:val="0"/>
                <w:i w:val="0"/>
                <w:color w:val="111111"/>
                <w:sz w:val="19"/>
              </w:rPr>
              <w:t>For a commutative coordinate algebra A over K, Omega_{A/K} with the universal derivation represents K-derivations. In NAPG it is applied to a commutative coordinate envelope; genuinely noncommutative or nonassociative differential modules require separate definitions.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F8FA"/>
            <w:tcMar>
              <w:top w:w="130" w:type="dxa"/>
              <w:start w:w="160" w:type="dxa"/>
              <w:bottom w:w="130" w:type="dxa"/>
              <w:end w:w="160" w:type="dxa"/>
            </w:tcMar>
            <w:tcBorders>
              <w:left w:val="single" w:sz="16" w:color="5C6773"/>
            </w:tcBorders>
          </w:tcPr>
          <w:p>
            <w:pPr>
              <w:spacing w:after="0" w:line="259" w:lineRule="auto"/>
            </w:pPr>
            <w:r>
              <w:rPr>
                <w:rFonts w:ascii="DejaVu Sans" w:hAnsi="DejaVu Sans" w:eastAsia="DejaVu Sans"/>
                <w:b/>
                <w:i w:val="0"/>
                <w:color w:val="5C6773"/>
                <w:sz w:val="19"/>
              </w:rPr>
              <w:t xml:space="preserve">Definition 8.5. Cotangent at a Rational Point [CL] </w:t>
            </w:r>
            <w:r>
              <w:rPr>
                <w:rFonts w:ascii="DejaVu Serif" w:hAnsi="DejaVu Serif" w:eastAsia="DejaVu Serif"/>
                <w:b w:val="0"/>
                <w:i w:val="0"/>
                <w:color w:val="111111"/>
                <w:sz w:val="19"/>
              </w:rPr>
              <w:t>For maximal ideal m_x and residue field K, T_x^*X=m_x/m_x^2 and T_xX=Hom_K(m_x/m_x^2,K). At a nonrational point the base is the residue field kappa(x).</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T_x^*X=m_x/m_x^2,   T_xX=Hom_K(m_x/m_x^2,K).</w:t>
            </w:r>
          </w:p>
        </w:tc>
        <w:tc>
          <w:tcPr>
            <w:tcW w:type="dxa" w:w="1531"/>
            <w:shd w:fill="F6F8FA"/>
          </w:tcPr>
          <w:p>
            <w:pPr>
              <w:jc w:val="right"/>
            </w:pPr>
            <w:r>
              <w:rPr>
                <w:rFonts w:ascii="DejaVu Sans" w:hAnsi="DejaVu Sans" w:eastAsia="DejaVu Sans"/>
                <w:b/>
                <w:i w:val="0"/>
                <w:color w:val="5C6773"/>
                <w:sz w:val="17"/>
              </w:rPr>
              <w:t>T2-F020</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13" name="Picture 13" descr="Comparison of tangent and cotangent constructions" title="Comparison of tangent and cotangent constructions"/>
            <wp:cNvGraphicFramePr>
              <a:graphicFrameLocks noChangeAspect="1"/>
            </wp:cNvGraphicFramePr>
            <a:graphic>
              <a:graphicData uri="http://schemas.openxmlformats.org/drawingml/2006/picture">
                <pic:pic>
                  <pic:nvPicPr>
                    <pic:cNvPr id="0" name="fig14_tangent_compare.png"/>
                    <pic:cNvPicPr/>
                  </pic:nvPicPr>
                  <pic:blipFill>
                    <a:blip r:embed="rId23"/>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14. Comparison of tangent and cotangent constructions; coincidence requires explicit hypotheses.</w:t>
      </w:r>
    </w:p>
    <w:p>
      <w:pPr>
        <w:pStyle w:val="Heading2"/>
        <w:keepNext/>
        <w:pageBreakBefore w:val="0"/>
      </w:pPr>
      <w:r>
        <w:t>8.2. Tangent Cone and Singular Sector</w:t>
      </w:r>
    </w:p>
    <w:tbl>
      <w:tblPr>
        <w:tblW w:type="auto" w:w="0"/>
        <w:jc w:val="center"/>
        <w:tblLayout w:type="fixed"/>
        <w:tblLook w:firstColumn="1" w:firstRow="1" w:lastColumn="0" w:lastRow="0" w:noHBand="0" w:noVBand="1" w:val="04A0"/>
      </w:tblPr>
      <w:tblGrid>
        <w:gridCol w:w="9951"/>
      </w:tblGrid>
      <w:tr>
        <w:tc>
          <w:tcPr>
            <w:tcW w:type="dxa" w:w="9951"/>
            <w:shd w:fill="F6F8FA"/>
            <w:tcMar>
              <w:top w:w="130" w:type="dxa"/>
              <w:start w:w="160" w:type="dxa"/>
              <w:bottom w:w="130" w:type="dxa"/>
              <w:end w:w="160" w:type="dxa"/>
            </w:tcMar>
            <w:tcBorders>
              <w:left w:val="single" w:sz="16" w:color="5C6773"/>
            </w:tcBorders>
          </w:tcPr>
          <w:p>
            <w:pPr>
              <w:spacing w:after="0" w:line="259" w:lineRule="auto"/>
            </w:pPr>
            <w:r>
              <w:rPr>
                <w:rFonts w:ascii="DejaVu Sans" w:hAnsi="DejaVu Sans" w:eastAsia="DejaVu Sans"/>
                <w:b/>
                <w:i w:val="0"/>
                <w:color w:val="5C6773"/>
                <w:sz w:val="19"/>
              </w:rPr>
              <w:t xml:space="preserve">Definition 8.6. Algebraic Tangent Cone [CL] </w:t>
            </w:r>
            <w:r>
              <w:rPr>
                <w:rFonts w:ascii="DejaVu Serif" w:hAnsi="DejaVu Serif" w:eastAsia="DejaVu Serif"/>
                <w:b w:val="0"/>
                <w:i w:val="0"/>
                <w:color w:val="111111"/>
                <w:sz w:val="19"/>
              </w:rPr>
              <w:t>For the local ring (O_X,x,m_x), set gr_m O_X,x = direct sum m_x^n/m_x^{n+1}. The tangent cone C_xX=Spec(gr_m O_X,x) retains the initial homogeneous parts of the local equations.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Proposition 8.7. Cone-to-Tangent Inclusion [CL / THM] </w:t>
            </w:r>
            <w:r>
              <w:rPr>
                <w:rFonts w:ascii="DejaVu Serif" w:hAnsi="DejaVu Serif" w:eastAsia="DejaVu Serif"/>
                <w:b w:val="0"/>
                <w:i w:val="0"/>
                <w:color w:val="111111"/>
                <w:sz w:val="19"/>
              </w:rPr>
              <w:t>The reduced support of C_xX embeds in the Zariski tangent space. At a smooth point the cone is a vector space and equals the tangent space; at a singular point its linear span may be strictly larger than the cone.</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Example 8.8. Node No-Go [THM / EXAMPLE] </w:t>
            </w:r>
            <w:r>
              <w:rPr>
                <w:rFonts w:ascii="DejaVu Serif" w:hAnsi="DejaVu Serif" w:eastAsia="DejaVu Serif"/>
                <w:b w:val="0"/>
                <w:i w:val="0"/>
                <w:color w:val="111111"/>
                <w:sz w:val="19"/>
              </w:rPr>
              <w:t>For X={xy=0} at the origin, the Jacobian vanishes, so the Zariski tangent space is all of A^2. The tangent cone is the union of the coordinate axes. A vector such as (1,1) passes the linear test but is not the leading velocity of an admissible analytic arc on X.</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F8FA"/>
            <w:tcMar>
              <w:top w:w="130" w:type="dxa"/>
              <w:start w:w="160" w:type="dxa"/>
              <w:bottom w:w="130" w:type="dxa"/>
              <w:end w:w="160" w:type="dxa"/>
            </w:tcMar>
            <w:tcBorders>
              <w:left w:val="single" w:sz="16" w:color="5C6773"/>
            </w:tcBorders>
          </w:tcPr>
          <w:p>
            <w:pPr>
              <w:spacing w:after="0" w:line="259" w:lineRule="auto"/>
            </w:pPr>
            <w:r>
              <w:rPr>
                <w:rFonts w:ascii="DejaVu Sans" w:hAnsi="DejaVu Sans" w:eastAsia="DejaVu Sans"/>
                <w:b/>
                <w:i w:val="0"/>
                <w:color w:val="5C6773"/>
                <w:sz w:val="19"/>
              </w:rPr>
              <w:t xml:space="preserve">Example 8.9. Hidden Infinitesimal Thickness [CL / EXAMPLE] </w:t>
            </w:r>
            <w:r>
              <w:rPr>
                <w:rFonts w:ascii="DejaVu Serif" w:hAnsi="DejaVu Serif" w:eastAsia="DejaVu Serif"/>
                <w:b w:val="0"/>
                <w:i w:val="0"/>
                <w:color w:val="111111"/>
                <w:sz w:val="19"/>
              </w:rPr>
              <w:t>Spec K[epsilon]/epsilon^2 has one topological point but a one-dimensional tangent space. A point set or incidence graph therefore cannot reconstruct all NAPG deformations.</w:t>
            </w:r>
          </w:p>
        </w:tc>
        <w:trPr>
          <w:tblHeader/>
        </w:trPr>
      </w:tr>
    </w:tbl>
    <w:p>
      <w:pPr>
        <w:spacing w:after="0"/>
      </w:pPr>
    </w:p>
    <w:p>
      <w:pPr>
        <w:pStyle w:val="Heading2"/>
        <w:keepNext/>
        <w:pageBreakBefore w:val="0"/>
      </w:pPr>
      <w:r>
        <w:t>8.3. Linearisation of the Space of NAPG Operations</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8.10. Ambient Operation Space [DEF-A] </w:t>
            </w:r>
            <w:r>
              <w:rPr>
                <w:rFonts w:ascii="DejaVu Serif" w:hAnsi="DejaVu Serif" w:eastAsia="DejaVu Serif"/>
                <w:b w:val="0"/>
                <w:i w:val="0"/>
                <w:color w:val="111111"/>
                <w:sz w:val="19"/>
              </w:rPr>
              <w:t>For finite-dimensional graded A, let C^2_adm(A,A) be the admissible bilinear variations respecting grading, Dom_odot, and frozen structural data. The NAPG structures are the zeros F(mu)=0 inside an admissible sector U_adm.</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M_NAPG={mu in U_adm subset C^2_adm(A,A): F(mu)=0}.</w:t>
            </w:r>
          </w:p>
        </w:tc>
        <w:tc>
          <w:tcPr>
            <w:tcW w:type="dxa" w:w="1531"/>
            <w:shd w:fill="F6F8FA"/>
          </w:tcPr>
          <w:p>
            <w:pPr>
              <w:jc w:val="right"/>
            </w:pPr>
            <w:r>
              <w:rPr>
                <w:rFonts w:ascii="DejaVu Sans" w:hAnsi="DejaVu Sans" w:eastAsia="DejaVu Sans"/>
                <w:b/>
                <w:i w:val="0"/>
                <w:color w:val="5C6773"/>
                <w:sz w:val="17"/>
              </w:rPr>
              <w:t>T2-F021</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8.11. Linearised Structure Space [DEF-A] </w:t>
            </w:r>
            <w:r>
              <w:rPr>
                <w:rFonts w:ascii="DejaVu Serif" w:hAnsi="DejaVu Serif" w:eastAsia="DejaVu Serif"/>
                <w:b w:val="0"/>
                <w:i w:val="0"/>
                <w:color w:val="111111"/>
                <w:sz w:val="19"/>
              </w:rPr>
              <w:t>At mu in M_NAPG define Z^2_NAPG(mu)=ker D F_mu. These are formal first-order variations preserving the chosen equations to order t.</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8.12. Differential of the Associator [THM] </w:t>
            </w:r>
            <w:r>
              <w:rPr>
                <w:rFonts w:ascii="DejaVu Serif" w:hAnsi="DejaVu Serif" w:eastAsia="DejaVu Serif"/>
                <w:b w:val="0"/>
                <w:i w:val="0"/>
                <w:color w:val="111111"/>
                <w:sz w:val="19"/>
              </w:rPr>
              <w:t>For bilinear operations mu and nu, the derivative of Ass at mu in direction nu is DAss_mu(nu)(a,b,c)=nu(mu(a,b),c)+mu(nu(a,b),c)-nu(a,mu(b,c))-mu(a,nu(b,c)). Moreover Ass_{mu+t nu}=Ass_mu+t DAss_mu(nu)+t^2 Ass_nu.</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Ass_{mu+t nu}=Ass_mu+t DAss_mu(nu)+t^2 Ass_nu.</w:t>
            </w:r>
          </w:p>
        </w:tc>
        <w:tc>
          <w:tcPr>
            <w:tcW w:type="dxa" w:w="1531"/>
            <w:shd w:fill="F6F8FA"/>
          </w:tcPr>
          <w:p>
            <w:pPr>
              <w:jc w:val="right"/>
            </w:pPr>
            <w:r>
              <w:rPr>
                <w:rFonts w:ascii="DejaVu Sans" w:hAnsi="DejaVu Sans" w:eastAsia="DejaVu Sans"/>
                <w:b/>
                <w:i w:val="0"/>
                <w:color w:val="5C6773"/>
                <w:sz w:val="17"/>
              </w:rPr>
              <w:t>T2-F022</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8.14. Gauge Differential [DEF-A] </w:t>
            </w:r>
            <w:r>
              <w:rPr>
                <w:rFonts w:ascii="DejaVu Serif" w:hAnsi="DejaVu Serif" w:eastAsia="DejaVu Serif"/>
                <w:b w:val="0"/>
                <w:i w:val="0"/>
                <w:color w:val="111111"/>
                <w:sz w:val="19"/>
              </w:rPr>
              <w:t>For structural endomorphisms xi, d^1_mu(xi)(a,b)=xi(mu(a,b))-mu(xi a,b)-mu(a,xi b). Its kernel is the structural derivation space and its image is tangent to the admissible change-of-basis orbit.</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d^1_mu(xi)(a,b)=xi(mu(a,b))-mu(xi a,b)-mu(a,xi b).</w:t>
            </w:r>
          </w:p>
        </w:tc>
        <w:tc>
          <w:tcPr>
            <w:tcW w:type="dxa" w:w="1531"/>
            <w:shd w:fill="F6F8FA"/>
          </w:tcPr>
          <w:p>
            <w:pPr>
              <w:jc w:val="right"/>
            </w:pPr>
            <w:r>
              <w:rPr>
                <w:rFonts w:ascii="DejaVu Sans" w:hAnsi="DejaVu Sans" w:eastAsia="DejaVu Sans"/>
                <w:b/>
                <w:i w:val="0"/>
                <w:color w:val="5C6773"/>
                <w:sz w:val="17"/>
              </w:rPr>
              <w:t>T2-F023</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8.16. Reduced Tangent Space [DEF-A] </w:t>
            </w:r>
            <w:r>
              <w:rPr>
                <w:rFonts w:ascii="DejaVu Serif" w:hAnsi="DejaVu Serif" w:eastAsia="DejaVu Serif"/>
                <w:b w:val="0"/>
                <w:i w:val="0"/>
                <w:color w:val="111111"/>
                <w:sz w:val="19"/>
              </w:rPr>
              <w:t>When im d^1_mu is contained in Z^2_NAPG(mu), set H^2_red(mu)=Z^2_NAPG(mu)/im d^1_mu. It classifies first-order deformations modulo infinitesimal gauge but does not assert integrability.</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H^2_red(mu)=Z^2_NAPG(mu)/im d^1_mu.</w:t>
            </w:r>
          </w:p>
        </w:tc>
        <w:tc>
          <w:tcPr>
            <w:tcW w:type="dxa" w:w="1531"/>
            <w:shd w:fill="F6F8FA"/>
          </w:tcPr>
          <w:p>
            <w:pPr>
              <w:jc w:val="right"/>
            </w:pPr>
            <w:r>
              <w:rPr>
                <w:rFonts w:ascii="DejaVu Sans" w:hAnsi="DejaVu Sans" w:eastAsia="DejaVu Sans"/>
                <w:b/>
                <w:i w:val="0"/>
                <w:color w:val="5C6773"/>
                <w:sz w:val="17"/>
              </w:rPr>
              <w:t>T2-F024</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14" name="Picture 14" descr="Two-term NAPG tangent complex" title="Two-term NAPG tangent complex"/>
            <wp:cNvGraphicFramePr>
              <a:graphicFrameLocks noChangeAspect="1"/>
            </wp:cNvGraphicFramePr>
            <a:graphic>
              <a:graphicData uri="http://schemas.openxmlformats.org/drawingml/2006/picture">
                <pic:pic>
                  <pic:nvPicPr>
                    <pic:cNvPr id="0" name="fig15_tangent_complex.png"/>
                    <pic:cNvPicPr/>
                  </pic:nvPicPr>
                  <pic:blipFill>
                    <a:blip r:embed="rId24"/>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15. Two-term NAPG tangent complex: stabilisers, first-order deformations, and second-order obstruction.</w:t>
      </w:r>
    </w:p>
    <w:p>
      <w:pPr>
        <w:pStyle w:val="Heading2"/>
        <w:keepNext/>
        <w:pageBreakBefore w:val="0"/>
      </w:pPr>
      <w:r>
        <w:t>8.4. Tangent Complex and Cotangent Duality</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8.17. Tangent Complex [DEF-A] </w:t>
            </w:r>
            <w:r>
              <w:rPr>
                <w:rFonts w:ascii="DejaVu Serif" w:hAnsi="DejaVu Serif" w:eastAsia="DejaVu Serif"/>
                <w:b w:val="0"/>
                <w:i w:val="0"/>
                <w:color w:val="111111"/>
                <w:sz w:val="19"/>
              </w:rPr>
              <w:t>For the quotient presentation, use T_mu^bullet=[End_G(A) --d^1_mu--&gt; Z^2_NAPG(mu)] in degrees -1 and 0. Its H^{-1} is the derivation/stabiliser space and H^0 is H^2_red(mu).</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8.18. No Canonical Self-Duality [CL / THM] </w:t>
            </w:r>
            <w:r>
              <w:rPr>
                <w:rFonts w:ascii="DejaVu Serif" w:hAnsi="DejaVu Serif" w:eastAsia="DejaVu Serif"/>
                <w:b w:val="0"/>
                <w:i w:val="0"/>
                <w:color w:val="111111"/>
                <w:sz w:val="19"/>
              </w:rPr>
              <w:t>A general finite-dimensional vector space V has no natural isomorphism V congruent V^* without an additional nondegenerate bilinear form. Only the evaluation map V-&gt;V^{**} is canonical, and it is an isomorphism in the finite-dimensional or finite-projective regime.</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Corollary 8.19. NAPG Duality Boundary [THM / COND] </w:t>
            </w:r>
            <w:r>
              <w:rPr>
                <w:rFonts w:ascii="DejaVu Serif" w:hAnsi="DejaVu Serif" w:eastAsia="DejaVu Serif"/>
                <w:b w:val="0"/>
                <w:i w:val="0"/>
                <w:color w:val="111111"/>
                <w:sz w:val="19"/>
              </w:rPr>
              <w:t>The cotangent complex cannot automatically be identified with the tangent complex. Dualisation requires finite projectivity; identification requires a chosen pairing or metric compatible with gauge and descent.</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HODGE BOUNDARY. </w:t>
            </w:r>
            <w:r>
              <w:rPr>
                <w:rFonts w:ascii="DejaVu Serif" w:hAnsi="DejaVu Serif" w:eastAsia="DejaVu Serif"/>
                <w:b w:val="0"/>
                <w:i w:val="0"/>
                <w:color w:val="111111"/>
                <w:sz w:val="19"/>
              </w:rPr>
              <w:t>The Hodge star acts on exterior degrees after a metric and orientation are chosen. It does not itself produce a canonical self-duality of the deformation tangent module.</w:t>
            </w:r>
          </w:p>
        </w:tc>
        <w:trPr>
          <w:tblHeader/>
        </w:trPr>
      </w:tr>
    </w:tbl>
    <w:p>
      <w:pPr>
        <w:spacing w:after="0"/>
      </w:pPr>
    </w:p>
    <w:p>
      <w:pPr>
        <w:pStyle w:val="Heading2"/>
        <w:keepNext/>
        <w:pageBreakBefore w:val="0"/>
      </w:pPr>
      <w:r>
        <w:t>8.5. Second-Order Obstruction and Integrable Arcs</w:t>
      </w:r>
    </w:p>
    <w:p>
      <w:pPr>
        <w:widowControl/>
        <w:spacing w:after="80" w:line="264" w:lineRule="auto"/>
      </w:pPr>
      <w:r>
        <w:rPr>
          <w:rFonts w:ascii="DejaVu Serif" w:hAnsi="DejaVu Serif" w:eastAsia="DejaVu Serif"/>
          <w:b w:val="0"/>
          <w:i w:val="0"/>
          <w:color w:val="111111"/>
          <w:sz w:val="20"/>
        </w:rPr>
        <w:t>Let mu_t=mu+t nu+t^2 w+O(t^3) be a proposed deformation. The order-t equation places nu in Z^2_NAPG(mu); the order-t^2 equation has the form D F_mu(w)+Q_mu(nu,nu)=0. The class of Q_mu(nu,nu) in the appropriate obstruction quotient is independent of the chosen correction and is the primary second-order obstruction.</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8.20. Second-Order Obstruction Class [DEF-A] </w:t>
            </w:r>
            <w:r>
              <w:rPr>
                <w:rFonts w:ascii="DejaVu Serif" w:hAnsi="DejaVu Serif" w:eastAsia="DejaVu Serif"/>
                <w:b w:val="0"/>
                <w:i w:val="0"/>
                <w:color w:val="111111"/>
                <w:sz w:val="19"/>
              </w:rPr>
              <w:t>For a formal tangent direction nu, define ob_2(nu) as the class of the quadratic coefficient Q_mu(nu,nu) modulo im D F_mu.</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ob_2(nu)=[Q_mu(nu,nu)] in C^3_red/im D F_mu.</w:t>
            </w:r>
          </w:p>
        </w:tc>
        <w:tc>
          <w:tcPr>
            <w:tcW w:type="dxa" w:w="1531"/>
            <w:shd w:fill="F6F8FA"/>
          </w:tcPr>
          <w:p>
            <w:pPr>
              <w:jc w:val="right"/>
            </w:pPr>
            <w:r>
              <w:rPr>
                <w:rFonts w:ascii="DejaVu Sans" w:hAnsi="DejaVu Sans" w:eastAsia="DejaVu Sans"/>
                <w:b/>
                <w:i w:val="0"/>
                <w:color w:val="5C6773"/>
                <w:sz w:val="17"/>
              </w:rPr>
              <w:t>T2-F025</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8.21. Second-Order Lift Criterion [THM] </w:t>
            </w:r>
            <w:r>
              <w:rPr>
                <w:rFonts w:ascii="DejaVu Serif" w:hAnsi="DejaVu Serif" w:eastAsia="DejaVu Serif"/>
                <w:b w:val="0"/>
                <w:i w:val="0"/>
                <w:color w:val="111111"/>
                <w:sz w:val="19"/>
              </w:rPr>
              <w:t>A correction w solving the second-order equation exists iff ob_2(nu)=0. When solutions exist, the set of corrections is an affine space over ker D F_mu.</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8.22. Tangent Is Not an Arc [THM] </w:t>
            </w:r>
            <w:r>
              <w:rPr>
                <w:rFonts w:ascii="DejaVu Serif" w:hAnsi="DejaVu Serif" w:eastAsia="DejaVu Serif"/>
                <w:b w:val="0"/>
                <w:i w:val="0"/>
                <w:color w:val="111111"/>
                <w:sz w:val="19"/>
              </w:rPr>
              <w:t>Membership of nu in H^2_red(mu) is necessary for a first-order deformation class but does not by itself imply the existence of an analytic or formal arc. Higher obstruction classes and convergence may still fail.</w:t>
            </w:r>
          </w:p>
        </w:tc>
        <w:trPr>
          <w:tblHeader/>
        </w:trPr>
      </w:tr>
    </w:tbl>
    <w:p>
      <w:pPr>
        <w:spacing w:after="0"/>
      </w:pPr>
    </w:p>
    <w:p>
      <w:pPr>
        <w:pStyle w:val="Heading2"/>
        <w:keepNext/>
        <w:pageBreakBefore w:val="0"/>
      </w:pPr>
      <w:r>
        <w:t>8.6. Differential of lambda and Projective Invariance</w:t>
      </w:r>
    </w:p>
    <w:p>
      <w:pPr>
        <w:widowControl/>
        <w:spacing w:after="80" w:line="264" w:lineRule="auto"/>
      </w:pPr>
      <w:r>
        <w:rPr>
          <w:rFonts w:ascii="DejaVu Serif" w:hAnsi="DejaVu Serif" w:eastAsia="DejaVu Serif"/>
          <w:b w:val="0"/>
          <w:i w:val="0"/>
          <w:color w:val="111111"/>
          <w:sz w:val="20"/>
        </w:rPr>
        <w:t>On an affine chart, lambda=((u-r)(i-d))/((u-d)(i-r)). Differentiation is permitted only off the pole divisor and only after the four Reper components have typed tangent directions.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 log lambda = (du-dr)/(u-r)+(di-dd)/(i-d)-(du-dd)/(u-d)-(di-dr)/(i-r).</w:t>
            </w:r>
          </w:p>
        </w:tc>
        <w:tc>
          <w:tcPr>
            <w:tcW w:type="dxa" w:w="1531"/>
            <w:shd w:fill="F6F8FA"/>
          </w:tcPr>
          <w:p>
            <w:pPr>
              <w:jc w:val="right"/>
            </w:pPr>
            <w:r>
              <w:rPr>
                <w:rFonts w:ascii="DejaVu Sans" w:hAnsi="DejaVu Sans" w:eastAsia="DejaVu Sans"/>
                <w:b/>
                <w:i w:val="0"/>
                <w:color w:val="5C6773"/>
                <w:sz w:val="17"/>
              </w:rPr>
              <w:t>T2-F026</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8.29. Infinitesimal PGL2 Invariance [THM] </w:t>
            </w:r>
            <w:r>
              <w:rPr>
                <w:rFonts w:ascii="DejaVu Serif" w:hAnsi="DejaVu Serif" w:eastAsia="DejaVu Serif"/>
                <w:b w:val="0"/>
                <w:i w:val="0"/>
                <w:color w:val="111111"/>
                <w:sz w:val="19"/>
              </w:rPr>
              <w:t>If r,i,u,d move under one common infinitesimal sl_2 field on P^1, then d lambda=0 away from poles. A nonzero derivative detects relative motion among the four Reper components, not a common projective coordinate change.</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8.31. First-Order Blindness at Exact Harmony [THM] </w:t>
            </w:r>
            <w:r>
              <w:rPr>
                <w:rFonts w:ascii="DejaVu Serif" w:hAnsi="DejaVu Serif" w:eastAsia="DejaVu Serif"/>
                <w:b w:val="0"/>
                <w:i w:val="0"/>
                <w:color w:val="111111"/>
                <w:sz w:val="19"/>
              </w:rPr>
              <w:t>For q=|lambda+1|^2, Dq(v)=2 Re(conj(lambda+1) Dlambda(v)). At lambda=-1, Dq vanishes in every direction. The second differential, containing 2|Dlambda(v)|^2, is the first nondegenerate test when Dlambda(v) is nonzero.</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lambda=-1 implies D|lambda+1|^2=0;  D^2 q(v,v) contains 2|Dlambda(v)|^2.</w:t>
            </w:r>
          </w:p>
        </w:tc>
        <w:tc>
          <w:tcPr>
            <w:tcW w:type="dxa" w:w="1531"/>
            <w:shd w:fill="F6F8FA"/>
          </w:tcPr>
          <w:p>
            <w:pPr>
              <w:jc w:val="right"/>
            </w:pPr>
            <w:r>
              <w:rPr>
                <w:rFonts w:ascii="DejaVu Sans" w:hAnsi="DejaVu Sans" w:eastAsia="DejaVu Sans"/>
                <w:b/>
                <w:i w:val="0"/>
                <w:color w:val="5C6773"/>
                <w:sz w:val="17"/>
              </w:rPr>
              <w:t>T2-F027</w:t>
            </w:r>
          </w:p>
        </w:tc>
        <w:trPr>
          <w:tblHeader/>
        </w:trPr>
      </w:tr>
    </w:tbl>
    <w:p>
      <w:pPr>
        <w:spacing w:after="0"/>
      </w:pPr>
    </w:p>
    <w:p>
      <w:pPr>
        <w:pStyle w:val="Heading2"/>
        <w:keepNext/>
        <w:pageBreakBefore w:val="0"/>
      </w:pPr>
      <w:r>
        <w:t>8.7. Linearised Horizon and Local Predictive Cone</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8.32. Structural Constraint Map [DEF-A] </w:t>
            </w:r>
            <w:r>
              <w:rPr>
                <w:rFonts w:ascii="DejaVu Serif" w:hAnsi="DejaVu Serif" w:eastAsia="DejaVu Serif"/>
                <w:b w:val="0"/>
                <w:i w:val="0"/>
                <w:color w:val="111111"/>
                <w:sz w:val="19"/>
              </w:rPr>
              <w:t>Let G=(F_NAPG,Pi,h,B_D,B_Dom,B_glue), with h=lambda+1. At a point x with G(x)=0, the linearly admissible directions form ker D G_x.</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8.33. Integrable Predictive Direction [DEF-A] </w:t>
            </w:r>
            <w:r>
              <w:rPr>
                <w:rFonts w:ascii="DejaVu Serif" w:hAnsi="DejaVu Serif" w:eastAsia="DejaVu Serif"/>
                <w:b w:val="0"/>
                <w:i w:val="0"/>
                <w:color w:val="111111"/>
                <w:sz w:val="19"/>
              </w:rPr>
              <w:t>A direction v receives status INT-DIR only if it lies in the tangent cone of G^{-1}(0), has a second-order witness, is realised by an admissible arc, transports Evidence-D and Dom, satisfies the required jet-order harmonic criterion, and has an empty blocker set.</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Block_tan=B_rank union B_cone union B_ob2 union B_arc union B_dual union B_lambda union B_D union B_Dom union B_glue.</w:t>
            </w:r>
          </w:p>
        </w:tc>
        <w:tc>
          <w:tcPr>
            <w:tcW w:type="dxa" w:w="1531"/>
            <w:shd w:fill="F6F8FA"/>
          </w:tcPr>
          <w:p>
            <w:pPr>
              <w:jc w:val="right"/>
            </w:pPr>
            <w:r>
              <w:rPr>
                <w:rFonts w:ascii="DejaVu Sans" w:hAnsi="DejaVu Sans" w:eastAsia="DejaVu Sans"/>
                <w:b/>
                <w:i w:val="0"/>
                <w:color w:val="5C6773"/>
                <w:sz w:val="17"/>
              </w:rPr>
              <w:t>T2-F028</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Theorem 8.34. Tangent-Safe Predictive Transport [COND] </w:t>
            </w:r>
            <w:r>
              <w:rPr>
                <w:rFonts w:ascii="DejaVu Serif" w:hAnsi="DejaVu Serif" w:eastAsia="DejaVu Serif"/>
                <w:b w:val="0"/>
                <w:i w:val="0"/>
                <w:color w:val="111111"/>
                <w:sz w:val="19"/>
              </w:rPr>
              <w:t>Under an NAPG isomorphism preserving the constraint map, gauge action, projective-Reper atlas, Evidence-D, and descent, an integrable predictive direction is transported to an integrable direction and its INT-DIR status is invariant.</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8.35. No Event from Tangent Data Alone [THM] </w:t>
            </w:r>
            <w:r>
              <w:rPr>
                <w:rFonts w:ascii="DejaVu Serif" w:hAnsi="DejaVu Serif" w:eastAsia="DejaVu Serif"/>
                <w:b w:val="0"/>
                <w:i w:val="0"/>
                <w:color w:val="111111"/>
                <w:sz w:val="19"/>
              </w:rPr>
              <w:t>A nonzero H^2_red, a large Zariski tangent space, or a direction decreasing a local diagnostic does not imply a future event. Without cone, obstruction, and arc witnesses the only allowed statuses are FORMAL-DIRECTION or ABSTAIN.</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15" name="Picture 15" descr="Local tangent predictive gate" title="Local tangent predictive gate"/>
            <wp:cNvGraphicFramePr>
              <a:graphicFrameLocks noChangeAspect="1"/>
            </wp:cNvGraphicFramePr>
            <a:graphic>
              <a:graphicData uri="http://schemas.openxmlformats.org/drawingml/2006/picture">
                <pic:pic>
                  <pic:nvPicPr>
                    <pic:cNvPr id="0" name="fig16_tangent_gate.png"/>
                    <pic:cNvPicPr/>
                  </pic:nvPicPr>
                  <pic:blipFill>
                    <a:blip r:embed="rId25"/>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16. Local predictive gate from a linear direction to an integrable admissible arc.</w:t>
      </w:r>
    </w:p>
    <w:p>
      <w:pPr>
        <w:pStyle w:val="Heading2"/>
        <w:keepNext/>
        <w:pageBreakBefore w:val="0"/>
      </w:pPr>
      <w:r>
        <w:t>8.8. Tangent/Cotangent Computational Certificate</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283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Object</w:t>
            </w:r>
          </w:p>
        </w:tc>
        <w:tc>
          <w:tcPr>
            <w:tcW w:type="dxa" w:w="6520"/>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Certificate</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Ambient operation space</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basis, grading, Dom, structural equations F</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Linearisation</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exact Jacobian D F_mu, rank, kernel basis</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Gauge action</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d^1_mu matrix, derivation kernel, orbit rank</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Singular geometry</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initial ideal, tangent cone, arc witnesses</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Second order</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quadratic coefficient, obstruction quotient, correction witness</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Reper tangent</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PGL2 chart, pole audit, d lambda, Hessian at harmony</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Verdict</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FORMAL-DIRECTION / INT-DIR / ABSTAIN and blocker list</w:t>
            </w:r>
          </w:p>
        </w:tc>
      </w:tr>
    </w:tbl>
    <w:p>
      <w:pPr>
        <w:spacing w:after="20"/>
      </w:pPr>
    </w:p>
    <w:p>
      <w:pPr>
        <w:pStyle w:val="ListBullet"/>
        <w:spacing w:after="40" w:line="252" w:lineRule="auto"/>
      </w:pPr>
      <w:r>
        <w:rPr>
          <w:rFonts w:ascii="DejaVu Serif" w:hAnsi="DejaVu Serif" w:eastAsia="DejaVu Serif"/>
          <w:b w:val="0"/>
          <w:i w:val="0"/>
          <w:color w:val="111111"/>
          <w:sz w:val="19"/>
        </w:rPr>
        <w:t>TEST-TAN-01: verify the types and sizes of C^2_adm, F, and D F;</w:t>
      </w:r>
    </w:p>
    <w:p>
      <w:pPr>
        <w:pStyle w:val="ListBullet"/>
        <w:spacing w:after="40" w:line="252" w:lineRule="auto"/>
      </w:pPr>
      <w:r>
        <w:rPr>
          <w:rFonts w:ascii="DejaVu Serif" w:hAnsi="DejaVu Serif" w:eastAsia="DejaVu Serif"/>
          <w:b w:val="0"/>
          <w:i w:val="0"/>
          <w:color w:val="111111"/>
          <w:sz w:val="19"/>
        </w:rPr>
        <w:t>TEST-DER-02: compare ker d^1 with direct derivation equations;</w:t>
      </w:r>
    </w:p>
    <w:p>
      <w:pPr>
        <w:pStyle w:val="ListBullet"/>
        <w:spacing w:after="40" w:line="252" w:lineRule="auto"/>
      </w:pPr>
      <w:r>
        <w:rPr>
          <w:rFonts w:ascii="DejaVu Serif" w:hAnsi="DejaVu Serif" w:eastAsia="DejaVu Serif"/>
          <w:b w:val="0"/>
          <w:i w:val="0"/>
          <w:color w:val="111111"/>
          <w:sz w:val="19"/>
        </w:rPr>
        <w:t>TEST-CONE-06: compute the initial ideal and tangent cone in exact arithmetic;</w:t>
      </w:r>
    </w:p>
    <w:p>
      <w:pPr>
        <w:pStyle w:val="ListBullet"/>
        <w:spacing w:after="40" w:line="252" w:lineRule="auto"/>
      </w:pPr>
      <w:r>
        <w:rPr>
          <w:rFonts w:ascii="DejaVu Serif" w:hAnsi="DejaVu Serif" w:eastAsia="DejaVu Serif"/>
          <w:b w:val="0"/>
          <w:i w:val="0"/>
          <w:color w:val="111111"/>
          <w:sz w:val="19"/>
        </w:rPr>
        <w:t>TEST-NODE-07: reject direction (1,1) for xy=0 at the cone/arc gate;</w:t>
      </w:r>
    </w:p>
    <w:p>
      <w:pPr>
        <w:pStyle w:val="ListBullet"/>
        <w:spacing w:after="40" w:line="252" w:lineRule="auto"/>
      </w:pPr>
      <w:r>
        <w:rPr>
          <w:rFonts w:ascii="DejaVu Serif" w:hAnsi="DejaVu Serif" w:eastAsia="DejaVu Serif"/>
          <w:b w:val="0"/>
          <w:i w:val="0"/>
          <w:color w:val="111111"/>
          <w:sz w:val="19"/>
        </w:rPr>
        <w:t>TEST-ASS-08: verify Ass_{mu+t nu}=Ass_mu+t DAss_mu(nu)+t^2 Ass_nu;</w:t>
      </w:r>
    </w:p>
    <w:p>
      <w:pPr>
        <w:pStyle w:val="ListBullet"/>
        <w:spacing w:after="40" w:line="252" w:lineRule="auto"/>
      </w:pPr>
      <w:r>
        <w:rPr>
          <w:rFonts w:ascii="DejaVu Serif" w:hAnsi="DejaVu Serif" w:eastAsia="DejaVu Serif"/>
          <w:b w:val="0"/>
          <w:i w:val="0"/>
          <w:color w:val="111111"/>
          <w:sz w:val="19"/>
        </w:rPr>
        <w:t>TEST-OB2-09: solve the second-order equation or return an obstruction class;</w:t>
      </w:r>
    </w:p>
    <w:p>
      <w:pPr>
        <w:pStyle w:val="ListBullet"/>
        <w:spacing w:after="40" w:line="252" w:lineRule="auto"/>
      </w:pPr>
      <w:r>
        <w:rPr>
          <w:rFonts w:ascii="DejaVu Serif" w:hAnsi="DejaVu Serif" w:eastAsia="DejaVu Serif"/>
          <w:b w:val="0"/>
          <w:i w:val="0"/>
          <w:color w:val="111111"/>
          <w:sz w:val="19"/>
        </w:rPr>
        <w:t>TEST-LAM-10: confirm invariance of d lambda under a common PGL2 motion;</w:t>
      </w:r>
    </w:p>
    <w:p>
      <w:pPr>
        <w:pStyle w:val="ListBullet"/>
        <w:spacing w:after="40" w:line="252" w:lineRule="auto"/>
      </w:pPr>
      <w:r>
        <w:rPr>
          <w:rFonts w:ascii="DejaVu Serif" w:hAnsi="DejaVu Serif" w:eastAsia="DejaVu Serif"/>
          <w:b w:val="0"/>
          <w:i w:val="0"/>
          <w:color w:val="111111"/>
          <w:sz w:val="19"/>
        </w:rPr>
        <w:t>TEST-GATE-13: absence of an arc witness forces FORMAL-DIRECTION or ABSTAIN.</w:t>
      </w:r>
    </w:p>
    <w:p>
      <w:pPr>
        <w:pStyle w:val="Heading1"/>
        <w:keepNext/>
        <w:pageBreakBefore/>
      </w:pPr>
      <w:bookmarkStart w:id="1008" w:name="T2_CH09"/>
      <w:r>
        <w:t>Chapter 9. Connections, Curvature, Holonomy, and Associator Curvature</w:t>
      </w:r>
      <w:bookmarkEnd w:id="1008"/>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connection compares fibres; curvature measures the defect of this comparison.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obtained from parallel transport, small loops, and typed action on the associator.</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phenomenon is path memory and variation of structural tensors.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Holonomy is not the associator and is not automatically causality.</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associator curvature as a typed bridge between NAPG and transport.</w:t>
            </w:r>
          </w:p>
        </w:tc>
      </w:tr>
    </w:tbl>
    <w:p>
      <w:pPr>
        <w:spacing w:after="20"/>
      </w:pPr>
    </w:p>
    <w:p>
      <w:pPr>
        <w:widowControl/>
        <w:spacing w:after="80" w:line="264" w:lineRule="auto"/>
      </w:pPr>
      <w:r>
        <w:rPr>
          <w:rFonts w:ascii="DejaVu Serif" w:hAnsi="DejaVu Serif" w:eastAsia="DejaVu Serif"/>
          <w:b w:val="0"/>
          <w:i w:val="0"/>
          <w:color w:val="111111"/>
          <w:sz w:val="20"/>
        </w:rPr>
        <w:t>This theorem/conditional package separates the classical geometry of connections and holonomy from the authorial NAPG bridge. Parallel transport is composition of linear maps and is associative even when the fibre multiplication is not. Curvature, holonomy, multiplication compatibility, and the associator are therefore distinct objects. They may interact only through explicitly typed tensors and transport defects.</w:t>
      </w:r>
    </w:p>
    <w:p>
      <w:pPr>
        <w:keepNext/>
        <w:jc w:val="center"/>
      </w:pPr>
      <w:r>
        <w:drawing>
          <wp:inline xmlns:a="http://schemas.openxmlformats.org/drawingml/2006/main" xmlns:pic="http://schemas.openxmlformats.org/drawingml/2006/picture">
            <wp:extent cx="5760000" cy="3115102"/>
            <wp:docPr id="16" name="Picture 16" descr="Four typed bridges between connection and associator layers" title="Four typed bridges between connection and associator layers"/>
            <wp:cNvGraphicFramePr>
              <a:graphicFrameLocks noChangeAspect="1"/>
            </wp:cNvGraphicFramePr>
            <a:graphic>
              <a:graphicData uri="http://schemas.openxmlformats.org/drawingml/2006/picture">
                <pic:pic>
                  <pic:nvPicPr>
                    <pic:cNvPr id="0" name="fig17_bridges.png"/>
                    <pic:cNvPicPr/>
                  </pic:nvPicPr>
                  <pic:blipFill>
                    <a:blip r:embed="rId26"/>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17. Two layers and four admissible bridges: C_nabla, nabla Ass, K_Ass, and H_Ass.</w:t>
      </w:r>
    </w:p>
    <w:p>
      <w:pPr>
        <w:pStyle w:val="Heading2"/>
        <w:keepNext/>
        <w:pageBreakBefore w:val="0"/>
      </w:pPr>
      <w:r>
        <w:t>9.1. Typed NAPG Connection and D-Admissible Paths</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9.1. Algebraic NAPG Bundle [DEF-A] </w:t>
            </w:r>
            <w:r>
              <w:rPr>
                <w:rFonts w:ascii="DejaVu Serif" w:hAnsi="DejaVu Serif" w:eastAsia="DejaVu Serif"/>
                <w:b w:val="0"/>
                <w:i w:val="0"/>
                <w:color w:val="111111"/>
                <w:sz w:val="19"/>
              </w:rPr>
              <w:t>Let X be a smooth sector, A-&gt;X a finite-dimensional vector bundle, and mu a smooth section of Hom(A tensor A,A). Each fibre carries the algebra (A_x,odot_x). Grading, structural data, and D/Dom restrictions are included as subbundles or admissible subsets.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mu_x:A_x tensor A_x -&gt; A_x,   a odot_x b := mu_x(a,b).</w:t>
            </w:r>
          </w:p>
        </w:tc>
        <w:tc>
          <w:tcPr>
            <w:tcW w:type="dxa" w:w="1531"/>
            <w:shd w:fill="F6F8FA"/>
          </w:tcPr>
          <w:p>
            <w:pPr>
              <w:jc w:val="right"/>
            </w:pPr>
            <w:r>
              <w:rPr>
                <w:rFonts w:ascii="DejaVu Sans" w:hAnsi="DejaVu Sans" w:eastAsia="DejaVu Sans"/>
                <w:b/>
                <w:i w:val="0"/>
                <w:color w:val="5C6773"/>
                <w:sz w:val="17"/>
              </w:rPr>
              <w:t>T2-F029</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9.2. D-Admissible Path Category [DEF-A] </w:t>
            </w:r>
            <w:r>
              <w:rPr>
                <w:rFonts w:ascii="DejaVu Serif" w:hAnsi="DejaVu Serif" w:eastAsia="DejaVu Serif"/>
                <w:b w:val="0"/>
                <w:i w:val="0"/>
                <w:color w:val="111111"/>
                <w:sz w:val="19"/>
              </w:rPr>
              <w:t>P_D(X) has points of X as objects and piecewise C^1 paths as arrows, restricted by Dom and equipped with Evidence-D. It must be closed under constant paths, admissible reparameterisation, and composition; inverse paths are additionally required when a holonomy group is claimed.</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9.3. NAPG Connection [DEF-A] </w:t>
            </w:r>
            <w:r>
              <w:rPr>
                <w:rFonts w:ascii="DejaVu Serif" w:hAnsi="DejaVu Serif" w:eastAsia="DejaVu Serif"/>
                <w:b w:val="0"/>
                <w:i w:val="0"/>
                <w:color w:val="111111"/>
                <w:sz w:val="19"/>
              </w:rPr>
              <w:t>A connection is a K-linear operator nabla:Gamma(A)-&gt;Omega^1(X;A) satisfying nabla(f s)=d f tensor s+f nabla s. It is structurally admissible only when it preserves the declared grading, structural subbundles, and Dom restrictions.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nabla(fs)=df tensor s+f nabla s.</w:t>
            </w:r>
          </w:p>
        </w:tc>
        <w:tc>
          <w:tcPr>
            <w:tcW w:type="dxa" w:w="1531"/>
            <w:shd w:fill="F6F8FA"/>
          </w:tcPr>
          <w:p>
            <w:pPr>
              <w:jc w:val="right"/>
            </w:pPr>
            <w:r>
              <w:rPr>
                <w:rFonts w:ascii="DejaVu Sans" w:hAnsi="DejaVu Sans" w:eastAsia="DejaVu Sans"/>
                <w:b/>
                <w:i w:val="0"/>
                <w:color w:val="5C6773"/>
                <w:sz w:val="17"/>
              </w:rPr>
              <w:t>T2-F030</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F8FA"/>
            <w:tcMar>
              <w:top w:w="130" w:type="dxa"/>
              <w:start w:w="160" w:type="dxa"/>
              <w:bottom w:w="130" w:type="dxa"/>
              <w:end w:w="160" w:type="dxa"/>
            </w:tcMar>
            <w:tcBorders>
              <w:left w:val="single" w:sz="16" w:color="5C6773"/>
            </w:tcBorders>
          </w:tcPr>
          <w:p>
            <w:pPr>
              <w:spacing w:after="0" w:line="259" w:lineRule="auto"/>
            </w:pPr>
            <w:r>
              <w:rPr>
                <w:rFonts w:ascii="DejaVu Sans" w:hAnsi="DejaVu Sans" w:eastAsia="DejaVu Sans"/>
                <w:b/>
                <w:i w:val="0"/>
                <w:color w:val="5C6773"/>
                <w:sz w:val="19"/>
              </w:rPr>
              <w:t xml:space="preserve">Definition 9.4. Parallel Transport [CL / DEF-A] </w:t>
            </w:r>
            <w:r>
              <w:rPr>
                <w:rFonts w:ascii="DejaVu Serif" w:hAnsi="DejaVu Serif" w:eastAsia="DejaVu Serif"/>
                <w:b w:val="0"/>
                <w:i w:val="0"/>
                <w:color w:val="111111"/>
                <w:sz w:val="19"/>
              </w:rPr>
              <w:t>For a D-admissible path gamma, P_gamma:A_gamma(0)-&gt;A_gamma(1) is defined by the ODE nabla_{dot gamma}s=0.</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9.5. Associativity of Transport Composition [THM] </w:t>
            </w:r>
            <w:r>
              <w:rPr>
                <w:rFonts w:ascii="DejaVu Serif" w:hAnsi="DejaVu Serif" w:eastAsia="DejaVu Serif"/>
                <w:b w:val="0"/>
                <w:i w:val="0"/>
                <w:color w:val="111111"/>
                <w:sz w:val="19"/>
              </w:rPr>
              <w:t>For composable admissible paths, P_{gamma_2*gamma_1}=P_{gamma_2} o P_{gamma_1}; all bracketings of three transports agree. The associator of ordinary transport composition is identically zero.</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(P_gamma3 o P_gamma2) o P_gamma1 = P_gamma3 o (P_gamma2 o P_gamma1).</w:t>
            </w:r>
          </w:p>
        </w:tc>
        <w:tc>
          <w:tcPr>
            <w:tcW w:type="dxa" w:w="1531"/>
            <w:shd w:fill="F6F8FA"/>
          </w:tcPr>
          <w:p>
            <w:pPr>
              <w:jc w:val="right"/>
            </w:pPr>
            <w:r>
              <w:rPr>
                <w:rFonts w:ascii="DejaVu Sans" w:hAnsi="DejaVu Sans" w:eastAsia="DejaVu Sans"/>
                <w:b/>
                <w:i w:val="0"/>
                <w:color w:val="5C6773"/>
                <w:sz w:val="17"/>
              </w:rPr>
              <w:t>T2-F031</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9.6. First No-Go [THM] </w:t>
            </w:r>
            <w:r>
              <w:rPr>
                <w:rFonts w:ascii="DejaVu Serif" w:hAnsi="DejaVu Serif" w:eastAsia="DejaVu Serif"/>
                <w:b w:val="0"/>
                <w:i w:val="0"/>
                <w:color w:val="111111"/>
                <w:sz w:val="19"/>
              </w:rPr>
              <w:t>Hol_D cannot be identified literally with Ass_odot: holonomy consists of linear automorphisms A_x-&gt;A_x, while Ass_odot is a ternary map A_x^3-&gt;A_x.</w:t>
            </w:r>
          </w:p>
        </w:tc>
        <w:trPr>
          <w:tblHeader/>
        </w:trPr>
      </w:tr>
    </w:tbl>
    <w:p>
      <w:pPr>
        <w:spacing w:after="0"/>
      </w:pPr>
    </w:p>
    <w:p>
      <w:pPr>
        <w:pStyle w:val="Heading2"/>
        <w:keepNext/>
        <w:pageBreakBefore w:val="0"/>
      </w:pPr>
      <w:r>
        <w:t>9.2. Curvature, Small Loops, and D-Holonomy</w:t>
      </w:r>
    </w:p>
    <w:tbl>
      <w:tblPr>
        <w:tblW w:type="auto" w:w="0"/>
        <w:jc w:val="center"/>
        <w:tblLayout w:type="fixed"/>
        <w:tblLook w:firstColumn="1" w:firstRow="1" w:lastColumn="0" w:lastRow="0" w:noHBand="0" w:noVBand="1" w:val="04A0"/>
      </w:tblPr>
      <w:tblGrid>
        <w:gridCol w:w="9951"/>
      </w:tblGrid>
      <w:tr>
        <w:tc>
          <w:tcPr>
            <w:tcW w:type="dxa" w:w="9951"/>
            <w:shd w:fill="F6F8FA"/>
            <w:tcMar>
              <w:top w:w="130" w:type="dxa"/>
              <w:start w:w="160" w:type="dxa"/>
              <w:bottom w:w="130" w:type="dxa"/>
              <w:end w:w="160" w:type="dxa"/>
            </w:tcMar>
            <w:tcBorders>
              <w:left w:val="single" w:sz="16" w:color="5C6773"/>
            </w:tcBorders>
          </w:tcPr>
          <w:p>
            <w:pPr>
              <w:spacing w:after="0" w:line="259" w:lineRule="auto"/>
            </w:pPr>
            <w:r>
              <w:rPr>
                <w:rFonts w:ascii="DejaVu Sans" w:hAnsi="DejaVu Sans" w:eastAsia="DejaVu Sans"/>
                <w:b/>
                <w:i w:val="0"/>
                <w:color w:val="5C6773"/>
                <w:sz w:val="19"/>
              </w:rPr>
              <w:t xml:space="preserve">Definition 9.7. Curvature [CL] </w:t>
            </w:r>
            <w:r>
              <w:rPr>
                <w:rFonts w:ascii="DejaVu Serif" w:hAnsi="DejaVu Serif" w:eastAsia="DejaVu Serif"/>
                <w:b w:val="0"/>
                <w:i w:val="0"/>
                <w:color w:val="111111"/>
                <w:sz w:val="19"/>
              </w:rPr>
              <w:t>R_nabla(X,Y)=[nabla_X,nabla_Y]-nabla_[X,Y], an End(A)-valued 2-form.</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R_nabla in Omega^2(X;End(A)),   R_nabla(X,Y)=[nabla_X,nabla_Y]-nabla_[X,Y].</w:t>
            </w:r>
          </w:p>
        </w:tc>
        <w:tc>
          <w:tcPr>
            <w:tcW w:type="dxa" w:w="1531"/>
            <w:shd w:fill="F6F8FA"/>
          </w:tcPr>
          <w:p>
            <w:pPr>
              <w:jc w:val="right"/>
            </w:pPr>
            <w:r>
              <w:rPr>
                <w:rFonts w:ascii="DejaVu Sans" w:hAnsi="DejaVu Sans" w:eastAsia="DejaVu Sans"/>
                <w:b/>
                <w:i w:val="0"/>
                <w:color w:val="5C6773"/>
                <w:sz w:val="17"/>
              </w:rPr>
              <w:t>T2-F032</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9.8. Small-Loop Certificate [DEF-A] </w:t>
            </w:r>
            <w:r>
              <w:rPr>
                <w:rFonts w:ascii="DejaVu Serif" w:hAnsi="DejaVu Serif" w:eastAsia="DejaVu Serif"/>
                <w:b w:val="0"/>
                <w:i w:val="0"/>
                <w:color w:val="111111"/>
                <w:sz w:val="19"/>
              </w:rPr>
              <w:t>For an oriented small rectangle contained in the D-admissible sector, fix the sign convention R_nabla(X,Y)=-lim_{epsilon-&gt;0} epsilon^{-2}(P_square_epsilon-Id), when the limit exists in the chosen trivialisation.</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9.9. Small Loops Localise Curvature [CL / THM] </w:t>
            </w:r>
            <w:r>
              <w:rPr>
                <w:rFonts w:ascii="DejaVu Serif" w:hAnsi="DejaVu Serif" w:eastAsia="DejaVu Serif"/>
                <w:b w:val="0"/>
                <w:i w:val="0"/>
                <w:color w:val="111111"/>
                <w:sz w:val="19"/>
              </w:rPr>
              <w:t>For a C^2 connection, P_square_epsilon=Id-epsilon^2 R_nabla(X,Y)+O(epsilon^3) in the selected convention. Curvature is the first nontrivial coefficient of small-loop holonomy, not an associator of transport composition.</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9.10. D-Holonomy [DEF-A] </w:t>
            </w:r>
            <w:r>
              <w:rPr>
                <w:rFonts w:ascii="DejaVu Serif" w:hAnsi="DejaVu Serif" w:eastAsia="DejaVu Serif"/>
                <w:b w:val="0"/>
                <w:i w:val="0"/>
                <w:color w:val="111111"/>
                <w:sz w:val="19"/>
              </w:rPr>
              <w:t>Hol_D(x)={P_gamma: gamma is a D-admissible loop at x}. If inverse paths are admissible, this is a subgroup of GL(A_x). The component generated by contractible admissible loops is Hol_D^0(x).</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Proposition 9.11. Base-Point Change [THM] </w:t>
            </w:r>
            <w:r>
              <w:rPr>
                <w:rFonts w:ascii="DejaVu Serif" w:hAnsi="DejaVu Serif" w:eastAsia="DejaVu Serif"/>
                <w:b w:val="0"/>
                <w:i w:val="0"/>
                <w:color w:val="111111"/>
                <w:sz w:val="19"/>
              </w:rPr>
              <w:t>For an admissible path eta:x-&gt;y, Hol_D(y)=P_eta Hol_D(x) P_eta^{-1}, provided conjugation preserves the admissible loop class. Matrix representatives are gauge-dependent; dimension, conjugacy class, and invariant polynomials are legitimate RBD candidates.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F8FA"/>
            <w:tcMar>
              <w:top w:w="130" w:type="dxa"/>
              <w:start w:w="160" w:type="dxa"/>
              <w:bottom w:w="130" w:type="dxa"/>
              <w:end w:w="160" w:type="dxa"/>
            </w:tcMar>
            <w:tcBorders>
              <w:left w:val="single" w:sz="16" w:color="5C6773"/>
            </w:tcBorders>
          </w:tcPr>
          <w:p>
            <w:pPr>
              <w:spacing w:after="0" w:line="259" w:lineRule="auto"/>
            </w:pPr>
            <w:r>
              <w:rPr>
                <w:rFonts w:ascii="DejaVu Sans" w:hAnsi="DejaVu Sans" w:eastAsia="DejaVu Sans"/>
                <w:b/>
                <w:i w:val="0"/>
                <w:color w:val="5C6773"/>
                <w:sz w:val="19"/>
              </w:rPr>
              <w:t xml:space="preserve">Theorem 9.12. Ambrose-Singer: Classical Layer [CL] </w:t>
            </w:r>
            <w:r>
              <w:rPr>
                <w:rFonts w:ascii="DejaVu Serif" w:hAnsi="DejaVu Serif" w:eastAsia="DejaVu Serif"/>
                <w:b w:val="0"/>
                <w:i w:val="0"/>
                <w:color w:val="111111"/>
                <w:sz w:val="19"/>
              </w:rPr>
              <w:t>For an ordinary smooth connection, the restricted holonomy algebra is generated by parallel translates of curvature. This theorem is imported only for the full smooth path category or after accessibility of the required small loops has been proved for the D-subcategory.</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Hypothesis 9.13. D-Ambrose-Singer Bridge [COND / OPEN] </w:t>
            </w:r>
            <w:r>
              <w:rPr>
                <w:rFonts w:ascii="DejaVu Serif" w:hAnsi="DejaVu Serif" w:eastAsia="DejaVu Serif"/>
                <w:b w:val="0"/>
                <w:i w:val="0"/>
                <w:color w:val="111111"/>
                <w:sz w:val="19"/>
              </w:rPr>
              <w:t>If D-admissible paths form a regular controlled system, contain the required local rectangles, and are stable under curvature transport, then Lie(Hol_D^0(x)) is generated by D-accessible translates of R_nabla. Without these hypotheses no automatic import is made.</w:t>
            </w:r>
          </w:p>
        </w:tc>
        <w:trPr>
          <w:tblHeader/>
        </w:trPr>
      </w:tr>
    </w:tbl>
    <w:p>
      <w:pPr>
        <w:spacing w:after="0"/>
      </w:pPr>
    </w:p>
    <w:p>
      <w:pPr>
        <w:pStyle w:val="Heading2"/>
        <w:keepNext/>
        <w:pageBreakBefore w:val="0"/>
      </w:pPr>
      <w:r>
        <w:t>9.3. Compatibility with Packet Multiplication</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9.14. Product Defect [DEF-A] </w:t>
            </w:r>
            <w:r>
              <w:rPr>
                <w:rFonts w:ascii="DejaVu Serif" w:hAnsi="DejaVu Serif" w:eastAsia="DejaVu Serif"/>
                <w:b w:val="0"/>
                <w:i w:val="0"/>
                <w:color w:val="111111"/>
                <w:sz w:val="19"/>
              </w:rPr>
              <w:t>For a vector field X and local sections a,b, define C_nabla(X;a,b)=nabla_X(a odot b)-(nabla_X a) odot b-a odot(nabla_X b).</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C_nabla(X;a,b)=nabla_X(a odot b)-(nabla_X a) odot b-a odot(nabla_X b).</w:t>
            </w:r>
          </w:p>
        </w:tc>
        <w:tc>
          <w:tcPr>
            <w:tcW w:type="dxa" w:w="1531"/>
            <w:shd w:fill="F6F8FA"/>
          </w:tcPr>
          <w:p>
            <w:pPr>
              <w:jc w:val="right"/>
            </w:pPr>
            <w:r>
              <w:rPr>
                <w:rFonts w:ascii="DejaVu Sans" w:hAnsi="DejaVu Sans" w:eastAsia="DejaVu Sans"/>
                <w:b/>
                <w:i w:val="0"/>
                <w:color w:val="5C6773"/>
                <w:sz w:val="17"/>
              </w:rPr>
              <w:t>T2-F033</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9.15. Product-Compatible Connection [DEF-A] </w:t>
            </w:r>
            <w:r>
              <w:rPr>
                <w:rFonts w:ascii="DejaVu Serif" w:hAnsi="DejaVu Serif" w:eastAsia="DejaVu Serif"/>
                <w:b w:val="0"/>
                <w:i w:val="0"/>
                <w:color w:val="111111"/>
                <w:sz w:val="19"/>
              </w:rPr>
              <w:t>The connection is compatible with odot when C_nabla=0; equivalently, mu is a parallel tensor.</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9.16. Transport Preserves the Product [THM] </w:t>
            </w:r>
            <w:r>
              <w:rPr>
                <w:rFonts w:ascii="DejaVu Serif" w:hAnsi="DejaVu Serif" w:eastAsia="DejaVu Serif"/>
                <w:b w:val="0"/>
                <w:i w:val="0"/>
                <w:color w:val="111111"/>
                <w:sz w:val="19"/>
              </w:rPr>
              <w:t>On a connected D-sector, C_nabla=0 iff every admissible parallel transport is a homomorphism of the fibre algebras.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9.17. Holonomy Preserves Structure [THM] </w:t>
            </w:r>
            <w:r>
              <w:rPr>
                <w:rFonts w:ascii="DejaVu Serif" w:hAnsi="DejaVu Serif" w:eastAsia="DejaVu Serif"/>
                <w:b w:val="0"/>
                <w:i w:val="0"/>
                <w:color w:val="111111"/>
                <w:sz w:val="19"/>
              </w:rPr>
              <w:t>If C_nabla=0, then Hol_D(x) is contained in Aut(A_x,odot_x). It preserves the associator, nuclei, centre, J_Ass, and the full R-star-R certificate whenever those constructions are functorial.</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9.18. Finite Multiplication Holonomy Defect [DEF-A] </w:t>
            </w:r>
            <w:r>
              <w:rPr>
                <w:rFonts w:ascii="DejaVu Serif" w:hAnsi="DejaVu Serif" w:eastAsia="DejaVu Serif"/>
                <w:b w:val="0"/>
                <w:i w:val="0"/>
                <w:color w:val="111111"/>
                <w:sz w:val="19"/>
              </w:rPr>
              <w:t>For gamma:x-&gt;y, H_mu(gamma;a,b)=P_gamma(a odot_x b)-P_gamma(a) odot_y P_gamma(b).</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9.19. Finite Associator Holonomy Defect [DEF-A] </w:t>
            </w:r>
            <w:r>
              <w:rPr>
                <w:rFonts w:ascii="DejaVu Serif" w:hAnsi="DejaVu Serif" w:eastAsia="DejaVu Serif"/>
                <w:b w:val="0"/>
                <w:i w:val="0"/>
                <w:color w:val="111111"/>
                <w:sz w:val="19"/>
              </w:rPr>
              <w:t>H_Ass(gamma;a,b,c)=P_gamma Ass_x(a,b,c)-Ass_y(P_gamma a,P_gamma b,P_gamma c).</w:t>
            </w:r>
          </w:p>
        </w:tc>
        <w:trPr>
          <w:tblHeader/>
        </w:trPr>
      </w:tr>
    </w:tbl>
    <w:p>
      <w:pPr>
        <w:spacing w:after="0"/>
      </w:pPr>
    </w:p>
    <w:p>
      <w:pPr>
        <w:pStyle w:val="Heading2"/>
        <w:keepNext/>
        <w:pageBreakBefore w:val="0"/>
      </w:pPr>
      <w:r>
        <w:t>9.4. Covariant Derivative and Associator Curvature</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9.20. Derivative of the Associator through C_nabla [THM] </w:t>
            </w:r>
            <w:r>
              <w:rPr>
                <w:rFonts w:ascii="DejaVu Serif" w:hAnsi="DejaVu Serif" w:eastAsia="DejaVu Serif"/>
                <w:b w:val="0"/>
                <w:i w:val="0"/>
                <w:color w:val="111111"/>
                <w:sz w:val="19"/>
              </w:rPr>
              <w:t>The induced connection on Hom(A^3,A) differentiates Ass by the sum of four product-defect terms obtained by expanding nabla((a odot b) odot c-a odot(b odot c)).</w:t>
            </w:r>
          </w:p>
        </w:tc>
        <w:trPr>
          <w:tblHeader/>
        </w:trPr>
      </w:tr>
    </w:tbl>
    <w:p>
      <w:pPr>
        <w:spacing w:after="0"/>
      </w:pPr>
    </w:p>
    <w:p>
      <w:pPr>
        <w:widowControl/>
        <w:spacing w:after="80" w:line="264" w:lineRule="auto"/>
      </w:pPr>
      <w:r>
        <w:rPr>
          <w:rFonts w:ascii="DejaVu Serif" w:hAnsi="DejaVu Serif" w:eastAsia="DejaVu Serif"/>
          <w:b w:val="0"/>
          <w:i w:val="0"/>
          <w:color w:val="111111"/>
          <w:sz w:val="20"/>
        </w:rPr>
        <w:t>In particular, C_nabla=0 implies nabla Ass=0 and hence H_Ass(gamma)=0 on every admissible path. The converses fail: an associative algebra has Ass=0 for every connection, including connections with nonzero C_nabla.</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9.22. Associator Curvature K_Ass [DEF-A] </w:t>
            </w:r>
            <w:r>
              <w:rPr>
                <w:rFonts w:ascii="DejaVu Serif" w:hAnsi="DejaVu Serif" w:eastAsia="DejaVu Serif"/>
                <w:b w:val="0"/>
                <w:i w:val="0"/>
                <w:color w:val="111111"/>
                <w:sz w:val="19"/>
              </w:rPr>
              <w:t>K_Ass is the curvature of the induced connection acting on the associator field, not ordinary curvature and not the associator itself. In tensor notation, K_Ass=(R_nabla.Hom)Ass.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K_Ass(X,Y) = (R_nabla^{Hom(A^3,A)}(X,Y)) Ass.</w:t>
            </w:r>
          </w:p>
        </w:tc>
        <w:tc>
          <w:tcPr>
            <w:tcW w:type="dxa" w:w="1531"/>
            <w:shd w:fill="F6F8FA"/>
          </w:tcPr>
          <w:p>
            <w:pPr>
              <w:jc w:val="right"/>
            </w:pPr>
            <w:r>
              <w:rPr>
                <w:rFonts w:ascii="DejaVu Sans" w:hAnsi="DejaVu Sans" w:eastAsia="DejaVu Sans"/>
                <w:b/>
                <w:i w:val="0"/>
                <w:color w:val="5C6773"/>
                <w:sz w:val="17"/>
              </w:rPr>
              <w:t>T2-F034</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9.23. Necessary Condition for Parallelism [THM] </w:t>
            </w:r>
            <w:r>
              <w:rPr>
                <w:rFonts w:ascii="DejaVu Serif" w:hAnsi="DejaVu Serif" w:eastAsia="DejaVu Serif"/>
                <w:b w:val="0"/>
                <w:i w:val="0"/>
                <w:color w:val="111111"/>
                <w:sz w:val="19"/>
              </w:rPr>
              <w:t>If nabla Ass=0, then K_Ass=0. Thus nonzero K_Ass is a local obstruction to parallelity of the associator.</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9.25. Full Associator-Holonomy Bridge Package [DEF-A] </w:t>
            </w:r>
            <w:r>
              <w:rPr>
                <w:rFonts w:ascii="DejaVu Serif" w:hAnsi="DejaVu Serif" w:eastAsia="DejaVu Serif"/>
                <w:b w:val="0"/>
                <w:i w:val="0"/>
                <w:color w:val="111111"/>
                <w:sz w:val="19"/>
              </w:rPr>
              <w:t>B_Ass=(C_nabla, nabla Ass, K_Ass, H_Ass), together with domains, gauges, norms, and provenance. No component may be replaced by another solely by analogy.</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9.26. Holonomy Principle for the Associator [CL / THM] </w:t>
            </w:r>
            <w:r>
              <w:rPr>
                <w:rFonts w:ascii="DejaVu Serif" w:hAnsi="DejaVu Serif" w:eastAsia="DejaVu Serif"/>
                <w:b w:val="0"/>
                <w:i w:val="0"/>
                <w:color w:val="111111"/>
                <w:sz w:val="19"/>
              </w:rPr>
              <w:t>On a connected sector, parallel tensors of type (3,1) correspond to tensors at one point fixed by full holonomy. A global parallel associator arises from Ass_x exactly when Ass_x is Hol_D(x)-invariant, provided D-paths connect the sector and path-independence is secured by that invariance.</w:t>
            </w:r>
          </w:p>
        </w:tc>
        <w:trPr>
          <w:tblHeader/>
        </w:trPr>
      </w:tr>
    </w:tbl>
    <w:p>
      <w:pPr>
        <w:spacing w:after="0"/>
      </w:pPr>
    </w:p>
    <w:p>
      <w:pPr>
        <w:pStyle w:val="Heading2"/>
        <w:keepNext/>
        <w:pageBreakBefore w:val="0"/>
      </w:pPr>
      <w:r>
        <w:t>9.5. Separating Models and Universal No-Go</w:t>
      </w:r>
    </w:p>
    <w:tbl>
      <w:tblPr>
        <w:tblW w:type="auto" w:w="0"/>
        <w:jc w:val="center"/>
        <w:tblLayout w:type="fixed"/>
        <w:tblLook w:firstColumn="1" w:firstRow="1" w:lastColumn="0" w:lastRow="0" w:noHBand="0" w:noVBand="1" w:val="04A0"/>
      </w:tblPr>
      <w:tblGrid>
        <w:gridCol w:w="9951"/>
      </w:tblGrid>
      <w:tr>
        <w:tc>
          <w:tcPr>
            <w:tcW w:type="dxa" w:w="9951"/>
            <w:shd w:fill="F6F8FA"/>
            <w:tcMar>
              <w:top w:w="130" w:type="dxa"/>
              <w:start w:w="160" w:type="dxa"/>
              <w:bottom w:w="130" w:type="dxa"/>
              <w:end w:w="160" w:type="dxa"/>
            </w:tcMar>
            <w:tcBorders>
              <w:left w:val="single" w:sz="16" w:color="5C6773"/>
            </w:tcBorders>
          </w:tcPr>
          <w:p>
            <w:pPr>
              <w:spacing w:after="0" w:line="259" w:lineRule="auto"/>
            </w:pPr>
            <w:r>
              <w:rPr>
                <w:rFonts w:ascii="DejaVu Sans" w:hAnsi="DejaVu Sans" w:eastAsia="DejaVu Sans"/>
                <w:b/>
                <w:i w:val="0"/>
                <w:color w:val="5C6773"/>
                <w:sz w:val="19"/>
              </w:rPr>
              <w:t xml:space="preserve">Example 9.28. Flat Nonassociative Model [THM / EXAMPLE] </w:t>
            </w:r>
            <w:r>
              <w:rPr>
                <w:rFonts w:ascii="DejaVu Serif" w:hAnsi="DejaVu Serif" w:eastAsia="DejaVu Serif"/>
                <w:b w:val="0"/>
                <w:i w:val="0"/>
                <w:color w:val="111111"/>
                <w:sz w:val="19"/>
              </w:rPr>
              <w:t>On a trivial bundle over R^2 with constant nonassociative algebra A_2 and nabla=d, one has R_nabla=0, trivial restricted holonomy, C_nabla=0, but Ass is nonzero. Nonassociativity does not generate curvature automatically.</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F8FA"/>
            <w:tcMar>
              <w:top w:w="130" w:type="dxa"/>
              <w:start w:w="160" w:type="dxa"/>
              <w:bottom w:w="130" w:type="dxa"/>
              <w:end w:w="160" w:type="dxa"/>
            </w:tcMar>
            <w:tcBorders>
              <w:left w:val="single" w:sz="16" w:color="5C6773"/>
            </w:tcBorders>
          </w:tcPr>
          <w:p>
            <w:pPr>
              <w:spacing w:after="0" w:line="259" w:lineRule="auto"/>
            </w:pPr>
            <w:r>
              <w:rPr>
                <w:rFonts w:ascii="DejaVu Sans" w:hAnsi="DejaVu Sans" w:eastAsia="DejaVu Sans"/>
                <w:b/>
                <w:i w:val="0"/>
                <w:color w:val="5C6773"/>
                <w:sz w:val="19"/>
              </w:rPr>
              <w:t xml:space="preserve">Example 9.29. Curved Associative Model [THM / EXAMPLE] </w:t>
            </w:r>
            <w:r>
              <w:rPr>
                <w:rFonts w:ascii="DejaVu Serif" w:hAnsi="DejaVu Serif" w:eastAsia="DejaVu Serif"/>
                <w:b w:val="0"/>
                <w:i w:val="0"/>
                <w:color w:val="111111"/>
                <w:sz w:val="19"/>
              </w:rPr>
              <w:t>For A=X x M_2(R) and nabla=d+[B,·] with B=x dy H, curvature dx wedge dy ad_H may be nonzero while Ass=0 because matrix multiplication is associative. Curvature does not generate nonassociativity automatically.</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F8FA"/>
            <w:tcMar>
              <w:top w:w="130" w:type="dxa"/>
              <w:start w:w="160" w:type="dxa"/>
              <w:bottom w:w="130" w:type="dxa"/>
              <w:end w:w="160" w:type="dxa"/>
            </w:tcMar>
            <w:tcBorders>
              <w:left w:val="single" w:sz="16" w:color="5C6773"/>
            </w:tcBorders>
          </w:tcPr>
          <w:p>
            <w:pPr>
              <w:spacing w:after="0" w:line="259" w:lineRule="auto"/>
            </w:pPr>
            <w:r>
              <w:rPr>
                <w:rFonts w:ascii="DejaVu Sans" w:hAnsi="DejaVu Sans" w:eastAsia="DejaVu Sans"/>
                <w:b/>
                <w:i w:val="0"/>
                <w:color w:val="5C6773"/>
                <w:sz w:val="19"/>
              </w:rPr>
              <w:t xml:space="preserve">Example 9.30. Flat but Incompatible Connection [THM / EXAMPLE] </w:t>
            </w:r>
            <w:r>
              <w:rPr>
                <w:rFonts w:ascii="DejaVu Serif" w:hAnsi="DejaVu Serif" w:eastAsia="DejaVu Serif"/>
                <w:b w:val="0"/>
                <w:i w:val="0"/>
                <w:color w:val="111111"/>
                <w:sz w:val="19"/>
              </w:rPr>
              <w:t>For nabla=d+omega Id with d omega=0, curvature vanishes but C_nabla(X;a,b)=-omega(X)(a odot b). Flatness does not imply preservation of the packet product.</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Example 9.31. Curved Compatible Octonion Model [MODEL / THM] </w:t>
            </w:r>
            <w:r>
              <w:rPr>
                <w:rFonts w:ascii="DejaVu Serif" w:hAnsi="DejaVu Serif" w:eastAsia="DejaVu Serif"/>
                <w:b w:val="0"/>
                <w:i w:val="0"/>
                <w:color w:val="111111"/>
                <w:sz w:val="19"/>
              </w:rPr>
              <w:t>For A=R^2 x O, a nonzero derivation D of the octonions, and nabla=d+x dy D, one has C_nabla=0, R_nabla=dx wedge dy D nonzero, holonomy in G_2, and a nonzero parallel associator.</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9.32. Universal-Equality No-Go [THM] </w:t>
            </w:r>
            <w:r>
              <w:rPr>
                <w:rFonts w:ascii="DejaVu Serif" w:hAnsi="DejaVu Serif" w:eastAsia="DejaVu Serif"/>
                <w:b w:val="0"/>
                <w:i w:val="0"/>
                <w:color w:val="111111"/>
                <w:sz w:val="19"/>
              </w:rPr>
              <w:t>Across all algebra bundles, no universal identity determines curvature or holonomy solely from the associator, and no universal identity recovers the associator solely from curvature or holonomy.</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17" name="Picture 17" descr="Four separating models for curvature holonomy compatibility and associator" title="Four separating models for curvature holonomy compatibility and associator"/>
            <wp:cNvGraphicFramePr>
              <a:graphicFrameLocks noChangeAspect="1"/>
            </wp:cNvGraphicFramePr>
            <a:graphic>
              <a:graphicData uri="http://schemas.openxmlformats.org/drawingml/2006/picture">
                <pic:pic>
                  <pic:nvPicPr>
                    <pic:cNvPr id="0" name="fig18_models.png"/>
                    <pic:cNvPicPr/>
                  </pic:nvPicPr>
                  <pic:blipFill>
                    <a:blip r:embed="rId27"/>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18. Four models separating curvature, holonomy, compatibility, and associator.</w:t>
      </w:r>
    </w:p>
    <w:p>
      <w:pPr>
        <w:pStyle w:val="Heading2"/>
        <w:keepNext/>
        <w:pageBreakBefore w:val="0"/>
      </w:pPr>
      <w:r>
        <w:t>9.6. Akivis/Sabinin Bridge</w:t>
      </w:r>
    </w:p>
    <w:tbl>
      <w:tblPr>
        <w:tblW w:type="auto" w:w="0"/>
        <w:jc w:val="center"/>
        <w:tblLayout w:type="fixed"/>
        <w:tblLook w:firstColumn="1" w:firstRow="1" w:lastColumn="0" w:lastRow="0" w:noHBand="0" w:noVBand="1" w:val="04A0"/>
      </w:tblPr>
      <w:tblGrid>
        <w:gridCol w:w="9951"/>
      </w:tblGrid>
      <w:tr>
        <w:tc>
          <w:tcPr>
            <w:tcW w:type="dxa" w:w="9951"/>
            <w:shd w:fill="F6F8FA"/>
            <w:tcMar>
              <w:top w:w="130" w:type="dxa"/>
              <w:start w:w="160" w:type="dxa"/>
              <w:bottom w:w="130" w:type="dxa"/>
              <w:end w:w="160" w:type="dxa"/>
            </w:tcMar>
            <w:tcBorders>
              <w:left w:val="single" w:sz="16" w:color="5C6773"/>
            </w:tcBorders>
          </w:tcPr>
          <w:p>
            <w:pPr>
              <w:spacing w:after="0" w:line="259" w:lineRule="auto"/>
            </w:pPr>
            <w:r>
              <w:rPr>
                <w:rFonts w:ascii="DejaVu Sans" w:hAnsi="DejaVu Sans" w:eastAsia="DejaVu Sans"/>
                <w:b/>
                <w:i w:val="0"/>
                <w:color w:val="5C6773"/>
                <w:sz w:val="19"/>
              </w:rPr>
              <w:t xml:space="preserve">Definition 9.33. Akivis Algebra [CL] </w:t>
            </w:r>
            <w:r>
              <w:rPr>
                <w:rFonts w:ascii="DejaVu Serif" w:hAnsi="DejaVu Serif" w:eastAsia="DejaVu Serif"/>
                <w:b w:val="0"/>
                <w:i w:val="0"/>
                <w:color w:val="111111"/>
                <w:sz w:val="19"/>
              </w:rPr>
              <w:t>A vector space with an antisymmetric binary operation and a ternary operation is an Akivis algebra when the Jacobiator of the binary operation equals the alternating sum of the ternary operation.</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9.34. Bridge Datum beta [DEF-A] </w:t>
            </w:r>
            <w:r>
              <w:rPr>
                <w:rFonts w:ascii="DejaVu Serif" w:hAnsi="DejaVu Serif" w:eastAsia="DejaVu Serif"/>
                <w:b w:val="0"/>
                <w:i w:val="0"/>
                <w:color w:val="111111"/>
                <w:sz w:val="19"/>
              </w:rPr>
              <w:t>A bridge from a fibre NAPG algebra to a local Akivis structure is a family of linear maps or a functor between the relevant ternary carriers together with commutative diagrams matching bracket, ternary operation, transport, and domains.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BRIDGE STATUS. </w:t>
            </w:r>
            <w:r>
              <w:rPr>
                <w:rFonts w:ascii="DejaVu Serif" w:hAnsi="DejaVu Serif" w:eastAsia="DejaVu Serif"/>
                <w:b w:val="0"/>
                <w:i w:val="0"/>
                <w:color w:val="111111"/>
                <w:sz w:val="19"/>
              </w:rPr>
              <w:t>The Akivis/Sabinin layer is conditional. It is not a licence to identify an arbitrary NAPG associator with geodesic-loop torsion or curvature without the full bridge obligations.</w:t>
            </w:r>
          </w:p>
        </w:tc>
        <w:trPr>
          <w:tblHeader/>
        </w:trPr>
      </w:tr>
    </w:tbl>
    <w:p>
      <w:pPr>
        <w:spacing w:after="0"/>
      </w:pPr>
    </w:p>
    <w:p>
      <w:pPr>
        <w:pStyle w:val="Heading2"/>
        <w:keepNext/>
        <w:pageBreakBefore w:val="0"/>
      </w:pPr>
      <w:r>
        <w:t>9.7. Holonomy Signature and Horizon</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9.36. D-Holonomy Signature [DEF-A] </w:t>
            </w:r>
            <w:r>
              <w:rPr>
                <w:rFonts w:ascii="DejaVu Serif" w:hAnsi="DejaVu Serif" w:eastAsia="DejaVu Serif"/>
                <w:b w:val="0"/>
                <w:i w:val="0"/>
                <w:color w:val="111111"/>
                <w:sz w:val="19"/>
              </w:rPr>
              <w:t>For parameter t, the signature stores the certified rank of a finite holonomy generator matrix, representation type on A_t, stabiliser dimension of Ass_t, zero/nonzero states of C_nabla, nabla Ass and K_Ass, projective-Reper data, and D/Dom validity.</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9.37. Finite Holonomy Certificate [DEF-A] </w:t>
            </w:r>
            <w:r>
              <w:rPr>
                <w:rFonts w:ascii="DejaVu Serif" w:hAnsi="DejaVu Serif" w:eastAsia="DejaVu Serif"/>
                <w:b w:val="0"/>
                <w:i w:val="0"/>
                <w:color w:val="111111"/>
                <w:sz w:val="19"/>
              </w:rPr>
              <w:t>Choose finitely many D-admissible paths and covariant derivatives of curvature up to order N. After transport to a base point, their coordinates form G_N(t); rank G_N(t) is a reproducible finite approximation to the generated holonomy space.</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9.38. Local Constancy of Certified Rank [THM] </w:t>
            </w:r>
            <w:r>
              <w:rPr>
                <w:rFonts w:ascii="DejaVu Serif" w:hAnsi="DejaVu Serif" w:eastAsia="DejaVu Serif"/>
                <w:b w:val="0"/>
                <w:i w:val="0"/>
                <w:color w:val="111111"/>
                <w:sz w:val="19"/>
              </w:rPr>
              <w:t>For analytic G_N(t), if a maximal r x r minor remains nonzero on an interval, rank G_N(t)=r there. A rank change can occur only where the selected minors vanish or the family exits its domain.</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9.40. Connection-Holonomy Horizon [DEF-A] </w:t>
            </w:r>
            <w:r>
              <w:rPr>
                <w:rFonts w:ascii="DejaVu Serif" w:hAnsi="DejaVu Serif" w:eastAsia="DejaVu Serif"/>
                <w:b w:val="0"/>
                <w:i w:val="0"/>
                <w:color w:val="111111"/>
                <w:sz w:val="19"/>
              </w:rPr>
              <w:t>Delta_conn includes changes of the D-path category, loss of transport existence, vanishing of certified maximal minors, stabiliser jumps of Ass, poles of lambda, failure of C_nabla=0, and loss of Evidence-D globalisation.</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Theorem 9.41. Negative Holonomy Prediction [COND] </w:t>
            </w:r>
            <w:r>
              <w:rPr>
                <w:rFonts w:ascii="DejaVu Serif" w:hAnsi="DejaVu Serif" w:eastAsia="DejaVu Serif"/>
                <w:b w:val="0"/>
                <w:i w:val="0"/>
                <w:color w:val="111111"/>
                <w:sz w:val="19"/>
              </w:rPr>
              <w:t>For an analytic family with a complete stabilised certificate, unchanged D/Dom and gauge category, and a parameter path avoiding Delta_conn, the holonomy-algebra rank, representation type on Ass, and compatibility status remain constant. The corresponding structural transition is excluded inside the model.</w:t>
            </w:r>
          </w:p>
        </w:tc>
        <w:trPr>
          <w:tblHeader/>
        </w:trPr>
      </w:tr>
    </w:tbl>
    <w:p>
      <w:pPr>
        <w:spacing w:after="0"/>
      </w:pPr>
    </w:p>
    <w:p>
      <w:pPr>
        <w:pStyle w:val="Heading2"/>
        <w:keepNext/>
        <w:pageBreakBefore w:val="0"/>
      </w:pPr>
      <w:r>
        <w:t>9.8. Projective Reper Transport</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9.42. Common Projective Transport Invariance [THM] </w:t>
            </w:r>
            <w:r>
              <w:rPr>
                <w:rFonts w:ascii="DejaVu Serif" w:hAnsi="DejaVu Serif" w:eastAsia="DejaVu Serif"/>
                <w:b w:val="0"/>
                <w:i w:val="0"/>
                <w:color w:val="111111"/>
                <w:sz w:val="19"/>
              </w:rPr>
              <w:t>If all four Reper points are transported by the same PGL_2 transformation g_t, then lambda(g_t r,g_t i,g_t u,g_t d)=lambda(r,i,u,d).</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9.43. Relative Transport Is Necessary [THM] </w:t>
            </w:r>
            <w:r>
              <w:rPr>
                <w:rFonts w:ascii="DejaVu Serif" w:hAnsi="DejaVu Serif" w:eastAsia="DejaVu Serif"/>
                <w:b w:val="0"/>
                <w:i w:val="0"/>
                <w:color w:val="111111"/>
                <w:sz w:val="19"/>
              </w:rPr>
              <w:t>Away from poles, d lambda/dt != 0 implies that the four velocities cannot all be generated by one infinitesimal sl_2 field. Nonzero d lambda detects relative, not common projective, dynamics.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9.44. Relative Reper Connection [DEF-A] </w:t>
            </w:r>
            <w:r>
              <w:rPr>
                <w:rFonts w:ascii="DejaVu Serif" w:hAnsi="DejaVu Serif" w:eastAsia="DejaVu Serif"/>
                <w:b w:val="0"/>
                <w:i w:val="0"/>
                <w:color w:val="111111"/>
                <w:sz w:val="19"/>
              </w:rPr>
              <w:t>Allow four projective connections nabla^r,nabla^i,nabla^u,nabla^d. Their differences from a common projective part form nabla^rel, which is the component entering the derivative of lambda.</w:t>
            </w:r>
          </w:p>
        </w:tc>
        <w:trPr>
          <w:tblHeader/>
        </w:trPr>
      </w:tr>
    </w:tbl>
    <w:p>
      <w:pPr>
        <w:spacing w:after="0"/>
      </w:pPr>
    </w:p>
    <w:p>
      <w:pPr>
        <w:pStyle w:val="Heading2"/>
        <w:keepNext/>
        <w:pageBreakBefore w:val="0"/>
      </w:pPr>
      <w:r>
        <w:t>9.9. Main Conditional Predictive Theorem</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Theorem 9.46. Holonomy-Associator-Safe Predictive Theorem [COND] </w:t>
            </w:r>
            <w:r>
              <w:rPr>
                <w:rFonts w:ascii="DejaVu Serif" w:hAnsi="DejaVu Serif" w:eastAsia="DejaVu Serif"/>
                <w:b w:val="0"/>
                <w:i w:val="0"/>
                <w:color w:val="111111"/>
                <w:sz w:val="19"/>
              </w:rPr>
              <w:t>For a C^2 family (A_t,odot_t,nabla_t,rho_t,D_t), assume fixed types, a stable D-path groupoid, solvable transport ODEs, versioned D/Dom, a complete finite holonomy certificate, a computed B_Ass package, closed Akivis/Sabinin obligations when used, PGL_2 Reper charts, separation of common and relative transport, valid globalisation/tangent certificates, and a path avoiding Delta_conn. Then the certified holonomy rank, its action type on A, the stabiliser dimension of Ass, the zero/nonzero states of C_nabla, nabla Ass and K_Ass, and lambda under common transport are constant on each component of the complement.</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Corollary 9.47. Necessary Condition for a Structural Event [COND] </w:t>
            </w:r>
            <w:r>
              <w:rPr>
                <w:rFonts w:ascii="DejaVu Serif" w:hAnsi="DejaVu Serif" w:eastAsia="DejaVu Serif"/>
                <w:b w:val="0"/>
                <w:i w:val="0"/>
                <w:color w:val="111111"/>
                <w:sz w:val="19"/>
              </w:rPr>
              <w:t>A transition candidate can arise only at Delta_conn, through relative Reper dynamics, a nonzero bridge defect, or a change of D/Dom. None is sufficient by itself.</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9.48. Blocker-Safe Verdict [THM / PROTOCOL] </w:t>
            </w:r>
            <w:r>
              <w:rPr>
                <w:rFonts w:ascii="DejaVu Serif" w:hAnsi="DejaVu Serif" w:eastAsia="DejaVu Serif"/>
                <w:b w:val="0"/>
                <w:i w:val="0"/>
                <w:color w:val="111111"/>
                <w:sz w:val="19"/>
              </w:rPr>
              <w:t>Incomplete or conflicting certificates yield ABSTAIN. A complete path avoiding the horizon yields NO-STRUCTURAL-TRANSITION-IN-MODEL. A verified crossing yields only CANDIDATE-TRANSITION.</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18" name="Picture 18" descr="Blocker-safe holonomy associator predictive gate" title="Blocker-safe holonomy associator predictive gate"/>
            <wp:cNvGraphicFramePr>
              <a:graphicFrameLocks noChangeAspect="1"/>
            </wp:cNvGraphicFramePr>
            <a:graphic>
              <a:graphicData uri="http://schemas.openxmlformats.org/drawingml/2006/picture">
                <pic:pic>
                  <pic:nvPicPr>
                    <pic:cNvPr id="0" name="fig19_hol_gate.png"/>
                    <pic:cNvPicPr/>
                  </pic:nvPicPr>
                  <pic:blipFill>
                    <a:blip r:embed="rId28"/>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19. Blocker-safe gate for holonomy-associator prediction.</w:t>
      </w:r>
    </w:p>
    <w:p>
      <w:pPr>
        <w:pStyle w:val="Heading2"/>
        <w:keepNext/>
        <w:pageBreakBefore w:val="0"/>
      </w:pPr>
      <w:r>
        <w:t>9.10. HOL-ASS Computational Certificate</w:t>
      </w:r>
    </w:p>
    <w:p>
      <w:pPr>
        <w:pStyle w:val="ListBullet"/>
        <w:spacing w:after="40" w:line="252" w:lineRule="auto"/>
      </w:pPr>
      <w:r>
        <w:rPr>
          <w:rFonts w:ascii="DejaVu Serif" w:hAnsi="DejaVu Serif" w:eastAsia="DejaVu Serif"/>
          <w:b w:val="0"/>
          <w:i w:val="0"/>
          <w:color w:val="111111"/>
          <w:sz w:val="19"/>
        </w:rPr>
        <w:t>TEST-CONN-01: verify the scalar Leibniz rule for the connection;</w:t>
      </w:r>
    </w:p>
    <w:p>
      <w:pPr>
        <w:pStyle w:val="ListBullet"/>
        <w:spacing w:after="40" w:line="252" w:lineRule="auto"/>
      </w:pPr>
      <w:r>
        <w:rPr>
          <w:rFonts w:ascii="DejaVu Serif" w:hAnsi="DejaVu Serif" w:eastAsia="DejaVu Serif"/>
          <w:b w:val="0"/>
          <w:i w:val="0"/>
          <w:color w:val="111111"/>
          <w:sz w:val="19"/>
        </w:rPr>
        <w:t>TEST-PATH-02: verify closure of P_D under composition and inverse where a group is claimed;</w:t>
      </w:r>
    </w:p>
    <w:p>
      <w:pPr>
        <w:pStyle w:val="ListBullet"/>
        <w:spacing w:after="40" w:line="252" w:lineRule="auto"/>
      </w:pPr>
      <w:r>
        <w:rPr>
          <w:rFonts w:ascii="DejaVu Serif" w:hAnsi="DejaVu Serif" w:eastAsia="DejaVu Serif"/>
          <w:b w:val="0"/>
          <w:i w:val="0"/>
          <w:color w:val="111111"/>
          <w:sz w:val="19"/>
        </w:rPr>
        <w:t>TEST-PT-03: verify transport composition to solver tolerance;</w:t>
      </w:r>
    </w:p>
    <w:p>
      <w:pPr>
        <w:pStyle w:val="ListBullet"/>
        <w:spacing w:after="40" w:line="252" w:lineRule="auto"/>
      </w:pPr>
      <w:r>
        <w:rPr>
          <w:rFonts w:ascii="DejaVu Serif" w:hAnsi="DejaVu Serif" w:eastAsia="DejaVu Serif"/>
          <w:b w:val="0"/>
          <w:i w:val="0"/>
          <w:color w:val="111111"/>
          <w:sz w:val="19"/>
        </w:rPr>
        <w:t>TEST-CURV-04: compare coordinate and operator curvature formulas;</w:t>
      </w:r>
    </w:p>
    <w:p>
      <w:pPr>
        <w:pStyle w:val="ListBullet"/>
        <w:spacing w:after="40" w:line="252" w:lineRule="auto"/>
      </w:pPr>
      <w:r>
        <w:rPr>
          <w:rFonts w:ascii="DejaVu Serif" w:hAnsi="DejaVu Serif" w:eastAsia="DejaVu Serif"/>
          <w:b w:val="0"/>
          <w:i w:val="0"/>
          <w:color w:val="111111"/>
          <w:sz w:val="19"/>
        </w:rPr>
        <w:t>TEST-LOOP-05: verify the epsilon^{-2}(P_square-Id) limit with the declared sign;</w:t>
      </w:r>
    </w:p>
    <w:p>
      <w:pPr>
        <w:pStyle w:val="ListBullet"/>
        <w:spacing w:after="40" w:line="252" w:lineRule="auto"/>
      </w:pPr>
      <w:r>
        <w:rPr>
          <w:rFonts w:ascii="DejaVu Serif" w:hAnsi="DejaVu Serif" w:eastAsia="DejaVu Serif"/>
          <w:b w:val="0"/>
          <w:i w:val="0"/>
          <w:color w:val="111111"/>
          <w:sz w:val="19"/>
        </w:rPr>
        <w:t>TEST-HOL-06: certify rank of G_N by exact or interval arithmetic;</w:t>
      </w:r>
    </w:p>
    <w:p>
      <w:pPr>
        <w:pStyle w:val="ListBullet"/>
        <w:spacing w:after="40" w:line="252" w:lineRule="auto"/>
      </w:pPr>
      <w:r>
        <w:rPr>
          <w:rFonts w:ascii="DejaVu Serif" w:hAnsi="DejaVu Serif" w:eastAsia="DejaVu Serif"/>
          <w:b w:val="0"/>
          <w:i w:val="0"/>
          <w:color w:val="111111"/>
          <w:sz w:val="19"/>
        </w:rPr>
        <w:t>TEST-PROD-07: verify equivalence between C_nabla=0 and product-preserving transport;</w:t>
      </w:r>
    </w:p>
    <w:p>
      <w:pPr>
        <w:pStyle w:val="ListBullet"/>
        <w:spacing w:after="40" w:line="252" w:lineRule="auto"/>
      </w:pPr>
      <w:r>
        <w:rPr>
          <w:rFonts w:ascii="DejaVu Serif" w:hAnsi="DejaVu Serif" w:eastAsia="DejaVu Serif"/>
          <w:b w:val="0"/>
          <w:i w:val="0"/>
          <w:color w:val="111111"/>
          <w:sz w:val="19"/>
        </w:rPr>
        <w:t>TEST-KASS-09: verify K_Ass against the induced curvature formula;</w:t>
      </w:r>
    </w:p>
    <w:p>
      <w:pPr>
        <w:pStyle w:val="ListBullet"/>
        <w:spacing w:after="40" w:line="252" w:lineRule="auto"/>
      </w:pPr>
      <w:r>
        <w:rPr>
          <w:rFonts w:ascii="DejaVu Serif" w:hAnsi="DejaVu Serif" w:eastAsia="DejaVu Serif"/>
          <w:b w:val="0"/>
          <w:i w:val="0"/>
          <w:color w:val="111111"/>
          <w:sz w:val="19"/>
        </w:rPr>
        <w:t>TEST-NOGO-10: run the four separating models;</w:t>
      </w:r>
    </w:p>
    <w:p>
      <w:pPr>
        <w:pStyle w:val="ListBullet"/>
        <w:spacing w:after="40" w:line="252" w:lineRule="auto"/>
      </w:pPr>
      <w:r>
        <w:rPr>
          <w:rFonts w:ascii="DejaVu Serif" w:hAnsi="DejaVu Serif" w:eastAsia="DejaVu Serif"/>
          <w:b w:val="0"/>
          <w:i w:val="0"/>
          <w:color w:val="111111"/>
          <w:sz w:val="19"/>
        </w:rPr>
        <w:t>TEST-GATE-13: force ABSTAIN whenever a bridge remains open.</w:t>
      </w:r>
    </w:p>
    <w:p>
      <w:pPr>
        <w:pStyle w:val="Heading1"/>
        <w:keepNext/>
        <w:pageBreakBefore/>
      </w:pPr>
      <w:bookmarkStart w:id="1009" w:name="T2_CH10"/>
      <w:r>
        <w:t>Chapter 10. NAPG Differential Forms and Typed Differentials</w:t>
      </w:r>
      <w:bookmarkEnd w:id="1009"/>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differential layer exists as an operator with domain, degree, and an action rule.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correctness is tested by Leibniz, locality, gluing, and the square of the operator.</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transport of forms, compatibility defects, and differential curvature.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Leibniz rule does not imply d squared equals zero.</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a typed differential firewall inside NAPG and KLT-RBD.</w:t>
            </w:r>
          </w:p>
        </w:tc>
      </w:tr>
    </w:tbl>
    <w:p>
      <w:pPr>
        <w:spacing w:after="20"/>
      </w:pPr>
    </w:p>
    <w:p>
      <w:pPr>
        <w:widowControl/>
        <w:spacing w:after="80" w:line="264" w:lineRule="auto"/>
      </w:pPr>
      <w:r>
        <w:rPr>
          <w:rFonts w:ascii="DejaVu Serif" w:hAnsi="DejaVu Serif" w:eastAsia="DejaVu Serif"/>
          <w:b w:val="0"/>
          <w:i w:val="0"/>
          <w:color w:val="111111"/>
          <w:sz w:val="20"/>
        </w:rPr>
        <w:t>The internal differential candidate d_N, the external operator delta_E, the Hodge codifferential delta_Hdg, and the Hodge star are distinct typed objects. A notation collision is a proof blocker. The chapter proves that the graded Leibniz identity does not imply nilpotency, and that a total complex exists only after the internal square, external square, and mixed commutator have all been certified.</w:t>
      </w:r>
    </w:p>
    <w:p>
      <w:pPr>
        <w:keepNext/>
        <w:jc w:val="center"/>
      </w:pPr>
      <w:r>
        <w:drawing>
          <wp:inline xmlns:a="http://schemas.openxmlformats.org/drawingml/2006/main" xmlns:pic="http://schemas.openxmlformats.org/drawingml/2006/picture">
            <wp:extent cx="5760000" cy="3115102"/>
            <wp:docPr id="19" name="Picture 19" descr="Three differential layers and the total defect ledger" title="Three differential layers and the total defect ledger"/>
            <wp:cNvGraphicFramePr>
              <a:graphicFrameLocks noChangeAspect="1"/>
            </wp:cNvGraphicFramePr>
            <a:graphic>
              <a:graphicData uri="http://schemas.openxmlformats.org/drawingml/2006/picture">
                <pic:pic>
                  <pic:nvPicPr>
                    <pic:cNvPr id="0" name="fig20_diff_layers.png"/>
                    <pic:cNvPicPr/>
                  </pic:nvPicPr>
                  <pic:blipFill>
                    <a:blip r:embed="rId29"/>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20. Three differential layers and decomposition of the total defect.</w:t>
      </w:r>
    </w:p>
    <w:p>
      <w:pPr>
        <w:pStyle w:val="Heading2"/>
        <w:keepNext/>
        <w:pageBreakBefore w:val="0"/>
      </w:pPr>
      <w:r>
        <w:t>10.1. Frozen Notation and Operator Types</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10.1. Internal Packet Forms [DEF-A] </w:t>
            </w:r>
            <w:r>
              <w:rPr>
                <w:rFonts w:ascii="DejaVu Serif" w:hAnsi="DejaVu Serif" w:eastAsia="DejaVu Serif"/>
                <w:b w:val="0"/>
                <w:i w:val="0"/>
                <w:color w:val="111111"/>
                <w:sz w:val="19"/>
              </w:rPr>
              <w:t>For an admissible smooth or stratified sector X, Omega_N^p(U) is the module of NAPG p-forms over U. The assignment U |-&gt; Omega_N^p(U) is a sheaf or presheaf according to the verified descent axioms.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Omega_N^bullet = direct_sum_{p&gt;=0} Omega_N^p,   |alpha|=p for alpha in Omega_N^p.</w:t>
            </w:r>
          </w:p>
        </w:tc>
        <w:tc>
          <w:tcPr>
            <w:tcW w:type="dxa" w:w="1531"/>
            <w:shd w:fill="F6F8FA"/>
          </w:tcPr>
          <w:p>
            <w:pPr>
              <w:jc w:val="right"/>
            </w:pPr>
            <w:r>
              <w:rPr>
                <w:rFonts w:ascii="DejaVu Sans" w:hAnsi="DejaVu Sans" w:eastAsia="DejaVu Sans"/>
                <w:b/>
                <w:i w:val="0"/>
                <w:color w:val="5C6773"/>
                <w:sz w:val="17"/>
              </w:rPr>
              <w:t>T2-F035</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10.2. Internal Differential Candidate [DEF-A] </w:t>
            </w:r>
            <w:r>
              <w:rPr>
                <w:rFonts w:ascii="DejaVu Serif" w:hAnsi="DejaVu Serif" w:eastAsia="DejaVu Serif"/>
                <w:b w:val="0"/>
                <w:i w:val="0"/>
                <w:color w:val="111111"/>
                <w:sz w:val="19"/>
              </w:rPr>
              <w:t>d_N^p is a partial linear map Dom(d_N^p) subset Omega_N^p -&gt; Omega_N^{p+1}. It is called a candidate until locality, restriction compatibility, the graded Leibniz identity, and nilpotency have been checked.</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Definition 10.3. External E-Operator [DEF-A / COND] </w:t>
            </w:r>
            <w:r>
              <w:rPr>
                <w:rFonts w:ascii="DejaVu Serif" w:hAnsi="DejaVu Serif" w:eastAsia="DejaVu Serif"/>
                <w:b w:val="0"/>
                <w:i w:val="0"/>
                <w:color w:val="111111"/>
                <w:sz w:val="19"/>
              </w:rPr>
              <w:t>delta_E:E^q-&gt;E^{q+1} belongs to the external layer. The relation delta_E^2=0 must be proved in the selected E-complex and is not imported from the internal layer.</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10.4. Hodge Operators [CL / DEF-A] </w:t>
            </w:r>
            <w:r>
              <w:rPr>
                <w:rFonts w:ascii="DejaVu Serif" w:hAnsi="DejaVu Serif" w:eastAsia="DejaVu Serif"/>
                <w:b w:val="0"/>
                <w:i w:val="0"/>
                <w:color w:val="111111"/>
                <w:sz w:val="19"/>
              </w:rPr>
              <w:t>On an oriented metric n-sector, star_Hdg is the Hodge star, delta_Hdg the codifferential, and Delta_Hdg the Hodge Laplacian. The star in R-star-R is not the Hodge star.</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NOTATION FIREWALL. </w:t>
            </w:r>
            <w:r>
              <w:rPr>
                <w:rFonts w:ascii="DejaVu Serif" w:hAnsi="DejaVu Serif" w:eastAsia="DejaVu Serif"/>
                <w:b w:val="0"/>
                <w:i w:val="0"/>
                <w:color w:val="111111"/>
                <w:sz w:val="19"/>
              </w:rPr>
              <w:t>Any formula interchanging d_N, external delta_E, delta_Hdg, or the star in R-star-R without an explicit typed map receives blocker NOTATION-COLLISION.</w:t>
            </w:r>
          </w:p>
        </w:tc>
        <w:trPr>
          <w:tblHeader/>
        </w:trPr>
      </w:tr>
    </w:tbl>
    <w:p>
      <w:pPr>
        <w:spacing w:after="0"/>
      </w:pPr>
    </w:p>
    <w:p>
      <w:pPr>
        <w:pStyle w:val="Heading2"/>
        <w:keepNext/>
        <w:pageBreakBefore w:val="0"/>
      </w:pPr>
      <w:r>
        <w:t>10.2. Graded Leibniz Calculus</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10.6. Leibniz Defect [DEF-A] </w:t>
            </w:r>
            <w:r>
              <w:rPr>
                <w:rFonts w:ascii="DejaVu Serif" w:hAnsi="DejaVu Serif" w:eastAsia="DejaVu Serif"/>
                <w:b w:val="0"/>
                <w:i w:val="0"/>
                <w:color w:val="111111"/>
                <w:sz w:val="19"/>
              </w:rPr>
              <w:t>For a degree-compatible bilinear product odot and homogeneous alpha,beta, set L_d(alpha,beta)=d_N(alpha odot beta)-d_N alpha odot beta-(-1)^{|alpha|} alpha odot d_N beta.</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L_d(alpha,beta)=d_N(alpha odot beta)-d_N alpha odot beta-(-1)^{|alpha|} alpha odot d_N beta.</w:t>
            </w:r>
          </w:p>
        </w:tc>
        <w:tc>
          <w:tcPr>
            <w:tcW w:type="dxa" w:w="1531"/>
            <w:shd w:fill="F6F8FA"/>
          </w:tcPr>
          <w:p>
            <w:pPr>
              <w:jc w:val="right"/>
            </w:pPr>
            <w:r>
              <w:rPr>
                <w:rFonts w:ascii="DejaVu Sans" w:hAnsi="DejaVu Sans" w:eastAsia="DejaVu Sans"/>
                <w:b/>
                <w:i w:val="0"/>
                <w:color w:val="5C6773"/>
                <w:sz w:val="17"/>
              </w:rPr>
              <w:t>T2-F036</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10.7. Graded Derivation [CL / DEF-A] </w:t>
            </w:r>
            <w:r>
              <w:rPr>
                <w:rFonts w:ascii="DejaVu Serif" w:hAnsi="DejaVu Serif" w:eastAsia="DejaVu Serif"/>
                <w:b w:val="0"/>
                <w:i w:val="0"/>
                <w:color w:val="111111"/>
                <w:sz w:val="19"/>
              </w:rPr>
              <w:t>d_N is a degree +1 graded derivation exactly when L_d=0 on the declared domain.</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Lemma 10.8. Value on the Unit [THM] </w:t>
            </w:r>
            <w:r>
              <w:rPr>
                <w:rFonts w:ascii="DejaVu Serif" w:hAnsi="DejaVu Serif" w:eastAsia="DejaVu Serif"/>
                <w:b w:val="0"/>
                <w:i w:val="0"/>
                <w:color w:val="111111"/>
                <w:sz w:val="19"/>
              </w:rPr>
              <w:t>In a unital sector of characteristic not equal to 2, the graded Leibniz identity implies d_N(1)=0.</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10.9. Closure of Derivations [THM] </w:t>
            </w:r>
            <w:r>
              <w:rPr>
                <w:rFonts w:ascii="DejaVu Serif" w:hAnsi="DejaVu Serif" w:eastAsia="DejaVu Serif"/>
                <w:b w:val="0"/>
                <w:i w:val="0"/>
                <w:color w:val="111111"/>
                <w:sz w:val="19"/>
              </w:rPr>
              <w:t>For homogeneous graded derivations D,E on a possibly nonassociative graded algebra, [D,E]=D o E-(-1)^{|D||E|}E o D is again a derivation of degree |D|+|E|. The proof uses only the Leibniz identities, not associativity of odot.</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[D,E]=D o E-(-1)^{|D||E|}E o D.</w:t>
            </w:r>
          </w:p>
        </w:tc>
        <w:tc>
          <w:tcPr>
            <w:tcW w:type="dxa" w:w="1531"/>
            <w:shd w:fill="F6F8FA"/>
          </w:tcPr>
          <w:p>
            <w:pPr>
              <w:jc w:val="right"/>
            </w:pPr>
            <w:r>
              <w:rPr>
                <w:rFonts w:ascii="DejaVu Sans" w:hAnsi="DejaVu Sans" w:eastAsia="DejaVu Sans"/>
                <w:b/>
                <w:i w:val="0"/>
                <w:color w:val="5C6773"/>
                <w:sz w:val="17"/>
              </w:rPr>
              <w:t>T2-F037</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10.10. Square of an Odd Derivation [THM] </w:t>
            </w:r>
            <w:r>
              <w:rPr>
                <w:rFonts w:ascii="DejaVu Serif" w:hAnsi="DejaVu Serif" w:eastAsia="DejaVu Serif"/>
                <w:b w:val="0"/>
                <w:i w:val="0"/>
                <w:color w:val="111111"/>
                <w:sz w:val="19"/>
              </w:rPr>
              <w:t>When char K != 2 and |d_N|=1, [d_N,d_N]=2d_N^2. Hence d_N^2 is a degree +2 derivation but need not vanish.</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10.11. Associator Leibniz Identity [THM] </w:t>
            </w:r>
            <w:r>
              <w:rPr>
                <w:rFonts w:ascii="DejaVu Serif" w:hAnsi="DejaVu Serif" w:eastAsia="DejaVu Serif"/>
                <w:b w:val="0"/>
                <w:i w:val="0"/>
                <w:color w:val="111111"/>
                <w:sz w:val="19"/>
              </w:rPr>
              <w:t>For a degree +1 derivation, d_N Ass(alpha,beta,gamma)=Ass(d_N alpha,beta,gamma)+(-1)^{|alpha|}Ass(alpha,d_N beta,gamma)+(-1)^{|alpha|+|beta|}Ass(alpha,beta,d_N gamma).</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d_N Ass(alpha,beta,gamma)=Ass(d_N alpha,beta,gamma)+(-1)^{|alpha|}Ass(alpha,d_N beta,gamma)+(-1)^{|alpha|+|beta|}Ass(alpha,beta,d_N gamma).</w:t>
            </w:r>
          </w:p>
        </w:tc>
        <w:tc>
          <w:tcPr>
            <w:tcW w:type="dxa" w:w="1531"/>
            <w:shd w:fill="F6F8FA"/>
          </w:tcPr>
          <w:p>
            <w:pPr>
              <w:jc w:val="right"/>
            </w:pPr>
            <w:r>
              <w:rPr>
                <w:rFonts w:ascii="DejaVu Sans" w:hAnsi="DejaVu Sans" w:eastAsia="DejaVu Sans"/>
                <w:b/>
                <w:i w:val="0"/>
                <w:color w:val="5C6773"/>
                <w:sz w:val="17"/>
              </w:rPr>
              <w:t>T2-F038</w:t>
            </w:r>
          </w:p>
        </w:tc>
        <w:trPr>
          <w:tblHeader/>
        </w:trPr>
      </w:tr>
    </w:tbl>
    <w:p>
      <w:pPr>
        <w:spacing w:after="0"/>
      </w:pPr>
    </w:p>
    <w:p>
      <w:pPr>
        <w:pStyle w:val="Heading2"/>
        <w:keepNext/>
        <w:pageBreakBefore w:val="0"/>
      </w:pPr>
      <w:r>
        <w:t>10.3. Nilpotency Is Not Automatic</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10.13. Differential Curvature [DEF-A] </w:t>
            </w:r>
            <w:r>
              <w:rPr>
                <w:rFonts w:ascii="DejaVu Serif" w:hAnsi="DejaVu Serif" w:eastAsia="DejaVu Serif"/>
                <w:b w:val="0"/>
                <w:i w:val="0"/>
                <w:color w:val="111111"/>
                <w:sz w:val="19"/>
              </w:rPr>
              <w:t>For a degree +1 derivation set Omega_d=d_N^2:Omega_N^p-&gt;Omega_N^{p+2}. This internal term is not identified with R_nabla, although in a covariant model it may act through curvature.</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Omega_d := d_N^2.</w:t>
            </w:r>
          </w:p>
        </w:tc>
        <w:tc>
          <w:tcPr>
            <w:tcW w:type="dxa" w:w="1531"/>
            <w:shd w:fill="F6F8FA"/>
          </w:tcPr>
          <w:p>
            <w:pPr>
              <w:jc w:val="right"/>
            </w:pPr>
            <w:r>
              <w:rPr>
                <w:rFonts w:ascii="DejaVu Sans" w:hAnsi="DejaVu Sans" w:eastAsia="DejaVu Sans"/>
                <w:b/>
                <w:i w:val="0"/>
                <w:color w:val="5C6773"/>
                <w:sz w:val="17"/>
              </w:rPr>
              <w:t>T2-F039</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Lemma 10.14. Operator Bianchi Identity [THM] </w:t>
            </w:r>
            <w:r>
              <w:rPr>
                <w:rFonts w:ascii="DejaVu Serif" w:hAnsi="DejaVu Serif" w:eastAsia="DejaVu Serif"/>
                <w:b w:val="0"/>
                <w:i w:val="0"/>
                <w:color w:val="111111"/>
                <w:sz w:val="19"/>
              </w:rPr>
              <w:t>[d_N,Omega_d]=0, since both terms are d_N^3.</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10.15. Precomplex and Complex [DEF-A] </w:t>
            </w:r>
            <w:r>
              <w:rPr>
                <w:rFonts w:ascii="DejaVu Serif" w:hAnsi="DejaVu Serif" w:eastAsia="DejaVu Serif"/>
                <w:b w:val="0"/>
                <w:i w:val="0"/>
                <w:color w:val="111111"/>
                <w:sz w:val="19"/>
              </w:rPr>
              <w:t>A typed sequence Omega_N^p-&gt;Omega_N^{p+1} is a precomplex. It is a cochain complex only when d_N^{p+1}d_N^p=0 in every degree. Cohomology is defined only in the second case.</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Example 10.16. Leibniz without Nilpotency [THM / EXAMPLE] </w:t>
            </w:r>
            <w:r>
              <w:rPr>
                <w:rFonts w:ascii="DejaVu Serif" w:hAnsi="DejaVu Serif" w:eastAsia="DejaVu Serif"/>
                <w:b w:val="0"/>
                <w:i w:val="0"/>
                <w:color w:val="111111"/>
                <w:sz w:val="19"/>
              </w:rPr>
              <w:t>In the free graded nonassociative algebra on generators a,b,c of degrees 0,1,2, define d(a)=b,d(b)=c,d(c)=0 and extend by the graded Leibniz rule. Then L_d=0 but d^2(a)=c!=0.</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F8FA"/>
            <w:tcMar>
              <w:top w:w="130" w:type="dxa"/>
              <w:start w:w="160" w:type="dxa"/>
              <w:bottom w:w="130" w:type="dxa"/>
              <w:end w:w="160" w:type="dxa"/>
            </w:tcMar>
            <w:tcBorders>
              <w:left w:val="single" w:sz="16" w:color="5C6773"/>
            </w:tcBorders>
          </w:tcPr>
          <w:p>
            <w:pPr>
              <w:spacing w:after="0" w:line="259" w:lineRule="auto"/>
            </w:pPr>
            <w:r>
              <w:rPr>
                <w:rFonts w:ascii="DejaVu Sans" w:hAnsi="DejaVu Sans" w:eastAsia="DejaVu Sans"/>
                <w:b/>
                <w:i w:val="0"/>
                <w:color w:val="5C6773"/>
                <w:sz w:val="19"/>
              </w:rPr>
              <w:t xml:space="preserve">Example 10.17. Covariant Exterior Derivative [CL / THM] </w:t>
            </w:r>
            <w:r>
              <w:rPr>
                <w:rFonts w:ascii="DejaVu Serif" w:hAnsi="DejaVu Serif" w:eastAsia="DejaVu Serif"/>
                <w:b w:val="0"/>
                <w:i w:val="0"/>
                <w:color w:val="111111"/>
                <w:sz w:val="19"/>
              </w:rPr>
              <w:t>For a connection nabla, d_nabla^2 acts by curvature; it need not vanish.</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F8FA"/>
            <w:tcMar>
              <w:top w:w="130" w:type="dxa"/>
              <w:start w:w="160" w:type="dxa"/>
              <w:bottom w:w="130" w:type="dxa"/>
              <w:end w:w="160" w:type="dxa"/>
            </w:tcMar>
            <w:tcBorders>
              <w:left w:val="single" w:sz="16" w:color="5C6773"/>
            </w:tcBorders>
          </w:tcPr>
          <w:p>
            <w:pPr>
              <w:spacing w:after="0" w:line="259" w:lineRule="auto"/>
            </w:pPr>
            <w:r>
              <w:rPr>
                <w:rFonts w:ascii="DejaVu Sans" w:hAnsi="DejaVu Sans" w:eastAsia="DejaVu Sans"/>
                <w:b/>
                <w:i w:val="0"/>
                <w:color w:val="5C6773"/>
                <w:sz w:val="19"/>
              </w:rPr>
              <w:t xml:space="preserve">Example 10.18. Superconnection Curvature [CL / THM] </w:t>
            </w:r>
            <w:r>
              <w:rPr>
                <w:rFonts w:ascii="DejaVu Serif" w:hAnsi="DejaVu Serif" w:eastAsia="DejaVu Serif"/>
                <w:b w:val="0"/>
                <w:i w:val="0"/>
                <w:color w:val="111111"/>
                <w:sz w:val="19"/>
              </w:rPr>
              <w:t>For an odd superconnection A=d+omega, A^2=d omega+omega^2, which is generally nonzero.</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20" name="Picture 20" descr="Four regimes separating Leibniz identity and nilpotency" title="Four regimes separating Leibniz identity and nilpotency"/>
            <wp:cNvGraphicFramePr>
              <a:graphicFrameLocks noChangeAspect="1"/>
            </wp:cNvGraphicFramePr>
            <a:graphic>
              <a:graphicData uri="http://schemas.openxmlformats.org/drawingml/2006/picture">
                <pic:pic>
                  <pic:nvPicPr>
                    <pic:cNvPr id="0" name="fig21_diff_modes.png"/>
                    <pic:cNvPicPr/>
                  </pic:nvPicPr>
                  <pic:blipFill>
                    <a:blip r:embed="rId30"/>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21. Four regimes showing logical independence of the Leibniz identity and nilpotency.</w:t>
      </w:r>
    </w:p>
    <w:p>
      <w:pPr>
        <w:pStyle w:val="Heading2"/>
        <w:keepNext/>
        <w:pageBreakBefore w:val="0"/>
      </w:pPr>
      <w:r>
        <w:t>10.4. Locality, Restrictions, and Gluing</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10.20. Sheaf-Local Operator [DEF-A] </w:t>
            </w:r>
            <w:r>
              <w:rPr>
                <w:rFonts w:ascii="DejaVu Serif" w:hAnsi="DejaVu Serif" w:eastAsia="DejaVu Serif"/>
                <w:b w:val="0"/>
                <w:i w:val="0"/>
                <w:color w:val="111111"/>
                <w:sz w:val="19"/>
              </w:rPr>
              <w:t>A family d_U is local when for every V subset U, restriction commutes with d: res_{U,V} d_U=d_V res_{U,V} on the common domain.</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Lemma 10.21. Support Nonincrease [THM] </w:t>
            </w:r>
            <w:r>
              <w:rPr>
                <w:rFonts w:ascii="DejaVu Serif" w:hAnsi="DejaVu Serif" w:eastAsia="DejaVu Serif"/>
                <w:b w:val="0"/>
                <w:i w:val="0"/>
                <w:color w:val="111111"/>
                <w:sz w:val="19"/>
              </w:rPr>
              <w:t>For a sheaf-local operator, supp(d alpha) is contained in supp(alpha). This does not by itself classify d as a finite-order differential operator.</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10.22. Gluing of Local Differentials [THM] </w:t>
            </w:r>
            <w:r>
              <w:rPr>
                <w:rFonts w:ascii="DejaVu Serif" w:hAnsi="DejaVu Serif" w:eastAsia="DejaVu Serif"/>
                <w:b w:val="0"/>
                <w:i w:val="0"/>
                <w:color w:val="111111"/>
                <w:sz w:val="19"/>
              </w:rPr>
              <w:t>Local degree +1 operators d_i glue through bundle transitions g_ij when d_i g_ij=g_ij d_j on every overlap and their domains are transported compatibly.</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10.23. Differential Gluing Defect [DEF-A] </w:t>
            </w:r>
            <w:r>
              <w:rPr>
                <w:rFonts w:ascii="DejaVu Serif" w:hAnsi="DejaVu Serif" w:eastAsia="DejaVu Serif"/>
                <w:b w:val="0"/>
                <w:i w:val="0"/>
                <w:color w:val="111111"/>
                <w:sz w:val="19"/>
              </w:rPr>
              <w:t>K_ij=d_i g_ij-g_ij d_j. A nonzero K_ij blocks a global d_N even if every d_i is nilpotent.</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K_ij=d_i g_ij-g_ij d_j.</w:t>
            </w:r>
          </w:p>
        </w:tc>
        <w:tc>
          <w:tcPr>
            <w:tcW w:type="dxa" w:w="1531"/>
            <w:shd w:fill="F6F8FA"/>
          </w:tcPr>
          <w:p>
            <w:pPr>
              <w:jc w:val="right"/>
            </w:pPr>
            <w:r>
              <w:rPr>
                <w:rFonts w:ascii="DejaVu Sans" w:hAnsi="DejaVu Sans" w:eastAsia="DejaVu Sans"/>
                <w:b/>
                <w:i w:val="0"/>
                <w:color w:val="5C6773"/>
                <w:sz w:val="17"/>
              </w:rPr>
              <w:t>T2-F040</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Counterexample 10.24. Local Nilpotency Does Not Repair Gluing [THM / EXAMPLE] </w:t>
            </w:r>
            <w:r>
              <w:rPr>
                <w:rFonts w:ascii="DejaVu Serif" w:hAnsi="DejaVu Serif" w:eastAsia="DejaVu Serif"/>
                <w:b w:val="0"/>
                <w:i w:val="0"/>
                <w:color w:val="111111"/>
                <w:sz w:val="19"/>
              </w:rPr>
              <w:t>With g_12=Id, d_1=d and d_2=d+A fail to glue whenever A is nonzero, regardless of nilpotency of the separate operators.</w:t>
            </w:r>
          </w:p>
        </w:tc>
        <w:trPr>
          <w:tblHeader/>
        </w:trPr>
      </w:tr>
    </w:tbl>
    <w:p>
      <w:pPr>
        <w:spacing w:after="0"/>
      </w:pPr>
    </w:p>
    <w:p>
      <w:pPr>
        <w:pStyle w:val="Heading2"/>
        <w:keepNext/>
        <w:pageBreakBefore w:val="0"/>
      </w:pPr>
      <w:r>
        <w:t>10.5. Internal and External Layers</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Definition 10.25. Bigraded Bridge Object [DEF-A / COND] </w:t>
            </w:r>
            <w:r>
              <w:rPr>
                <w:rFonts w:ascii="DejaVu Serif" w:hAnsi="DejaVu Serif" w:eastAsia="DejaVu Serif"/>
                <w:b w:val="0"/>
                <w:i w:val="0"/>
                <w:color w:val="111111"/>
                <w:sz w:val="19"/>
              </w:rPr>
              <w:t>Let B^{p,q}=Omega_N^p tensor E^q. The internal d_N has bidegree (1,0), the external delta_E has bidegree (0,1), and the total operator is D_tot=d_N tensor 1+(-1)^p 1 tensor delta_E on bidegree (p,q), subject to the declared domain.</w:t>
            </w:r>
          </w:p>
        </w:tc>
        <w:trPr>
          <w:tblHeader/>
        </w:trPr>
      </w:tr>
    </w:tbl>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10.26. Square Decomposition [THM] </w:t>
            </w:r>
            <w:r>
              <w:rPr>
                <w:rFonts w:ascii="DejaVu Serif" w:hAnsi="DejaVu Serif" w:eastAsia="DejaVu Serif"/>
                <w:b w:val="0"/>
                <w:i w:val="0"/>
                <w:color w:val="111111"/>
                <w:sz w:val="19"/>
              </w:rPr>
              <w:t>D_tot^2 decomposes into the internal square, the external square, and the graded mixed commutator. A total cohomology exists only when all three components vanish and gluing is certified.</w:t>
            </w:r>
          </w:p>
        </w:tc>
        <w:trPr>
          <w:tblHeader/>
        </w:trPr>
      </w:tr>
    </w:tbl>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D_tot^2 = d_N^2 tensor 1 + 1 tensor delta_E^2 + Mix(d_N,delta_E).</w:t>
            </w:r>
          </w:p>
        </w:tc>
        <w:tc>
          <w:tcPr>
            <w:tcW w:type="dxa" w:w="1531"/>
            <w:shd w:fill="F6F8FA"/>
          </w:tcPr>
          <w:p>
            <w:pPr>
              <w:jc w:val="right"/>
            </w:pPr>
            <w:r>
              <w:rPr>
                <w:rFonts w:ascii="DejaVu Sans" w:hAnsi="DejaVu Sans" w:eastAsia="DejaVu Sans"/>
                <w:b/>
                <w:i w:val="0"/>
                <w:color w:val="5C6773"/>
                <w:sz w:val="17"/>
              </w:rPr>
              <w:t>T2-F041</w:t>
            </w:r>
          </w:p>
        </w:tc>
        <w:trPr>
          <w:tblHeader/>
        </w:trPr>
      </w:tr>
    </w:tbl>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10.27. Cohomology Firewall [THM / PROTOCOL] </w:t>
            </w:r>
            <w:r>
              <w:rPr>
                <w:rFonts w:ascii="DejaVu Serif" w:hAnsi="DejaVu Serif" w:eastAsia="DejaVu Serif"/>
                <w:b w:val="0"/>
                <w:i w:val="0"/>
                <w:color w:val="111111"/>
                <w:sz w:val="19"/>
              </w:rPr>
              <w:t>If any component of D_tot^2 is nonzero or uncomputed, H^*(Tot B,D_tot) is not declared. KLT-RBD stores the defect triple rather than a fictitious cohomology label.</w:t>
            </w:r>
          </w:p>
        </w:tc>
        <w:trPr>
          <w:tblHeader/>
        </w:trPr>
      </w:tr>
    </w:tbl>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10.28. Differential Bridge Certificate [DEF-A] </w:t>
            </w:r>
            <w:r>
              <w:rPr>
                <w:rFonts w:ascii="DejaVu Serif" w:hAnsi="DejaVu Serif" w:eastAsia="DejaVu Serif"/>
                <w:b w:val="0"/>
                <w:i w:val="0"/>
                <w:color w:val="111111"/>
                <w:sz w:val="19"/>
              </w:rPr>
              <w:t>A map Pi_E:O_B-&gt;H^3(E^bullet) requires typed source and target, a proof that representatives descend, compatibility with differentials, naturality under morphisms, and a reproducible computational witness.</w:t>
            </w:r>
          </w:p>
        </w:tc>
        <w:trPr>
          <w:tblHeader/>
        </w:trPr>
      </w:tr>
    </w:tbl>
    <w:p>
      <w:pPr>
        <w:pStyle w:val="Heading1"/>
        <w:keepNext/>
        <w:pageBreakBefore/>
      </w:pPr>
      <w:bookmarkStart w:id="1010" w:name="T2_CH11"/>
      <w:r>
        <w:t>Chapter 11. Hodge Operators, Codifferential, and Laplacian</w:t>
      </w:r>
      <w:bookmarkEnd w:id="1010"/>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harmonic object is defined by a concrete Hilbert or Fredholm realisation.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requires closed operators, adjoint domains, boundary conditions, and spectral control.</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through canonical harmonic representatives and stability of a Green operator.</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Formal symmetry is not self-adjointness, and Hodge decomposition is not automatic.</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inserts the Hodge-Fredholm profile into the predictive Reper horizon.</w:t>
            </w:r>
          </w:p>
        </w:tc>
      </w:tr>
    </w:tbl>
    <w:p>
      <w:pPr>
        <w:spacing w:after="20"/>
      </w:pPr>
    </w:p>
    <w:p>
      <w:pPr>
        <w:widowControl/>
        <w:spacing w:after="80" w:line="264" w:lineRule="auto"/>
      </w:pPr>
      <w:r>
        <w:rPr>
          <w:rFonts w:ascii="DejaVu Serif" w:hAnsi="DejaVu Serif" w:eastAsia="DejaVu Serif"/>
          <w:b w:val="0"/>
          <w:i w:val="0"/>
          <w:color w:val="111111"/>
          <w:sz w:val="20"/>
        </w:rPr>
        <w:t>The Hodge layer is meaningful only on an oriented metric sector with a declared measure and operator domains. The chapter preserves the source numbering, where the imported differential package continues labels 10.30 onward. These numbers are not renumbered in translation.</w:t>
      </w:r>
    </w:p>
    <w:p>
      <w:pPr>
        <w:pStyle w:val="Heading2"/>
        <w:keepNext/>
        <w:pageBreakBefore w:val="0"/>
      </w:pPr>
      <w:r>
        <w:t>11.1. Hodge Sector and Operator Definitions</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Definition 10.30. Hodge Sector [CL / COND] </w:t>
            </w:r>
            <w:r>
              <w:rPr>
                <w:rFonts w:ascii="DejaVu Serif" w:hAnsi="DejaVu Serif" w:eastAsia="DejaVu Serif"/>
                <w:b w:val="0"/>
                <w:i w:val="0"/>
                <w:color w:val="111111"/>
                <w:sz w:val="19"/>
              </w:rPr>
              <w:t>Let U be an oriented n-dimensional smooth sector with a nondegenerate metric g and admissible measure. The Hodge star star_Hdg:Omega^p(U)-&gt;Omega^{n-p}(U) is defined by the metric, orientation, and volume form.</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Definition 10.31. Codifferential [CL / COND] </w:t>
            </w:r>
            <w:r>
              <w:rPr>
                <w:rFonts w:ascii="DejaVu Serif" w:hAnsi="DejaVu Serif" w:eastAsia="DejaVu Serif"/>
                <w:b w:val="0"/>
                <w:i w:val="0"/>
                <w:color w:val="111111"/>
                <w:sz w:val="19"/>
              </w:rPr>
              <w:t>In the selected Riemannian sign convention, delta_Hdg=(-1)^{n(p+1)+1} star_Hdg d_N star_Hdg on p-forms, with the common operator domain explicitly stated.</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delta_Hdg = (-1)^{n(p+1)+1} star_Hdg d_N star_Hdg.</w:t>
            </w:r>
          </w:p>
        </w:tc>
        <w:tc>
          <w:tcPr>
            <w:tcW w:type="dxa" w:w="1531"/>
            <w:shd w:fill="F6F8FA"/>
          </w:tcPr>
          <w:p>
            <w:pPr>
              <w:jc w:val="right"/>
            </w:pPr>
            <w:r>
              <w:rPr>
                <w:rFonts w:ascii="DejaVu Sans" w:hAnsi="DejaVu Sans" w:eastAsia="DejaVu Sans"/>
                <w:b/>
                <w:i w:val="0"/>
                <w:color w:val="5C6773"/>
                <w:sz w:val="17"/>
              </w:rPr>
              <w:t>T2-F042</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Definition 10.32. Hodge Laplacian [CL / COND] </w:t>
            </w:r>
            <w:r>
              <w:rPr>
                <w:rFonts w:ascii="DejaVu Serif" w:hAnsi="DejaVu Serif" w:eastAsia="DejaVu Serif"/>
                <w:b w:val="0"/>
                <w:i w:val="0"/>
                <w:color w:val="111111"/>
                <w:sz w:val="19"/>
              </w:rPr>
              <w:t>Delta_Hdg=d_N delta_Hdg+delta_Hdg d_N on the intersection of the corresponding domains.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Delta_Hdg=d_N delta_Hdg+delta_Hdg d_N.</w:t>
            </w:r>
          </w:p>
        </w:tc>
        <w:tc>
          <w:tcPr>
            <w:tcW w:type="dxa" w:w="1531"/>
            <w:shd w:fill="F6F8FA"/>
          </w:tcPr>
          <w:p>
            <w:pPr>
              <w:jc w:val="right"/>
            </w:pPr>
            <w:r>
              <w:rPr>
                <w:rFonts w:ascii="DejaVu Sans" w:hAnsi="DejaVu Sans" w:eastAsia="DejaVu Sans"/>
                <w:b/>
                <w:i w:val="0"/>
                <w:color w:val="5C6773"/>
                <w:sz w:val="17"/>
              </w:rPr>
              <w:t>T2-F043</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10.33. Nilpotency Transfer [THM] </w:t>
            </w:r>
            <w:r>
              <w:rPr>
                <w:rFonts w:ascii="DejaVu Serif" w:hAnsi="DejaVu Serif" w:eastAsia="DejaVu Serif"/>
                <w:b w:val="0"/>
                <w:i w:val="0"/>
                <w:color w:val="111111"/>
                <w:sz w:val="19"/>
              </w:rPr>
              <w:t>If d_N^2=0 and star_Hdg is a valid isomorphism on the sector, then delta_Hdg^2=0. When d_N^2 is nonzero, nilpotency of delta_Hdg does not follow.</w:t>
            </w:r>
          </w:p>
        </w:tc>
        <w:trPr>
          <w:tblHeader/>
        </w:trPr>
      </w:tr>
    </w:tbl>
    <w:p>
      <w:pPr>
        <w:spacing w:after="0"/>
      </w:pPr>
    </w:p>
    <w:p>
      <w:pPr>
        <w:pStyle w:val="Heading3"/>
        <w:keepNext/>
        <w:pageBreakBefore w:val="0"/>
      </w:pPr>
      <w:r>
        <w:t>11.1.2. Hodge Compatibility Defects</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10.35. Hodge Transport Defect [DEF-A] </w:t>
            </w:r>
            <w:r>
              <w:rPr>
                <w:rFonts w:ascii="DejaVu Serif" w:hAnsi="DejaVu Serif" w:eastAsia="DejaVu Serif"/>
                <w:b w:val="0"/>
                <w:i w:val="0"/>
                <w:color w:val="111111"/>
                <w:sz w:val="19"/>
              </w:rPr>
              <w:t>For a chart transition g_ij, set H_ij=g_ij star_j-star_i g_ij. A nonzero defect blocks a global Hodge star in the declared trivialisation.</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10.36. Formal-Adjoint Defect [DEF-A] </w:t>
            </w:r>
            <w:r>
              <w:rPr>
                <w:rFonts w:ascii="DejaVu Serif" w:hAnsi="DejaVu Serif" w:eastAsia="DejaVu Serif"/>
                <w:b w:val="0"/>
                <w:i w:val="0"/>
                <w:color w:val="111111"/>
                <w:sz w:val="19"/>
              </w:rPr>
              <w:t>When an inner product is defined, A_adj(alpha,beta)=&lt;d_N alpha,beta&gt;-&lt;alpha,delta_Hdg beta&gt;, including boundary terms and operator-domain conditions.</w:t>
            </w:r>
          </w:p>
        </w:tc>
        <w:trPr>
          <w:tblHeader/>
        </w:trPr>
      </w:tr>
    </w:tbl>
    <w:p>
      <w:pPr>
        <w:spacing w:after="0"/>
      </w:pPr>
    </w:p>
    <w:p>
      <w:pPr>
        <w:widowControl/>
        <w:spacing w:after="80" w:line="264" w:lineRule="auto"/>
      </w:pPr>
      <w:r>
        <w:rPr>
          <w:rFonts w:ascii="DejaVu Serif" w:hAnsi="DejaVu Serif" w:eastAsia="DejaVu Serif"/>
          <w:b w:val="0"/>
          <w:i w:val="0"/>
          <w:color w:val="111111"/>
          <w:sz w:val="20"/>
        </w:rPr>
        <w:t>Vanishing of the displayed formal expression is weaker than self-adjointness of a closed unbounded operator. Boundary conditions, closures, and deficiency data remain separate analytical obligations.</w:t>
      </w:r>
    </w:p>
    <w:p>
      <w:pPr>
        <w:pStyle w:val="Heading2"/>
        <w:keepNext/>
        <w:pageBreakBefore w:val="0"/>
      </w:pPr>
      <w:r>
        <w:t>11.2. Differential Reper and lambda Harmony</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10.37. Differential Reper [DEF-A] </w:t>
            </w:r>
            <w:r>
              <w:rPr>
                <w:rFonts w:ascii="DejaVu Serif" w:hAnsi="DejaVu Serif" w:eastAsia="DejaVu Serif"/>
                <w:b w:val="0"/>
                <w:i w:val="0"/>
                <w:color w:val="111111"/>
                <w:sz w:val="19"/>
              </w:rPr>
              <w:t>A differential object is packaged as Rep_diff=(R_op,I_inv,U_def;D_cert), where R_op is the realised operator system, I_inv the selected invariant signature, U_def the admissible deformation universe, and D_cert the full operator-domain and evidence certificate.</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10.38. Differential Defect Vector [DEF-A] </w:t>
            </w:r>
            <w:r>
              <w:rPr>
                <w:rFonts w:ascii="DejaVu Serif" w:hAnsi="DejaVu Serif" w:eastAsia="DejaVu Serif"/>
                <w:b w:val="0"/>
                <w:i w:val="0"/>
                <w:color w:val="111111"/>
                <w:sz w:val="19"/>
              </w:rPr>
              <w:t>Def_diff=(L_d,Omega_d,K_glue,H_transport,A_adj,M_mix,B_D,B_Dom), collecting Leibniz, square, gluing, Hodge, adjoint, mixed, and evidential defects.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Def_diff=(L_d,Omega_d,K_glue,H_transport,A_adj,M_mix,B_D,B_Dom).</w:t>
            </w:r>
          </w:p>
        </w:tc>
        <w:tc>
          <w:tcPr>
            <w:tcW w:type="dxa" w:w="1531"/>
            <w:shd w:fill="F6F8FA"/>
          </w:tcPr>
          <w:p>
            <w:pPr>
              <w:jc w:val="right"/>
            </w:pPr>
            <w:r>
              <w:rPr>
                <w:rFonts w:ascii="DejaVu Sans" w:hAnsi="DejaVu Sans" w:eastAsia="DejaVu Sans"/>
                <w:b/>
                <w:i w:val="0"/>
                <w:color w:val="5C6773"/>
                <w:sz w:val="17"/>
              </w:rPr>
              <w:t>T2-F044</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10.40. Relaxed Differential Candidate [DEF-A] </w:t>
            </w:r>
            <w:r>
              <w:rPr>
                <w:rFonts w:ascii="DejaVu Serif" w:hAnsi="DejaVu Serif" w:eastAsia="DejaVu Serif"/>
                <w:b w:val="0"/>
                <w:i w:val="0"/>
                <w:color w:val="111111"/>
                <w:sz w:val="19"/>
              </w:rPr>
              <w:t>For predeclared thresholds tau and eta, a candidate requires delta_truth&lt;=tau and norm Def_diff&lt;=eta together with valid D/Dom. Thresholds are fixed before disclosure and do not convert an approximate numerical state into an exact theorem.</w:t>
            </w:r>
          </w:p>
        </w:tc>
        <w:trPr>
          <w:tblHeader/>
        </w:trPr>
      </w:tr>
    </w:tbl>
    <w:p>
      <w:pPr>
        <w:spacing w:after="0"/>
      </w:pPr>
    </w:p>
    <w:p>
      <w:pPr>
        <w:pStyle w:val="Heading2"/>
        <w:keepNext/>
        <w:pageBreakBefore w:val="0"/>
      </w:pPr>
      <w:r>
        <w:t>11.3. Differential Transition Horizon</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10.41. Finite Differential Signature [DEF-A] </w:t>
            </w:r>
            <w:r>
              <w:rPr>
                <w:rFonts w:ascii="DejaVu Serif" w:hAnsi="DejaVu Serif" w:eastAsia="DejaVu Serif"/>
                <w:b w:val="0"/>
                <w:i w:val="0"/>
                <w:color w:val="111111"/>
                <w:sz w:val="19"/>
              </w:rPr>
              <w:t>For a finite-dimensional truncation, store ranks of d_t^p, dimensions of kernels and cohomology when defined, ranks of Hodge/Laplacian matrices, zero/nonzero states of all defects, lambda data, and conditioning bounds.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10.42. Differential Horizon [DEF-A] </w:t>
            </w:r>
            <w:r>
              <w:rPr>
                <w:rFonts w:ascii="DejaVu Serif" w:hAnsi="DejaVu Serif" w:eastAsia="DejaVu Serif"/>
                <w:b w:val="0"/>
                <w:i w:val="0"/>
                <w:color w:val="111111"/>
                <w:sz w:val="19"/>
              </w:rPr>
              <w:t>Delta_diff is the union of zeros of certified maximal minors, changes of operator domains, poles of lambda, insufficient precision loci, and conflicts in gluing, Hodge transport, or the E-bridge.</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10.43. Rank Constancy [THM] </w:t>
            </w:r>
            <w:r>
              <w:rPr>
                <w:rFonts w:ascii="DejaVu Serif" w:hAnsi="DejaVu Serif" w:eastAsia="DejaVu Serif"/>
                <w:b w:val="0"/>
                <w:i w:val="0"/>
                <w:color w:val="111111"/>
                <w:sz w:val="19"/>
              </w:rPr>
              <w:t>For an analytic finite-dimensional family, all certified matrix ranks are constant on each connected component of the complement of Delta_diff. If d_t^2=0 and adjacent ranks remain constant, the corresponding cohomology dimensions remain constant.</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Theorem 10.44. Differential Negative Prediction [COND] </w:t>
            </w:r>
            <w:r>
              <w:rPr>
                <w:rFonts w:ascii="DejaVu Serif" w:hAnsi="DejaVu Serif" w:eastAsia="DejaVu Serif"/>
                <w:b w:val="0"/>
                <w:i w:val="0"/>
                <w:color w:val="111111"/>
                <w:sz w:val="19"/>
              </w:rPr>
              <w:t>With a complete certificate and a parameter path avoiding the strengthened safe horizon, the certified differential-complex type, cohomology dimensions, and zero/nonzero status of differential defects cannot change inside the model.</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Corollary 10.45. Horizon Crossing Is Only a Candidate [COND] </w:t>
            </w:r>
            <w:r>
              <w:rPr>
                <w:rFonts w:ascii="DejaVu Serif" w:hAnsi="DejaVu Serif" w:eastAsia="DejaVu Serif"/>
                <w:b w:val="0"/>
                <w:i w:val="0"/>
                <w:color w:val="111111"/>
                <w:sz w:val="19"/>
              </w:rPr>
              <w:t>Crossing Delta_diff creates a candidate transition. It does not establish an integrable deformation, a global event, or a physical realisation.</w:t>
            </w:r>
          </w:p>
        </w:tc>
        <w:trPr>
          <w:tblHeader/>
        </w:trPr>
      </w:tr>
    </w:tbl>
    <w:p>
      <w:pPr>
        <w:spacing w:after="0"/>
      </w:pPr>
    </w:p>
    <w:p>
      <w:pPr>
        <w:pStyle w:val="Heading2"/>
        <w:keepNext/>
        <w:pageBreakBefore w:val="0"/>
      </w:pPr>
      <w:r>
        <w:t>11.4. Separating Models</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1990"/>
        <w:gridCol w:w="1990"/>
        <w:gridCol w:w="1990"/>
        <w:gridCol w:w="1990"/>
        <w:gridCol w:w="1990"/>
      </w:tblGrid>
      <w:tr>
        <w:trPr>
          <w:cantSplit w:val="true"/>
          <w:tblHeader w:val="true"/>
        </w:trPr>
        <w:tc>
          <w:tcPr>
            <w:tcW w:type="dxa" w:w="175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Model</w:t>
            </w:r>
          </w:p>
        </w:tc>
        <w:tc>
          <w:tcPr>
            <w:tcW w:type="dxa" w:w="124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Leibniz</w:t>
            </w:r>
          </w:p>
        </w:tc>
        <w:tc>
          <w:tcPr>
            <w:tcW w:type="dxa" w:w="141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d squared</w:t>
            </w:r>
          </w:p>
        </w:tc>
        <w:tc>
          <w:tcPr>
            <w:tcW w:type="dxa" w:w="2494"/>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Hodge/global status</w:t>
            </w:r>
          </w:p>
        </w:tc>
        <w:tc>
          <w:tcPr>
            <w:tcW w:type="dxa" w:w="243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Lesson</w:t>
            </w:r>
          </w:p>
        </w:tc>
      </w:tr>
      <w:tr>
        <w:trPr>
          <w:cantSplit w:val="true"/>
        </w:trPr>
        <w:tc>
          <w:tcPr>
            <w:tcW w:type="dxa" w:w="175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 Rham forms</w:t>
            </w:r>
          </w:p>
        </w:tc>
        <w:tc>
          <w:tcPr>
            <w:tcW w:type="dxa" w:w="124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yes</w:t>
            </w:r>
          </w:p>
        </w:tc>
        <w:tc>
          <w:tcPr>
            <w:tcW w:type="dxa" w:w="141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zero</w:t>
            </w:r>
          </w:p>
        </w:tc>
        <w:tc>
          <w:tcPr>
            <w:tcW w:type="dxa" w:w="249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classical Hodge sector</w:t>
            </w:r>
          </w:p>
        </w:tc>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baseline complex</w:t>
            </w:r>
          </w:p>
        </w:tc>
      </w:tr>
      <w:tr>
        <w:trPr>
          <w:cantSplit w:val="true"/>
        </w:trPr>
        <w:tc>
          <w:tcPr>
            <w:tcW w:type="dxa" w:w="175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free graded NAPG</w:t>
            </w:r>
          </w:p>
        </w:tc>
        <w:tc>
          <w:tcPr>
            <w:tcW w:type="dxa" w:w="124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yes</w:t>
            </w:r>
          </w:p>
        </w:tc>
        <w:tc>
          <w:tcPr>
            <w:tcW w:type="dxa" w:w="141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nonzero</w:t>
            </w:r>
          </w:p>
        </w:tc>
        <w:tc>
          <w:tcPr>
            <w:tcW w:type="dxa" w:w="249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no cohomology</w:t>
            </w:r>
          </w:p>
        </w:tc>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Leibniz is insufficient</w:t>
            </w:r>
          </w:p>
        </w:tc>
      </w:tr>
      <w:tr>
        <w:trPr>
          <w:cantSplit w:val="true"/>
        </w:trPr>
        <w:tc>
          <w:tcPr>
            <w:tcW w:type="dxa" w:w="175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covariant forms</w:t>
            </w:r>
          </w:p>
        </w:tc>
        <w:tc>
          <w:tcPr>
            <w:tcW w:type="dxa" w:w="124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yes</w:t>
            </w:r>
          </w:p>
        </w:tc>
        <w:tc>
          <w:tcPr>
            <w:tcW w:type="dxa" w:w="141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curvature action</w:t>
            </w:r>
          </w:p>
        </w:tc>
        <w:tc>
          <w:tcPr>
            <w:tcW w:type="dxa" w:w="249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bundle-dependent</w:t>
            </w:r>
          </w:p>
        </w:tc>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connection curvature survives</w:t>
            </w:r>
          </w:p>
        </w:tc>
      </w:tr>
      <w:tr>
        <w:trPr>
          <w:cantSplit w:val="true"/>
        </w:trPr>
        <w:tc>
          <w:tcPr>
            <w:tcW w:type="dxa" w:w="175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locally nilpotent but nongluing</w:t>
            </w:r>
          </w:p>
        </w:tc>
        <w:tc>
          <w:tcPr>
            <w:tcW w:type="dxa" w:w="124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local yes</w:t>
            </w:r>
          </w:p>
        </w:tc>
        <w:tc>
          <w:tcPr>
            <w:tcW w:type="dxa" w:w="141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local zero</w:t>
            </w:r>
          </w:p>
        </w:tc>
        <w:tc>
          <w:tcPr>
            <w:tcW w:type="dxa" w:w="249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K_ij nonzero</w:t>
            </w:r>
          </w:p>
        </w:tc>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global differential absent</w:t>
            </w:r>
          </w:p>
        </w:tc>
      </w:tr>
    </w:tbl>
    <w:p>
      <w:pPr>
        <w:spacing w:after="20"/>
      </w:pPr>
    </w:p>
    <w:p>
      <w:pPr>
        <w:pStyle w:val="Heading2"/>
        <w:keepNext/>
        <w:pageBreakBefore w:val="0"/>
      </w:pPr>
      <w:r>
        <w:t>11.5. Main Conditional Theorem</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Theorem 10.47. Differential-Calculus-Safe Predictive Theorem [COND] </w:t>
            </w:r>
            <w:r>
              <w:rPr>
                <w:rFonts w:ascii="DejaVu Serif" w:hAnsi="DejaVu Serif" w:eastAsia="DejaVu Serif"/>
                <w:b w:val="0"/>
                <w:i w:val="0"/>
                <w:color w:val="111111"/>
                <w:sz w:val="19"/>
              </w:rPr>
              <w:t>For a family (Omega_t^bullet,odot_t,d_t,delta_E,t,star_t,rho_t,D_t), assume fixed typed domains, certified Leibniz and square tests, effective gluing, a valid Hodge sector when used, a closed external complex and mixed bridge, a projective-Reper atlas, valid D/Dom, finite-rank analytic certificates, and a path avoiding the full differential horizon. Then the certified differential signature is constant on each connected component.</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10.48. Three-Valued Verdict [THM / PROTOCOL] </w:t>
            </w:r>
            <w:r>
              <w:rPr>
                <w:rFonts w:ascii="DejaVu Serif" w:hAnsi="DejaVu Serif" w:eastAsia="DejaVu Serif"/>
                <w:b w:val="0"/>
                <w:i w:val="0"/>
                <w:color w:val="111111"/>
                <w:sz w:val="19"/>
              </w:rPr>
              <w:t>A complete noncrossing certificate yields NO-DIFFERENTIAL-TRANSITION-IN-MODEL; a verified crossing yields CANDIDATE-TRANSITION; any open blocker yields ABSTAIN.</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21" name="Picture 21" descr="Blocker-safe differential predictive gate" title="Blocker-safe differential predictive gate"/>
            <wp:cNvGraphicFramePr>
              <a:graphicFrameLocks noChangeAspect="1"/>
            </wp:cNvGraphicFramePr>
            <a:graphic>
              <a:graphicData uri="http://schemas.openxmlformats.org/drawingml/2006/picture">
                <pic:pic>
                  <pic:nvPicPr>
                    <pic:cNvPr id="0" name="fig22_diff_gate.png"/>
                    <pic:cNvPicPr/>
                  </pic:nvPicPr>
                  <pic:blipFill>
                    <a:blip r:embed="rId31"/>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22. Blocker-safe gate for differential prediction.</w:t>
      </w:r>
    </w:p>
    <w:p>
      <w:pPr>
        <w:pStyle w:val="Heading2"/>
        <w:keepNext/>
        <w:pageBreakBefore w:val="0"/>
      </w:pPr>
      <w:r>
        <w:t>11.6. DIFF-NAPG Computational Certificate</w:t>
      </w:r>
    </w:p>
    <w:p>
      <w:pPr>
        <w:pStyle w:val="ListBullet"/>
        <w:spacing w:after="40" w:line="252" w:lineRule="auto"/>
      </w:pPr>
      <w:r>
        <w:rPr>
          <w:rFonts w:ascii="DejaVu Serif" w:hAnsi="DejaVu Serif" w:eastAsia="DejaVu Serif"/>
          <w:b w:val="0"/>
          <w:i w:val="0"/>
          <w:color w:val="111111"/>
          <w:sz w:val="19"/>
        </w:rPr>
        <w:t>TEST-TYPE-01: verify degree, domain, codomain, and restriction maps;</w:t>
      </w:r>
    </w:p>
    <w:p>
      <w:pPr>
        <w:pStyle w:val="ListBullet"/>
        <w:spacing w:after="40" w:line="252" w:lineRule="auto"/>
      </w:pPr>
      <w:r>
        <w:rPr>
          <w:rFonts w:ascii="DejaVu Serif" w:hAnsi="DejaVu Serif" w:eastAsia="DejaVu Serif"/>
          <w:b w:val="0"/>
          <w:i w:val="0"/>
          <w:color w:val="111111"/>
          <w:sz w:val="19"/>
        </w:rPr>
        <w:t>TEST-LEIB-02: compute the full Leibniz defect on a basis;</w:t>
      </w:r>
    </w:p>
    <w:p>
      <w:pPr>
        <w:pStyle w:val="ListBullet"/>
        <w:spacing w:after="40" w:line="252" w:lineRule="auto"/>
      </w:pPr>
      <w:r>
        <w:rPr>
          <w:rFonts w:ascii="DejaVu Serif" w:hAnsi="DejaVu Serif" w:eastAsia="DejaVu Serif"/>
          <w:b w:val="0"/>
          <w:i w:val="0"/>
          <w:color w:val="111111"/>
          <w:sz w:val="19"/>
        </w:rPr>
        <w:t>TEST-SQ-03: compute d_N^2 exactly or with certified intervals;</w:t>
      </w:r>
    </w:p>
    <w:p>
      <w:pPr>
        <w:pStyle w:val="ListBullet"/>
        <w:spacing w:after="40" w:line="252" w:lineRule="auto"/>
      </w:pPr>
      <w:r>
        <w:rPr>
          <w:rFonts w:ascii="DejaVu Serif" w:hAnsi="DejaVu Serif" w:eastAsia="DejaVu Serif"/>
          <w:b w:val="0"/>
          <w:i w:val="0"/>
          <w:color w:val="111111"/>
          <w:sz w:val="19"/>
        </w:rPr>
        <w:t>TEST-ASS-04: verify the associator Leibniz identity;</w:t>
      </w:r>
    </w:p>
    <w:p>
      <w:pPr>
        <w:pStyle w:val="ListBullet"/>
        <w:spacing w:after="40" w:line="252" w:lineRule="auto"/>
      </w:pPr>
      <w:r>
        <w:rPr>
          <w:rFonts w:ascii="DejaVu Serif" w:hAnsi="DejaVu Serif" w:eastAsia="DejaVu Serif"/>
          <w:b w:val="0"/>
          <w:i w:val="0"/>
          <w:color w:val="111111"/>
          <w:sz w:val="19"/>
        </w:rPr>
        <w:t>TEST-GLUE-05: compute K_ij on every overlap;</w:t>
      </w:r>
    </w:p>
    <w:p>
      <w:pPr>
        <w:pStyle w:val="ListBullet"/>
        <w:spacing w:after="40" w:line="252" w:lineRule="auto"/>
      </w:pPr>
      <w:r>
        <w:rPr>
          <w:rFonts w:ascii="DejaVu Serif" w:hAnsi="DejaVu Serif" w:eastAsia="DejaVu Serif"/>
          <w:b w:val="0"/>
          <w:i w:val="0"/>
          <w:color w:val="111111"/>
          <w:sz w:val="19"/>
        </w:rPr>
        <w:t>TEST-HDG-06: verify metric/orientation transport and star_Hdg parity;</w:t>
      </w:r>
    </w:p>
    <w:p>
      <w:pPr>
        <w:pStyle w:val="ListBullet"/>
        <w:spacing w:after="40" w:line="252" w:lineRule="auto"/>
      </w:pPr>
      <w:r>
        <w:rPr>
          <w:rFonts w:ascii="DejaVu Serif" w:hAnsi="DejaVu Serif" w:eastAsia="DejaVu Serif"/>
          <w:b w:val="0"/>
          <w:i w:val="0"/>
          <w:color w:val="111111"/>
          <w:sz w:val="19"/>
        </w:rPr>
        <w:t>TEST-ADJ-07: verify formal adjoint identity with boundary terms;</w:t>
      </w:r>
    </w:p>
    <w:p>
      <w:pPr>
        <w:pStyle w:val="ListBullet"/>
        <w:spacing w:after="40" w:line="252" w:lineRule="auto"/>
      </w:pPr>
      <w:r>
        <w:rPr>
          <w:rFonts w:ascii="DejaVu Serif" w:hAnsi="DejaVu Serif" w:eastAsia="DejaVu Serif"/>
          <w:b w:val="0"/>
          <w:i w:val="0"/>
          <w:color w:val="111111"/>
          <w:sz w:val="19"/>
        </w:rPr>
        <w:t>TEST-TOT-08: verify internal, external, and mixed square components;</w:t>
      </w:r>
    </w:p>
    <w:p>
      <w:pPr>
        <w:pStyle w:val="ListBullet"/>
        <w:spacing w:after="40" w:line="252" w:lineRule="auto"/>
      </w:pPr>
      <w:r>
        <w:rPr>
          <w:rFonts w:ascii="DejaVu Serif" w:hAnsi="DejaVu Serif" w:eastAsia="DejaVu Serif"/>
          <w:b w:val="0"/>
          <w:i w:val="0"/>
          <w:color w:val="111111"/>
          <w:sz w:val="19"/>
        </w:rPr>
        <w:t>TEST-RANK-09: certify maximal minors and conditioning;</w:t>
      </w:r>
    </w:p>
    <w:p>
      <w:pPr>
        <w:pStyle w:val="ListBullet"/>
        <w:spacing w:after="40" w:line="252" w:lineRule="auto"/>
      </w:pPr>
      <w:r>
        <w:rPr>
          <w:rFonts w:ascii="DejaVu Serif" w:hAnsi="DejaVu Serif" w:eastAsia="DejaVu Serif"/>
          <w:b w:val="0"/>
          <w:i w:val="0"/>
          <w:color w:val="111111"/>
          <w:sz w:val="19"/>
        </w:rPr>
        <w:t>TEST-GATE-10: force ABSTAIN whenever any operator domain or bridge is open.</w:t>
      </w:r>
    </w:p>
    <w:p>
      <w:pPr>
        <w:pStyle w:val="Heading1"/>
        <w:keepNext/>
        <w:pageBreakBefore/>
      </w:pPr>
      <w:bookmarkStart w:id="1011" w:name="T2_CH12"/>
      <w:r>
        <w:t>Chapter 12. Internal Construction of C_min^bullet, delta_min, and Theta_min</w:t>
      </w:r>
      <w:bookmarkEnd w:id="1011"/>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An obstruction is a class of failure of a lift inside a declared structure.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is established by complexes, quotient spaces, and independence from representatives.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 appears as a residual component that cannot be removed by an admissible correction.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zero primary class does not exclude higher obstructions and proves no physical realisation.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contribution is the internal carrier, its external bridge, and its use in the Reper predictive gate.</w:t>
            </w:r>
          </w:p>
        </w:tc>
      </w:tr>
    </w:tbl>
    <w:p>
      <w:pPr>
        <w:spacing w:after="20"/>
      </w:pPr>
    </w:p>
    <w:p>
      <w:pPr>
        <w:widowControl/>
        <w:spacing w:after="80" w:line="264" w:lineRule="auto"/>
      </w:pPr>
      <w:r>
        <w:rPr>
          <w:rFonts w:ascii="DejaVu Serif" w:hAnsi="DejaVu Serif" w:eastAsia="DejaVu Serif"/>
          <w:b w:val="0"/>
          <w:i w:val="0"/>
          <w:color w:val="111111"/>
          <w:sz w:val="20"/>
        </w:rPr>
        <w:t>The chapter gives the internal quadratic obstruction carrier a canonical two-term cochain complex. The construction is intentionally minimal: it controls only the declared quadratic evaluation problem. It does not absorb higher obstructions, global descent, the external E-complex, or a physical interpretation.</w:t>
      </w:r>
    </w:p>
    <w:p>
      <w:pPr>
        <w:pStyle w:val="Heading2"/>
        <w:keepNext/>
        <w:pageBreakBefore w:val="0"/>
      </w:pPr>
      <w:r>
        <w:t>12.1. Quadratic Frame and Minimal Complex</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12.1. NAPG Quadratic Frame [DEF-A] </w:t>
            </w:r>
            <w:r>
              <w:rPr>
                <w:rFonts w:ascii="DejaVu Serif" w:hAnsi="DejaVu Serif" w:eastAsia="DejaVu Serif"/>
                <w:b w:val="0"/>
                <w:i w:val="0"/>
                <w:color w:val="111111"/>
                <w:sz w:val="19"/>
              </w:rPr>
              <w:t>An object N consists of K, a graded carrier A^bullet, the admissible operation odot, structural data G, a class of Reper generators R, a formal quadratic space F_N^2, an evaluated space X_N^2, and a linear evaluation map Psi_N^2:F_N^2-&gt;X_N^2. All degrees, domains, codomains, and bases belong to the object passport.</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Definition 12.2. Internal Minimal Complex [THM / IMPORT] </w:t>
            </w:r>
            <w:r>
              <w:rPr>
                <w:rFonts w:ascii="DejaVu Serif" w:hAnsi="DejaVu Serif" w:eastAsia="DejaVu Serif"/>
                <w:b w:val="0"/>
                <w:i w:val="0"/>
                <w:color w:val="111111"/>
                <w:sz w:val="19"/>
              </w:rPr>
              <w:t>Set C_min^2(N)=F_N^2, C_min^3(N)=X_N^2, all other relevant components zero, and delta_min^2=Psi_N^2.</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0 -&gt; F_N^2 --Psi_N^2--&gt; X_N^2 -&gt; 0.</w:t>
            </w:r>
          </w:p>
        </w:tc>
        <w:tc>
          <w:tcPr>
            <w:tcW w:type="dxa" w:w="1531"/>
            <w:shd w:fill="F6F8FA"/>
          </w:tcPr>
          <w:p>
            <w:pPr>
              <w:jc w:val="right"/>
            </w:pPr>
            <w:r>
              <w:rPr>
                <w:rFonts w:ascii="DejaVu Sans" w:hAnsi="DejaVu Sans" w:eastAsia="DejaVu Sans"/>
                <w:b/>
                <w:i w:val="0"/>
                <w:color w:val="5C6773"/>
                <w:sz w:val="17"/>
              </w:rPr>
              <w:t>T2-F045</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Lemma 12.1. Nilpotency [THM] </w:t>
            </w:r>
            <w:r>
              <w:rPr>
                <w:rFonts w:ascii="DejaVu Serif" w:hAnsi="DejaVu Serif" w:eastAsia="DejaVu Serif"/>
                <w:b w:val="0"/>
                <w:i w:val="0"/>
                <w:color w:val="111111"/>
                <w:sz w:val="19"/>
              </w:rPr>
              <w:t>C_min^bullet is a cochain complex: the only possible composition after Psi_N^2 lands in C_min^4=0, and all other successive compositions include a zero arrow.</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Definition 12.3. Canonical Map Theta_min [THM / IMPORT] </w:t>
            </w:r>
            <w:r>
              <w:rPr>
                <w:rFonts w:ascii="DejaVu Serif" w:hAnsi="DejaVu Serif" w:eastAsia="DejaVu Serif"/>
                <w:b w:val="0"/>
                <w:i w:val="0"/>
                <w:color w:val="111111"/>
                <w:sz w:val="19"/>
              </w:rPr>
              <w:t>Theta_min is the degree-three structure map that identifies an evaluated quadratic term with its position in C_min^3; it is not the quotient obstruction map.</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12.4. Internal Obstruction Class [DEF-A] </w:t>
            </w:r>
            <w:r>
              <w:rPr>
                <w:rFonts w:ascii="DejaVu Serif" w:hAnsi="DejaVu Serif" w:eastAsia="DejaVu Serif"/>
                <w:b w:val="0"/>
                <w:i w:val="0"/>
                <w:color w:val="111111"/>
                <w:sz w:val="19"/>
              </w:rPr>
              <w:t>For q in X_N^2, let pi_N:X_N^2-&gt;X_N^2/im Psi_N^2. The obstruction is o_N(q)=[q]=pi_N(q) in H^3(C_min).</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22" name="Picture 22" descr="Minimal complex and natural exact sequence" title="Minimal complex and natural exact sequence"/>
            <wp:cNvGraphicFramePr>
              <a:graphicFrameLocks noChangeAspect="1"/>
            </wp:cNvGraphicFramePr>
            <a:graphic>
              <a:graphicData uri="http://schemas.openxmlformats.org/drawingml/2006/picture">
                <pic:pic>
                  <pic:nvPicPr>
                    <pic:cNvPr id="0" name="fig23_min_complex.png"/>
                    <pic:cNvPicPr/>
                  </pic:nvPicPr>
                  <pic:blipFill>
                    <a:blip r:embed="rId32"/>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23. Minimal complex and its natural exact sequence.</w:t>
      </w:r>
    </w:p>
    <w:p>
      <w:pPr>
        <w:pStyle w:val="Heading2"/>
        <w:keepNext/>
        <w:pageBreakBefore w:val="0"/>
      </w:pPr>
      <w:r>
        <w:rPr>
          <w:rFonts w:ascii="Aptos" w:hAnsi="Aptos"/>
          <w:b w:val="0"/>
          <w:i w:val="0"/>
          <w:sz w:val="20"/>
        </w:rPr>
        <w:t>12.2. Cohomologicaly and Exact Sequence</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12.2. Internal H2 and H3 [THM] </w:t>
            </w:r>
            <w:r>
              <w:rPr>
                <w:rFonts w:ascii="DejaVu Serif" w:hAnsi="DejaVu Serif" w:eastAsia="DejaVu Serif"/>
                <w:b w:val="0"/>
                <w:i w:val="0"/>
                <w:color w:val="111111"/>
                <w:sz w:val="19"/>
              </w:rPr>
              <w:t>H^2(C_min)=ker Psi_N^2 and H^3(C_min)=coker Psi_N^2=X_N^2/im Psi_N^2.</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12.3. Natural Exact Sequence [THM] </w:t>
            </w:r>
            <w:r>
              <w:rPr>
                <w:rFonts w:ascii="DejaVu Serif" w:hAnsi="DejaVu Serif" w:eastAsia="DejaVu Serif"/>
                <w:b w:val="0"/>
                <w:i w:val="0"/>
                <w:color w:val="111111"/>
                <w:sz w:val="19"/>
              </w:rPr>
              <w:t>There is a natural exact sequence 0-&gt;H^2-&gt;F_N^2-&gt;X_N^2-&gt;H^3-&gt;0.</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0 -&gt; H^2(C_min) -&gt; F_N^2 --Psi_N^2--&gt; X_N^2 -&gt; H^3(C_min) -&gt; 0.</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12.3.1. Finite-Dimensional Rank Formula [THM] </w:t>
            </w:r>
            <w:r>
              <w:rPr>
                <w:rFonts w:ascii="DejaVu Serif" w:hAnsi="DejaVu Serif" w:eastAsia="DejaVu Serif"/>
                <w:b w:val="0"/>
                <w:i w:val="0"/>
                <w:color w:val="111111"/>
                <w:sz w:val="19"/>
              </w:rPr>
              <w:t>If dim F_N^2=f, dim X_N^2=x, and rank Psi_N^2=r, then dim H^2=f-r and dim H^3=x-r.</w:t>
            </w:r>
          </w:p>
        </w:tc>
        <w:trPr>
          <w:tblHeader/>
        </w:trPr>
      </w:tr>
    </w:tbl>
    <w:p>
      <w:pPr>
        <w:spacing w:after="0"/>
      </w:pPr>
    </w:p>
    <w:p>
      <w:pPr>
        <w:pStyle w:val="Heading2"/>
        <w:keepNext/>
        <w:pageBreakBefore w:val="0"/>
      </w:pPr>
      <w:r>
        <w:t>12.3. Functoriality and Natural Canonicity</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12.4. Minimal-Complex Functor [THM] </w:t>
            </w:r>
            <w:r>
              <w:rPr>
                <w:rFonts w:ascii="DejaVu Serif" w:hAnsi="DejaVu Serif" w:eastAsia="DejaVu Serif"/>
                <w:b w:val="0"/>
                <w:i w:val="0"/>
                <w:color w:val="111111"/>
                <w:sz w:val="19"/>
              </w:rPr>
              <w:t>A morphism of quadratic frames carrying formal and evaluated spaces compatibly with Psi defines a cochain map. Hence N |-&gt; C_min^bullet(N) is a functor.</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12.5. Natural Isomorphism with O_B [THM] </w:t>
            </w:r>
            <w:r>
              <w:rPr>
                <w:rFonts w:ascii="DejaVu Serif" w:hAnsi="DejaVu Serif" w:eastAsia="DejaVu Serif"/>
                <w:b w:val="0"/>
                <w:i w:val="0"/>
                <w:color w:val="111111"/>
                <w:sz w:val="19"/>
              </w:rPr>
              <w:t>The obstruction-carrier functor O_B=coker Psi_N^2 is naturally isomorphic to H^3 o C_min.</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12.5.1. Invariant Vanishing [THM] </w:t>
            </w:r>
            <w:r>
              <w:rPr>
                <w:rFonts w:ascii="DejaVu Serif" w:hAnsi="DejaVu Serif" w:eastAsia="DejaVu Serif"/>
                <w:b w:val="0"/>
                <w:i w:val="0"/>
                <w:color w:val="111111"/>
                <w:sz w:val="19"/>
              </w:rPr>
              <w:t>Vanishing of the internal obstruction class is preserved by every NAPG_q isomorphism. A numerical norm of a representative need not be preserved unless the morphism is isometric.</w:t>
            </w:r>
          </w:p>
        </w:tc>
        <w:trPr>
          <w:tblHeader/>
        </w:trPr>
      </w:tr>
    </w:tbl>
    <w:p>
      <w:pPr>
        <w:spacing w:after="0"/>
      </w:pPr>
    </w:p>
    <w:p>
      <w:pPr>
        <w:pStyle w:val="Heading2"/>
        <w:keepNext/>
        <w:pageBreakBefore w:val="0"/>
      </w:pPr>
      <w:r>
        <w:t>12.4. Lift Criterion and H2 Torsor</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12.5. Lift [DEF-A] </w:t>
            </w:r>
            <w:r>
              <w:rPr>
                <w:rFonts w:ascii="DejaVu Serif" w:hAnsi="DejaVu Serif" w:eastAsia="DejaVu Serif"/>
                <w:b w:val="0"/>
                <w:i w:val="0"/>
                <w:color w:val="111111"/>
                <w:sz w:val="19"/>
              </w:rPr>
              <w:t>A lift of q in X_N^2 is f in F_N^2 such that Psi_N^2(f)=q. The set is Lift_N(q).</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12.6. Complete Internal Lift Criterion [THM] </w:t>
            </w:r>
            <w:r>
              <w:rPr>
                <w:rFonts w:ascii="DejaVu Serif" w:hAnsi="DejaVu Serif" w:eastAsia="DejaVu Serif"/>
                <w:b w:val="0"/>
                <w:i w:val="0"/>
                <w:color w:val="111111"/>
                <w:sz w:val="19"/>
              </w:rPr>
              <w:t>For q, the following are equivalent: q lies in im Psi_N^2; [q]=0 in H^3(C_min); Lift_N(q) is nonempty; the orthogonal residual is zero when a compatible inner product is chosen.</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12.7. Torsor of Lifts [THM] </w:t>
            </w:r>
            <w:r>
              <w:rPr>
                <w:rFonts w:ascii="DejaVu Serif" w:hAnsi="DejaVu Serif" w:eastAsia="DejaVu Serif"/>
                <w:b w:val="0"/>
                <w:i w:val="0"/>
                <w:color w:val="111111"/>
                <w:sz w:val="19"/>
              </w:rPr>
              <w:t>If f_0 is one lift, then Lift_N(q)=f_0+ker Psi_N^2. Thus the lift set is an affine torsor under H^2(C_min), not a unique solution.</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23" name="Picture 23" descr="Lift criterion and H2 torsor" title="Lift criterion and H2 torsor"/>
            <wp:cNvGraphicFramePr>
              <a:graphicFrameLocks noChangeAspect="1"/>
            </wp:cNvGraphicFramePr>
            <a:graphic>
              <a:graphicData uri="http://schemas.openxmlformats.org/drawingml/2006/picture">
                <pic:pic>
                  <pic:nvPicPr>
                    <pic:cNvPr id="0" name="fig24_lift_torsor.png"/>
                    <pic:cNvPicPr/>
                  </pic:nvPicPr>
                  <pic:blipFill>
                    <a:blip r:embed="rId33"/>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24. Lift criterion and H2 torsor of solutions.</w:t>
      </w:r>
    </w:p>
    <w:p>
      <w:pPr>
        <w:pStyle w:val="Heading2"/>
        <w:keepNext/>
        <w:pageBreakBefore w:val="0"/>
      </w:pPr>
      <w:r>
        <w:t>12.5. Universal Property, Base Change, and Direct Sums</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12.8. Universal Extension into a Complex [THM] </w:t>
            </w:r>
            <w:r>
              <w:rPr>
                <w:rFonts w:ascii="DejaVu Serif" w:hAnsi="DejaVu Serif" w:eastAsia="DejaVu Serif"/>
                <w:b w:val="0"/>
                <w:i w:val="0"/>
                <w:color w:val="111111"/>
                <w:sz w:val="19"/>
              </w:rPr>
              <w:t>Given a cochain complex E^bullet and maps J^2:F_N^2-&gt;E^2, J^3:X_N^2-&gt;E^3 satisfying d_E J^2=J^3 Psi_N^2, there is a unique cochain map C_min^bullet(N)-&gt;E^bullet with those degree-two and degree-three components.</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12.9. Extension of Scalars [THM] </w:t>
            </w:r>
            <w:r>
              <w:rPr>
                <w:rFonts w:ascii="DejaVu Serif" w:hAnsi="DejaVu Serif" w:eastAsia="DejaVu Serif"/>
                <w:b w:val="0"/>
                <w:i w:val="0"/>
                <w:color w:val="111111"/>
                <w:sz w:val="19"/>
              </w:rPr>
              <w:t>For a field extension L/K, the minimal complex, its H^2, and its H^3 commute with scalar extension when tensoring is exact.</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12.10. Block-Diagonal Additivity [THM] </w:t>
            </w:r>
            <w:r>
              <w:rPr>
                <w:rFonts w:ascii="DejaVu Serif" w:hAnsi="DejaVu Serif" w:eastAsia="DejaVu Serif"/>
                <w:b w:val="0"/>
                <w:i w:val="0"/>
                <w:color w:val="111111"/>
                <w:sz w:val="19"/>
              </w:rPr>
              <w:t>For a direct sum of frames with Psi_{N direct_sum M}=Psi_N direct_sum Psi_M, H^2 and H^3 split as direct sums and obstruction classes add componentwise.</w:t>
            </w:r>
          </w:p>
        </w:tc>
        <w:trPr>
          <w:tblHeader/>
        </w:trPr>
      </w:tr>
    </w:tbl>
    <w:p>
      <w:pPr>
        <w:spacing w:after="0"/>
      </w:pPr>
    </w:p>
    <w:p>
      <w:pPr>
        <w:pStyle w:val="Heading2"/>
        <w:keepNext/>
        <w:pageBreakBefore w:val="0"/>
      </w:pPr>
      <w:r>
        <w:t>12.6. Canonical Class and Numerical Residual</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12.6. Orthogonal Obstruction Residual [DEF-A / COMP] </w:t>
            </w:r>
            <w:r>
              <w:rPr>
                <w:rFonts w:ascii="DejaVu Serif" w:hAnsi="DejaVu Serif" w:eastAsia="DejaVu Serif"/>
                <w:b w:val="0"/>
                <w:i w:val="0"/>
                <w:color w:val="111111"/>
                <w:sz w:val="19"/>
              </w:rPr>
              <w:t>In a finite-dimensional real or complex sector, with Moore-Penrose pseudoinverse Psi^dagger, define r_min(q)=(I-Psi Psi^dagger)q.</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r_min(q)=(I-Psi Psi^dagger)q.</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12.11. Residual Criterion [THM] </w:t>
            </w:r>
            <w:r>
              <w:rPr>
                <w:rFonts w:ascii="DejaVu Serif" w:hAnsi="DejaVu Serif" w:eastAsia="DejaVu Serif"/>
                <w:b w:val="0"/>
                <w:i w:val="0"/>
                <w:color w:val="111111"/>
                <w:sz w:val="19"/>
              </w:rPr>
              <w:t>r_min(q)=0 iff [q]=0 in H^3(C_min). If the class vanishes, f*=Psi^dagger q is the minimum-norm lift.</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12.7. Normalised Internal Obstruction Index [DEF-A / DIAGNOSTIC] </w:t>
            </w:r>
            <w:r>
              <w:rPr>
                <w:rFonts w:ascii="DejaVu Serif" w:hAnsi="DejaVu Serif" w:eastAsia="DejaVu Serif"/>
                <w:b w:val="0"/>
                <w:i w:val="0"/>
                <w:color w:val="111111"/>
                <w:sz w:val="19"/>
              </w:rPr>
              <w:t>A diagnostic index may normalise ||r_min(q)|| by a predeclared scale, but its numerical value is representation- and metric-dependent. Only the zero/nonzero obstruction class is canonical under arbitrary isomorphism.</w:t>
            </w:r>
          </w:p>
        </w:tc>
        <w:trPr>
          <w:tblHeader/>
        </w:trPr>
      </w:tr>
    </w:tbl>
    <w:p>
      <w:pPr>
        <w:spacing w:after="0"/>
      </w:pPr>
    </w:p>
    <w:p>
      <w:pPr>
        <w:pStyle w:val="Heading2"/>
        <w:keepNext/>
        <w:pageBreakBefore w:val="0"/>
      </w:pPr>
      <w:r>
        <w:t>12.7. Analytic Families and Negative Prediction</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12.12. Constant-Rank Cohomology Bundles [THM] </w:t>
            </w:r>
            <w:r>
              <w:rPr>
                <w:rFonts w:ascii="DejaVu Serif" w:hAnsi="DejaVu Serif" w:eastAsia="DejaVu Serif"/>
                <w:b w:val="0"/>
                <w:i w:val="0"/>
                <w:color w:val="111111"/>
                <w:sz w:val="19"/>
              </w:rPr>
              <w:t>If rank Psi_t is constant on a connected open set J, ker Psi_t and im Psi_t form analytic subbundles; H^2_t and H^3_t form quotient bundles and the obstruction class o_t=[q_t] is an analytic section.</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Corollary 12.12.1. Zeros of the Obstruction Section [THM] </w:t>
            </w:r>
            <w:r>
              <w:rPr>
                <w:rFonts w:ascii="DejaVu Serif" w:hAnsi="DejaVu Serif" w:eastAsia="DejaVu Serif"/>
                <w:b w:val="0"/>
                <w:i w:val="0"/>
                <w:color w:val="111111"/>
                <w:sz w:val="19"/>
              </w:rPr>
              <w:t>For one parameter, if the analytic obstruction section is not identically zero, its zeros have no interior accumulation point. Interior accumulation forces identical vanishing on the connected component.</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12.8. Internal Transition Horizon [DEF-A] </w:t>
            </w:r>
            <w:r>
              <w:rPr>
                <w:rFonts w:ascii="DejaVu Serif" w:hAnsi="DejaVu Serif" w:eastAsia="DejaVu Serif"/>
                <w:b w:val="0"/>
                <w:i w:val="0"/>
                <w:color w:val="111111"/>
                <w:sz w:val="19"/>
              </w:rPr>
              <w:t>Delta_min is the union of rank-change, conditioning, type, Dom, D, chart, and bridge-failure loci for the minimal complex.</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Lemma 12.13. Motion of the Residual [THM] </w:t>
            </w:r>
            <w:r>
              <w:rPr>
                <w:rFonts w:ascii="DejaVu Serif" w:hAnsi="DejaVu Serif" w:eastAsia="DejaVu Serif"/>
                <w:b w:val="0"/>
                <w:i w:val="0"/>
                <w:color w:val="111111"/>
                <w:sz w:val="19"/>
              </w:rPr>
              <w:t>With P_t=Psi_t Psi_t^dagger and r_t=(I-P_t)q_t, the variation of r_t is bounded by the variations of q_t and P_t in the constant-rank sector.</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12.14. Certified No-Lift Zone [THM / COMP] </w:t>
            </w:r>
            <w:r>
              <w:rPr>
                <w:rFonts w:ascii="DejaVu Serif" w:hAnsi="DejaVu Serif" w:eastAsia="DejaVu Serif"/>
                <w:b w:val="0"/>
                <w:i w:val="0"/>
                <w:color w:val="111111"/>
                <w:sz w:val="19"/>
              </w:rPr>
              <w:t>If ||r_t0||=rho&gt;0 and the certified variation bound on a neighbourhood is less than rho, then r_t remains nonzero there and no internal lift exists anywhere in that neighbourhood.</w:t>
            </w:r>
          </w:p>
        </w:tc>
        <w:trPr>
          <w:tblHeader/>
        </w:trPr>
      </w:tr>
    </w:tbl>
    <w:p>
      <w:pPr>
        <w:spacing w:after="0"/>
      </w:pPr>
    </w:p>
    <w:p>
      <w:pPr>
        <w:pStyle w:val="Heading2"/>
        <w:keepNext/>
        <w:pageBreakBefore w:val="0"/>
      </w:pPr>
      <w:r>
        <w:t>12.8. Main Conditional Predictive Theorem</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Theorem 12.15. Minimal-Obstruction-Safe Predictive Theorem [COND] </w:t>
            </w:r>
            <w:r>
              <w:rPr>
                <w:rFonts w:ascii="DejaVu Serif" w:hAnsi="DejaVu Serif" w:eastAsia="DejaVu Serif"/>
                <w:b w:val="0"/>
                <w:i w:val="0"/>
                <w:color w:val="111111"/>
                <w:sz w:val="19"/>
              </w:rPr>
              <w:t>For a family F_t=(N_t,Psi_t,q_t,rho_t,D_t,Dom_t), assume fixed dimensions and versioned bases, analytic or interval-certified Psi_t and q_t, constant rank and a singular-value gap off registered horizons, typed separation of q_t from the ternary associator, valid D/Dom, a defined Reper coordinate away from poles, valid preceding atlas/tangent/holonomy/differential certificates, and restriction to the internal quadratic lift. Then H^2 and H^3 have constant ranks off Delta_min; [q_t]=0 iff an internal lift exists; the lift set is an H^2 torsor; a certified positive residual excludes the lift locally; and a zero class yields only CANDIDATE-LIFT-TO-ORDER-2.</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24" name="Picture 24" descr="Blocker-safe internal obstruction predictive gate" title="Blocker-safe internal obstruction predictive gate"/>
            <wp:cNvGraphicFramePr>
              <a:graphicFrameLocks noChangeAspect="1"/>
            </wp:cNvGraphicFramePr>
            <a:graphic>
              <a:graphicData uri="http://schemas.openxmlformats.org/drawingml/2006/picture">
                <pic:pic>
                  <pic:nvPicPr>
                    <pic:cNvPr id="0" name="fig25_obstruction_gate.png"/>
                    <pic:cNvPicPr/>
                  </pic:nvPicPr>
                  <pic:blipFill>
                    <a:blip r:embed="rId34"/>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25. Blocker-safe gate for internal obstruction prediction.</w:t>
      </w:r>
    </w:p>
    <w:p>
      <w:pPr>
        <w:pStyle w:val="Heading2"/>
        <w:keepNext/>
        <w:pageBreakBefore w:val="0"/>
      </w:pPr>
      <w:r>
        <w:t>12.9. Projective-Harmonic Reper Gate</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12.9. Joint Certificate [DEF-A] </w:t>
            </w:r>
            <w:r>
              <w:rPr>
                <w:rFonts w:ascii="DejaVu Serif" w:hAnsi="DejaVu Serif" w:eastAsia="DejaVu Serif"/>
                <w:b w:val="0"/>
                <w:i w:val="0"/>
                <w:color w:val="111111"/>
                <w:sz w:val="19"/>
              </w:rPr>
              <w:t>Cert_min(t)=(type_ok,[q_t],||r_t||,sigma_t^+,Valid(D_t),Dom_t,delta_truth(t),Block_t).</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strict selector admits an internal lift candidate only when [q_t]=0, the numerical residual is below its certified tolerance, the positive singular-value gap exceeds its threshold, D and Dom are valid, and Block_t is empty. The additional filter lambda=-1 or delta_truth&lt;=tau is independent and replaces none of these conditions.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9951"/>
      </w:tblGrid>
      <w:tr>
        <w:tc>
          <w:tcPr>
            <w:tcW w:type="dxa" w:w="9951"/>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lambda=-1 does not imply [q]=0, and [q]=0 does not imply lambda=-1.</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Countertheorem 12.16. Four Prohibited Implications [THM] </w:t>
            </w:r>
            <w:r>
              <w:rPr>
                <w:rFonts w:ascii="DejaVu Serif" w:hAnsi="DejaVu Serif" w:eastAsia="DejaVu Serif"/>
                <w:b w:val="0"/>
                <w:i w:val="0"/>
                <w:color w:val="111111"/>
                <w:sz w:val="19"/>
              </w:rPr>
              <w:t>In general, H^3 nonzero does not imply a particular q is obstructed; [q]=0 does not imply uniqueness; [q]=0 does not eliminate higher or global obstructions; and H^3 nonzero implies no physical curvature, holonomy, or observable effect.</w:t>
            </w:r>
          </w:p>
        </w:tc>
        <w:trPr>
          <w:tblHeader/>
        </w:trPr>
      </w:tr>
    </w:tbl>
    <w:p>
      <w:pPr>
        <w:spacing w:after="0"/>
      </w:pPr>
    </w:p>
    <w:p>
      <w:pPr>
        <w:pStyle w:val="Heading2"/>
        <w:keepNext/>
        <w:pageBreakBefore w:val="0"/>
      </w:pPr>
      <w:r>
        <w:t>12.10. MIN-OB Computational Certificate</w:t>
      </w:r>
    </w:p>
    <w:p>
      <w:pPr>
        <w:pStyle w:val="ListBullet"/>
        <w:spacing w:after="40" w:line="252" w:lineRule="auto"/>
      </w:pPr>
      <w:r>
        <w:rPr>
          <w:rFonts w:ascii="DejaVu Serif" w:hAnsi="DejaVu Serif" w:eastAsia="DejaVu Serif"/>
          <w:b w:val="0"/>
          <w:i w:val="0"/>
          <w:color w:val="111111"/>
          <w:sz w:val="19"/>
        </w:rPr>
        <w:t>TYPE: verify dimensions, bases, degrees, domains, and codomains;</w:t>
      </w:r>
    </w:p>
    <w:p>
      <w:pPr>
        <w:pStyle w:val="ListBullet"/>
        <w:spacing w:after="40" w:line="252" w:lineRule="auto"/>
      </w:pPr>
      <w:r>
        <w:rPr>
          <w:rFonts w:ascii="DejaVu Serif" w:hAnsi="DejaVu Serif" w:eastAsia="DejaVu Serif"/>
          <w:b w:val="0"/>
          <w:i w:val="0"/>
          <w:color w:val="111111"/>
          <w:sz w:val="19"/>
        </w:rPr>
        <w:t>EXACT LINEAR ALGEBRA: compute rank, kernel, image, and cokernel of Psi;</w:t>
      </w:r>
    </w:p>
    <w:p>
      <w:pPr>
        <w:pStyle w:val="ListBullet"/>
        <w:spacing w:after="40" w:line="252" w:lineRule="auto"/>
      </w:pPr>
      <w:r>
        <w:rPr>
          <w:rFonts w:ascii="DejaVu Serif" w:hAnsi="DejaVu Serif" w:eastAsia="DejaVu Serif"/>
          <w:b w:val="0"/>
          <w:i w:val="0"/>
          <w:color w:val="111111"/>
          <w:sz w:val="19"/>
        </w:rPr>
        <w:t>CLASS: reduce q modulo im Psi and store an exact representative;</w:t>
      </w:r>
    </w:p>
    <w:p>
      <w:pPr>
        <w:pStyle w:val="ListBullet"/>
        <w:spacing w:after="40" w:line="252" w:lineRule="auto"/>
      </w:pPr>
      <w:r>
        <w:rPr>
          <w:rFonts w:ascii="DejaVu Serif" w:hAnsi="DejaVu Serif" w:eastAsia="DejaVu Serif"/>
          <w:b w:val="0"/>
          <w:i w:val="0"/>
          <w:color w:val="111111"/>
          <w:sz w:val="19"/>
        </w:rPr>
        <w:t>LIFT: solve Psi f=q or certify impossibility;</w:t>
      </w:r>
    </w:p>
    <w:p>
      <w:pPr>
        <w:pStyle w:val="ListBullet"/>
        <w:spacing w:after="40" w:line="252" w:lineRule="auto"/>
      </w:pPr>
      <w:r>
        <w:rPr>
          <w:rFonts w:ascii="DejaVu Serif" w:hAnsi="DejaVu Serif" w:eastAsia="DejaVu Serif"/>
          <w:b w:val="0"/>
          <w:i w:val="0"/>
          <w:color w:val="111111"/>
          <w:sz w:val="19"/>
        </w:rPr>
        <w:t>TORSOR: store f_0+ker Psi rather than a single arbitrary lift;</w:t>
      </w:r>
    </w:p>
    <w:p>
      <w:pPr>
        <w:pStyle w:val="ListBullet"/>
        <w:spacing w:after="40" w:line="252" w:lineRule="auto"/>
      </w:pPr>
      <w:r>
        <w:rPr>
          <w:rFonts w:ascii="DejaVu Serif" w:hAnsi="DejaVu Serif" w:eastAsia="DejaVu Serif"/>
          <w:b w:val="0"/>
          <w:i w:val="0"/>
          <w:color w:val="111111"/>
          <w:sz w:val="19"/>
        </w:rPr>
        <w:t>NUMERICS: compute pseudoinverse residual and positive singular-value gap with conditioning bounds;</w:t>
      </w:r>
    </w:p>
    <w:p>
      <w:pPr>
        <w:pStyle w:val="ListBullet"/>
        <w:spacing w:after="40" w:line="252" w:lineRule="auto"/>
      </w:pPr>
      <w:r>
        <w:rPr>
          <w:rFonts w:ascii="DejaVu Serif" w:hAnsi="DejaVu Serif" w:eastAsia="DejaVu Serif"/>
          <w:b w:val="0"/>
          <w:i w:val="0"/>
          <w:color w:val="111111"/>
          <w:sz w:val="19"/>
        </w:rPr>
        <w:t>EVIDENCE: verify D/Dom and provenance of every matrix and basis;</w:t>
      </w:r>
    </w:p>
    <w:p>
      <w:pPr>
        <w:pStyle w:val="ListBullet"/>
        <w:spacing w:after="40" w:line="252" w:lineRule="auto"/>
      </w:pPr>
      <w:r>
        <w:rPr>
          <w:rFonts w:ascii="DejaVu Serif" w:hAnsi="DejaVu Serif" w:eastAsia="DejaVu Serif"/>
          <w:b w:val="0"/>
          <w:i w:val="0"/>
          <w:color w:val="111111"/>
          <w:sz w:val="19"/>
        </w:rPr>
        <w:t>REPER: evaluate lambda only as an independent filter;</w:t>
      </w:r>
    </w:p>
    <w:p>
      <w:pPr>
        <w:pStyle w:val="ListBullet"/>
        <w:spacing w:after="40" w:line="252" w:lineRule="auto"/>
      </w:pPr>
      <w:r>
        <w:rPr>
          <w:rFonts w:ascii="DejaVu Serif" w:hAnsi="DejaVu Serif" w:eastAsia="DejaVu Serif"/>
          <w:b w:val="0"/>
          <w:i w:val="0"/>
          <w:color w:val="111111"/>
          <w:sz w:val="19"/>
        </w:rPr>
        <w:t>VERDICT: NO-LIFT-IN-MODEL, CANDIDATE-LIFT-TO-ORDER-2, or ABSTAIN.</w:t>
      </w:r>
    </w:p>
    <w:p>
      <w:pPr>
        <w:pStyle w:val="Heading1"/>
        <w:keepNext/>
        <w:pageBreakBefore/>
      </w:pPr>
      <w:bookmarkStart w:id="1012" w:name="T2_CH13"/>
      <w:r>
        <w:t>Chapter 13. External E-Complex and the Conditional Bridge Pi_E</w:t>
      </w:r>
      <w:bookmarkEnd w:id="1012"/>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An internal obstruction acquires external meaning only through an explicit cochain bridge, not through a shared cohomological symbol.</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epistemic contract checks the external complex, the chain map, naturality, detection quality, and the separate associator and application bridges.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external layer makes an internal residual visible, invisible, or supplemented by genuinely external classes.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vanishing external class implies nothing in reverse without injectivity, and no class is a physical event without a separate reduction.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the blocker-safe bridge from the internal NAPG carrier to an external evidence-bearing complex.</w:t>
            </w:r>
          </w:p>
        </w:tc>
      </w:tr>
    </w:tbl>
    <w:p>
      <w:pPr>
        <w:spacing w:after="20"/>
      </w:pPr>
    </w:p>
    <w:p>
      <w:pPr>
        <w:widowControl/>
        <w:spacing w:after="80" w:line="264" w:lineRule="auto"/>
      </w:pPr>
      <w:r>
        <w:rPr>
          <w:rFonts w:ascii="DejaVu Serif" w:hAnsi="DejaVu Serif" w:eastAsia="DejaVu Serif"/>
          <w:b w:val="0"/>
          <w:i w:val="0"/>
          <w:color w:val="111111"/>
          <w:sz w:val="20"/>
        </w:rPr>
        <w:t>The internal obstruction carrier O_B(N)=H^3(C_min(N)) does not become an external cohomology class merely because both objects use the symbol H^3. The transition requires a typed cochain map. This chapter constructs the external complex E^bullet(N), the bridge J_N, the induced map Pi_E,N, its blind and excess defects, the numerical injectivity margin, and the external transition horizon. All reverse, associator, analytic, and physical interpretations remain conditional.</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Field</w:t>
            </w:r>
          </w:p>
        </w:tc>
        <w:tc>
          <w:tcPr>
            <w:tcW w:type="dxa" w:w="6973"/>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Controlled value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Canonical input</w:t>
            </w:r>
          </w:p>
        </w:tc>
        <w:tc>
          <w:tcPr>
            <w:tcW w:type="dxa" w:w="697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C_min^bullet(N): F_N^2 -&gt; X_N^2; H^2=ker Psi_N^2; H^3=coker Psi_N^2=O_B(N); quotient map kappa_N.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Objective</w:t>
            </w:r>
          </w:p>
        </w:tc>
        <w:tc>
          <w:tcPr>
            <w:tcW w:type="dxa" w:w="697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Construct E^bullet(N), a cochain bridge J_N, and Pi_E,N:O_B(N)-&gt;H^3(E^bullet(N)).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Strict layer</w:t>
            </w:r>
          </w:p>
        </w:tc>
        <w:tc>
          <w:tcPr>
            <w:tcW w:type="dxa" w:w="697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Well-definedness, naturality, mapping cone, blind/excess defects, stable injective detection, and a parameter horizon.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Prohibition</w:t>
            </w:r>
          </w:p>
        </w:tc>
        <w:tc>
          <w:tcPr>
            <w:tcW w:type="dxa" w:w="697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Do not identify O_B with H^3(E), the associator, holonomy, an observable, or a physical event without separate maps.</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Downstream use</w:t>
            </w:r>
          </w:p>
        </w:tc>
        <w:tc>
          <w:tcPr>
            <w:tcW w:type="dxa" w:w="697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7"/>
              </w:rPr>
              <w:t>Chapter 14 projectivises the nonzero obstruction carrier only after the zero and information-loss audits.</w:t>
            </w:r>
          </w:p>
        </w:tc>
      </w:tr>
    </w:tbl>
    <w:p>
      <w:pPr>
        <w:spacing w:after="20"/>
      </w:pPr>
    </w:p>
    <w:p>
      <w:pPr>
        <w:pStyle w:val="Heading2"/>
        <w:keepNext/>
        <w:pageBreakBefore w:val="0"/>
      </w:pPr>
      <w:r>
        <w:t>13.1. External Realisation and the B1-B8 Contract</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Definition 13.1. External Realisation [DEF-A] </w:t>
            </w:r>
            <w:r>
              <w:rPr>
                <w:rFonts w:ascii="DejaVu Serif" w:hAnsi="DejaVu Serif" w:eastAsia="DejaVu Serif"/>
                <w:b w:val="0"/>
                <w:i w:val="0"/>
                <w:color w:val="111111"/>
                <w:sz w:val="19"/>
              </w:rPr>
              <w:t>For N in NAPG_q, an external realisation is E(N)=(E^bullet(N),d_E,Dom_E,G_E), where E^n(N) are K-modules or vector spaces, d_E has declared domains and codomains, and Dom_E and G_E record admissibility, regularity, grading, norms, and any auxiliary structures.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E(N)=(E^bullet(N), d_E, Dom_E, G_E).</w:t>
            </w:r>
          </w:p>
        </w:tc>
        <w:tc>
          <w:tcPr>
            <w:tcW w:type="dxa" w:w="1531"/>
            <w:shd w:fill="F6F8FA"/>
          </w:tcPr>
          <w:p>
            <w:pPr>
              <w:jc w:val="right"/>
            </w:pPr>
            <w:r>
              <w:rPr>
                <w:rFonts w:ascii="DejaVu Sans" w:hAnsi="DejaVu Sans" w:eastAsia="DejaVu Sans"/>
                <w:b/>
                <w:i w:val="0"/>
                <w:color w:val="5C6773"/>
                <w:sz w:val="17"/>
              </w:rPr>
              <w:t>T2-F046</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d_E^{n+1} o d_E^n = 0 for all n.</w:t>
            </w:r>
          </w:p>
        </w:tc>
        <w:tc>
          <w:tcPr>
            <w:tcW w:type="dxa" w:w="1531"/>
            <w:shd w:fill="F6F8FA"/>
          </w:tcPr>
          <w:p>
            <w:pPr>
              <w:jc w:val="right"/>
            </w:pPr>
            <w:r>
              <w:rPr>
                <w:rFonts w:ascii="DejaVu Sans" w:hAnsi="DejaVu Sans" w:eastAsia="DejaVu Sans"/>
                <w:b/>
                <w:i w:val="0"/>
                <w:color w:val="5C6773"/>
                <w:sz w:val="17"/>
              </w:rPr>
              <w:t>T2-F047</w:t>
            </w:r>
          </w:p>
        </w:tc>
        <w:trPr>
          <w:tblHeader/>
        </w:trPr>
      </w:tr>
    </w:tbl>
    <w:p>
      <w:pPr>
        <w:spacing w:after="0"/>
      </w:pPr>
    </w:p>
    <w:p>
      <w:pPr>
        <w:widowControl/>
        <w:spacing w:after="80" w:line="264" w:lineRule="auto"/>
      </w:pPr>
      <w:r>
        <w:rPr>
          <w:rFonts w:ascii="DejaVu Serif" w:hAnsi="DejaVu Serif" w:eastAsia="DejaVu Serif"/>
          <w:b w:val="0"/>
          <w:i w:val="0"/>
          <w:color w:val="111111"/>
          <w:sz w:val="20"/>
        </w:rPr>
        <w:t>Without the square-zero relation, E is only a precomplex and H^3(E^bullet) is undefined. A sequence of arrows does not create cohomology unless the compositions, domains, and closures satisfy the required identities.</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Definition 13.2. Cochain Bridge J [DEF-A] </w:t>
            </w:r>
            <w:r>
              <w:rPr>
                <w:rFonts w:ascii="DejaVu Serif" w:hAnsi="DejaVu Serif" w:eastAsia="DejaVu Serif"/>
                <w:b w:val="0"/>
                <w:i w:val="0"/>
                <w:color w:val="111111"/>
                <w:sz w:val="19"/>
              </w:rPr>
              <w:t>A bridge from C_min^bullet(N) to E^bullet(N) is a cochain morphism whose essential components are J_N^2:F_N^2-&gt;E^2(N) and J_N^3:X_N^2-&gt;E^3(N).</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J_N^2:F_N^2 -&gt; E^2(N),    J_N^3:X_N^2 -&gt; E^3(N).</w:t>
            </w:r>
          </w:p>
        </w:tc>
        <w:tc>
          <w:tcPr>
            <w:tcW w:type="dxa" w:w="1531"/>
            <w:shd w:fill="F6F8FA"/>
          </w:tcPr>
          <w:p>
            <w:pPr>
              <w:jc w:val="right"/>
            </w:pPr>
            <w:r>
              <w:rPr>
                <w:rFonts w:ascii="DejaVu Sans" w:hAnsi="DejaVu Sans" w:eastAsia="DejaVu Sans"/>
                <w:b/>
                <w:i w:val="0"/>
                <w:color w:val="5C6773"/>
                <w:sz w:val="17"/>
              </w:rPr>
              <w:t>T2-F048</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d_E^2 J_N^2 = J_N^3 Psi_N^2,    d_E^3 J_N^3 = 0.</w:t>
            </w:r>
          </w:p>
        </w:tc>
        <w:tc>
          <w:tcPr>
            <w:tcW w:type="dxa" w:w="1531"/>
            <w:shd w:fill="F6F8FA"/>
          </w:tcPr>
          <w:p>
            <w:pPr>
              <w:jc w:val="right"/>
            </w:pPr>
            <w:r>
              <w:rPr>
                <w:rFonts w:ascii="DejaVu Sans" w:hAnsi="DejaVu Sans" w:eastAsia="DejaVu Sans"/>
                <w:b/>
                <w:i w:val="0"/>
                <w:color w:val="5C6773"/>
                <w:sz w:val="17"/>
              </w:rPr>
              <w:t>T2-F049</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first identity sends internal boundaries to external boundaries. The second ensures that every external image of an evaluated quadratic object is a 3-cocycle.</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1134"/>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Condition</w:t>
            </w:r>
          </w:p>
        </w:tc>
        <w:tc>
          <w:tcPr>
            <w:tcW w:type="dxa" w:w="6520"/>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Content</w:t>
            </w:r>
          </w:p>
        </w:tc>
        <w:tc>
          <w:tcPr>
            <w:tcW w:type="dxa" w:w="170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Status</w:t>
            </w:r>
          </w:p>
        </w:tc>
      </w:tr>
      <w:tr>
        <w:trPr>
          <w:cantSplit w:val="true"/>
        </w:trPr>
        <w:tc>
          <w:tcPr>
            <w:tcW w:type="dxa" w:w="1134"/>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B1</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E^bullet(N) is a cochain complex; d_E^2=0 in every relevant degree.</w:t>
            </w:r>
          </w:p>
        </w:tc>
        <w:tc>
          <w:tcPr>
            <w:tcW w:type="dxa" w:w="1701"/>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THM/INPUT</w:t>
            </w:r>
          </w:p>
        </w:tc>
      </w:tr>
      <w:tr>
        <w:trPr>
          <w:cantSplit w:val="true"/>
        </w:trPr>
        <w:tc>
          <w:tcPr>
            <w:tcW w:type="dxa" w:w="1134"/>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B2</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J_N is a typed cochain map with explicit domains and codomains.</w:t>
            </w:r>
          </w:p>
        </w:tc>
        <w:tc>
          <w:tcPr>
            <w:tcW w:type="dxa" w:w="1701"/>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THM/INPUT</w:t>
            </w:r>
          </w:p>
        </w:tc>
      </w:tr>
      <w:tr>
        <w:trPr>
          <w:cantSplit w:val="true"/>
        </w:trPr>
        <w:tc>
          <w:tcPr>
            <w:tcW w:type="dxa" w:w="1134"/>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B3</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 -&gt; E^bullet(N) is functorial for the chosen NAPG morphisms.</w:t>
            </w:r>
          </w:p>
        </w:tc>
        <w:tc>
          <w:tcPr>
            <w:tcW w:type="dxa" w:w="1701"/>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COND</w:t>
            </w:r>
          </w:p>
        </w:tc>
      </w:tr>
      <w:tr>
        <w:trPr>
          <w:cantSplit w:val="true"/>
        </w:trPr>
        <w:tc>
          <w:tcPr>
            <w:tcW w:type="dxa" w:w="1134"/>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B4</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J is a natural transformation C_min^bullet =&gt; E^bullet.</w:t>
            </w:r>
          </w:p>
        </w:tc>
        <w:tc>
          <w:tcPr>
            <w:tcW w:type="dxa" w:w="1701"/>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COND</w:t>
            </w:r>
          </w:p>
        </w:tc>
      </w:tr>
      <w:tr>
        <w:trPr>
          <w:cantSplit w:val="true"/>
        </w:trPr>
        <w:tc>
          <w:tcPr>
            <w:tcW w:type="dxa" w:w="1134"/>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B5</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Factorisation through kappa_N and H^3(J_N) is compatible with morphisms and admissible representation changes.</w:t>
            </w:r>
          </w:p>
        </w:tc>
        <w:tc>
          <w:tcPr>
            <w:tcW w:type="dxa" w:w="1701"/>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THM under B1-B4</w:t>
            </w:r>
          </w:p>
        </w:tc>
      </w:tr>
      <w:tr>
        <w:trPr>
          <w:cantSplit w:val="true"/>
        </w:trPr>
        <w:tc>
          <w:tcPr>
            <w:tcW w:type="dxa" w:w="1134"/>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B6</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Reverse detection requires injective Pi_E or a certified left inverse.</w:t>
            </w:r>
          </w:p>
        </w:tc>
        <w:tc>
          <w:tcPr>
            <w:tcW w:type="dxa" w:w="1701"/>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EXTRA</w:t>
            </w:r>
          </w:p>
        </w:tc>
      </w:tr>
      <w:tr>
        <w:trPr>
          <w:cantSplit w:val="true"/>
        </w:trPr>
        <w:tc>
          <w:tcPr>
            <w:tcW w:type="dxa" w:w="1134"/>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B7</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associator channel beta_Ass is defined separately; Pi_E is not called an associator.</w:t>
            </w:r>
          </w:p>
        </w:tc>
        <w:tc>
          <w:tcPr>
            <w:tcW w:type="dxa" w:w="1701"/>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OPEN/SEPARATE</w:t>
            </w:r>
          </w:p>
        </w:tc>
      </w:tr>
      <w:tr>
        <w:trPr>
          <w:cantSplit w:val="true"/>
        </w:trPr>
        <w:tc>
          <w:tcPr>
            <w:tcW w:type="dxa" w:w="1134"/>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B8</w:t>
            </w:r>
          </w:p>
        </w:tc>
        <w:tc>
          <w:tcPr>
            <w:tcW w:type="dxa" w:w="65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Physical, analytic, or domain interpretation requires a reduction, observable, data, and independent verification.</w:t>
            </w:r>
          </w:p>
        </w:tc>
        <w:tc>
          <w:tcPr>
            <w:tcW w:type="dxa" w:w="1701"/>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PHY-HYP/OPEN</w:t>
            </w:r>
          </w:p>
        </w:tc>
      </w:tr>
    </w:tbl>
    <w:p>
      <w:pPr>
        <w:spacing w:after="20"/>
      </w:pPr>
    </w:p>
    <w:p>
      <w:pPr>
        <w:keepNext/>
        <w:jc w:val="center"/>
      </w:pPr>
      <w:r>
        <w:drawing>
          <wp:inline xmlns:a="http://schemas.openxmlformats.org/drawingml/2006/main" xmlns:pic="http://schemas.openxmlformats.org/drawingml/2006/picture">
            <wp:extent cx="5760000" cy="3115102"/>
            <wp:docPr id="25" name="Picture 25" descr="Chain bridge from the internal minimal complex to the external complex and the induced map Pi_E" title="Chain bridge from the internal minimal complex to the external complex and the induced map Pi_E"/>
            <wp:cNvGraphicFramePr>
              <a:graphicFrameLocks noChangeAspect="1"/>
            </wp:cNvGraphicFramePr>
            <a:graphic>
              <a:graphicData uri="http://schemas.openxmlformats.org/drawingml/2006/picture">
                <pic:pic>
                  <pic:nvPicPr>
                    <pic:cNvPr id="0" name="fig26_external_bridge.png"/>
                    <pic:cNvPicPr/>
                  </pic:nvPicPr>
                  <pic:blipFill>
                    <a:blip r:embed="rId35"/>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26. Chain bridge J and the induced external obstruction map Pi_E.</w:t>
      </w:r>
    </w:p>
    <w:p>
      <w:pPr>
        <w:pStyle w:val="Heading2"/>
        <w:keepNext/>
        <w:pageBreakBefore w:val="0"/>
      </w:pPr>
      <w:r>
        <w:t>13.2. Well-Definedness and Naturality of Pi_E</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13.1. Descent to the Quotient [THM] </w:t>
            </w:r>
            <w:r>
              <w:rPr>
                <w:rFonts w:ascii="DejaVu Serif" w:hAnsi="DejaVu Serif" w:eastAsia="DejaVu Serif"/>
                <w:b w:val="0"/>
                <w:i w:val="0"/>
                <w:color w:val="111111"/>
                <w:sz w:val="19"/>
              </w:rPr>
              <w:t>Assume d_E^3 J_N^3=0. The assignment [x] -&gt; [J_N^3 x] defines a linear map coker Psi_N^2 -&gt; H^3(E^bullet(N)) if and only if J_N^3(Im Psi_N^2) is contained in Im d_E^2.</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[x] |-&gt; [J_N^3 x].</w:t>
            </w:r>
          </w:p>
        </w:tc>
        <w:tc>
          <w:tcPr>
            <w:tcW w:type="dxa" w:w="1531"/>
            <w:shd w:fill="F6F8FA"/>
          </w:tcPr>
          <w:p>
            <w:pPr>
              <w:jc w:val="right"/>
            </w:pPr>
            <w:r>
              <w:rPr>
                <w:rFonts w:ascii="DejaVu Sans" w:hAnsi="DejaVu Sans" w:eastAsia="DejaVu Sans"/>
                <w:b/>
                <w:i w:val="0"/>
                <w:color w:val="5C6773"/>
                <w:sz w:val="17"/>
              </w:rPr>
              <w:t>T2-F050</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J_N^3(Im Psi_N^2) subset Im d_E^2.</w:t>
            </w:r>
          </w:p>
        </w:tc>
        <w:tc>
          <w:tcPr>
            <w:tcW w:type="dxa" w:w="1531"/>
            <w:shd w:fill="F6F8FA"/>
          </w:tcPr>
          <w:p>
            <w:pPr>
              <w:jc w:val="right"/>
            </w:pPr>
            <w:r>
              <w:rPr>
                <w:rFonts w:ascii="DejaVu Sans" w:hAnsi="DejaVu Sans" w:eastAsia="DejaVu Sans"/>
                <w:b/>
                <w:i w:val="0"/>
                <w:color w:val="5C6773"/>
                <w:sz w:val="17"/>
              </w:rPr>
              <w:t>T2-F051</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Two representatives x and x+Psi_N^2 f define the same internal class. Their external images define the same cohomology class exactly when J_N^3 Psi_N^2 f is an external boundary for every f. Closedness follows from d_E^3J_N^3=0. □</w:t>
      </w:r>
    </w:p>
    <w:p>
      <w:pPr>
        <w:widowControl/>
        <w:spacing w:after="80" w:line="264" w:lineRule="auto"/>
      </w:pPr>
      <w:r>
        <w:rPr>
          <w:rFonts w:ascii="DejaVu Serif" w:hAnsi="DejaVu Serif" w:eastAsia="DejaVu Serif"/>
          <w:b w:val="0"/>
          <w:i w:val="0"/>
          <w:color w:val="111111"/>
          <w:sz w:val="20"/>
        </w:rPr>
        <w:t>The chain identity d_E^2J_N^2=J_N^3Psi_N^2 implies this condition. Conversely, a lift J_N^2 may be selected over vector spaces after choosing a section of d_E^2 onto its image. For general modules, projectivity or a splitting is a separate obligation.</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13.3. External Obstruction Map [COND/THM under B1-B5] </w:t>
            </w:r>
            <w:r>
              <w:rPr>
                <w:rFonts w:ascii="DejaVu Serif" w:hAnsi="DejaVu Serif" w:eastAsia="DejaVu Serif"/>
                <w:b w:val="0"/>
                <w:i w:val="0"/>
                <w:color w:val="111111"/>
                <w:sz w:val="19"/>
              </w:rPr>
              <w:t>Under B1-B5, Pi_E,N is the cohomology map induced by J_N after the canonical quotient identification kappa_N.</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Pi_E,N := H^3(J_N) o kappa_N : O_B(N) -&gt; H^3(E^bullet(N)).</w:t>
            </w:r>
          </w:p>
        </w:tc>
        <w:tc>
          <w:tcPr>
            <w:tcW w:type="dxa" w:w="1531"/>
            <w:shd w:fill="F6F8FA"/>
          </w:tcPr>
          <w:p>
            <w:pPr>
              <w:jc w:val="right"/>
            </w:pPr>
            <w:r>
              <w:rPr>
                <w:rFonts w:ascii="DejaVu Sans" w:hAnsi="DejaVu Sans" w:eastAsia="DejaVu Sans"/>
                <w:b/>
                <w:i w:val="0"/>
                <w:color w:val="5C6773"/>
                <w:sz w:val="17"/>
              </w:rPr>
              <w:t>T2-F052</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Pi_E,N([x]) = [J_N^3 x].</w:t>
            </w:r>
          </w:p>
        </w:tc>
        <w:tc>
          <w:tcPr>
            <w:tcW w:type="dxa" w:w="1531"/>
            <w:shd w:fill="F6F8FA"/>
          </w:tcPr>
          <w:p>
            <w:pPr>
              <w:jc w:val="right"/>
            </w:pPr>
            <w:r>
              <w:rPr>
                <w:rFonts w:ascii="DejaVu Sans" w:hAnsi="DejaVu Sans" w:eastAsia="DejaVu Sans"/>
                <w:b/>
                <w:i w:val="0"/>
                <w:color w:val="5C6773"/>
                <w:sz w:val="17"/>
              </w:rPr>
              <w:t>T2-F053</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13.2. Naturality [THM under B3-B5] </w:t>
            </w:r>
            <w:r>
              <w:rPr>
                <w:rFonts w:ascii="DejaVu Serif" w:hAnsi="DejaVu Serif" w:eastAsia="DejaVu Serif"/>
                <w:b w:val="0"/>
                <w:i w:val="0"/>
                <w:color w:val="111111"/>
                <w:sz w:val="19"/>
              </w:rPr>
              <w:t>For every admitted morphism f:N-&gt;N', the external square commutes: H^3(E(f)) Pi_E,N = Pi_E,N' O_B(f).</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H^3(E(f)) Pi_E,N = Pi_E,N' O_B(f).</w:t>
            </w:r>
          </w:p>
        </w:tc>
        <w:tc>
          <w:tcPr>
            <w:tcW w:type="dxa" w:w="1531"/>
            <w:shd w:fill="F6F8FA"/>
          </w:tcPr>
          <w:p>
            <w:pPr>
              <w:jc w:val="right"/>
            </w:pPr>
            <w:r>
              <w:rPr>
                <w:rFonts w:ascii="DejaVu Sans" w:hAnsi="DejaVu Sans" w:eastAsia="DejaVu Sans"/>
                <w:b/>
                <w:i w:val="0"/>
                <w:color w:val="5C6773"/>
                <w:sz w:val="17"/>
              </w:rPr>
              <w:t>T2-F054</w:t>
            </w:r>
          </w:p>
        </w:tc>
        <w:trPr>
          <w:tblHeader/>
        </w:trPr>
      </w:tr>
    </w:tbl>
    <w:p>
      <w:pPr>
        <w:spacing w:after="0"/>
      </w:pPr>
    </w:p>
    <w:p>
      <w:pPr>
        <w:pStyle w:val="Heading2"/>
        <w:keepNext/>
        <w:pageBreakBefore w:val="0"/>
      </w:pPr>
      <w:r>
        <w:t>13.3. One-Way, Reverse, and Complete Detection</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13.3. One-Way Detection [THM] </w:t>
            </w:r>
            <w:r>
              <w:rPr>
                <w:rFonts w:ascii="DejaVu Serif" w:hAnsi="DejaVu Serif" w:eastAsia="DejaVu Serif"/>
                <w:b w:val="0"/>
                <w:i w:val="0"/>
                <w:color w:val="111111"/>
                <w:sz w:val="19"/>
              </w:rPr>
              <w:t>For every correctly defined Pi_E, a nonzero image implies a nonzero internal class.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Pi_E(o) != 0  =&gt;  o != 0.</w:t>
            </w:r>
          </w:p>
        </w:tc>
        <w:tc>
          <w:tcPr>
            <w:tcW w:type="dxa" w:w="1531"/>
            <w:shd w:fill="F6F8FA"/>
          </w:tcPr>
          <w:p>
            <w:pPr>
              <w:jc w:val="right"/>
            </w:pPr>
            <w:r>
              <w:rPr>
                <w:rFonts w:ascii="DejaVu Sans" w:hAnsi="DejaVu Sans" w:eastAsia="DejaVu Sans"/>
                <w:b/>
                <w:i w:val="0"/>
                <w:color w:val="5C6773"/>
                <w:sz w:val="17"/>
              </w:rPr>
              <w:t>T2-F055</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converse is false without injectivity. Moreover, a nonzero arbitrary element of H^3(E) is not evidence of an internal obstruction unless it is certified to belong to Im Pi_E.</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13.4. Reverse Detection Criterion [THM] </w:t>
            </w:r>
            <w:r>
              <w:rPr>
                <w:rFonts w:ascii="DejaVu Serif" w:hAnsi="DejaVu Serif" w:eastAsia="DejaVu Serif"/>
                <w:b w:val="0"/>
                <w:i w:val="0"/>
                <w:color w:val="111111"/>
                <w:sz w:val="19"/>
              </w:rPr>
              <w:t>The following are equivalent: Pi_E is injective; Pi_E(o)=0 implies o=0; o!=0 implies Pi_E(o)!=0; and J_N^3x in Im d_E^2 implies x in Im Psi_N^2. In finite dimensions these are also equivalent to the existence of a linear left inverse S with S Pi_E=id, although S need not be canonical.</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192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Bridge quality</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Condition</w:t>
            </w:r>
          </w:p>
        </w:tc>
        <w:tc>
          <w:tcPr>
            <w:tcW w:type="dxa" w:w="5159"/>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Permitted conclusion</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faithful</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Pi_E injective</w:t>
            </w:r>
          </w:p>
        </w:tc>
        <w:tc>
          <w:tcPr>
            <w:tcW w:type="dxa" w:w="515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An external zero supports the reverse internal-zero conclusion.</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complete</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Pi_E surjective</w:t>
            </w:r>
          </w:p>
        </w:tc>
        <w:tc>
          <w:tcPr>
            <w:tcW w:type="dxa" w:w="515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Every external H^3 class is explained by an internal class.</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exact</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Pi_E is an isomorphism</w:t>
            </w:r>
          </w:p>
        </w:tc>
        <w:tc>
          <w:tcPr>
            <w:tcW w:type="dxa" w:w="515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Degree-3 information agrees.</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degree-3 quasi-isomorphism</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H^3(J) is an isomorphism</w:t>
            </w:r>
          </w:p>
        </w:tc>
        <w:tc>
          <w:tcPr>
            <w:tcW w:type="dxa" w:w="515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No assertion about other degrees.</w:t>
            </w:r>
          </w:p>
        </w:tc>
      </w:tr>
      <w:tr>
        <w:trPr>
          <w:cantSplit w:val="true"/>
        </w:trPr>
        <w:tc>
          <w:tcPr>
            <w:tcW w:type="dxa" w:w="19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quasi-isomorphism</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H^n(J) is an isomorphism for all n</w:t>
            </w:r>
          </w:p>
        </w:tc>
        <w:tc>
          <w:tcPr>
            <w:tcW w:type="dxa" w:w="515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Full cohomological equivalence.</w:t>
            </w:r>
          </w:p>
        </w:tc>
      </w:tr>
    </w:tbl>
    <w:p>
      <w:pPr>
        <w:spacing w:after="20"/>
      </w:pPr>
    </w:p>
    <w:p>
      <w:pPr>
        <w:pStyle w:val="Heading2"/>
        <w:keepNext/>
        <w:pageBreakBefore w:val="0"/>
      </w:pPr>
      <w:r>
        <w:t>13.4. Mapping Cone, Blind Defect, and Excess Defect</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Definition 13.5. Mapping Cone [CL] </w:t>
            </w:r>
            <w:r>
              <w:rPr>
                <w:rFonts w:ascii="DejaVu Serif" w:hAnsi="DejaVu Serif" w:eastAsia="DejaVu Serif"/>
                <w:b w:val="0"/>
                <w:i w:val="0"/>
                <w:color w:val="111111"/>
                <w:sz w:val="19"/>
              </w:rPr>
              <w:t>For a cochain bridge J:C_min^bullet-&gt;E^bullet, define Cone(J)^n=E^n direct-sum C_min^{n+1} with differential D_J(e,c)=(d_Ee+Jc,-delta_min c).</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Cone(J)^n = E^n direct-sum C_min^{n+1}.</w:t>
            </w:r>
          </w:p>
        </w:tc>
        <w:tc>
          <w:tcPr>
            <w:tcW w:type="dxa" w:w="1531"/>
            <w:shd w:fill="F6F8FA"/>
          </w:tcPr>
          <w:p>
            <w:pPr>
              <w:jc w:val="right"/>
            </w:pPr>
            <w:r>
              <w:rPr>
                <w:rFonts w:ascii="DejaVu Sans" w:hAnsi="DejaVu Sans" w:eastAsia="DejaVu Sans"/>
                <w:b/>
                <w:i w:val="0"/>
                <w:color w:val="5C6773"/>
                <w:sz w:val="17"/>
              </w:rPr>
              <w:t>T2-F056</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D_J(e,c)=(d_E e + Jc, -delta_min c).</w:t>
            </w:r>
          </w:p>
        </w:tc>
        <w:tc>
          <w:tcPr>
            <w:tcW w:type="dxa" w:w="1531"/>
            <w:shd w:fill="F6F8FA"/>
          </w:tcPr>
          <w:p>
            <w:pPr>
              <w:jc w:val="right"/>
            </w:pPr>
            <w:r>
              <w:rPr>
                <w:rFonts w:ascii="DejaVu Sans" w:hAnsi="DejaVu Sans" w:eastAsia="DejaVu Sans"/>
                <w:b/>
                <w:i w:val="0"/>
                <w:color w:val="5C6773"/>
                <w:sz w:val="17"/>
              </w:rPr>
              <w:t>T2-F057</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13.5. Exact Detection Sequence [THM] </w:t>
            </w:r>
            <w:r>
              <w:rPr>
                <w:rFonts w:ascii="DejaVu Serif" w:hAnsi="DejaVu Serif" w:eastAsia="DejaVu Serif"/>
                <w:b w:val="0"/>
                <w:i w:val="0"/>
                <w:color w:val="111111"/>
                <w:sz w:val="19"/>
              </w:rPr>
              <w:t>The mapping cone yields the exact segment H^2(C_min)-&gt;H^2(E)-&gt;H^2(Cone J)-&gt;O_B --Pi_E--&gt; H^3(E)-&gt;H^3(Cone J)-&gt;0.</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H^2(C_min)-&gt;H^2(E)-&gt;H^2(Cone J)-&gt;O_B --Pi_E--&gt; H^3(E)-&gt;H^3(Cone J)-&gt;0.</w:t>
            </w:r>
          </w:p>
        </w:tc>
        <w:tc>
          <w:tcPr>
            <w:tcW w:type="dxa" w:w="1531"/>
            <w:shd w:fill="F6F8FA"/>
          </w:tcPr>
          <w:p>
            <w:pPr>
              <w:jc w:val="right"/>
            </w:pPr>
            <w:r>
              <w:rPr>
                <w:rFonts w:ascii="DejaVu Sans" w:hAnsi="DejaVu Sans" w:eastAsia="DejaVu Sans"/>
                <w:b/>
                <w:i w:val="0"/>
                <w:color w:val="5C6773"/>
                <w:sz w:val="17"/>
              </w:rPr>
              <w:t>T2-F058</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Blind_E(N):=Ker Pi_E,N,    Excess_E(N):=Coker Pi_E,N.</w:t>
            </w:r>
          </w:p>
        </w:tc>
        <w:tc>
          <w:tcPr>
            <w:tcW w:type="dxa" w:w="1531"/>
            <w:shd w:fill="F6F8FA"/>
          </w:tcPr>
          <w:p>
            <w:pPr>
              <w:jc w:val="right"/>
            </w:pPr>
            <w:r>
              <w:rPr>
                <w:rFonts w:ascii="DejaVu Sans" w:hAnsi="DejaVu Sans" w:eastAsia="DejaVu Sans"/>
                <w:b/>
                <w:i w:val="0"/>
                <w:color w:val="5C6773"/>
                <w:sz w:val="17"/>
              </w:rPr>
              <w:t>T2-F059</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Blind_E=Im(H^2(Cone J)-&gt;O_B),    Excess_E isomorphic H^3(Cone J).</w:t>
            </w:r>
          </w:p>
        </w:tc>
        <w:tc>
          <w:tcPr>
            <w:tcW w:type="dxa" w:w="1531"/>
            <w:shd w:fill="F6F8FA"/>
          </w:tcPr>
          <w:p>
            <w:pPr>
              <w:jc w:val="right"/>
            </w:pPr>
            <w:r>
              <w:rPr>
                <w:rFonts w:ascii="DejaVu Sans" w:hAnsi="DejaVu Sans" w:eastAsia="DejaVu Sans"/>
                <w:b/>
                <w:i w:val="0"/>
                <w:color w:val="5C6773"/>
                <w:sz w:val="17"/>
              </w:rPr>
              <w:t>T2-F061</w:t>
            </w:r>
          </w:p>
        </w:tc>
        <w:trPr>
          <w:tblHeader/>
        </w:trPr>
      </w:tr>
    </w:tbl>
    <w:p>
      <w:pPr>
        <w:spacing w:after="0"/>
      </w:pPr>
    </w:p>
    <w:p>
      <w:pPr>
        <w:widowControl/>
        <w:spacing w:after="80" w:line="264" w:lineRule="auto"/>
      </w:pPr>
      <w:r>
        <w:rPr>
          <w:rFonts w:ascii="DejaVu Serif" w:hAnsi="DejaVu Serif" w:eastAsia="DejaVu Serif"/>
          <w:b w:val="0"/>
          <w:i w:val="0"/>
          <w:color w:val="111111"/>
          <w:sz w:val="20"/>
        </w:rPr>
        <w:t>Blind_E measures internal obstructions invisible to the selected external realisation. Excess_E measures external degree-3 classes not explained by the internal quadratic layer. These are different failures and cannot cancel one another.</w:t>
      </w:r>
    </w:p>
    <w:p>
      <w:pPr>
        <w:keepNext/>
        <w:jc w:val="center"/>
      </w:pPr>
      <w:r>
        <w:drawing>
          <wp:inline xmlns:a="http://schemas.openxmlformats.org/drawingml/2006/main" xmlns:pic="http://schemas.openxmlformats.org/drawingml/2006/picture">
            <wp:extent cx="5760000" cy="3115102"/>
            <wp:docPr id="26" name="Picture 26" descr="Mapping cone with blind and excess external detection defects" title="Mapping cone with blind and excess external detection defects"/>
            <wp:cNvGraphicFramePr>
              <a:graphicFrameLocks noChangeAspect="1"/>
            </wp:cNvGraphicFramePr>
            <a:graphic>
              <a:graphicData uri="http://schemas.openxmlformats.org/drawingml/2006/picture">
                <pic:pic>
                  <pic:nvPicPr>
                    <pic:cNvPr id="0" name="fig27_mapping_cone.png"/>
                    <pic:cNvPicPr/>
                  </pic:nvPicPr>
                  <pic:blipFill>
                    <a:blip r:embed="rId36"/>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27. Mapping cone and the two defects of external detection.</w:t>
      </w:r>
    </w:p>
    <w:p>
      <w:pPr>
        <w:pStyle w:val="Heading2"/>
        <w:keepNext/>
        <w:pageBreakBefore w:val="0"/>
      </w:pPr>
      <w:r>
        <w:t>13.5. Dependence on the External Realisation</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13.6. Chain-Homotopy Invariance [CL/THM] </w:t>
            </w:r>
            <w:r>
              <w:rPr>
                <w:rFonts w:ascii="DejaVu Serif" w:hAnsi="DejaVu Serif" w:eastAsia="DejaVu Serif"/>
                <w:b w:val="0"/>
                <w:i w:val="0"/>
                <w:color w:val="111111"/>
                <w:sz w:val="19"/>
              </w:rPr>
              <w:t>If J and K are chain-homotopic maps C_min^bullet-&gt;E^bullet, then H^n(J)=H^n(K) in every degree and Pi_E^J=Pi_E^K.</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H^n(J)=H^n(K) for all n; therefore Pi_E^J=Pi_E^K.</w:t>
            </w:r>
          </w:p>
        </w:tc>
        <w:tc>
          <w:tcPr>
            <w:tcW w:type="dxa" w:w="1531"/>
            <w:shd w:fill="F6F8FA"/>
          </w:tcPr>
          <w:p>
            <w:pPr>
              <w:jc w:val="right"/>
            </w:pPr>
            <w:r>
              <w:rPr>
                <w:rFonts w:ascii="DejaVu Sans" w:hAnsi="DejaVu Sans" w:eastAsia="DejaVu Sans"/>
                <w:b/>
                <w:i w:val="0"/>
                <w:color w:val="5C6773"/>
                <w:sz w:val="17"/>
              </w:rPr>
              <w:t>T2-F063</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J^2-K^2=d_E^1h^2+h^3Psi^2,    J^3-K^3=d_E^2h^3.</w:t>
            </w:r>
          </w:p>
        </w:tc>
        <w:tc>
          <w:tcPr>
            <w:tcW w:type="dxa" w:w="1531"/>
            <w:shd w:fill="F6F8FA"/>
          </w:tcPr>
          <w:p>
            <w:pPr>
              <w:jc w:val="right"/>
            </w:pPr>
            <w:r>
              <w:rPr>
                <w:rFonts w:ascii="DejaVu Sans" w:hAnsi="DejaVu Sans" w:eastAsia="DejaVu Sans"/>
                <w:b/>
                <w:i w:val="0"/>
                <w:color w:val="5C6773"/>
                <w:sz w:val="17"/>
              </w:rPr>
              <w:t>T2-F064</w:t>
            </w:r>
          </w:p>
        </w:tc>
        <w:trPr>
          <w:tblHeader/>
        </w:trPr>
      </w:tr>
    </w:tbl>
    <w:p>
      <w:pPr>
        <w:spacing w:after="0"/>
      </w:pPr>
    </w:p>
    <w:p>
      <w:pPr>
        <w:widowControl/>
        <w:spacing w:after="80" w:line="264" w:lineRule="auto"/>
      </w:pPr>
      <w:r>
        <w:rPr>
          <w:rFonts w:ascii="DejaVu Serif" w:hAnsi="DejaVu Serif" w:eastAsia="DejaVu Serif"/>
          <w:b w:val="0"/>
          <w:i w:val="0"/>
          <w:color w:val="111111"/>
          <w:sz w:val="20"/>
        </w:rPr>
        <w:t>Thus Pi_E depends on the homotopy class of the bridge, not on its literal matrix. Non-homotopic bridges may detect different external information.</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Proposition 13.6.2. Comparison of External Complexes [PROP] </w:t>
            </w:r>
            <w:r>
              <w:rPr>
                <w:rFonts w:ascii="DejaVu Serif" w:hAnsi="DejaVu Serif" w:eastAsia="DejaVu Serif"/>
                <w:b w:val="0"/>
                <w:i w:val="0"/>
                <w:color w:val="111111"/>
                <w:sz w:val="19"/>
              </w:rPr>
              <w:t>If Q:E^bullet-&gt;F^bullet is a cochain map and J_F=QJ_E, then Pi_F=H^3(Q)Pi_E. Detection is preserved only when H^3(Q) is injective on Im Pi_E.</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Pi_F = H^3(Q) Pi_E.</w:t>
            </w:r>
          </w:p>
        </w:tc>
        <w:tc>
          <w:tcPr>
            <w:tcW w:type="dxa" w:w="1531"/>
            <w:shd w:fill="F6F8FA"/>
          </w:tcPr>
          <w:p>
            <w:pPr>
              <w:jc w:val="right"/>
            </w:pPr>
            <w:r>
              <w:rPr>
                <w:rFonts w:ascii="DejaVu Sans" w:hAnsi="DejaVu Sans" w:eastAsia="DejaVu Sans"/>
                <w:b/>
                <w:i w:val="0"/>
                <w:color w:val="5C6773"/>
                <w:sz w:val="17"/>
              </w:rPr>
              <w:t>T2-F065</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13.6. Category of External Realisations [DEF-A] </w:t>
            </w:r>
            <w:r>
              <w:rPr>
                <w:rFonts w:ascii="DejaVu Serif" w:hAnsi="DejaVu Serif" w:eastAsia="DejaVu Serif"/>
                <w:b w:val="0"/>
                <w:i w:val="0"/>
                <w:color w:val="111111"/>
                <w:sz w:val="19"/>
              </w:rPr>
              <w:t>An object of ExtReal(N) is a pair (E,J) satisfying B1-B2. A morphism (E,J)-&gt;(F,K) is a cochain map Q:E-&gt;F with QJ=K.</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(E,J) |-&gt; Pi_E:O_B(N)-&gt;H^3(E).</w:t>
            </w:r>
          </w:p>
        </w:tc>
        <w:tc>
          <w:tcPr>
            <w:tcW w:type="dxa" w:w="1531"/>
            <w:shd w:fill="F6F8FA"/>
          </w:tcPr>
          <w:p>
            <w:pPr>
              <w:jc w:val="right"/>
            </w:pPr>
            <w:r>
              <w:rPr>
                <w:rFonts w:ascii="DejaVu Sans" w:hAnsi="DejaVu Sans" w:eastAsia="DejaVu Sans"/>
                <w:b/>
                <w:i w:val="0"/>
                <w:color w:val="5C6773"/>
                <w:sz w:val="17"/>
              </w:rPr>
              <w:t>T2-F066</w:t>
            </w:r>
          </w:p>
        </w:tc>
        <w:trPr>
          <w:tblHeader/>
        </w:trPr>
      </w:tr>
    </w:tbl>
    <w:p>
      <w:pPr>
        <w:spacing w:after="0"/>
      </w:pPr>
    </w:p>
    <w:p>
      <w:pPr>
        <w:widowControl/>
        <w:spacing w:after="80" w:line="264" w:lineRule="auto"/>
      </w:pPr>
      <w:r>
        <w:rPr>
          <w:rFonts w:ascii="DejaVu Serif" w:hAnsi="DejaVu Serif" w:eastAsia="DejaVu Serif"/>
          <w:b w:val="0"/>
          <w:i w:val="0"/>
          <w:color w:val="111111"/>
          <w:sz w:val="20"/>
        </w:rPr>
        <w:t>An external class is canonical relative to a declared subcategory only when the admissible realisations are connected by J-compatible quasi-isomorphisms and the resulting degree-3 classes agree. Coinciding dimensions or names are not a comparison theorem.</w:t>
      </w:r>
    </w:p>
    <w:p>
      <w:pPr>
        <w:pStyle w:val="Heading2"/>
        <w:keepNext/>
        <w:pageBreakBefore w:val="0"/>
      </w:pPr>
      <w:r>
        <w:t>13.6. Finite-Dimensional Numerical Detection</w:t>
      </w:r>
    </w:p>
    <w:p>
      <w:pPr>
        <w:widowControl/>
        <w:spacing w:after="80" w:line="264" w:lineRule="auto"/>
      </w:pPr>
      <w:r>
        <w:rPr>
          <w:rFonts w:ascii="DejaVu Serif" w:hAnsi="DejaVu Serif" w:eastAsia="DejaVu Serif"/>
          <w:b w:val="0"/>
          <w:i w:val="0"/>
          <w:color w:val="111111"/>
          <w:sz w:val="20"/>
        </w:rPr>
        <w:t>In a Euclidean or Hermitian sector, choose orthogonal decompositions of the internal quotient and external cohomology. The induced bridge is represented by a finite matrix P_E from the minimal-norm internal carrier to the harmonic external carrier.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X_N^2=Im Psi_N^2 direct-sum O_N,    Ker d_E^3=Im d_E^2 direct-sum H_E^3.</w:t>
            </w:r>
          </w:p>
        </w:tc>
        <w:tc>
          <w:tcPr>
            <w:tcW w:type="dxa" w:w="1531"/>
            <w:shd w:fill="F6F8FA"/>
          </w:tcPr>
          <w:p>
            <w:pPr>
              <w:jc w:val="right"/>
            </w:pPr>
            <w:r>
              <w:rPr>
                <w:rFonts w:ascii="DejaVu Sans" w:hAnsi="DejaVu Sans" w:eastAsia="DejaVu Sans"/>
                <w:b/>
                <w:i w:val="0"/>
                <w:color w:val="5C6773"/>
                <w:sz w:val="17"/>
              </w:rPr>
              <w:t>T2-F067</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P_E:=P_{H_E^3} J_N^3 |_{O_N}.</w:t>
            </w:r>
          </w:p>
        </w:tc>
        <w:tc>
          <w:tcPr>
            <w:tcW w:type="dxa" w:w="1531"/>
            <w:shd w:fill="F6F8FA"/>
          </w:tcPr>
          <w:p>
            <w:pPr>
              <w:jc w:val="right"/>
            </w:pPr>
            <w:r>
              <w:rPr>
                <w:rFonts w:ascii="DejaVu Sans" w:hAnsi="DejaVu Sans" w:eastAsia="DejaVu Sans"/>
                <w:b/>
                <w:i w:val="0"/>
                <w:color w:val="5C6773"/>
                <w:sz w:val="17"/>
              </w:rPr>
              <w:t>T2-F068</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13.8. Stable Reverse Detection [THM/COMP] </w:t>
            </w:r>
            <w:r>
              <w:rPr>
                <w:rFonts w:ascii="DejaVu Serif" w:hAnsi="DejaVu Serif" w:eastAsia="DejaVu Serif"/>
                <w:b w:val="0"/>
                <w:i w:val="0"/>
                <w:color w:val="111111"/>
                <w:sz w:val="19"/>
              </w:rPr>
              <w:t>P_E is injective exactly when its smallest singular value is positive. If sigma_min(P_E)&gt;=s_0&gt;0, then ||Pi_E(o)||&gt;=s_0||o|| for every internal class o.</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sigma_min(P_E) &gt;= s_0 &gt; 0.</w:t>
            </w:r>
          </w:p>
        </w:tc>
        <w:tc>
          <w:tcPr>
            <w:tcW w:type="dxa" w:w="1531"/>
            <w:shd w:fill="F6F8FA"/>
          </w:tcPr>
          <w:p>
            <w:pPr>
              <w:jc w:val="right"/>
            </w:pPr>
            <w:r>
              <w:rPr>
                <w:rFonts w:ascii="DejaVu Sans" w:hAnsi="DejaVu Sans" w:eastAsia="DejaVu Sans"/>
                <w:b/>
                <w:i w:val="0"/>
                <w:color w:val="5C6773"/>
                <w:sz w:val="17"/>
              </w:rPr>
              <w:t>T2-F069</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||Pi_E(o)|| &gt;= s_0 ||o||.</w:t>
            </w:r>
          </w:p>
        </w:tc>
        <w:tc>
          <w:tcPr>
            <w:tcW w:type="dxa" w:w="1531"/>
            <w:shd w:fill="F6F8FA"/>
          </w:tcPr>
          <w:p>
            <w:pPr>
              <w:jc w:val="right"/>
            </w:pPr>
            <w:r>
              <w:rPr>
                <w:rFonts w:ascii="DejaVu Sans" w:hAnsi="DejaVu Sans" w:eastAsia="DejaVu Sans"/>
                <w:b/>
                <w:i w:val="0"/>
                <w:color w:val="5C6773"/>
                <w:sz w:val="17"/>
              </w:rPr>
              <w:t>T2-F070</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eta_E([x]):=||P_{H_E^3} J_N^3 x_min||.</w:t>
            </w:r>
          </w:p>
        </w:tc>
        <w:tc>
          <w:tcPr>
            <w:tcW w:type="dxa" w:w="1531"/>
            <w:shd w:fill="F6F8FA"/>
          </w:tcPr>
          <w:p>
            <w:pPr>
              <w:jc w:val="right"/>
            </w:pPr>
            <w:r>
              <w:rPr>
                <w:rFonts w:ascii="DejaVu Sans" w:hAnsi="DejaVu Sans" w:eastAsia="DejaVu Sans"/>
                <w:b/>
                <w:i w:val="0"/>
                <w:color w:val="5C6773"/>
                <w:sz w:val="17"/>
              </w:rPr>
              <w:t>T2-F071</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invariant residual eta_E vanishes exactly when the external class vanishes. A certified lower bound supplies a robust one-way obstruction statement; it does not create an inverse conclusion unless the injectivity margin is also certified.</w:t>
      </w:r>
    </w:p>
    <w:p>
      <w:pPr>
        <w:pStyle w:val="Heading2"/>
        <w:keepNext/>
        <w:pageBreakBefore w:val="0"/>
      </w:pPr>
      <w:r>
        <w:t>13.7. Parameter Families and the External Horizon</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Delta_E=Delta_complex union Delta_chain union Delta_rankPi union Delta_sigmaPi union Delta_hom union Delta_D union Delta_Dom union Delta_glue.</w:t>
            </w:r>
          </w:p>
        </w:tc>
        <w:tc>
          <w:tcPr>
            <w:tcW w:type="dxa" w:w="1531"/>
            <w:shd w:fill="F6F8FA"/>
          </w:tcPr>
          <w:p>
            <w:pPr>
              <w:jc w:val="right"/>
            </w:pPr>
            <w:r>
              <w:rPr>
                <w:rFonts w:ascii="DejaVu Sans" w:hAnsi="DejaVu Sans" w:eastAsia="DejaVu Sans"/>
                <w:b/>
                <w:i w:val="0"/>
                <w:color w:val="5C6773"/>
                <w:sz w:val="17"/>
              </w:rPr>
              <w:t>T2-F072</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horizon records failures of the complex identity, the chain-map identity, constancy of rank, injectivity margin, homotopy class, Evidence-D, domain, and globalisation. These components are not merged into a single untyped error score.</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13.9. Persistence of a Nonzero External Obstruction [COND] </w:t>
            </w:r>
            <w:r>
              <w:rPr>
                <w:rFonts w:ascii="DejaVu Serif" w:hAnsi="DejaVu Serif" w:eastAsia="DejaVu Serif"/>
                <w:b w:val="0"/>
                <w:i w:val="0"/>
                <w:color w:val="111111"/>
                <w:sz w:val="19"/>
              </w:rPr>
              <w:t>If the family of bridges and harmonic representatives is continuous on a connected interval, the rank profile is constant, and ||Pi_E,t(o_t)||&gt;=epsilon_E&gt;0, then the external obstruction cannot disappear on that interval.</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||Pi_E,t(o_t)|| &gt;= epsilon_E for all t in I.</w:t>
            </w:r>
          </w:p>
        </w:tc>
        <w:tc>
          <w:tcPr>
            <w:tcW w:type="dxa" w:w="1531"/>
            <w:shd w:fill="F6F8FA"/>
          </w:tcPr>
          <w:p>
            <w:pPr>
              <w:jc w:val="right"/>
            </w:pPr>
            <w:r>
              <w:rPr>
                <w:rFonts w:ascii="DejaVu Sans" w:hAnsi="DejaVu Sans" w:eastAsia="DejaVu Sans"/>
                <w:b/>
                <w:i w:val="0"/>
                <w:color w:val="5C6773"/>
                <w:sz w:val="17"/>
              </w:rPr>
              <w:t>T2-F073</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P_E(t)=(dim H^3(E_t), rank Pi_E,t, dim Blind_E,t, dim Excess_E,t, sigma_min(P_E,t), eta_E(o_t)).</w:t>
            </w:r>
          </w:p>
        </w:tc>
        <w:tc>
          <w:tcPr>
            <w:tcW w:type="dxa" w:w="1531"/>
            <w:shd w:fill="F6F8FA"/>
          </w:tcPr>
          <w:p>
            <w:pPr>
              <w:jc w:val="right"/>
            </w:pPr>
            <w:r>
              <w:rPr>
                <w:rFonts w:ascii="DejaVu Sans" w:hAnsi="DejaVu Sans" w:eastAsia="DejaVu Sans"/>
                <w:b/>
                <w:i w:val="0"/>
                <w:color w:val="5C6773"/>
                <w:sz w:val="17"/>
              </w:rPr>
              <w:t>T2-F074</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27" name="Picture 27" descr="Blocker-safe external detection gate" title="Blocker-safe external detection gate"/>
            <wp:cNvGraphicFramePr>
              <a:graphicFrameLocks noChangeAspect="1"/>
            </wp:cNvGraphicFramePr>
            <a:graphic>
              <a:graphicData uri="http://schemas.openxmlformats.org/drawingml/2006/picture">
                <pic:pic>
                  <pic:nvPicPr>
                    <pic:cNvPr id="0" name="fig28_external_gate.png"/>
                    <pic:cNvPicPr/>
                  </pic:nvPicPr>
                  <pic:blipFill>
                    <a:blip r:embed="rId37"/>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28. Blocker-safe gate for external detection.</w:t>
      </w:r>
    </w:p>
    <w:p>
      <w:pPr>
        <w:pStyle w:val="Heading2"/>
        <w:keepNext/>
        <w:pageBreakBefore w:val="0"/>
      </w:pPr>
      <w:r>
        <w:t>13.8. Separate Associator Channel</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beta_Ass,N:T_Ass(N)-&gt;H^3(A_Ass^bullet(N)).</w:t>
            </w:r>
          </w:p>
        </w:tc>
        <w:tc>
          <w:tcPr>
            <w:tcW w:type="dxa" w:w="1531"/>
            <w:shd w:fill="F6F8FA"/>
          </w:tcPr>
          <w:p>
            <w:pPr>
              <w:jc w:val="right"/>
            </w:pPr>
            <w:r>
              <w:rPr>
                <w:rFonts w:ascii="DejaVu Sans" w:hAnsi="DejaVu Sans" w:eastAsia="DejaVu Sans"/>
                <w:b/>
                <w:i w:val="0"/>
                <w:color w:val="5C6773"/>
                <w:sz w:val="17"/>
              </w:rPr>
              <w:t>T2-F075</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associator may be transported to its own external complex through beta_Ass. An identification with Pi_E requires an explicit comparison S on the internal side and Q on the external side, together with the commuting relation below. Without it, both channels remain mathematically distinct.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beta_Ass o S = H^3(Q) o Pi_E.</w:t>
            </w:r>
          </w:p>
        </w:tc>
        <w:tc>
          <w:tcPr>
            <w:tcW w:type="dxa" w:w="1531"/>
            <w:shd w:fill="F6F8FA"/>
          </w:tcPr>
          <w:p>
            <w:pPr>
              <w:jc w:val="right"/>
            </w:pPr>
            <w:r>
              <w:rPr>
                <w:rFonts w:ascii="DejaVu Sans" w:hAnsi="DejaVu Sans" w:eastAsia="DejaVu Sans"/>
                <w:b/>
                <w:i w:val="0"/>
                <w:color w:val="5C6773"/>
                <w:sz w:val="17"/>
              </w:rPr>
              <w:t>T2-F076</w:t>
            </w:r>
          </w:p>
        </w:tc>
        <w:trPr>
          <w:tblHeader/>
        </w:trPr>
      </w:tr>
    </w:tbl>
    <w:p>
      <w:pPr>
        <w:spacing w:after="0"/>
      </w:pPr>
    </w:p>
    <w:p>
      <w:pPr>
        <w:pStyle w:val="Heading2"/>
        <w:keepNext/>
        <w:pageBreakBefore w:val="0"/>
      </w:pPr>
      <w:r>
        <w:t>13.9. Counterexamples and EXT-E Certificate</w:t>
      </w:r>
    </w:p>
    <w:p>
      <w:pPr>
        <w:pStyle w:val="ListBullet"/>
        <w:spacing w:after="40" w:line="252" w:lineRule="auto"/>
      </w:pPr>
      <w:r>
        <w:rPr>
          <w:rFonts w:ascii="DejaVu Serif" w:hAnsi="DejaVu Serif" w:eastAsia="DejaVu Serif"/>
          <w:b w:val="0"/>
          <w:i w:val="0"/>
          <w:color w:val="111111"/>
          <w:sz w:val="19"/>
        </w:rPr>
        <w:t>Pi_E=0 on a nonzero internal carrier: all internal classes are blind; an external zero proves nothing in reverse.</w:t>
      </w:r>
    </w:p>
    <w:p>
      <w:pPr>
        <w:pStyle w:val="ListBullet"/>
        <w:spacing w:after="40" w:line="252" w:lineRule="auto"/>
      </w:pPr>
      <w:r>
        <w:rPr>
          <w:rFonts w:ascii="DejaVu Serif" w:hAnsi="DejaVu Serif" w:eastAsia="DejaVu Serif"/>
          <w:b w:val="0"/>
          <w:i w:val="0"/>
          <w:color w:val="111111"/>
          <w:sz w:val="19"/>
        </w:rPr>
        <w:t>An external H^3 class outside Im Pi_E: a nonzero external class need not come from the internal quadratic layer.</w:t>
      </w:r>
    </w:p>
    <w:p>
      <w:pPr>
        <w:pStyle w:val="ListBullet"/>
        <w:spacing w:after="40" w:line="252" w:lineRule="auto"/>
      </w:pPr>
      <w:r>
        <w:rPr>
          <w:rFonts w:ascii="DejaVu Serif" w:hAnsi="DejaVu Serif" w:eastAsia="DejaVu Serif"/>
          <w:b w:val="0"/>
          <w:i w:val="0"/>
          <w:color w:val="111111"/>
          <w:sz w:val="19"/>
        </w:rPr>
        <w:t>Two non-homotopic bridges into the same E-complex: the external detection depends on the chosen bridge.</w:t>
      </w:r>
    </w:p>
    <w:p>
      <w:pPr>
        <w:pStyle w:val="ListBullet"/>
        <w:spacing w:after="40" w:line="252" w:lineRule="auto"/>
      </w:pPr>
      <w:r>
        <w:rPr>
          <w:rFonts w:ascii="DejaVu Serif" w:hAnsi="DejaVu Serif" w:eastAsia="DejaVu Serif"/>
          <w:b w:val="0"/>
          <w:i w:val="0"/>
          <w:color w:val="111111"/>
          <w:sz w:val="19"/>
        </w:rPr>
        <w:t>A bridge with very small sigma_min: exact injectivity can coexist with severe numerical instability.</w:t>
      </w:r>
    </w:p>
    <w:p>
      <w:pPr>
        <w:pStyle w:val="ListBullet"/>
        <w:spacing w:after="40" w:line="252" w:lineRule="auto"/>
      </w:pPr>
      <w:r>
        <w:rPr>
          <w:rFonts w:ascii="DejaVu Serif" w:hAnsi="DejaVu Serif" w:eastAsia="DejaVu Serif"/>
          <w:b w:val="0"/>
          <w:i w:val="0"/>
          <w:color w:val="111111"/>
          <w:sz w:val="19"/>
        </w:rPr>
        <w:t>An external class and a nonzero associator in unrelated complexes: shared dimension or notation does not define a bridge.</w:t>
      </w:r>
    </w:p>
    <w:p>
      <w:pPr>
        <w:pStyle w:val="ListBullet"/>
        <w:spacing w:after="40" w:line="252" w:lineRule="auto"/>
      </w:pPr>
      <w:r>
        <w:rPr>
          <w:rFonts w:ascii="DejaVu Serif" w:hAnsi="DejaVu Serif" w:eastAsia="DejaVu Serif"/>
          <w:b w:val="0"/>
          <w:i w:val="0"/>
          <w:color w:val="111111"/>
          <w:sz w:val="19"/>
        </w:rPr>
        <w:t>A continuously varying family whose rank changes: the external profile may jump only at the registered horizon.</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175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Certificate step</w:t>
            </w:r>
          </w:p>
        </w:tc>
        <w:tc>
          <w:tcPr>
            <w:tcW w:type="dxa" w:w="759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r>
      <w:tr>
        <w:trPr>
          <w:cantSplit w:val="true"/>
        </w:trPr>
        <w:tc>
          <w:tcPr>
            <w:tcW w:type="dxa" w:w="175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EXT-E-01</w:t>
            </w:r>
          </w:p>
        </w:tc>
        <w:tc>
          <w:tcPr>
            <w:tcW w:type="dxa" w:w="759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Record E^n, grading, norms, domains, and the proof that d_E^2=0.</w:t>
            </w:r>
          </w:p>
        </w:tc>
      </w:tr>
      <w:tr>
        <w:trPr>
          <w:cantSplit w:val="true"/>
        </w:trPr>
        <w:tc>
          <w:tcPr>
            <w:tcW w:type="dxa" w:w="175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EXT-E-02</w:t>
            </w:r>
          </w:p>
        </w:tc>
        <w:tc>
          <w:tcPr>
            <w:tcW w:type="dxa" w:w="759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Record J^2,J^3 and verify the chain identities exactly or with certified intervals.</w:t>
            </w:r>
          </w:p>
        </w:tc>
      </w:tr>
      <w:tr>
        <w:trPr>
          <w:cantSplit w:val="true"/>
        </w:trPr>
        <w:tc>
          <w:tcPr>
            <w:tcW w:type="dxa" w:w="175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EXT-E-03</w:t>
            </w:r>
          </w:p>
        </w:tc>
        <w:tc>
          <w:tcPr>
            <w:tcW w:type="dxa" w:w="759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Construct quotient and harmonic representatives and verify Pi_E is independent of representatives.</w:t>
            </w:r>
          </w:p>
        </w:tc>
      </w:tr>
      <w:tr>
        <w:trPr>
          <w:cantSplit w:val="true"/>
        </w:trPr>
        <w:tc>
          <w:tcPr>
            <w:tcW w:type="dxa" w:w="175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EXT-E-04</w:t>
            </w:r>
          </w:p>
        </w:tc>
        <w:tc>
          <w:tcPr>
            <w:tcW w:type="dxa" w:w="759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Compute rank, kernel, cokernel, blind/excess dimensions, and sigma_min(P_E).</w:t>
            </w:r>
          </w:p>
        </w:tc>
      </w:tr>
      <w:tr>
        <w:trPr>
          <w:cantSplit w:val="true"/>
        </w:trPr>
        <w:tc>
          <w:tcPr>
            <w:tcW w:type="dxa" w:w="175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EXT-E-05</w:t>
            </w:r>
          </w:p>
        </w:tc>
        <w:tc>
          <w:tcPr>
            <w:tcW w:type="dxa" w:w="759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Verify naturality or record the precise morphism class for which it is open.</w:t>
            </w:r>
          </w:p>
        </w:tc>
      </w:tr>
      <w:tr>
        <w:trPr>
          <w:cantSplit w:val="true"/>
        </w:trPr>
        <w:tc>
          <w:tcPr>
            <w:tcW w:type="dxa" w:w="175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EXT-E-06</w:t>
            </w:r>
          </w:p>
        </w:tc>
        <w:tc>
          <w:tcPr>
            <w:tcW w:type="dxa" w:w="759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Track the parameter horizon and continuity of the selected obstruction section.</w:t>
            </w:r>
          </w:p>
        </w:tc>
      </w:tr>
      <w:tr>
        <w:trPr>
          <w:cantSplit w:val="true"/>
        </w:trPr>
        <w:tc>
          <w:tcPr>
            <w:tcW w:type="dxa" w:w="175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EXT-E-07</w:t>
            </w:r>
          </w:p>
        </w:tc>
        <w:tc>
          <w:tcPr>
            <w:tcW w:type="dxa" w:w="759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Keep beta_Ass and every physical or analytic bridge in separate fields.</w:t>
            </w:r>
          </w:p>
        </w:tc>
      </w:tr>
      <w:tr>
        <w:trPr>
          <w:cantSplit w:val="true"/>
        </w:trPr>
        <w:tc>
          <w:tcPr>
            <w:tcW w:type="dxa" w:w="175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EXT-E-08</w:t>
            </w:r>
          </w:p>
        </w:tc>
        <w:tc>
          <w:tcPr>
            <w:tcW w:type="dxa" w:w="759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Emit NO-EXTERNAL-OBSTRUCTION-REMOVAL-IN-MODEL, CANDIDATE-EXTERNAL-TRANSITION, or ABSTAIN; store hashes.</w:t>
            </w:r>
          </w:p>
        </w:tc>
      </w:tr>
    </w:tbl>
    <w:p>
      <w:pPr>
        <w:spacing w:after="2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BOUNDARY OF CHAPTER 13. </w:t>
            </w:r>
            <w:r>
              <w:rPr>
                <w:rFonts w:ascii="DejaVu Serif" w:hAnsi="DejaVu Serif" w:eastAsia="DejaVu Serif"/>
                <w:b w:val="0"/>
                <w:i w:val="0"/>
                <w:color w:val="111111"/>
                <w:sz w:val="19"/>
              </w:rPr>
              <w:t>A nonzero certified external image supports a nonzero internal class. A reverse conclusion requires injectivity or a left inverse. Neither direction is a physical observation.</w:t>
            </w:r>
          </w:p>
        </w:tc>
        <w:trPr>
          <w:tblHeader/>
        </w:trPr>
      </w:tr>
    </w:tbl>
    <w:p>
      <w:pPr>
        <w:spacing w:after="0"/>
      </w:pPr>
    </w:p>
    <w:p>
      <w:pPr>
        <w:widowControl/>
        <w:spacing w:after="80" w:line="264" w:lineRule="auto"/>
      </w:pPr>
      <w:r>
        <w:rPr>
          <w:rFonts w:ascii="DejaVu Serif" w:hAnsi="DejaVu Serif" w:eastAsia="DejaVu Serif"/>
          <w:b w:val="0"/>
          <w:i w:val="0"/>
          <w:color w:val="111111"/>
          <w:sz w:val="20"/>
        </w:rPr>
        <w:t>Prior art includes cochain maps, mapping cones, exact sequences, homotopy invariance, singular-value conditioning, and functorial cohomology. The authorial contribution is the KLT-RBD arrangement of the internal NAPG carrier, the conditional Pi_E bridge, the blind/excess ledger, D/Dom controls, and the blocker-safe predictive horizon.</w:t>
      </w:r>
    </w:p>
    <w:p>
      <w:pPr>
        <w:pStyle w:val="Heading1"/>
        <w:keepNext/>
        <w:pageBreakBefore/>
      </w:pPr>
      <w:bookmarkStart w:id="1013" w:name="T2_CH14"/>
      <w:r>
        <w:t>Chapter 14. Obstruction Spaces and Projective Carriers</w:t>
      </w:r>
      <w:bookmarkEnd w:id="1013"/>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obstruction carrier is first a vector space with a distinguished zero section; projectivisation is a later quotient of its nonzero part.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requires an explicit audit of scale, sign, phase, provenance, lift, domain, and gluing information lost by the quotient.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carrier appears as a direction of obstruction together with a rank/orbit stratum and a projective transition horizon.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zero class cannot be projectivised, and local projective carriers do not globalise without identification maps and effective descent.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joins the NAPG obstruction carrier, Fano firewall, Reper-lambda gate, and information-loss ledger.</w:t>
            </w:r>
          </w:p>
        </w:tc>
      </w:tr>
    </w:tbl>
    <w:p>
      <w:pPr>
        <w:spacing w:after="20"/>
      </w:pPr>
    </w:p>
    <w:p>
      <w:pPr>
        <w:widowControl/>
        <w:spacing w:after="80" w:line="264" w:lineRule="auto"/>
      </w:pPr>
      <w:r>
        <w:rPr>
          <w:rFonts w:ascii="DejaVu Serif" w:hAnsi="DejaVu Serif" w:eastAsia="DejaVu Serif"/>
          <w:b w:val="0"/>
          <w:i w:val="0"/>
          <w:color w:val="111111"/>
          <w:sz w:val="20"/>
        </w:rPr>
        <w:t>Chapter 14 starts from the vector obstruction carrier and only then passes to projective directions. This order is mandatory: projectivisation removes the zero class, scale, and—depending on the scalar group—sign or phase. The chapter records the resulting losses, stratifies the nonzero carrier, constructs a Fano globalisation firewall, and defines a projective transition horizon suitable for negative structural prediction.</w:t>
      </w:r>
    </w:p>
    <w:p>
      <w:pPr>
        <w:pStyle w:val="Heading2"/>
        <w:keepNext/>
        <w:pageBreakBefore w:val="0"/>
      </w:pPr>
      <w:r>
        <w:t>14.1. Vector Obstruction Carrier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O_B(N)=H^3(C_min(N))=X_N^2 / Im Psi_N^2.</w:t>
            </w:r>
          </w:p>
        </w:tc>
        <w:tc>
          <w:tcPr>
            <w:tcW w:type="dxa" w:w="1531"/>
            <w:shd w:fill="F6F8FA"/>
          </w:tcPr>
          <w:p>
            <w:pPr>
              <w:jc w:val="right"/>
            </w:pPr>
            <w:r>
              <w:rPr>
                <w:rFonts w:ascii="DejaVu Sans" w:hAnsi="DejaVu Sans" w:eastAsia="DejaVu Sans"/>
                <w:b/>
                <w:i w:val="0"/>
                <w:color w:val="5C6773"/>
                <w:sz w:val="17"/>
              </w:rPr>
              <w:t>T2-F077</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Definition 14.1. Vector Carrier [DEF-A] </w:t>
            </w:r>
            <w:r>
              <w:rPr>
                <w:rFonts w:ascii="DejaVu Serif" w:hAnsi="DejaVu Serif" w:eastAsia="DejaVu Serif"/>
                <w:b w:val="0"/>
                <w:i w:val="0"/>
                <w:color w:val="111111"/>
                <w:sz w:val="19"/>
              </w:rPr>
              <w:t>Car_B(N)=(O_B,0_B,Fil_B,Prov_B,Dom_B), where the carrier retains the distinguished zero, a filtration, provenance, and the admissible domain.</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Car_B(N)=(O_B,0_B,Fil_B,Prov_B,Dom_B).</w:t>
            </w:r>
          </w:p>
        </w:tc>
        <w:tc>
          <w:tcPr>
            <w:tcW w:type="dxa" w:w="1531"/>
            <w:shd w:fill="F6F8FA"/>
          </w:tcPr>
          <w:p>
            <w:pPr>
              <w:jc w:val="right"/>
            </w:pPr>
            <w:r>
              <w:rPr>
                <w:rFonts w:ascii="DejaVu Sans" w:hAnsi="DejaVu Sans" w:eastAsia="DejaVu Sans"/>
                <w:b/>
                <w:i w:val="0"/>
                <w:color w:val="5C6773"/>
                <w:sz w:val="17"/>
              </w:rPr>
              <w:t>T2-F078</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O_B^x=O_B minus {0_B}.</w:t>
            </w:r>
          </w:p>
        </w:tc>
        <w:tc>
          <w:tcPr>
            <w:tcW w:type="dxa" w:w="1531"/>
            <w:shd w:fill="F6F8FA"/>
          </w:tcPr>
          <w:p>
            <w:pPr>
              <w:jc w:val="right"/>
            </w:pPr>
            <w:r>
              <w:rPr>
                <w:rFonts w:ascii="DejaVu Sans" w:hAnsi="DejaVu Sans" w:eastAsia="DejaVu Sans"/>
                <w:b/>
                <w:i w:val="0"/>
                <w:color w:val="5C6773"/>
                <w:sz w:val="17"/>
              </w:rPr>
              <w:t>T2-F079</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zero section encodes absence of the selected internal obstruction. It is not an ordinary projective direction. Every algorithm must test exact or certified separation from zero before projectivising.</w:t>
      </w:r>
    </w:p>
    <w:p>
      <w:pPr>
        <w:pStyle w:val="Heading2"/>
        <w:keepNext/>
        <w:pageBreakBefore w:val="0"/>
      </w:pPr>
      <w:r>
        <w:t>14.2. Projectivisation and Its Exact Losses</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Definition 14.2. Projective Obstruction Carrier [CL/DEF] </w:t>
            </w:r>
            <w:r>
              <w:rPr>
                <w:rFonts w:ascii="DejaVu Serif" w:hAnsi="DejaVu Serif" w:eastAsia="DejaVu Serif"/>
                <w:b w:val="0"/>
                <w:i w:val="0"/>
                <w:color w:val="111111"/>
                <w:sz w:val="19"/>
              </w:rPr>
              <w:t>The projective carrier is the quotient of the nonzero vector carrier by nonzero scalar multiplication.</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P(O_B)=O_B^x / K^x,    o~o' iff there exists a in K^x with o'=ao.</w:t>
            </w:r>
          </w:p>
        </w:tc>
        <w:tc>
          <w:tcPr>
            <w:tcW w:type="dxa" w:w="1531"/>
            <w:shd w:fill="F6F8FA"/>
          </w:tcPr>
          <w:p>
            <w:pPr>
              <w:jc w:val="right"/>
            </w:pPr>
            <w:r>
              <w:rPr>
                <w:rFonts w:ascii="DejaVu Sans" w:hAnsi="DejaVu Sans" w:eastAsia="DejaVu Sans"/>
                <w:b/>
                <w:i w:val="0"/>
                <w:color w:val="5C6773"/>
                <w:sz w:val="17"/>
              </w:rPr>
              <w:t>T2-F080</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14.1. Projective Equivalence [CL/THM] </w:t>
            </w:r>
            <w:r>
              <w:rPr>
                <w:rFonts w:ascii="DejaVu Serif" w:hAnsi="DejaVu Serif" w:eastAsia="DejaVu Serif"/>
                <w:b w:val="0"/>
                <w:i w:val="0"/>
                <w:color w:val="111111"/>
                <w:sz w:val="19"/>
              </w:rPr>
              <w:t>Two nonzero representatives define the same projective point exactly when they span the same one-dimensional subspace. The quotient retains direction but removes magnitude and may remove orientation or complex phase.</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Proposition 14.2. Partial Functoriality [CL/PROP] </w:t>
            </w:r>
            <w:r>
              <w:rPr>
                <w:rFonts w:ascii="DejaVu Serif" w:hAnsi="DejaVu Serif" w:eastAsia="DejaVu Serif"/>
                <w:b w:val="0"/>
                <w:i w:val="0"/>
                <w:color w:val="111111"/>
                <w:sz w:val="19"/>
              </w:rPr>
              <w:t>A linear map f:O-&gt;O' induces P(f) only away from P(ker f).</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P(f):P(O) minus P(ker f) -&gt; P(O'),    [o] |-&gt; [f(o)].</w:t>
            </w:r>
          </w:p>
        </w:tc>
        <w:tc>
          <w:tcPr>
            <w:tcW w:type="dxa" w:w="1531"/>
            <w:shd w:fill="F6F8FA"/>
          </w:tcPr>
          <w:p>
            <w:pPr>
              <w:jc w:val="right"/>
            </w:pPr>
            <w:r>
              <w:rPr>
                <w:rFonts w:ascii="DejaVu Sans" w:hAnsi="DejaVu Sans" w:eastAsia="DejaVu Sans"/>
                <w:b/>
                <w:i w:val="0"/>
                <w:color w:val="5C6773"/>
                <w:sz w:val="17"/>
              </w:rPr>
              <w:t>T2-F081</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28" name="Picture 28" descr="Vector obstruction carrier, removal of zero, projectivisation, and information loss" title="Vector obstruction carrier, removal of zero, projectivisation, and information loss"/>
            <wp:cNvGraphicFramePr>
              <a:graphicFrameLocks noChangeAspect="1"/>
            </wp:cNvGraphicFramePr>
            <a:graphic>
              <a:graphicData uri="http://schemas.openxmlformats.org/drawingml/2006/picture">
                <pic:pic>
                  <pic:nvPicPr>
                    <pic:cNvPr id="0" name="fig29_projectivisation.png"/>
                    <pic:cNvPicPr/>
                  </pic:nvPicPr>
                  <pic:blipFill>
                    <a:blip r:embed="rId38"/>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29. Vector carrier, projectivisation, and the mandatory information-loss audit.</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170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Lost datum</w:t>
            </w:r>
          </w:p>
        </w:tc>
        <w:tc>
          <w:tcPr>
            <w:tcW w:type="dxa" w:w="3402"/>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Why it is lost</w:t>
            </w:r>
          </w:p>
        </w:tc>
        <w:tc>
          <w:tcPr>
            <w:tcW w:type="dxa" w:w="4252"/>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Repair certificate</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zero class</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P(O_B) is defined only on O_B minus {0}.</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Exact ZERO flag and residual margin.</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scale</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[o]=[ao] for every admitted nonzero scalar a.</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Metric and normalisation rule.</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sign / orientation</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Over R, [o]=[-o] in ordinary projective space.</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Oriented ray or double cover.</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complex phase</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Over C, all nonzero phases are quotiented.</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U(1) gauge or phase convention.</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provenance</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point alone carries no source chain.</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Evidence-D record.</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lift representative</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 class does not select an element of the H^2 torsor.</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Lift-torsor coordinate and gauge.</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domain and gluing</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same coordinates may occur in incompatible models.</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Dom signature and descent certificate.</w:t>
            </w:r>
          </w:p>
        </w:tc>
      </w:tr>
    </w:tbl>
    <w:p>
      <w:pPr>
        <w:spacing w:after="20"/>
      </w:pPr>
    </w:p>
    <w:p>
      <w:pPr>
        <w:pStyle w:val="Heading2"/>
        <w:keepNext/>
        <w:pageBreakBefore w:val="0"/>
      </w:pPr>
      <w:r>
        <w:t>14.3. Normalised, Oriented, and Metric Carriers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S(O_B) -&gt; P(O_B),    u |-&gt; [u],    fibre={u,-u}.</w:t>
            </w:r>
          </w:p>
        </w:tc>
        <w:tc>
          <w:tcPr>
            <w:tcW w:type="dxa" w:w="1531"/>
            <w:shd w:fill="F6F8FA"/>
          </w:tcPr>
          <w:p>
            <w:pPr>
              <w:jc w:val="right"/>
            </w:pPr>
            <w:r>
              <w:rPr>
                <w:rFonts w:ascii="DejaVu Sans" w:hAnsi="DejaVu Sans" w:eastAsia="DejaVu Sans"/>
                <w:b/>
                <w:i w:val="0"/>
                <w:color w:val="5C6773"/>
                <w:sz w:val="17"/>
              </w:rPr>
              <w:t>T2-F082</w:t>
            </w:r>
          </w:p>
        </w:tc>
        <w:trPr>
          <w:tblHeader/>
        </w:trPr>
      </w:tr>
    </w:tbl>
    <w:p>
      <w:pPr>
        <w:spacing w:after="0"/>
      </w:pPr>
    </w:p>
    <w:p>
      <w:pPr>
        <w:widowControl/>
        <w:spacing w:after="80" w:line="264" w:lineRule="auto"/>
      </w:pPr>
      <w:r>
        <w:rPr>
          <w:rFonts w:ascii="DejaVu Serif" w:hAnsi="DejaVu Serif" w:eastAsia="DejaVu Serif"/>
          <w:b w:val="0"/>
          <w:i w:val="0"/>
          <w:color w:val="111111"/>
          <w:sz w:val="20"/>
        </w:rPr>
        <w:t>After a Hermitian or Euclidean metric is fixed, unit representatives form a spherical cover of the projective carrier. The cover remains two-to-one over R and a U(1)-bundle over C. No metric is canonical unless it belongs to the model data.</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d_P([u],[v])=arccos(|&lt;u,v&gt;|/(||u|| ||v||)).</w:t>
            </w:r>
          </w:p>
        </w:tc>
        <w:tc>
          <w:tcPr>
            <w:tcW w:type="dxa" w:w="1531"/>
            <w:shd w:fill="F6F8FA"/>
          </w:tcPr>
          <w:p>
            <w:pPr>
              <w:jc w:val="right"/>
            </w:pPr>
            <w:r>
              <w:rPr>
                <w:rFonts w:ascii="DejaVu Sans" w:hAnsi="DejaVu Sans" w:eastAsia="DejaVu Sans"/>
                <w:b/>
                <w:i w:val="0"/>
                <w:color w:val="5C6773"/>
                <w:sz w:val="17"/>
              </w:rPr>
              <w:t>T2-F083</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projective metric measures angular separation. It cannot replace an absolute obstruction norm: two vectors may be projectively close while their magnitudes or conditioning differ by orders of magnitude.</w:t>
      </w:r>
    </w:p>
    <w:p>
      <w:pPr>
        <w:pStyle w:val="Heading2"/>
        <w:keepNext/>
        <w:pageBreakBefore w:val="0"/>
      </w:pPr>
      <w:r>
        <w:t>14.4. Rank and Orbit-Type Stratification</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S_r={ [o] in P(O_B) : rank A(o)=r }.</w:t>
            </w:r>
          </w:p>
        </w:tc>
        <w:tc>
          <w:tcPr>
            <w:tcW w:type="dxa" w:w="1531"/>
            <w:shd w:fill="F6F8FA"/>
          </w:tcPr>
          <w:p>
            <w:pPr>
              <w:jc w:val="right"/>
            </w:pPr>
            <w:r>
              <w:rPr>
                <w:rFonts w:ascii="DejaVu Sans" w:hAnsi="DejaVu Sans" w:eastAsia="DejaVu Sans"/>
                <w:b/>
                <w:i w:val="0"/>
                <w:color w:val="5C6773"/>
                <w:sz w:val="17"/>
              </w:rPr>
              <w:t>T2-F084</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G_[o]={ g in G : g o belongs to K^x o }.</w:t>
            </w:r>
          </w:p>
        </w:tc>
        <w:tc>
          <w:tcPr>
            <w:tcW w:type="dxa" w:w="1531"/>
            <w:shd w:fill="F6F8FA"/>
          </w:tcPr>
          <w:p>
            <w:pPr>
              <w:jc w:val="right"/>
            </w:pPr>
            <w:r>
              <w:rPr>
                <w:rFonts w:ascii="DejaVu Sans" w:hAnsi="DejaVu Sans" w:eastAsia="DejaVu Sans"/>
                <w:b/>
                <w:i w:val="0"/>
                <w:color w:val="5C6773"/>
                <w:sz w:val="17"/>
              </w:rPr>
              <w:t>T2-F085</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14.3. Projective Structural Profile [DEF-A] </w:t>
            </w:r>
            <w:r>
              <w:rPr>
                <w:rFonts w:ascii="DejaVu Serif" w:hAnsi="DejaVu Serif" w:eastAsia="DejaVu Serif"/>
                <w:b w:val="0"/>
                <w:i w:val="0"/>
                <w:color w:val="111111"/>
                <w:sz w:val="19"/>
              </w:rPr>
              <w:t>A point is recorded together with the rank of its associated operator or tensor, its stabiliser orbit type, support data, provenance, and domain signature.</w:t>
            </w:r>
          </w:p>
        </w:tc>
        <w:trPr>
          <w:tblHeader/>
        </w:trPr>
      </w:tr>
    </w:tbl>
    <w:p>
      <w:pPr>
        <w:spacing w:after="0"/>
      </w:pPr>
    </w:p>
    <w:p>
      <w:pPr>
        <w:widowControl/>
        <w:spacing w:after="80" w:line="264" w:lineRule="auto"/>
      </w:pPr>
      <w:r>
        <w:rPr>
          <w:rFonts w:ascii="DejaVu Serif" w:hAnsi="DejaVu Serif" w:eastAsia="DejaVu Serif"/>
          <w:b w:val="0"/>
          <w:i w:val="0"/>
          <w:color w:val="111111"/>
          <w:sz w:val="20"/>
        </w:rPr>
        <w:t>Rank strata and orbit types are invariant only for homogeneous constructions. Every candidate invariant must be checked under o-&gt;ao. Whitney regularity, local triviality of orbit types, and the compatibility of the selected group action remain explicit model obligations rather than automatic consequences of finite dimensionality.</w:t>
      </w:r>
    </w:p>
    <w:p>
      <w:pPr>
        <w:pStyle w:val="Heading2"/>
        <w:keepNext/>
        <w:pageBreakBefore w:val="0"/>
      </w:pPr>
      <w:r>
        <w:t>14.5. Conical and Positive Projective Carriers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P(C_B)=(C_B minus {0})/K^x subset P(O_B).</w:t>
            </w:r>
          </w:p>
        </w:tc>
        <w:tc>
          <w:tcPr>
            <w:tcW w:type="dxa" w:w="1531"/>
            <w:shd w:fill="F6F8FA"/>
          </w:tcPr>
          <w:p>
            <w:pPr>
              <w:jc w:val="right"/>
            </w:pPr>
            <w:r>
              <w:rPr>
                <w:rFonts w:ascii="DejaVu Sans" w:hAnsi="DejaVu Sans" w:eastAsia="DejaVu Sans"/>
                <w:b/>
                <w:i w:val="0"/>
                <w:color w:val="5C6773"/>
                <w:sz w:val="17"/>
              </w:rPr>
              <w:t>T2-F086</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P_+(C_B)=(C_B minus {0})/R_{&gt;0}.</w:t>
            </w:r>
          </w:p>
        </w:tc>
        <w:tc>
          <w:tcPr>
            <w:tcW w:type="dxa" w:w="1531"/>
            <w:shd w:fill="F6F8FA"/>
          </w:tcPr>
          <w:p>
            <w:pPr>
              <w:jc w:val="right"/>
            </w:pPr>
            <w:r>
              <w:rPr>
                <w:rFonts w:ascii="DejaVu Sans" w:hAnsi="DejaVu Sans" w:eastAsia="DejaVu Sans"/>
                <w:b/>
                <w:i w:val="0"/>
                <w:color w:val="5C6773"/>
                <w:sz w:val="17"/>
              </w:rPr>
              <w:t>T2-F087</w:t>
            </w:r>
          </w:p>
        </w:tc>
        <w:trPr>
          <w:tblHeader/>
        </w:trPr>
      </w:tr>
    </w:tbl>
    <w:p>
      <w:pPr>
        <w:spacing w:after="0"/>
      </w:pPr>
    </w:p>
    <w:p>
      <w:pPr>
        <w:widowControl/>
        <w:spacing w:after="80" w:line="264" w:lineRule="auto"/>
      </w:pPr>
      <w:r>
        <w:rPr>
          <w:rFonts w:ascii="DejaVu Serif" w:hAnsi="DejaVu Serif" w:eastAsia="DejaVu Serif"/>
          <w:b w:val="0"/>
          <w:i w:val="0"/>
          <w:color w:val="111111"/>
          <w:sz w:val="20"/>
        </w:rPr>
        <w:t>For an ordered or positive cone, quotienting only by positive scalars retains the distinction between o and -o. Ordinary projectivisation destroys this order information. The choice between P and P_+ is therefore part of the type, not a presentational preference.</w:t>
      </w:r>
    </w:p>
    <w:p>
      <w:pPr>
        <w:pStyle w:val="Heading2"/>
        <w:keepNext/>
        <w:pageBreakBefore w:val="0"/>
      </w:pPr>
      <w:r>
        <w:t>14.6. Local Carriers and the Fano Globalisation Firewall</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O_pre=direct_sum_{L in Lines(Fano)} O_L.</w:t>
            </w:r>
          </w:p>
        </w:tc>
        <w:tc>
          <w:tcPr>
            <w:tcW w:type="dxa" w:w="1531"/>
            <w:shd w:fill="F6F8FA"/>
          </w:tcPr>
          <w:p>
            <w:pPr>
              <w:jc w:val="right"/>
            </w:pPr>
            <w:r>
              <w:rPr>
                <w:rFonts w:ascii="DejaVu Sans" w:hAnsi="DejaVu Sans" w:eastAsia="DejaVu Sans"/>
                <w:b/>
                <w:i w:val="0"/>
                <w:color w:val="5C6773"/>
                <w:sz w:val="17"/>
              </w:rPr>
              <w:t>T2-F088</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O_glob=colim(O_L,phi_LL').</w:t>
            </w:r>
          </w:p>
        </w:tc>
        <w:tc>
          <w:tcPr>
            <w:tcW w:type="dxa" w:w="1531"/>
            <w:shd w:fill="F6F8FA"/>
          </w:tcPr>
          <w:p>
            <w:pPr>
              <w:jc w:val="right"/>
            </w:pPr>
            <w:r>
              <w:rPr>
                <w:rFonts w:ascii="DejaVu Sans" w:hAnsi="DejaVu Sans" w:eastAsia="DejaVu Sans"/>
                <w:b/>
                <w:i w:val="0"/>
                <w:color w:val="5C6773"/>
                <w:sz w:val="17"/>
              </w:rPr>
              <w:t>T2-F089</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Theorem 14.5. Local-to-Global No-Go [THM] </w:t>
            </w:r>
            <w:r>
              <w:rPr>
                <w:rFonts w:ascii="DejaVu Serif" w:hAnsi="DejaVu Serif" w:eastAsia="DejaVu Serif"/>
                <w:b w:val="0"/>
                <w:i w:val="0"/>
                <w:color w:val="111111"/>
                <w:sz w:val="19"/>
              </w:rPr>
              <w:t>A family of projective carriers P(O_i) does not determine a global P(O). Linear identification maps, cocycle conditions, compatible zero sections, Evidence-D, and effective descent are required.</w:t>
            </w:r>
          </w:p>
        </w:tc>
        <w:trPr>
          <w:tblHeader/>
        </w:trPr>
      </w:tr>
    </w:tbl>
    <w:p>
      <w:pPr>
        <w:spacing w:after="0"/>
      </w:pPr>
    </w:p>
    <w:p>
      <w:pPr>
        <w:widowControl/>
        <w:spacing w:after="80" w:line="264" w:lineRule="auto"/>
      </w:pPr>
      <w:r>
        <w:rPr>
          <w:rFonts w:ascii="DejaVu Serif" w:hAnsi="DejaVu Serif" w:eastAsia="DejaVu Serif"/>
          <w:b w:val="0"/>
          <w:i w:val="0"/>
          <w:color w:val="111111"/>
          <w:sz w:val="20"/>
        </w:rPr>
        <w:t>This strengthens the Fano ontological barrier: a local incidence picture does not become a global projective plane because the number of points or lines appears appropriate. A global carrier must be constructed through typed maps.</w:t>
      </w:r>
    </w:p>
    <w:p>
      <w:pPr>
        <w:keepNext/>
        <w:jc w:val="center"/>
      </w:pPr>
      <w:r>
        <w:drawing>
          <wp:inline xmlns:a="http://schemas.openxmlformats.org/drawingml/2006/main" xmlns:pic="http://schemas.openxmlformats.org/drawingml/2006/picture">
            <wp:extent cx="5760000" cy="3115102"/>
            <wp:docPr id="29" name="Picture 29" descr="Fano globalisation firewall for local projective obstruction carriers" title="Fano globalisation firewall for local projective obstruction carriers"/>
            <wp:cNvGraphicFramePr>
              <a:graphicFrameLocks noChangeAspect="1"/>
            </wp:cNvGraphicFramePr>
            <a:graphic>
              <a:graphicData uri="http://schemas.openxmlformats.org/drawingml/2006/picture">
                <pic:pic>
                  <pic:nvPicPr>
                    <pic:cNvPr id="0" name="fig30_fano_firewall.png"/>
                    <pic:cNvPicPr/>
                  </pic:nvPicPr>
                  <pic:blipFill>
                    <a:blip r:embed="rId39"/>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30. Fano globalisation firewall: local carriers require identification maps and effective descent.</w:t>
      </w:r>
    </w:p>
    <w:p>
      <w:pPr>
        <w:pStyle w:val="Heading2"/>
        <w:keepNext/>
        <w:pageBreakBefore w:val="0"/>
      </w:pPr>
      <w:r>
        <w:t>14.7. Projective Transition Horizon</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Delta_proj=Delta_zero union Delta_rank union Delta_orbit union Delta_chart union Delta_glue union Delta_D union Delta_Dom.</w:t>
            </w:r>
          </w:p>
        </w:tc>
        <w:tc>
          <w:tcPr>
            <w:tcW w:type="dxa" w:w="1531"/>
            <w:shd w:fill="F6F8FA"/>
          </w:tcPr>
          <w:p>
            <w:pPr>
              <w:jc w:val="right"/>
            </w:pPr>
            <w:r>
              <w:rPr>
                <w:rFonts w:ascii="DejaVu Sans" w:hAnsi="DejaVu Sans" w:eastAsia="DejaVu Sans"/>
                <w:b/>
                <w:i w:val="0"/>
                <w:color w:val="5C6773"/>
                <w:sz w:val="17"/>
              </w:rPr>
              <w:t>T2-F090</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170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Component</w:t>
            </w:r>
          </w:p>
        </w:tc>
        <w:tc>
          <w:tcPr>
            <w:tcW w:type="dxa" w:w="300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Entry condition</w:t>
            </w:r>
          </w:p>
        </w:tc>
        <w:tc>
          <w:tcPr>
            <w:tcW w:type="dxa" w:w="4649"/>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Interpretation</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Delta_zero</w:t>
            </w:r>
          </w:p>
        </w:tc>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o_t=0 or loss of certified separation from zero</w:t>
            </w:r>
          </w:p>
        </w:tc>
        <w:tc>
          <w:tcPr>
            <w:tcW w:type="dxa" w:w="464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appearance or disappearance of the selected internal class</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Delta_rank</w:t>
            </w:r>
          </w:p>
        </w:tc>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rank A(o_t) changes</w:t>
            </w:r>
          </w:p>
        </w:tc>
        <w:tc>
          <w:tcPr>
            <w:tcW w:type="dxa" w:w="464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algebraic-type change</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Delta_orbit</w:t>
            </w:r>
          </w:p>
        </w:tc>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stabiliser type changes</w:t>
            </w:r>
          </w:p>
        </w:tc>
        <w:tc>
          <w:tcPr>
            <w:tcW w:type="dxa" w:w="464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symmetry-type change</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Delta_chart</w:t>
            </w:r>
          </w:p>
        </w:tc>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selected projective chart degenerates</w:t>
            </w:r>
          </w:p>
        </w:tc>
        <w:tc>
          <w:tcPr>
            <w:tcW w:type="dxa" w:w="464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coordinate defect; not necessarily structural</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Delta_glue</w:t>
            </w:r>
          </w:p>
        </w:tc>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cocycle or effective descent fails</w:t>
            </w:r>
          </w:p>
        </w:tc>
        <w:tc>
          <w:tcPr>
            <w:tcW w:type="dxa" w:w="464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local-to-global break</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Delta_D</w:t>
            </w:r>
          </w:p>
        </w:tc>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Evidence-D becomes invalid</w:t>
            </w:r>
          </w:p>
        </w:tc>
        <w:tc>
          <w:tcPr>
            <w:tcW w:type="dxa" w:w="464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epistemic blocker</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Delta_Dom</w:t>
            </w:r>
          </w:p>
        </w:tc>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admissible domain changes</w:t>
            </w:r>
          </w:p>
        </w:tc>
        <w:tc>
          <w:tcPr>
            <w:tcW w:type="dxa" w:w="464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change of the claim domain</w:t>
            </w:r>
          </w:p>
        </w:tc>
      </w:tr>
    </w:tbl>
    <w:p>
      <w:pPr>
        <w:spacing w:after="20"/>
      </w:pPr>
    </w:p>
    <w:p>
      <w:pPr>
        <w:keepNext/>
        <w:jc w:val="center"/>
      </w:pPr>
      <w:r>
        <w:drawing>
          <wp:inline xmlns:a="http://schemas.openxmlformats.org/drawingml/2006/main" xmlns:pic="http://schemas.openxmlformats.org/drawingml/2006/picture">
            <wp:extent cx="5760000" cy="3115102"/>
            <wp:docPr id="30" name="Picture 30" descr="Components of the projective transition horizon" title="Components of the projective transition horizon"/>
            <wp:cNvGraphicFramePr>
              <a:graphicFrameLocks noChangeAspect="1"/>
            </wp:cNvGraphicFramePr>
            <a:graphic>
              <a:graphicData uri="http://schemas.openxmlformats.org/drawingml/2006/picture">
                <pic:pic>
                  <pic:nvPicPr>
                    <pic:cNvPr id="0" name="fig31_projective_horizon.png"/>
                    <pic:cNvPicPr/>
                  </pic:nvPicPr>
                  <pic:blipFill>
                    <a:blip r:embed="rId40"/>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31. Components of the projective transition horizon Delta_proj.</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14.6. Constancy of Projective Type [COND] </w:t>
            </w:r>
            <w:r>
              <w:rPr>
                <w:rFonts w:ascii="DejaVu Serif" w:hAnsi="DejaVu Serif" w:eastAsia="DejaVu Serif"/>
                <w:b w:val="0"/>
                <w:i w:val="0"/>
                <w:color w:val="111111"/>
                <w:sz w:val="19"/>
              </w:rPr>
              <w:t>Let t-&gt;o_t be a continuous nonzero section on a connected interval. If the rank and orbit strata are locally closed, the path avoids Delta_proj, and D/Dom and gluing data remain fixed, then the certified projective profile stays in one connected stratum.</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theorem does not assert that [o_t] is a constant point. Motion inside the same certified stratum is allowed.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I intersect Delta_proj=empty  =&gt;  transition of certified projective type is impossible in the model.</w:t>
            </w:r>
          </w:p>
        </w:tc>
        <w:tc>
          <w:tcPr>
            <w:tcW w:type="dxa" w:w="1531"/>
            <w:shd w:fill="F6F8FA"/>
          </w:tcPr>
          <w:p>
            <w:pPr>
              <w:jc w:val="right"/>
            </w:pPr>
            <w:r>
              <w:rPr>
                <w:rFonts w:ascii="DejaVu Sans" w:hAnsi="DejaVu Sans" w:eastAsia="DejaVu Sans"/>
                <w:b/>
                <w:i w:val="0"/>
                <w:color w:val="5C6773"/>
                <w:sz w:val="17"/>
              </w:rPr>
              <w:t>T2-F091</w:t>
            </w:r>
          </w:p>
        </w:tc>
        <w:trPr>
          <w:tblHeader/>
        </w:trPr>
      </w:tr>
    </w:tbl>
    <w:p>
      <w:pPr>
        <w:spacing w:after="0"/>
      </w:pPr>
    </w:p>
    <w:p>
      <w:pPr>
        <w:pStyle w:val="Heading2"/>
        <w:keepNext/>
        <w:pageBreakBefore w:val="0"/>
      </w:pPr>
      <w:r>
        <w:t>14.8. Projective Carrier and Reper-Lambda</w:t>
      </w:r>
    </w:p>
    <w:p>
      <w:pPr>
        <w:widowControl/>
        <w:spacing w:after="80" w:line="264" w:lineRule="auto"/>
      </w:pPr>
      <w:r>
        <w:rPr>
          <w:rFonts w:ascii="DejaVu Serif" w:hAnsi="DejaVu Serif" w:eastAsia="DejaVu Serif"/>
          <w:b w:val="0"/>
          <w:i w:val="0"/>
          <w:color w:val="111111"/>
          <w:sz w:val="20"/>
        </w:rPr>
        <w:t>The Reper cross-ratio and the projective obstruction carrier are two different projective layers. The first concerns four points on P^1; the second concerns one-dimensional directions in O_B. A connection requires a separately defined rational map.</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chi_lambda:P(O_B) dashedrightarrow P^1(K).</w:t>
            </w:r>
          </w:p>
        </w:tc>
        <w:tc>
          <w:tcPr>
            <w:tcW w:type="dxa" w:w="1531"/>
            <w:shd w:fill="F6F8FA"/>
          </w:tcPr>
          <w:p>
            <w:pPr>
              <w:jc w:val="right"/>
            </w:pPr>
            <w:r>
              <w:rPr>
                <w:rFonts w:ascii="DejaVu Sans" w:hAnsi="DejaVu Sans" w:eastAsia="DejaVu Sans"/>
                <w:b/>
                <w:i w:val="0"/>
                <w:color w:val="5C6773"/>
                <w:sz w:val="17"/>
              </w:rPr>
              <w:t>T2-F092</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Theorem 14.7. No Automatic Lambda Bridge [THM] </w:t>
            </w:r>
            <w:r>
              <w:rPr>
                <w:rFonts w:ascii="DejaVu Serif" w:hAnsi="DejaVu Serif" w:eastAsia="DejaVu Serif"/>
                <w:b w:val="0"/>
                <w:i w:val="0"/>
                <w:color w:val="111111"/>
                <w:sz w:val="19"/>
              </w:rPr>
              <w:t>A point [o] in P(O_B) does not determine a canonical lambda. Four compatible homogeneous or rational functionals R,I,U,D and a proof of cross-ratio invariance are required.</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lambda([o])=cr(U([o]),I([o]);R([o]),D([o])).</w:t>
            </w:r>
          </w:p>
        </w:tc>
        <w:tc>
          <w:tcPr>
            <w:tcW w:type="dxa" w:w="1531"/>
            <w:shd w:fill="F6F8FA"/>
          </w:tcPr>
          <w:p>
            <w:pPr>
              <w:jc w:val="right"/>
            </w:pPr>
            <w:r>
              <w:rPr>
                <w:rFonts w:ascii="DejaVu Sans" w:hAnsi="DejaVu Sans" w:eastAsia="DejaVu Sans"/>
                <w:b/>
                <w:i w:val="0"/>
                <w:color w:val="5C6773"/>
                <w:sz w:val="17"/>
              </w:rPr>
              <w:t>T2-F093</w:t>
            </w:r>
          </w:p>
        </w:tc>
        <w:trPr>
          <w:tblHeader/>
        </w:trPr>
      </w:tr>
    </w:tbl>
    <w:p>
      <w:pPr>
        <w:spacing w:after="0"/>
      </w:pPr>
    </w:p>
    <w:p>
      <w:pPr>
        <w:widowControl/>
        <w:spacing w:after="80" w:line="264" w:lineRule="auto"/>
      </w:pPr>
      <w:r>
        <w:rPr>
          <w:rFonts w:ascii="DejaVu Serif" w:hAnsi="DejaVu Serif" w:eastAsia="DejaVu Serif"/>
          <w:b w:val="0"/>
          <w:i w:val="0"/>
          <w:color w:val="111111"/>
          <w:sz w:val="20"/>
        </w:rPr>
        <w:t>Even when lambda=-1, the nonzero test, Evidence-D, Dom_lambda, the absence of internal and external obstruction blockers, and the validity of chi_lambda remain separate obligations.</w:t>
      </w:r>
    </w:p>
    <w:p>
      <w:pPr>
        <w:pStyle w:val="Heading2"/>
        <w:keepNext/>
        <w:pageBreakBefore w:val="0"/>
      </w:pPr>
      <w:r>
        <w:t>14.9. Information-Loss and Restoration Ledger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Cert_proj=([o],ZERO,NORM,ORIENT,PROV,LIFT,DOM,GLUE,HASH).</w:t>
            </w:r>
          </w:p>
        </w:tc>
        <w:tc>
          <w:tcPr>
            <w:tcW w:type="dxa" w:w="1531"/>
            <w:shd w:fill="F6F8FA"/>
          </w:tcPr>
          <w:p>
            <w:pPr>
              <w:jc w:val="right"/>
            </w:pPr>
            <w:r>
              <w:rPr>
                <w:rFonts w:ascii="DejaVu Sans" w:hAnsi="DejaVu Sans" w:eastAsia="DejaVu Sans"/>
                <w:b/>
                <w:i w:val="0"/>
                <w:color w:val="5C6773"/>
                <w:sz w:val="17"/>
              </w:rPr>
              <w:t>T2-F094</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2488"/>
        <w:gridCol w:w="2488"/>
        <w:gridCol w:w="2488"/>
        <w:gridCol w:w="2488"/>
      </w:tblGrid>
      <w:tr>
        <w:trPr>
          <w:cantSplit w:val="true"/>
          <w:tblHeader w:val="true"/>
        </w:trPr>
        <w:tc>
          <w:tcPr>
            <w:tcW w:type="dxa" w:w="124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Code</w:t>
            </w:r>
          </w:p>
        </w:tc>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Lost layer</w:t>
            </w:r>
          </w:p>
        </w:tc>
        <w:tc>
          <w:tcPr>
            <w:tcW w:type="dxa" w:w="289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Minimum repair</w:t>
            </w:r>
          </w:p>
        </w:tc>
        <w:tc>
          <w:tcPr>
            <w:tcW w:type="dxa" w:w="283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Verdict without repair</w:t>
            </w:r>
          </w:p>
        </w:tc>
      </w:tr>
      <w:tr>
        <w:trPr>
          <w:cantSplit w:val="true"/>
        </w:trPr>
        <w:tc>
          <w:tcPr>
            <w:tcW w:type="dxa" w:w="124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LOSS-0</w:t>
            </w:r>
          </w:p>
        </w:tc>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zero class</w:t>
            </w:r>
          </w:p>
        </w:tc>
        <w:tc>
          <w:tcPr>
            <w:tcW w:type="dxa" w:w="28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ZERO flag plus exact residual</w:t>
            </w:r>
          </w:p>
        </w:tc>
        <w:tc>
          <w:tcPr>
            <w:tcW w:type="dxa" w:w="2835"/>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ABSTAIN</w:t>
            </w:r>
          </w:p>
        </w:tc>
      </w:tr>
      <w:tr>
        <w:trPr>
          <w:cantSplit w:val="true"/>
        </w:trPr>
        <w:tc>
          <w:tcPr>
            <w:tcW w:type="dxa" w:w="124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LOSS-S</w:t>
            </w:r>
          </w:p>
        </w:tc>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scale</w:t>
            </w:r>
          </w:p>
        </w:tc>
        <w:tc>
          <w:tcPr>
            <w:tcW w:type="dxa" w:w="28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metric and normalisation</w:t>
            </w:r>
          </w:p>
        </w:tc>
        <w:tc>
          <w:tcPr>
            <w:tcW w:type="dxa" w:w="2835"/>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direction only</w:t>
            </w:r>
          </w:p>
        </w:tc>
      </w:tr>
      <w:tr>
        <w:trPr>
          <w:cantSplit w:val="true"/>
        </w:trPr>
        <w:tc>
          <w:tcPr>
            <w:tcW w:type="dxa" w:w="124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LOSS-SGN</w:t>
            </w:r>
          </w:p>
        </w:tc>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sign / orientation</w:t>
            </w:r>
          </w:p>
        </w:tc>
        <w:tc>
          <w:tcPr>
            <w:tcW w:type="dxa" w:w="28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oriented ray or double cover</w:t>
            </w:r>
          </w:p>
        </w:tc>
        <w:tc>
          <w:tcPr>
            <w:tcW w:type="dxa" w:w="2835"/>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sign unknown</w:t>
            </w:r>
          </w:p>
        </w:tc>
      </w:tr>
      <w:tr>
        <w:trPr>
          <w:cantSplit w:val="true"/>
        </w:trPr>
        <w:tc>
          <w:tcPr>
            <w:tcW w:type="dxa" w:w="124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LOSS-PH</w:t>
            </w:r>
          </w:p>
        </w:tc>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complex phase</w:t>
            </w:r>
          </w:p>
        </w:tc>
        <w:tc>
          <w:tcPr>
            <w:tcW w:type="dxa" w:w="28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U(1) gauge certificate</w:t>
            </w:r>
          </w:p>
        </w:tc>
        <w:tc>
          <w:tcPr>
            <w:tcW w:type="dxa" w:w="2835"/>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phase unknown</w:t>
            </w:r>
          </w:p>
        </w:tc>
      </w:tr>
      <w:tr>
        <w:trPr>
          <w:cantSplit w:val="true"/>
        </w:trPr>
        <w:tc>
          <w:tcPr>
            <w:tcW w:type="dxa" w:w="124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LOSS-PR</w:t>
            </w:r>
          </w:p>
        </w:tc>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provenance</w:t>
            </w:r>
          </w:p>
        </w:tc>
        <w:tc>
          <w:tcPr>
            <w:tcW w:type="dxa" w:w="28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Evidence-D chain</w:t>
            </w:r>
          </w:p>
        </w:tc>
        <w:tc>
          <w:tcPr>
            <w:tcW w:type="dxa" w:w="2835"/>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source unknown</w:t>
            </w:r>
          </w:p>
        </w:tc>
      </w:tr>
      <w:tr>
        <w:trPr>
          <w:cantSplit w:val="true"/>
        </w:trPr>
        <w:tc>
          <w:tcPr>
            <w:tcW w:type="dxa" w:w="124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LOSS-LF</w:t>
            </w:r>
          </w:p>
        </w:tc>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lift representative</w:t>
            </w:r>
          </w:p>
        </w:tc>
        <w:tc>
          <w:tcPr>
            <w:tcW w:type="dxa" w:w="28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H^2 torsor coordinate</w:t>
            </w:r>
          </w:p>
        </w:tc>
        <w:tc>
          <w:tcPr>
            <w:tcW w:type="dxa" w:w="2835"/>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lift nonunique</w:t>
            </w:r>
          </w:p>
        </w:tc>
      </w:tr>
      <w:tr>
        <w:trPr>
          <w:cantSplit w:val="true"/>
        </w:trPr>
        <w:tc>
          <w:tcPr>
            <w:tcW w:type="dxa" w:w="124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LOSS-DOM</w:t>
            </w:r>
          </w:p>
        </w:tc>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domain</w:t>
            </w:r>
          </w:p>
        </w:tc>
        <w:tc>
          <w:tcPr>
            <w:tcW w:type="dxa" w:w="28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Dom signature</w:t>
            </w:r>
          </w:p>
        </w:tc>
        <w:tc>
          <w:tcPr>
            <w:tcW w:type="dxa" w:w="2835"/>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claim not transportable</w:t>
            </w:r>
          </w:p>
        </w:tc>
      </w:tr>
      <w:tr>
        <w:trPr>
          <w:cantSplit w:val="true"/>
        </w:trPr>
        <w:tc>
          <w:tcPr>
            <w:tcW w:type="dxa" w:w="124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LOSS-GL</w:t>
            </w:r>
          </w:p>
        </w:tc>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globalisation</w:t>
            </w:r>
          </w:p>
        </w:tc>
        <w:tc>
          <w:tcPr>
            <w:tcW w:type="dxa" w:w="28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descent certificate</w:t>
            </w:r>
          </w:p>
        </w:tc>
        <w:tc>
          <w:tcPr>
            <w:tcW w:type="dxa" w:w="2835"/>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local only</w:t>
            </w:r>
          </w:p>
        </w:tc>
      </w:tr>
    </w:tbl>
    <w:p>
      <w:pPr>
        <w:spacing w:after="20"/>
      </w:pPr>
    </w:p>
    <w:p>
      <w:pPr>
        <w:pStyle w:val="Heading2"/>
        <w:keepNext/>
        <w:pageBreakBefore w:val="0"/>
      </w:pPr>
      <w:r>
        <w:t>14.10. Separating Models and Computational Certificate</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Model</w:t>
            </w:r>
          </w:p>
        </w:tc>
        <w:tc>
          <w:tcPr>
            <w:tcW w:type="dxa" w:w="283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Data</w:t>
            </w:r>
          </w:p>
        </w:tc>
        <w:tc>
          <w:tcPr>
            <w:tcW w:type="dxa" w:w="4252"/>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Refuted inference</w:t>
            </w:r>
          </w:p>
        </w:tc>
      </w:tr>
      <w:tr>
        <w:trPr>
          <w:cantSplit w:val="true"/>
        </w:trPr>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same point, different norms</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o=(1,0), o'=(10^6,0)</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same projective point does not mean equal quantitative risk</w:t>
            </w:r>
          </w:p>
        </w:tc>
      </w:tr>
      <w:tr>
        <w:trPr>
          <w:cantSplit w:val="true"/>
        </w:trPr>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opposite signs</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 and -o over R</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ordinary projectivisation loses orientation</w:t>
            </w:r>
          </w:p>
        </w:tc>
      </w:tr>
      <w:tr>
        <w:trPr>
          <w:cantSplit w:val="true"/>
        </w:trPr>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zero class</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o=0</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P(o) is undefined</w:t>
            </w:r>
          </w:p>
        </w:tc>
      </w:tr>
      <w:tr>
        <w:trPr>
          <w:cantSplit w:val="true"/>
        </w:trPr>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map with kernel</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f(x,y)=x</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P(f) is undefined at [0:1]</w:t>
            </w:r>
          </w:p>
        </w:tc>
      </w:tr>
      <w:tr>
        <w:trPr>
          <w:cantSplit w:val="true"/>
        </w:trPr>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local but not global</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inconsistent phi_ij</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charts do not glue automatically</w:t>
            </w:r>
          </w:p>
        </w:tc>
      </w:tr>
      <w:tr>
        <w:trPr>
          <w:cantSplit w:val="true"/>
        </w:trPr>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small angular distance</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u_n=n e_1, v_n=n e_1+e_2</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angle tends to zero while absolute defect remains</w:t>
            </w:r>
          </w:p>
        </w:tc>
      </w:tr>
      <w:tr>
        <w:trPr>
          <w:cantSplit w:val="true"/>
        </w:trPr>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lambda without bridge</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same [o], different quadruples of functionals</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lambda is not determined by [o]</w:t>
            </w:r>
          </w:p>
        </w:tc>
      </w:tr>
      <w:tr>
        <w:trPr>
          <w:cantSplit w:val="true"/>
        </w:trPr>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positive cone</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 and -o</w:t>
            </w:r>
          </w:p>
        </w:tc>
        <w:tc>
          <w:tcPr>
            <w:tcW w:type="dxa" w:w="425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ordinary P loses order type</w:t>
            </w:r>
          </w:p>
        </w:tc>
      </w:tr>
    </w:tbl>
    <w:p>
      <w:pPr>
        <w:spacing w:after="2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170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PROJ step</w:t>
            </w:r>
          </w:p>
        </w:tc>
        <w:tc>
          <w:tcPr>
            <w:tcW w:type="dxa" w:w="7654"/>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Check</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01-04</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Build an exact basis of O_B, identify zero, fix the field/metric/action, and normalise or choose a positive ray.</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05-08</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Construct projective charts, verify chart changes, compute rank strata and stabilisers.</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09-12</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Verify homogeneity, build the ZERO/SCALE/SIGN ledger, provenance, and lift-torsor data.</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13-16</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Verify local-to-global cocycles, build Delta_proj, bound projective distances, and check chi_lambda and its poles.</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17-18</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Emit a blocker-safe verdict and preserve versions, hashes, and the machine-readable loss ledger.</w:t>
            </w:r>
          </w:p>
        </w:tc>
      </w:tr>
    </w:tbl>
    <w:p>
      <w:pPr>
        <w:spacing w:after="20"/>
      </w:pPr>
    </w:p>
    <w:p>
      <w:pPr>
        <w:pStyle w:val="Heading2"/>
        <w:keepNext/>
        <w:pageBreakBefore w:val="0"/>
      </w:pPr>
      <w:r>
        <w:t>14.11. Main Conditional Prediction Theorem</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Theorem 14.8. Projective Obstruction-Safe Prediction [COND] </w:t>
            </w:r>
            <w:r>
              <w:rPr>
                <w:rFonts w:ascii="DejaVu Serif" w:hAnsi="DejaVu Serif" w:eastAsia="DejaVu Serif"/>
                <w:b w:val="0"/>
                <w:i w:val="0"/>
                <w:color w:val="111111"/>
                <w:sz w:val="19"/>
              </w:rPr>
              <w:t>Let N_t be a finite-dimensional regular family with a continuous obstruction section o_t, a projective atlas, homogeneous rank/orbit invariants, effective descent, valid D/Dom, and a reproducible PROJ certificate. If the path avoids Delta_proj and remains separated from the zero section and chart poles, the certified projective obstruction type cannot change. A transition requiring a different type is impossible inside the model; a horizon crossing yields only a candidate.</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P_proj(t)=([o_t],S_rank(t),S_orbit(t),Dom_t,Glue_t).</w:t>
            </w:r>
          </w:p>
        </w:tc>
        <w:tc>
          <w:tcPr>
            <w:tcW w:type="dxa" w:w="1531"/>
            <w:shd w:fill="F6F8FA"/>
          </w:tcPr>
          <w:p>
            <w:pPr>
              <w:jc w:val="right"/>
            </w:pPr>
            <w:r>
              <w:rPr>
                <w:rFonts w:ascii="DejaVu Sans" w:hAnsi="DejaVu Sans" w:eastAsia="DejaVu Sans"/>
                <w:b/>
                <w:i w:val="0"/>
                <w:color w:val="5C6773"/>
                <w:sz w:val="17"/>
              </w:rPr>
              <w:t>T2-F095</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I intersect Delta_proj=empty  =&gt;  type(P_proj(t))=constant on I.</w:t>
            </w:r>
          </w:p>
        </w:tc>
        <w:tc>
          <w:tcPr>
            <w:tcW w:type="dxa" w:w="1531"/>
            <w:shd w:fill="F6F8FA"/>
          </w:tcPr>
          <w:p>
            <w:pPr>
              <w:jc w:val="right"/>
            </w:pPr>
            <w:r>
              <w:rPr>
                <w:rFonts w:ascii="DejaVu Sans" w:hAnsi="DejaVu Sans" w:eastAsia="DejaVu Sans"/>
                <w:b/>
                <w:i w:val="0"/>
                <w:color w:val="5C6773"/>
                <w:sz w:val="17"/>
              </w:rPr>
              <w:t>T2-F096</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Block_proj=B_zero union B_scale union B_sign union B_chart union B_hom union B_glue union B_D union B_Dom union B_lift union B_ind.</w:t>
            </w:r>
          </w:p>
        </w:tc>
        <w:tc>
          <w:tcPr>
            <w:tcW w:type="dxa" w:w="1531"/>
            <w:shd w:fill="F6F8FA"/>
          </w:tcPr>
          <w:p>
            <w:pPr>
              <w:jc w:val="right"/>
            </w:pPr>
            <w:r>
              <w:rPr>
                <w:rFonts w:ascii="DejaVu Sans" w:hAnsi="DejaVu Sans" w:eastAsia="DejaVu Sans"/>
                <w:b/>
                <w:i w:val="0"/>
                <w:color w:val="5C6773"/>
                <w:sz w:val="17"/>
              </w:rPr>
              <w:t>T2-F097</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83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Output</w:t>
            </w:r>
          </w:p>
        </w:tc>
        <w:tc>
          <w:tcPr>
            <w:tcW w:type="dxa" w:w="351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Necessary condition</w:t>
            </w:r>
          </w:p>
        </w:tc>
        <w:tc>
          <w:tcPr>
            <w:tcW w:type="dxa" w:w="300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Permitted interpretation</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NO-PROJECTIVE-TYPE-TRANSITION-IN-MODEL</w:t>
            </w:r>
          </w:p>
        </w:tc>
        <w:tc>
          <w:tcPr>
            <w:tcW w:type="dxa" w:w="351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path avoids Delta_proj and blockers are empty</w:t>
            </w:r>
          </w:p>
        </w:tc>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negative structural prediction</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CANDIDATE-PROJECTIVE-TRANSITION</w:t>
            </w:r>
          </w:p>
        </w:tc>
        <w:tc>
          <w:tcPr>
            <w:tcW w:type="dxa" w:w="351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path meets Delta_proj and blockers are empty</w:t>
            </w:r>
          </w:p>
        </w:tc>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target for further testing</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ZERO-INTERNAL-OBSTRUCTION</w:t>
            </w:r>
          </w:p>
        </w:tc>
        <w:tc>
          <w:tcPr>
            <w:tcW w:type="dxa" w:w="351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o=0 exactly</w:t>
            </w:r>
          </w:p>
        </w:tc>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vanishing of the selected internal class</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w:t>
            </w:r>
          </w:p>
        </w:tc>
        <w:tc>
          <w:tcPr>
            <w:tcW w:type="dxa" w:w="351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at least one blocker</w:t>
            </w:r>
          </w:p>
        </w:tc>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conclusion prohibited</w:t>
            </w:r>
          </w:p>
        </w:tc>
      </w:tr>
    </w:tbl>
    <w:p>
      <w:pPr>
        <w:spacing w:after="2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BOUNDARY OF CHAPTER 14. </w:t>
            </w:r>
            <w:r>
              <w:rPr>
                <w:rFonts w:ascii="DejaVu Serif" w:hAnsi="DejaVu Serif" w:eastAsia="DejaVu Serif"/>
                <w:b w:val="0"/>
                <w:i w:val="0"/>
                <w:color w:val="111111"/>
                <w:sz w:val="19"/>
              </w:rPr>
              <w:t>The result is conditional and finite-dimensional. It asserts neither physical time, a causal mechanism, a transition probability, nor an experimental effect.</w:t>
            </w:r>
          </w:p>
        </w:tc>
        <w:trPr>
          <w:tblHeader/>
        </w:trPr>
      </w:tr>
    </w:tbl>
    <w:p>
      <w:pPr>
        <w:spacing w:after="0"/>
      </w:pPr>
    </w:p>
    <w:p>
      <w:pPr>
        <w:widowControl/>
        <w:spacing w:after="80" w:line="264" w:lineRule="auto"/>
      </w:pPr>
      <w:r>
        <w:rPr>
          <w:rFonts w:ascii="DejaVu Serif" w:hAnsi="DejaVu Serif" w:eastAsia="DejaVu Serif"/>
          <w:b w:val="0"/>
          <w:i w:val="0"/>
          <w:color w:val="111111"/>
          <w:sz w:val="20"/>
        </w:rPr>
        <w:t>Prior art includes projective spaces, orbit-type and rank stratifications, projective metrics, cones, descent, and stratified geometry. The authorial contribution is their KLT-RBD integration with the NAPG obstruction carrier, Evidence-D, Reper-lambda authorisation, the Fano firewall, and the blocker-safe negative verdict.</w:t>
      </w:r>
    </w:p>
    <w:p>
      <w:pPr>
        <w:pStyle w:val="Heading1"/>
        <w:keepNext/>
        <w:pageBreakBefore/>
      </w:pPr>
      <w:bookmarkStart w:id="1014" w:name="T2_CH15"/>
      <w:r>
        <w:t>Chapter 15. Hodge Decomposition and the Analytic NAPG Layer</w:t>
      </w:r>
      <w:bookmarkEnd w:id="1014"/>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An analytic object is an operator together with Hilbert spaces, a dense domain, closure, adjoint, and boundary or interface conditions.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harmonic representative identifies ordinary cohomology only after a closed-range or Fredholm certificate; otherwise it represents reduced cohomology.</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Analytic stability appears as a spectral gap separating the harmonic sector from the positive spectrum.</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Nilpotency, formal symmetry, or compact individual strata do not by themselves imply ellipticity, self-adjointness, Fredholmness, or physical meaning.</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the Hodge-Fredholm certificate coupled to NAPG obstruction carriers, D/Dom, and a three-valued predictive verdict.</w:t>
            </w:r>
          </w:p>
        </w:tc>
      </w:tr>
    </w:tbl>
    <w:p>
      <w:pPr>
        <w:spacing w:after="20"/>
      </w:pPr>
    </w:p>
    <w:p>
      <w:pPr>
        <w:widowControl/>
        <w:spacing w:after="80" w:line="264" w:lineRule="auto"/>
      </w:pPr>
      <w:r>
        <w:rPr>
          <w:rFonts w:ascii="DejaVu Serif" w:hAnsi="DejaVu Serif" w:eastAsia="DejaVu Serif"/>
          <w:b w:val="0"/>
          <w:i w:val="0"/>
          <w:color w:val="111111"/>
          <w:sz w:val="20"/>
        </w:rPr>
        <w:t>This chapter builds the analytic layer in which internal and external obstruction classes may acquire stable harmonic representatives. The construction distinguishes six levels: a precomplex, a Hilbert complex, a closed-range sector, an elliptic realisation, a boundary/Fredholm sector, and a predictive analytic sector. The output is three-valued: stable non-removal of a tracked obstruction, an analytic transition candidate, or ABSTAIN because the operator domain or another mandatory certificate is open.</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2488"/>
        <w:gridCol w:w="2488"/>
        <w:gridCol w:w="2488"/>
        <w:gridCol w:w="2488"/>
      </w:tblGrid>
      <w:tr>
        <w:trPr>
          <w:cantSplit w:val="true"/>
          <w:tblHeader w:val="true"/>
        </w:trPr>
        <w:tc>
          <w:tcPr>
            <w:tcW w:type="dxa" w:w="90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Level</w:t>
            </w:r>
          </w:p>
        </w:tc>
        <w:tc>
          <w:tcPr>
            <w:tcW w:type="dxa" w:w="1984"/>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Object</w:t>
            </w:r>
          </w:p>
        </w:tc>
        <w:tc>
          <w:tcPr>
            <w:tcW w:type="dxa" w:w="362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Minimum certificate</w:t>
            </w:r>
          </w:p>
        </w:tc>
        <w:tc>
          <w:tcPr>
            <w:tcW w:type="dxa" w:w="283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Permitted conclusion</w:t>
            </w:r>
          </w:p>
        </w:tc>
      </w:tr>
      <w:tr>
        <w:trPr>
          <w:cantSplit w:val="true"/>
        </w:trPr>
        <w:tc>
          <w:tcPr>
            <w:tcW w:type="dxa" w:w="90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5"/>
              </w:rPr>
              <w:t>A0</w:t>
            </w:r>
          </w:p>
        </w:tc>
        <w:tc>
          <w:tcPr>
            <w:tcW w:type="dxa" w:w="198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precomplex</w:t>
            </w:r>
          </w:p>
        </w:tc>
        <w:tc>
          <w:tcPr>
            <w:tcW w:type="dxa" w:w="36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spaces and partial d_k only</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cohomology prohibited</w:t>
            </w:r>
          </w:p>
        </w:tc>
      </w:tr>
      <w:tr>
        <w:trPr>
          <w:cantSplit w:val="true"/>
        </w:trPr>
        <w:tc>
          <w:tcPr>
            <w:tcW w:type="dxa" w:w="90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5"/>
              </w:rPr>
              <w:t>A1</w:t>
            </w:r>
          </w:p>
        </w:tc>
        <w:tc>
          <w:tcPr>
            <w:tcW w:type="dxa" w:w="198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Hilbert complex</w:t>
            </w:r>
          </w:p>
        </w:tc>
        <w:tc>
          <w:tcPr>
            <w:tcW w:type="dxa" w:w="36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closed densely defined d_k and d_{k+1}d_k=0</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reduced Hodge decomposition</w:t>
            </w:r>
          </w:p>
        </w:tc>
      </w:tr>
      <w:tr>
        <w:trPr>
          <w:cantSplit w:val="true"/>
        </w:trPr>
        <w:tc>
          <w:tcPr>
            <w:tcW w:type="dxa" w:w="90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5"/>
              </w:rPr>
              <w:t>A2</w:t>
            </w:r>
          </w:p>
        </w:tc>
        <w:tc>
          <w:tcPr>
            <w:tcW w:type="dxa" w:w="198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closed-range sector</w:t>
            </w:r>
          </w:p>
        </w:tc>
        <w:tc>
          <w:tcPr>
            <w:tcW w:type="dxa" w:w="36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ran d_k and ran d_k* closed</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ordinary cohomology is harmonic</w:t>
            </w:r>
          </w:p>
        </w:tc>
      </w:tr>
      <w:tr>
        <w:trPr>
          <w:cantSplit w:val="true"/>
        </w:trPr>
        <w:tc>
          <w:tcPr>
            <w:tcW w:type="dxa" w:w="90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5"/>
              </w:rPr>
              <w:t>A3</w:t>
            </w:r>
          </w:p>
        </w:tc>
        <w:tc>
          <w:tcPr>
            <w:tcW w:type="dxa" w:w="198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elliptic realisation</w:t>
            </w:r>
          </w:p>
        </w:tc>
        <w:tc>
          <w:tcPr>
            <w:tcW w:type="dxa" w:w="36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symbol sequence exact for xi!=0</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regularity and finite-dimensional harmonic sector on compact base</w:t>
            </w:r>
          </w:p>
        </w:tc>
      </w:tr>
      <w:tr>
        <w:trPr>
          <w:cantSplit w:val="true"/>
        </w:trPr>
        <w:tc>
          <w:tcPr>
            <w:tcW w:type="dxa" w:w="90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5"/>
              </w:rPr>
              <w:t>A4</w:t>
            </w:r>
          </w:p>
        </w:tc>
        <w:tc>
          <w:tcPr>
            <w:tcW w:type="dxa" w:w="198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boundary/Fredholm sector</w:t>
            </w:r>
          </w:p>
        </w:tc>
        <w:tc>
          <w:tcPr>
            <w:tcW w:type="dxa" w:w="36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elliptic boundary conditions, closed ranges, finite kernel/cokernel</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index, Green operator, spectral control</w:t>
            </w:r>
          </w:p>
        </w:tc>
      </w:tr>
      <w:tr>
        <w:trPr>
          <w:cantSplit w:val="true"/>
        </w:trPr>
        <w:tc>
          <w:tcPr>
            <w:tcW w:type="dxa" w:w="907"/>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5"/>
              </w:rPr>
              <w:t>A5</w:t>
            </w:r>
          </w:p>
        </w:tc>
        <w:tc>
          <w:tcPr>
            <w:tcW w:type="dxa" w:w="198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predictive analytic sector</w:t>
            </w:r>
          </w:p>
        </w:tc>
        <w:tc>
          <w:tcPr>
            <w:tcW w:type="dxa" w:w="362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uniform gap, D/Dom, bridges, hashes</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5"/>
              </w:rPr>
              <w:t>negative verdict or candidate</w:t>
            </w:r>
          </w:p>
        </w:tc>
      </w:tr>
    </w:tbl>
    <w:p>
      <w:pPr>
        <w:spacing w:after="20"/>
      </w:pPr>
    </w:p>
    <w:p>
      <w:pPr>
        <w:pStyle w:val="Heading2"/>
        <w:keepNext/>
        <w:pageBreakBefore w:val="0"/>
      </w:pPr>
      <w:r>
        <w:rPr>
          <w:rFonts w:ascii="Aptos" w:hAnsi="Aptos"/>
          <w:b w:val="0"/>
          <w:i w:val="0"/>
          <w:sz w:val="20"/>
        </w:rPr>
        <w:t>15.1. Hilbert Complex and Two Cohomologicalies</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Definition 15.1. Hilbert Complex [CL/DEF] </w:t>
            </w:r>
            <w:r>
              <w:rPr>
                <w:rFonts w:ascii="DejaVu Serif" w:hAnsi="DejaVu Serif" w:eastAsia="DejaVu Serif"/>
                <w:b w:val="0"/>
                <w:i w:val="0"/>
                <w:color w:val="111111"/>
                <w:sz w:val="19"/>
              </w:rPr>
              <w:t>A Hilbert complex is a sequence of Hilbert spaces H^k and densely defined closed operators d_k with ran d_k contained in ker d_{k+1}. The inclusion includes the requirement that the composition be defined on the relevant operator domain.</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d_k:D(d_k) subset H^k -&gt; H^{k+1},    ran d_k subset ker d_{k+1}.</w:t>
            </w:r>
          </w:p>
        </w:tc>
        <w:tc>
          <w:tcPr>
            <w:tcW w:type="dxa" w:w="1531"/>
            <w:shd w:fill="F6F8FA"/>
          </w:tcPr>
          <w:p>
            <w:pPr>
              <w:jc w:val="right"/>
            </w:pPr>
            <w:r>
              <w:rPr>
                <w:rFonts w:ascii="DejaVu Sans" w:hAnsi="DejaVu Sans" w:eastAsia="DejaVu Sans"/>
                <w:b/>
                <w:i w:val="0"/>
                <w:color w:val="5C6773"/>
                <w:sz w:val="17"/>
              </w:rPr>
              <w:t>T2-F098</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Z^k=ker d_k, B^k=ran d_{k-1}, H^k=Z^k/B^k, Hbar^k=Z^k/closure(B^k).</w:t>
            </w:r>
          </w:p>
        </w:tc>
        <w:tc>
          <w:tcPr>
            <w:tcW w:type="dxa" w:w="1531"/>
            <w:shd w:fill="F6F8FA"/>
          </w:tcPr>
          <w:p>
            <w:pPr>
              <w:jc w:val="right"/>
            </w:pPr>
            <w:r>
              <w:rPr>
                <w:rFonts w:ascii="DejaVu Sans" w:hAnsi="DejaVu Sans" w:eastAsia="DejaVu Sans"/>
                <w:b/>
                <w:i w:val="0"/>
                <w:color w:val="5C6773"/>
                <w:sz w:val="17"/>
              </w:rPr>
              <w:t>T2-F099</w:t>
            </w:r>
          </w:p>
        </w:tc>
        <w:trPr>
          <w:tblHeader/>
        </w:trPr>
      </w:tr>
    </w:tbl>
    <w:p>
      <w:pPr>
        <w:spacing w:after="0"/>
      </w:pPr>
    </w:p>
    <w:p>
      <w:pPr>
        <w:widowControl/>
        <w:spacing w:after="80" w:line="264" w:lineRule="auto"/>
      </w:pPr>
      <w:r>
        <w:rPr>
          <w:rFonts w:ascii="DejaVu Serif" w:hAnsi="DejaVu Serif" w:eastAsia="DejaVu Serif"/>
          <w:b w:val="0"/>
          <w:i w:val="0"/>
          <w:color w:val="111111"/>
          <w:sz w:val="20"/>
        </w:rPr>
        <w:t>Ordinary cohomology may be non-Hausdorff when B^k is not closed. Reduced cohomology always divides by a closed subspace. The analytic layer therefore uses reduced cohomology until a closed-range certificate is supplied.</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Lemma 15.1. Adjoint Orthogonality [CL/THM] </w:t>
            </w:r>
            <w:r>
              <w:rPr>
                <w:rFonts w:ascii="DejaVu Serif" w:hAnsi="DejaVu Serif" w:eastAsia="DejaVu Serif"/>
                <w:b w:val="0"/>
                <w:i w:val="0"/>
                <w:color w:val="111111"/>
                <w:sz w:val="19"/>
              </w:rPr>
              <w:t>For a densely defined closed d_k, the adjoint d_k* is closed and the standard orthogonal relations hold.</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(ran d_k)^perp=ker d_k*,    closure(ran d_k*)=(ker d_k)^perp.</w:t>
            </w:r>
          </w:p>
        </w:tc>
        <w:tc>
          <w:tcPr>
            <w:tcW w:type="dxa" w:w="1531"/>
            <w:shd w:fill="F6F8FA"/>
          </w:tcPr>
          <w:p>
            <w:pPr>
              <w:jc w:val="right"/>
            </w:pPr>
            <w:r>
              <w:rPr>
                <w:rFonts w:ascii="DejaVu Sans" w:hAnsi="DejaVu Sans" w:eastAsia="DejaVu Sans"/>
                <w:b/>
                <w:i w:val="0"/>
                <w:color w:val="5C6773"/>
                <w:sz w:val="17"/>
              </w:rPr>
              <w:t>T2-F100</w:t>
            </w:r>
          </w:p>
        </w:tc>
        <w:trPr>
          <w:tblHeader/>
        </w:trPr>
      </w:tr>
    </w:tbl>
    <w:p>
      <w:pPr>
        <w:spacing w:after="0"/>
      </w:pPr>
    </w:p>
    <w:p>
      <w:pPr>
        <w:pStyle w:val="Heading2"/>
        <w:keepNext/>
        <w:pageBreakBefore w:val="0"/>
      </w:pPr>
      <w:r>
        <w:t>15.2. Hodge Laplacian with an Explicit Domain</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Definition 15.3. Hodge Laplacian [CL/DEF] </w:t>
            </w:r>
            <w:r>
              <w:rPr>
                <w:rFonts w:ascii="DejaVu Serif" w:hAnsi="DejaVu Serif" w:eastAsia="DejaVu Serif"/>
                <w:b w:val="0"/>
                <w:i w:val="0"/>
                <w:color w:val="111111"/>
                <w:sz w:val="19"/>
              </w:rPr>
              <w:t>In degree k, Delta_k=d_{k-1}d_{k-1}*+d_k*d_k on the domain where every composition is defined.</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Delta_k=d_{k-1}d_{k-1}* + d_k* d_k.</w:t>
            </w:r>
          </w:p>
        </w:tc>
        <w:tc>
          <w:tcPr>
            <w:tcW w:type="dxa" w:w="1531"/>
            <w:shd w:fill="F6F8FA"/>
          </w:tcPr>
          <w:p>
            <w:pPr>
              <w:jc w:val="right"/>
            </w:pPr>
            <w:r>
              <w:rPr>
                <w:rFonts w:ascii="DejaVu Sans" w:hAnsi="DejaVu Sans" w:eastAsia="DejaVu Sans"/>
                <w:b/>
                <w:i w:val="0"/>
                <w:color w:val="5C6773"/>
                <w:sz w:val="17"/>
              </w:rPr>
              <w:t>T2-F101</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D(Delta_k)={u in D(d_k) intersect D(d_{k-1}*): d_ku in D(d_k*), d_{k-1}*u in D(d_{k-1})}.</w:t>
            </w:r>
          </w:p>
        </w:tc>
        <w:tc>
          <w:tcPr>
            <w:tcW w:type="dxa" w:w="1531"/>
            <w:shd w:fill="F6F8FA"/>
          </w:tcPr>
          <w:p>
            <w:pPr>
              <w:jc w:val="right"/>
            </w:pPr>
            <w:r>
              <w:rPr>
                <w:rFonts w:ascii="DejaVu Sans" w:hAnsi="DejaVu Sans" w:eastAsia="DejaVu Sans"/>
                <w:b/>
                <w:i w:val="0"/>
                <w:color w:val="5C6773"/>
                <w:sz w:val="17"/>
              </w:rPr>
              <w:t>T2-F102</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differential expression without its domain is not an operator. Boundary and singular problems may have inequivalent closed, self-adjoint, or non-self-adjoint realisations of the same formal expression.</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Harm^k=ker d_k intersect ker d_{k-1}* = ker Delta_k.</w:t>
            </w:r>
          </w:p>
        </w:tc>
        <w:tc>
          <w:tcPr>
            <w:tcW w:type="dxa" w:w="1531"/>
            <w:shd w:fill="F6F8FA"/>
          </w:tcPr>
          <w:p>
            <w:pPr>
              <w:jc w:val="right"/>
            </w:pPr>
            <w:r>
              <w:rPr>
                <w:rFonts w:ascii="DejaVu Sans" w:hAnsi="DejaVu Sans" w:eastAsia="DejaVu Sans"/>
                <w:b/>
                <w:i w:val="0"/>
                <w:color w:val="5C6773"/>
                <w:sz w:val="17"/>
              </w:rPr>
              <w:t>T2-F103</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&lt;Delta_k u,u&gt;=||d_ku||^2+||d_{k-1}*u||^2.</w:t>
            </w:r>
          </w:p>
        </w:tc>
        <w:tc>
          <w:tcPr>
            <w:tcW w:type="dxa" w:w="1531"/>
            <w:shd w:fill="F6F8FA"/>
          </w:tcPr>
          <w:p>
            <w:pPr>
              <w:jc w:val="right"/>
            </w:pPr>
            <w:r>
              <w:rPr>
                <w:rFonts w:ascii="DejaVu Sans" w:hAnsi="DejaVu Sans" w:eastAsia="DejaVu Sans"/>
                <w:b/>
                <w:i w:val="0"/>
                <w:color w:val="5C6773"/>
                <w:sz w:val="17"/>
              </w:rPr>
              <w:t>T2-F104</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energy identity requires u to belong to the operator domain and the integration-by-parts formula to have no uncontrolled boundary term.</w:t>
      </w:r>
    </w:p>
    <w:p>
      <w:pPr>
        <w:pStyle w:val="Heading2"/>
        <w:keepNext/>
        <w:pageBreakBefore w:val="0"/>
      </w:pPr>
      <w:r>
        <w:t>15.3. Weak and Strong Hodge Decomposition</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15.2. Weak Hodge Decomposition [CL/THM] </w:t>
            </w:r>
            <w:r>
              <w:rPr>
                <w:rFonts w:ascii="DejaVu Serif" w:hAnsi="DejaVu Serif" w:eastAsia="DejaVu Serif"/>
                <w:b w:val="0"/>
                <w:i w:val="0"/>
                <w:color w:val="111111"/>
                <w:sz w:val="19"/>
              </w:rPr>
              <w:t>Every Hilbert complex has the orthogonal decomposition below; its harmonic sector is canonically isometric to reduced cohomology.</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H^k=closure(ran d_{k-1}) direct-sum Harm^k direct-sum closure(ran d_k*).</w:t>
            </w:r>
          </w:p>
        </w:tc>
        <w:tc>
          <w:tcPr>
            <w:tcW w:type="dxa" w:w="1531"/>
            <w:shd w:fill="F6F8FA"/>
          </w:tcPr>
          <w:p>
            <w:pPr>
              <w:jc w:val="right"/>
            </w:pPr>
            <w:r>
              <w:rPr>
                <w:rFonts w:ascii="DejaVu Sans" w:hAnsi="DejaVu Sans" w:eastAsia="DejaVu Sans"/>
                <w:b/>
                <w:i w:val="0"/>
                <w:color w:val="5C6773"/>
                <w:sz w:val="17"/>
              </w:rPr>
              <w:t>T2-F105</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31" name="Picture 31" descr="Weak Hodge decomposition and the closed-range certificate for strong decomposition" title="Weak Hodge decomposition and the closed-range certificate for strong decomposition"/>
            <wp:cNvGraphicFramePr>
              <a:graphicFrameLocks noChangeAspect="1"/>
            </wp:cNvGraphicFramePr>
            <a:graphic>
              <a:graphicData uri="http://schemas.openxmlformats.org/drawingml/2006/picture">
                <pic:pic>
                  <pic:nvPicPr>
                    <pic:cNvPr id="0" name="fig32_hodge_decomposition.png"/>
                    <pic:cNvPicPr/>
                  </pic:nvPicPr>
                  <pic:blipFill>
                    <a:blip r:embed="rId41"/>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32. Hilbert complex and weak Hodge decomposition; ordinary cohomology requires closed ranges.</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15.3. Strong Decomposition Criterion [CL/THM] </w:t>
            </w:r>
            <w:r>
              <w:rPr>
                <w:rFonts w:ascii="DejaVu Serif" w:hAnsi="DejaVu Serif" w:eastAsia="DejaVu Serif"/>
                <w:b w:val="0"/>
                <w:i w:val="0"/>
                <w:color w:val="111111"/>
                <w:sz w:val="19"/>
              </w:rPr>
              <w:t>In a fixed degree, closedness of ran d_{k-1} and ran d_k* is equivalent to the strong decomposition without closures, a coercive estimate on the harmonic complement, and—under a nonnegative self-adjoint realisation—isolation of zero in the spectrum.</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gamma_k:=inf(spectrum(Delta_k) minus {0})&gt;0.</w:t>
            </w:r>
          </w:p>
        </w:tc>
        <w:tc>
          <w:tcPr>
            <w:tcW w:type="dxa" w:w="1531"/>
            <w:shd w:fill="F6F8FA"/>
          </w:tcPr>
          <w:p>
            <w:pPr>
              <w:jc w:val="right"/>
            </w:pPr>
            <w:r>
              <w:rPr>
                <w:rFonts w:ascii="DejaVu Sans" w:hAnsi="DejaVu Sans" w:eastAsia="DejaVu Sans"/>
                <w:b/>
                <w:i w:val="0"/>
                <w:color w:val="5C6773"/>
                <w:sz w:val="17"/>
              </w:rPr>
              <w:t>T2-F106</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positive number gamma_k is the spectral gap. Its reciprocal controls the Green operator and the conditioning of analytic reconstruction.</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G_k=(Delta_k|_{(Harm^k)^perp})^{-1}(I-P_Harm),    ||G_k||&lt;=1/gamma_k.</w:t>
            </w:r>
          </w:p>
        </w:tc>
        <w:tc>
          <w:tcPr>
            <w:tcW w:type="dxa" w:w="1531"/>
            <w:shd w:fill="F6F8FA"/>
          </w:tcPr>
          <w:p>
            <w:pPr>
              <w:jc w:val="right"/>
            </w:pPr>
            <w:r>
              <w:rPr>
                <w:rFonts w:ascii="DejaVu Sans" w:hAnsi="DejaVu Sans" w:eastAsia="DejaVu Sans"/>
                <w:b/>
                <w:i w:val="0"/>
                <w:color w:val="5C6773"/>
                <w:sz w:val="17"/>
              </w:rPr>
              <w:t>T2-F107</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q=d_{k-1}a_min+h,    h=P_Harm q,    a_min=d_{k-1}*G_kq.</w:t>
            </w:r>
          </w:p>
        </w:tc>
        <w:tc>
          <w:tcPr>
            <w:tcW w:type="dxa" w:w="1531"/>
            <w:shd w:fill="F6F8FA"/>
          </w:tcPr>
          <w:p>
            <w:pPr>
              <w:jc w:val="right"/>
            </w:pPr>
            <w:r>
              <w:rPr>
                <w:rFonts w:ascii="DejaVu Sans" w:hAnsi="DejaVu Sans" w:eastAsia="DejaVu Sans"/>
                <w:b/>
                <w:i w:val="0"/>
                <w:color w:val="5C6773"/>
                <w:sz w:val="17"/>
              </w:rPr>
              <w:t>T2-F108</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||a_min||&lt;=gamma_k^{-1/2}||q-P_Harm q||.</w:t>
            </w:r>
          </w:p>
        </w:tc>
        <w:tc>
          <w:tcPr>
            <w:tcW w:type="dxa" w:w="1531"/>
            <w:shd w:fill="F6F8FA"/>
          </w:tcPr>
          <w:p>
            <w:pPr>
              <w:jc w:val="right"/>
            </w:pPr>
            <w:r>
              <w:rPr>
                <w:rFonts w:ascii="DejaVu Sans" w:hAnsi="DejaVu Sans" w:eastAsia="DejaVu Sans"/>
                <w:b/>
                <w:i w:val="0"/>
                <w:color w:val="5C6773"/>
                <w:sz w:val="17"/>
              </w:rPr>
              <w:t>T2-F109</w:t>
            </w:r>
          </w:p>
        </w:tc>
        <w:trPr>
          <w:tblHeader/>
        </w:trPr>
      </w:tr>
    </w:tbl>
    <w:p>
      <w:pPr>
        <w:spacing w:after="0"/>
      </w:pPr>
    </w:p>
    <w:p>
      <w:pPr>
        <w:widowControl/>
        <w:spacing w:after="80" w:line="264" w:lineRule="auto"/>
      </w:pPr>
      <w:r>
        <w:rPr>
          <w:rFonts w:ascii="DejaVu Serif" w:hAnsi="DejaVu Serif" w:eastAsia="DejaVu Serif"/>
          <w:b w:val="0"/>
          <w:i w:val="0"/>
          <w:color w:val="111111"/>
          <w:sz w:val="20"/>
        </w:rPr>
        <w:t>A small gap may make the minimal primitive badly conditioned even when the harmonic obstruction vanishes. Vanishing of a class and stable computation of a resolving primitive are therefore different statuses.</w:t>
      </w:r>
    </w:p>
    <w:p>
      <w:pPr>
        <w:pStyle w:val="Heading2"/>
        <w:keepNext/>
        <w:pageBreakBefore w:val="0"/>
      </w:pPr>
      <w:r>
        <w:t>15.4. Elliptic Complexes and Laplace-Type Operators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0 -&gt; E_x^0 --sigma(d_0)(x,xi)--&gt; E_x^1 -&gt; ... -&gt; E_x^N -&gt; 0,    xi!=0.</w:t>
            </w:r>
          </w:p>
        </w:tc>
        <w:tc>
          <w:tcPr>
            <w:tcW w:type="dxa" w:w="1531"/>
            <w:shd w:fill="F6F8FA"/>
          </w:tcPr>
          <w:p>
            <w:pPr>
              <w:jc w:val="right"/>
            </w:pPr>
            <w:r>
              <w:rPr>
                <w:rFonts w:ascii="DejaVu Sans" w:hAnsi="DejaVu Sans" w:eastAsia="DejaVu Sans"/>
                <w:b/>
                <w:i w:val="0"/>
                <w:color w:val="5C6773"/>
                <w:sz w:val="17"/>
              </w:rPr>
              <w:t>T2-F110</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15.4. Ellipticity of the Hodge Laplacian [CL/THM] </w:t>
            </w:r>
            <w:r>
              <w:rPr>
                <w:rFonts w:ascii="DejaVu Serif" w:hAnsi="DejaVu Serif" w:eastAsia="DejaVu Serif"/>
                <w:b w:val="0"/>
                <w:i w:val="0"/>
                <w:color w:val="111111"/>
                <w:sz w:val="19"/>
              </w:rPr>
              <w:t>For an elliptic complex, the principal symbol of Delta_k is positive definite and equals the sum of the two symbol squares.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sigma_2(Delta_k)=sigma(d_{k-1})sigma(d_{k-1})* + sigma(d_k)*sigma(d_k).</w:t>
            </w:r>
          </w:p>
        </w:tc>
        <w:tc>
          <w:tcPr>
            <w:tcW w:type="dxa" w:w="1531"/>
            <w:shd w:fill="F6F8FA"/>
          </w:tcPr>
          <w:p>
            <w:pPr>
              <w:jc w:val="right"/>
            </w:pPr>
            <w:r>
              <w:rPr>
                <w:rFonts w:ascii="DejaVu Sans" w:hAnsi="DejaVu Sans" w:eastAsia="DejaVu Sans"/>
                <w:b/>
                <w:i w:val="0"/>
                <w:color w:val="5C6773"/>
                <w:sz w:val="17"/>
              </w:rPr>
              <w:t>T2-F111</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sigma_2(L)(x,xi)=|xi|_g^2 Id.</w:t>
            </w:r>
          </w:p>
        </w:tc>
        <w:tc>
          <w:tcPr>
            <w:tcW w:type="dxa" w:w="1531"/>
            <w:shd w:fill="F6F8FA"/>
          </w:tcPr>
          <w:p>
            <w:pPr>
              <w:jc w:val="right"/>
            </w:pPr>
            <w:r>
              <w:rPr>
                <w:rFonts w:ascii="DejaVu Sans" w:hAnsi="DejaVu Sans" w:eastAsia="DejaVu Sans"/>
                <w:b/>
                <w:i w:val="0"/>
                <w:color w:val="5C6773"/>
                <w:sz w:val="17"/>
              </w:rPr>
              <w:t>T2-F112</w:t>
            </w:r>
          </w:p>
        </w:tc>
        <w:trPr>
          <w:tblHeader/>
        </w:trPr>
      </w:tr>
    </w:tbl>
    <w:p>
      <w:pPr>
        <w:spacing w:after="0"/>
      </w:pPr>
    </w:p>
    <w:p>
      <w:pPr>
        <w:widowControl/>
        <w:spacing w:after="80" w:line="264" w:lineRule="auto"/>
      </w:pPr>
      <w:r>
        <w:rPr>
          <w:rFonts w:ascii="DejaVu Serif" w:hAnsi="DejaVu Serif" w:eastAsia="DejaVu Serif"/>
          <w:b w:val="0"/>
          <w:i w:val="0"/>
          <w:color w:val="111111"/>
          <w:sz w:val="20"/>
        </w:rPr>
        <w:t>On a compact manifold without boundary, a standard L^2 realisation then gives elliptic regularity, finite-dimensional harmonic spaces, and discrete spectrum. A NAPG Hodge Laplacian has this property only after the metric, principal symbols, and interface data are verified.</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Countertheorem 15.5. Nilpotency Does Not Imply Ellipticity [THM] </w:t>
            </w:r>
            <w:r>
              <w:rPr>
                <w:rFonts w:ascii="DejaVu Serif" w:hAnsi="DejaVu Serif" w:eastAsia="DejaVu Serif"/>
                <w:b w:val="0"/>
                <w:i w:val="0"/>
                <w:color w:val="111111"/>
                <w:sz w:val="19"/>
              </w:rPr>
              <w:t>On an infinite-dimensional Hilbert space, d=0 has d^2=0 but Delta=0 has infinite-dimensional kernel, is not Fredholm, and has no positive spectral gap.</w:t>
            </w:r>
          </w:p>
        </w:tc>
        <w:trPr>
          <w:tblHeader/>
        </w:trPr>
      </w:tr>
    </w:tbl>
    <w:p>
      <w:pPr>
        <w:spacing w:after="0"/>
      </w:pPr>
    </w:p>
    <w:p>
      <w:pPr>
        <w:pStyle w:val="Heading2"/>
        <w:keepNext/>
        <w:pageBreakBefore w:val="0"/>
      </w:pPr>
      <w:r>
        <w:t>15.5. Boundary and Interface Conditions</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2488"/>
        <w:gridCol w:w="2488"/>
        <w:gridCol w:w="2488"/>
        <w:gridCol w:w="2488"/>
      </w:tblGrid>
      <w:tr>
        <w:trPr>
          <w:cantSplit w:val="true"/>
          <w:tblHeader w:val="true"/>
        </w:trPr>
        <w:tc>
          <w:tcPr>
            <w:tcW w:type="dxa" w:w="170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Regime</w:t>
            </w:r>
          </w:p>
        </w:tc>
        <w:tc>
          <w:tcPr>
            <w:tcW w:type="dxa" w:w="300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Conditions</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Cohomological type</w:t>
            </w:r>
          </w:p>
        </w:tc>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NAPG status</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relative</w:t>
            </w:r>
          </w:p>
        </w:tc>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 omega=0 and t delta omega=0</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relative cohomology</w:t>
            </w:r>
          </w:p>
        </w:tc>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admissible after trace-space checks</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absolute</w:t>
            </w:r>
          </w:p>
        </w:tc>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 omega=0 and n d omega=0</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absolute cohomology</w:t>
            </w:r>
          </w:p>
        </w:tc>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admissible after Green-formula checks</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general elliptic B</w:t>
            </w:r>
          </w:p>
        </w:tc>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 gamma(omega)=0 plus complementing condition</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depends on B</w:t>
            </w:r>
          </w:p>
        </w:tc>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COND: self-adjoint/Fredholm certificate required</w:t>
            </w:r>
          </w:p>
        </w:tc>
      </w:tr>
    </w:tbl>
    <w:p>
      <w:pPr>
        <w:spacing w:after="2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15.6. Boundary Firewall [CL/COND] </w:t>
            </w:r>
            <w:r>
              <w:rPr>
                <w:rFonts w:ascii="DejaVu Serif" w:hAnsi="DejaVu Serif" w:eastAsia="DejaVu Serif"/>
                <w:b w:val="0"/>
                <w:i w:val="0"/>
                <w:color w:val="111111"/>
                <w:sz w:val="19"/>
              </w:rPr>
              <w:t>For the de Rham complex on a smooth compact manifold with smooth boundary, the standard absolute and relative realisations are elliptic self-adjoint problems. For a general NAPG operator, this conclusion requires a Green formula, trace spaces, interior-symbol ellipticity, a complementing boundary condition, and a proof of symmetry/self-adjointness or Fredholmness.</w:t>
            </w:r>
          </w:p>
        </w:tc>
        <w:trPr>
          <w:tblHeader/>
        </w:trPr>
      </w:tr>
    </w:tbl>
    <w:p>
      <w:pPr>
        <w:spacing w:after="0"/>
      </w:pPr>
    </w:p>
    <w:p>
      <w:pPr>
        <w:widowControl/>
        <w:spacing w:after="80" w:line="264" w:lineRule="auto"/>
      </w:pPr>
      <w:r>
        <w:rPr>
          <w:rFonts w:ascii="DejaVu Serif" w:hAnsi="DejaVu Serif" w:eastAsia="DejaVu Serif"/>
          <w:b w:val="0"/>
          <w:i w:val="0"/>
          <w:color w:val="111111"/>
          <w:sz w:val="20"/>
        </w:rPr>
        <w:t>On stratified carriers, the direct sum of stratumwise complexes must additionally satisfy transmission equations across incidence interfaces. Fredholmness on every stratum does not imply Fredholmness of the total operator.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H_str^k=direct_sum_alpha L^2 Omega^k(S_alpha,E_alpha).</w:t>
            </w:r>
          </w:p>
        </w:tc>
        <w:tc>
          <w:tcPr>
            <w:tcW w:type="dxa" w:w="1531"/>
            <w:shd w:fill="F6F8FA"/>
          </w:tcPr>
          <w:p>
            <w:pPr>
              <w:jc w:val="right"/>
            </w:pPr>
            <w:r>
              <w:rPr>
                <w:rFonts w:ascii="DejaVu Sans" w:hAnsi="DejaVu Sans" w:eastAsia="DejaVu Sans"/>
                <w:b/>
                <w:i w:val="0"/>
                <w:color w:val="5C6773"/>
                <w:sz w:val="17"/>
              </w:rPr>
              <w:t>T2-F113</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T_{alpha beta}^+u_alpha=T_{alpha beta}^-u_beta on every admitted interface.</w:t>
            </w:r>
          </w:p>
        </w:tc>
        <w:tc>
          <w:tcPr>
            <w:tcW w:type="dxa" w:w="1531"/>
            <w:shd w:fill="F6F8FA"/>
          </w:tcPr>
          <w:p>
            <w:pPr>
              <w:jc w:val="right"/>
            </w:pPr>
            <w:r>
              <w:rPr>
                <w:rFonts w:ascii="DejaVu Sans" w:hAnsi="DejaVu Sans" w:eastAsia="DejaVu Sans"/>
                <w:b/>
                <w:i w:val="0"/>
                <w:color w:val="5C6773"/>
                <w:sz w:val="17"/>
              </w:rPr>
              <w:t>T2-F114</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32" name="Picture 32" descr="Boundary and interface analytic firewall" title="Boundary and interface analytic firewall"/>
            <wp:cNvGraphicFramePr>
              <a:graphicFrameLocks noChangeAspect="1"/>
            </wp:cNvGraphicFramePr>
            <a:graphic>
              <a:graphicData uri="http://schemas.openxmlformats.org/drawingml/2006/picture">
                <pic:pic>
                  <pic:nvPicPr>
                    <pic:cNvPr id="0" name="fig33_boundary_firewall.png"/>
                    <pic:cNvPicPr/>
                  </pic:nvPicPr>
                  <pic:blipFill>
                    <a:blip r:embed="rId42"/>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33. Interior symbol, operator domain, boundary condition, and interface condition are separate analytic obligations.</w:t>
      </w:r>
    </w:p>
    <w:p>
      <w:pPr>
        <w:pStyle w:val="Heading2"/>
        <w:keepNext/>
        <w:pageBreakBefore w:val="0"/>
      </w:pPr>
      <w:r>
        <w:t>15.6. Fredholm Sectors, Index, and Harmonic Obstruction</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ind T=dim ker T - dim coker T.</w:t>
            </w:r>
          </w:p>
        </w:tc>
        <w:tc>
          <w:tcPr>
            <w:tcW w:type="dxa" w:w="1531"/>
            <w:shd w:fill="F6F8FA"/>
          </w:tcPr>
          <w:p>
            <w:pPr>
              <w:jc w:val="right"/>
            </w:pPr>
            <w:r>
              <w:rPr>
                <w:rFonts w:ascii="DejaVu Sans" w:hAnsi="DejaVu Sans" w:eastAsia="DejaVu Sans"/>
                <w:b/>
                <w:i w:val="0"/>
                <w:color w:val="5C6773"/>
                <w:sz w:val="17"/>
              </w:rPr>
              <w:t>T2-F115</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D_H^+:H^{even}-&gt;H^{odd},    ind D_H^+=sum_k (-1)^k dim H^k.</w:t>
            </w:r>
          </w:p>
        </w:tc>
        <w:tc>
          <w:tcPr>
            <w:tcW w:type="dxa" w:w="1531"/>
            <w:shd w:fill="F6F8FA"/>
          </w:tcPr>
          <w:p>
            <w:pPr>
              <w:jc w:val="right"/>
            </w:pPr>
            <w:r>
              <w:rPr>
                <w:rFonts w:ascii="DejaVu Sans" w:hAnsi="DejaVu Sans" w:eastAsia="DejaVu Sans"/>
                <w:b/>
                <w:i w:val="0"/>
                <w:color w:val="5C6773"/>
                <w:sz w:val="17"/>
              </w:rPr>
              <w:t>T2-F116</w:t>
            </w:r>
          </w:p>
        </w:tc>
        <w:trPr>
          <w:tblHeader/>
        </w:trPr>
      </w:tr>
    </w:tbl>
    <w:p>
      <w:pPr>
        <w:spacing w:after="0"/>
      </w:pPr>
    </w:p>
    <w:p>
      <w:pPr>
        <w:widowControl/>
        <w:spacing w:after="80" w:line="264" w:lineRule="auto"/>
      </w:pPr>
      <w:r>
        <w:rPr>
          <w:rFonts w:ascii="DejaVu Serif" w:hAnsi="DejaVu Serif" w:eastAsia="DejaVu Serif"/>
          <w:b w:val="0"/>
          <w:i w:val="0"/>
          <w:color w:val="111111"/>
          <w:sz w:val="20"/>
        </w:rPr>
        <w:t>Index is locally constant on a Fredholm component, but it is an alternating invariant and does not determine each harmonic rank. The predictive profile therefore retains all relevant dimensions separately.</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h_E(o)=P_{Harm_E^3}q,    eta_H(o)=||h_E(o)||.</w:t>
            </w:r>
          </w:p>
        </w:tc>
        <w:tc>
          <w:tcPr>
            <w:tcW w:type="dxa" w:w="1531"/>
            <w:shd w:fill="F6F8FA"/>
          </w:tcPr>
          <w:p>
            <w:pPr>
              <w:jc w:val="right"/>
            </w:pPr>
            <w:r>
              <w:rPr>
                <w:rFonts w:ascii="DejaVu Sans" w:hAnsi="DejaVu Sans" w:eastAsia="DejaVu Sans"/>
                <w:b/>
                <w:i w:val="0"/>
                <w:color w:val="5C6773"/>
                <w:sz w:val="17"/>
              </w:rPr>
              <w:t>T2-F117</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15.8. Harmonic Detection of the External Class [THM/COND] </w:t>
            </w:r>
            <w:r>
              <w:rPr>
                <w:rFonts w:ascii="DejaVu Serif" w:hAnsi="DejaVu Serif" w:eastAsia="DejaVu Serif"/>
                <w:b w:val="0"/>
                <w:i w:val="0"/>
                <w:color w:val="111111"/>
                <w:sz w:val="19"/>
              </w:rPr>
              <w:t>For a closed representative q of Pi_E(o), eta_H(o)=dist(q,ran d_E^2), and eta_H(o)=0 exactly when Pi_E(o)=0 in the closed-range sector.</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eta_H(o)=dist(q,ran d_E^2),    eta_H(o)=0 iff Pi_E(o)=0.</w:t>
            </w:r>
          </w:p>
        </w:tc>
        <w:tc>
          <w:tcPr>
            <w:tcW w:type="dxa" w:w="1531"/>
            <w:shd w:fill="F6F8FA"/>
          </w:tcPr>
          <w:p>
            <w:pPr>
              <w:jc w:val="right"/>
            </w:pPr>
            <w:r>
              <w:rPr>
                <w:rFonts w:ascii="DejaVu Sans" w:hAnsi="DejaVu Sans" w:eastAsia="DejaVu Sans"/>
                <w:b/>
                <w:i w:val="0"/>
                <w:color w:val="5C6773"/>
                <w:sz w:val="17"/>
              </w:rPr>
              <w:t>T2-F118</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Cond_H=(gamma_3^{-1},||G_3||,||P_H||,trace_constant,interface_constant).</w:t>
            </w:r>
          </w:p>
        </w:tc>
        <w:tc>
          <w:tcPr>
            <w:tcW w:type="dxa" w:w="1531"/>
            <w:shd w:fill="F6F8FA"/>
          </w:tcPr>
          <w:p>
            <w:pPr>
              <w:jc w:val="right"/>
            </w:pPr>
            <w:r>
              <w:rPr>
                <w:rFonts w:ascii="DejaVu Sans" w:hAnsi="DejaVu Sans" w:eastAsia="DejaVu Sans"/>
                <w:b/>
                <w:i w:val="0"/>
                <w:color w:val="5C6773"/>
                <w:sz w:val="17"/>
              </w:rPr>
              <w:t>T2-F119</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harmonic norm is invariant under replacement of q by an exact representative. A positive lower bound gives robust non-removal of the selected external obstruction; a zero value only removes this linear cohomological obstruction.</w:t>
      </w:r>
    </w:p>
    <w:p>
      <w:pPr>
        <w:pStyle w:val="Heading2"/>
        <w:keepNext/>
        <w:pageBreakBefore w:val="0"/>
      </w:pPr>
      <w:r>
        <w:t>15.7. Spectral Stability and the Hodge-Fredholm Horizon</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P_t=(2 pi i)^{-1} contour_integral_Gamma (z-Delta_{3,t})^{-1} dz.</w:t>
            </w:r>
          </w:p>
        </w:tc>
        <w:tc>
          <w:tcPr>
            <w:tcW w:type="dxa" w:w="1531"/>
            <w:shd w:fill="F6F8FA"/>
          </w:tcPr>
          <w:p>
            <w:pPr>
              <w:jc w:val="right"/>
            </w:pPr>
            <w:r>
              <w:rPr>
                <w:rFonts w:ascii="DejaVu Sans" w:hAnsi="DejaVu Sans" w:eastAsia="DejaVu Sans"/>
                <w:b/>
                <w:i w:val="0"/>
                <w:color w:val="5C6773"/>
                <w:sz w:val="17"/>
              </w:rPr>
              <w:t>T2-F120</w:t>
            </w:r>
          </w:p>
        </w:tc>
        <w:trPr>
          <w:tblHeader/>
        </w:trPr>
      </w:tr>
    </w:tbl>
    <w:p>
      <w:pPr>
        <w:spacing w:after="0"/>
      </w:pPr>
    </w:p>
    <w:p>
      <w:pPr>
        <w:widowControl/>
        <w:spacing w:after="80" w:line="264" w:lineRule="auto"/>
      </w:pPr>
      <w:r>
        <w:rPr>
          <w:rFonts w:ascii="DejaVu Serif" w:hAnsi="DejaVu Serif" w:eastAsia="DejaVu Serif"/>
          <w:b w:val="0"/>
          <w:i w:val="0"/>
          <w:color w:val="111111"/>
          <w:sz w:val="20"/>
        </w:rPr>
        <w:t>When a zero spectral cluster is uniformly isolated, the Riesz projector varies continuously and its rank is constant. The horizon records every way this argument can fail.</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Delta_HF=Delta_{d^2} union Delta_dom union Delta_ell union Delta_BC union Delta_range union Delta_gap union Delta_harm union Delta_int union Delta_D union Delta_Dom union Delta_glue.</w:t>
            </w:r>
          </w:p>
        </w:tc>
        <w:tc>
          <w:tcPr>
            <w:tcW w:type="dxa" w:w="1531"/>
            <w:shd w:fill="F6F8FA"/>
          </w:tcPr>
          <w:p>
            <w:pPr>
              <w:jc w:val="right"/>
            </w:pPr>
            <w:r>
              <w:rPr>
                <w:rFonts w:ascii="DejaVu Sans" w:hAnsi="DejaVu Sans" w:eastAsia="DejaVu Sans"/>
                <w:b/>
                <w:i w:val="0"/>
                <w:color w:val="5C6773"/>
                <w:sz w:val="17"/>
              </w:rPr>
              <w:t>T2-F121</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P_HF(t)=(ind D_H,t^+,dim Harm_t^k,gamma_k(t),eta_H(t),||G_k(t)||,BC_t,Interface_t,lambda_t).</w:t>
            </w:r>
          </w:p>
        </w:tc>
        <w:tc>
          <w:tcPr>
            <w:tcW w:type="dxa" w:w="1531"/>
            <w:shd w:fill="F6F8FA"/>
          </w:tcPr>
          <w:p>
            <w:pPr>
              <w:jc w:val="right"/>
            </w:pPr>
            <w:r>
              <w:rPr>
                <w:rFonts w:ascii="DejaVu Sans" w:hAnsi="DejaVu Sans" w:eastAsia="DejaVu Sans"/>
                <w:b/>
                <w:i w:val="0"/>
                <w:color w:val="5C6773"/>
                <w:sz w:val="17"/>
              </w:rPr>
              <w:t>T2-F122</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I intersect Delta_HF=empty and eta_H(t)&gt;=epsilon_H  =&gt;  removal of this obstruction is impossible in the model.</w:t>
            </w:r>
          </w:p>
        </w:tc>
        <w:tc>
          <w:tcPr>
            <w:tcW w:type="dxa" w:w="1531"/>
            <w:shd w:fill="F6F8FA"/>
          </w:tcPr>
          <w:p>
            <w:pPr>
              <w:jc w:val="right"/>
            </w:pPr>
            <w:r>
              <w:rPr>
                <w:rFonts w:ascii="DejaVu Sans" w:hAnsi="DejaVu Sans" w:eastAsia="DejaVu Sans"/>
                <w:b/>
                <w:i w:val="0"/>
                <w:color w:val="5C6773"/>
                <w:sz w:val="17"/>
              </w:rPr>
              <w:t>T2-F123</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33" name="Picture 33" descr="Hodge-Fredholm transition horizon and three-valued analytic verdict" title="Hodge-Fredholm transition horizon and three-valued analytic verdict"/>
            <wp:cNvGraphicFramePr>
              <a:graphicFrameLocks noChangeAspect="1"/>
            </wp:cNvGraphicFramePr>
            <a:graphic>
              <a:graphicData uri="http://schemas.openxmlformats.org/drawingml/2006/picture">
                <pic:pic>
                  <pic:nvPicPr>
                    <pic:cNvPr id="0" name="fig34_hodge_horizon.png"/>
                    <pic:cNvPicPr/>
                  </pic:nvPicPr>
                  <pic:blipFill>
                    <a:blip r:embed="rId43"/>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34. Hodge-Fredholm transition horizon and the three-valued analytic output.</w:t>
      </w:r>
    </w:p>
    <w:p>
      <w:pPr>
        <w:pStyle w:val="Heading2"/>
        <w:keepNext/>
        <w:pageBreakBefore w:val="0"/>
      </w:pPr>
      <w:r>
        <w:t>15.8. Hodge-Reper Bridge</w:t>
      </w:r>
    </w:p>
    <w:p>
      <w:pPr>
        <w:widowControl/>
        <w:spacing w:after="80" w:line="264" w:lineRule="auto"/>
      </w:pPr>
      <w:r>
        <w:rPr>
          <w:rFonts w:ascii="DejaVu Serif" w:hAnsi="DejaVu Serif" w:eastAsia="DejaVu Serif"/>
          <w:b w:val="0"/>
          <w:i w:val="0"/>
          <w:color w:val="111111"/>
          <w:sz w:val="20"/>
        </w:rPr>
        <w:t>A harmonic representative lies in Harm_E^3. The Reper cross-ratio is defined on a quadruple of projective coordinates. There is no canonical map between them. A separate homogeneous functional package is required.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chi_H=(R_H,I_H,U_H,D_H):P(Harm_E^3) dashedrightarrow (P^1)^4,    lambda_H=cr(U_H,I_H;R_H,D_H).</w:t>
            </w:r>
          </w:p>
        </w:tc>
        <w:tc>
          <w:tcPr>
            <w:tcW w:type="dxa" w:w="1531"/>
            <w:shd w:fill="F6F8FA"/>
          </w:tcPr>
          <w:p>
            <w:pPr>
              <w:jc w:val="right"/>
            </w:pPr>
            <w:r>
              <w:rPr>
                <w:rFonts w:ascii="DejaVu Sans" w:hAnsi="DejaVu Sans" w:eastAsia="DejaVu Sans"/>
                <w:b/>
                <w:i w:val="0"/>
                <w:color w:val="5C6773"/>
                <w:sz w:val="17"/>
              </w:rPr>
              <w:t>T2-F124</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Cert_HF=(COMPLEX,DOMAIN,SYMBOL,BC,INTERFACE,FREDHOLM,GAP,HARM,BRIDGE,D,DOM,lambda,HASH).</w:t>
            </w:r>
          </w:p>
        </w:tc>
        <w:tc>
          <w:tcPr>
            <w:tcW w:type="dxa" w:w="1531"/>
            <w:shd w:fill="F6F8FA"/>
          </w:tcPr>
          <w:p>
            <w:pPr>
              <w:jc w:val="right"/>
            </w:pPr>
            <w:r>
              <w:rPr>
                <w:rFonts w:ascii="DejaVu Sans" w:hAnsi="DejaVu Sans" w:eastAsia="DejaVu Sans"/>
                <w:b/>
                <w:i w:val="0"/>
                <w:color w:val="5C6773"/>
                <w:sz w:val="17"/>
              </w:rPr>
              <w:t>T2-F125</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bridge is defined only for nonzero classes away from its poles and after the homogeneous scaling law has been checked. A zero harmonic obstruction is not projectivised.</w:t>
      </w:r>
    </w:p>
    <w:p>
      <w:pPr>
        <w:pStyle w:val="Heading2"/>
        <w:keepNext/>
        <w:pageBreakBefore w:val="0"/>
      </w:pPr>
      <w:r>
        <w:t>15.9. Main Hodge-Fredholm-Safe Theorem</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Theorem 15.12. Hodge-Fredholm-Safe Prediction [COND] </w:t>
            </w:r>
            <w:r>
              <w:rPr>
                <w:rFonts w:ascii="DejaVu Serif" w:hAnsi="DejaVu Serif" w:eastAsia="DejaVu Serif"/>
                <w:b w:val="0"/>
                <w:i w:val="0"/>
                <w:color w:val="111111"/>
                <w:sz w:val="19"/>
              </w:rPr>
              <w:t>Let N_t carry external complexes and Hodge-Laplacian realisations such that the Hilbert-complex identity, elliptic symbols, boundary/transmission conditions, Fredholmness, norm-resolvent continuity, a uniform positive gap, constant harmonic ranks, a valid Pi_E bridge, continuous obstruction and Evidence-D sections, fixed D/Dom and gluing data, a typed Hodge-Reper bridge, all predecessor blockers, and a reproducible HOD-AN certificate are verified. Outside Delta_HF, the index, harmonic rank, and certified analytic type are constant. If eta_H&gt;=epsilon_H&gt;0, the selected external obstruction cannot disappear. If eta_H=0, only that linear cohomological obstruction is removed.</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Block_HF=B_complex union B_domain union B_symbol union B_BC union B_interface union B_range union B_gap union B_bridge union B_D union B_Dom union B_glue union B_ind.</w:t>
            </w:r>
          </w:p>
        </w:tc>
        <w:tc>
          <w:tcPr>
            <w:tcW w:type="dxa" w:w="1531"/>
            <w:shd w:fill="F6F8FA"/>
          </w:tcPr>
          <w:p>
            <w:pPr>
              <w:jc w:val="right"/>
            </w:pPr>
            <w:r>
              <w:rPr>
                <w:rFonts w:ascii="DejaVu Sans" w:hAnsi="DejaVu Sans" w:eastAsia="DejaVu Sans"/>
                <w:b/>
                <w:i w:val="0"/>
                <w:color w:val="5C6773"/>
                <w:sz w:val="17"/>
              </w:rPr>
              <w:t>T2-F126</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83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Output</w:t>
            </w:r>
          </w:p>
        </w:tc>
        <w:tc>
          <w:tcPr>
            <w:tcW w:type="dxa" w:w="3402"/>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Necessary condition</w:t>
            </w:r>
          </w:p>
        </w:tc>
        <w:tc>
          <w:tcPr>
            <w:tcW w:type="dxa" w:w="311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Prohibited over-interpretation</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NO-OBSTRUCTION-REMOVAL-IN-MODEL</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Block_HF empty and eta_H&gt;=epsilon_H</w:t>
            </w:r>
          </w:p>
        </w:tc>
        <w:tc>
          <w:tcPr>
            <w:tcW w:type="dxa" w:w="311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does not exclude other transition mechanisms</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CANDIDATE-ANALYTIC-TRANSITION</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path meets Delta_HF with a surviving certificate</w:t>
            </w:r>
          </w:p>
        </w:tc>
        <w:tc>
          <w:tcPr>
            <w:tcW w:type="dxa" w:w="311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does not assert that an event occurred</w:t>
            </w:r>
          </w:p>
        </w:tc>
      </w:tr>
      <w:tr>
        <w:trPr>
          <w:cantSplit w:val="true"/>
        </w:trPr>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 blocker is open or no uniform numerical margin exists</w:t>
            </w:r>
          </w:p>
        </w:tc>
        <w:tc>
          <w:tcPr>
            <w:tcW w:type="dxa" w:w="311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cannot be replaced by expert optimism</w:t>
            </w:r>
          </w:p>
        </w:tc>
      </w:tr>
    </w:tbl>
    <w:p>
      <w:pPr>
        <w:spacing w:after="20"/>
      </w:pPr>
    </w:p>
    <w:p>
      <w:pPr>
        <w:pStyle w:val="Heading2"/>
        <w:keepNext/>
        <w:pageBreakBefore w:val="0"/>
      </w:pPr>
      <w:r>
        <w:t>15.10. Countermodels and HOD-AN Certificate</w:t>
      </w:r>
    </w:p>
    <w:p>
      <w:pPr>
        <w:pStyle w:val="ListBullet"/>
        <w:spacing w:after="40" w:line="252" w:lineRule="auto"/>
      </w:pPr>
      <w:r>
        <w:rPr>
          <w:rFonts w:ascii="DejaVu Serif" w:hAnsi="DejaVu Serif" w:eastAsia="DejaVu Serif"/>
          <w:b w:val="0"/>
          <w:i w:val="0"/>
          <w:color w:val="111111"/>
          <w:sz w:val="19"/>
        </w:rPr>
        <w:t>d^2=0 does not imply ellipticity;</w:t>
      </w:r>
    </w:p>
    <w:p>
      <w:pPr>
        <w:pStyle w:val="ListBullet"/>
        <w:spacing w:after="40" w:line="252" w:lineRule="auto"/>
      </w:pPr>
      <w:r>
        <w:rPr>
          <w:rFonts w:ascii="DejaVu Serif" w:hAnsi="DejaVu Serif" w:eastAsia="DejaVu Serif"/>
          <w:b w:val="0"/>
          <w:i w:val="0"/>
          <w:color w:val="111111"/>
          <w:sz w:val="19"/>
        </w:rPr>
        <w:t>formal symmetry of Delta does not imply self-adjointness of the selected realisation;</w:t>
      </w:r>
    </w:p>
    <w:p>
      <w:pPr>
        <w:pStyle w:val="ListBullet"/>
        <w:spacing w:after="40" w:line="252" w:lineRule="auto"/>
      </w:pPr>
      <w:r>
        <w:rPr>
          <w:rFonts w:ascii="DejaVu Serif" w:hAnsi="DejaVu Serif" w:eastAsia="DejaVu Serif"/>
          <w:b w:val="0"/>
          <w:i w:val="0"/>
          <w:color w:val="111111"/>
          <w:sz w:val="19"/>
        </w:rPr>
        <w:t>constant dim Harm^k does not prevent a tracked harmonic section from crossing zero;</w:t>
      </w:r>
    </w:p>
    <w:p>
      <w:pPr>
        <w:pStyle w:val="ListBullet"/>
        <w:spacing w:after="40" w:line="252" w:lineRule="auto"/>
      </w:pPr>
      <w:r>
        <w:rPr>
          <w:rFonts w:ascii="DejaVu Serif" w:hAnsi="DejaVu Serif" w:eastAsia="DejaVu Serif"/>
          <w:b w:val="0"/>
          <w:i w:val="0"/>
          <w:color w:val="111111"/>
          <w:sz w:val="19"/>
        </w:rPr>
        <w:t>a small eta_H does not prove exact vanishing;</w:t>
      </w:r>
    </w:p>
    <w:p>
      <w:pPr>
        <w:pStyle w:val="ListBullet"/>
        <w:spacing w:after="40" w:line="252" w:lineRule="auto"/>
      </w:pPr>
      <w:r>
        <w:rPr>
          <w:rFonts w:ascii="DejaVu Serif" w:hAnsi="DejaVu Serif" w:eastAsia="DejaVu Serif"/>
          <w:b w:val="0"/>
          <w:i w:val="0"/>
          <w:color w:val="111111"/>
          <w:sz w:val="19"/>
        </w:rPr>
        <w:t>eta_H=0 does not imply a nonlinear NAPG lift;</w:t>
      </w:r>
    </w:p>
    <w:p>
      <w:pPr>
        <w:pStyle w:val="ListBullet"/>
        <w:spacing w:after="40" w:line="252" w:lineRule="auto"/>
      </w:pPr>
      <w:r>
        <w:rPr>
          <w:rFonts w:ascii="DejaVu Serif" w:hAnsi="DejaVu Serif" w:eastAsia="DejaVu Serif"/>
          <w:b w:val="0"/>
          <w:i w:val="0"/>
          <w:color w:val="111111"/>
          <w:sz w:val="19"/>
        </w:rPr>
        <w:t>Fredholmness on each stratum does not imply total Fredholmness without interface conditions;</w:t>
      </w:r>
    </w:p>
    <w:p>
      <w:pPr>
        <w:pStyle w:val="ListBullet"/>
        <w:spacing w:after="40" w:line="252" w:lineRule="auto"/>
      </w:pPr>
      <w:r>
        <w:rPr>
          <w:rFonts w:ascii="DejaVu Serif" w:hAnsi="DejaVu Serif" w:eastAsia="DejaVu Serif"/>
          <w:b w:val="0"/>
          <w:i w:val="0"/>
          <w:color w:val="111111"/>
          <w:sz w:val="19"/>
        </w:rPr>
        <w:t>nonzero spectral flow is not automatically a physical transition;</w:t>
      </w:r>
    </w:p>
    <w:p>
      <w:pPr>
        <w:pStyle w:val="ListBullet"/>
        <w:spacing w:after="40" w:line="252" w:lineRule="auto"/>
      </w:pPr>
      <w:r>
        <w:rPr>
          <w:rFonts w:ascii="DejaVu Serif" w:hAnsi="DejaVu Serif" w:eastAsia="DejaVu Serif"/>
          <w:b w:val="0"/>
          <w:i w:val="0"/>
          <w:color w:val="111111"/>
          <w:sz w:val="19"/>
        </w:rPr>
        <w:t>nonassociativity of the product does not imply nonzero principal-symbol curvature.</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4082"/>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Separating model</w:t>
            </w:r>
          </w:p>
        </w:tc>
        <w:tc>
          <w:tcPr>
            <w:tcW w:type="dxa" w:w="5272"/>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Lesson</w:t>
            </w:r>
          </w:p>
        </w:tc>
      </w:tr>
      <w:tr>
        <w:trPr>
          <w:cantSplit w:val="true"/>
        </w:trPr>
        <w:tc>
          <w:tcPr>
            <w:tcW w:type="dxa" w:w="408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d=0 on an infinite-dimensional Hilbert space</w:t>
            </w:r>
          </w:p>
        </w:tc>
        <w:tc>
          <w:tcPr>
            <w:tcW w:type="dxa" w:w="527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nilpotent but not Fredholm; infinite harmonic sector</w:t>
            </w:r>
          </w:p>
        </w:tc>
      </w:tr>
      <w:tr>
        <w:trPr>
          <w:cantSplit w:val="true"/>
        </w:trPr>
        <w:tc>
          <w:tcPr>
            <w:tcW w:type="dxa" w:w="408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-d^2/dx^2 on [0,1] with Dirichlet versus Neumann domains</w:t>
            </w:r>
          </w:p>
        </w:tc>
        <w:tc>
          <w:tcPr>
            <w:tcW w:type="dxa" w:w="527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one formal expression yields different spectra and zero modes</w:t>
            </w:r>
          </w:p>
        </w:tc>
      </w:tr>
      <w:tr>
        <w:trPr>
          <w:cantSplit w:val="true"/>
        </w:trPr>
        <w:tc>
          <w:tcPr>
            <w:tcW w:type="dxa" w:w="408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Delta_t=diag(t^2,1,2,...)</w:t>
            </w:r>
          </w:p>
        </w:tc>
        <w:tc>
          <w:tcPr>
            <w:tcW w:type="dxa" w:w="527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 harmonic mode appears exactly when the gap closes</w:t>
            </w:r>
          </w:p>
        </w:tc>
      </w:tr>
      <w:tr>
        <w:trPr>
          <w:cantSplit w:val="true"/>
        </w:trPr>
        <w:tc>
          <w:tcPr>
            <w:tcW w:type="dxa" w:w="408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q_t=t h in fixed one-dimensional Harm</w:t>
            </w:r>
          </w:p>
        </w:tc>
        <w:tc>
          <w:tcPr>
            <w:tcW w:type="dxa" w:w="527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constant Betti number does not replace section tracking</w:t>
            </w:r>
          </w:p>
        </w:tc>
      </w:tr>
      <w:tr>
        <w:trPr>
          <w:cantSplit w:val="true"/>
        </w:trPr>
        <w:tc>
          <w:tcPr>
            <w:tcW w:type="dxa" w:w="408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Psi_epsilon=diag(1,epsilon)</w:t>
            </w:r>
          </w:p>
        </w:tc>
        <w:tc>
          <w:tcPr>
            <w:tcW w:type="dxa" w:w="527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an exact lift may be arbitrarily ill-conditioned</w:t>
            </w:r>
          </w:p>
        </w:tc>
      </w:tr>
      <w:tr>
        <w:trPr>
          <w:cantSplit w:val="true"/>
        </w:trPr>
        <w:tc>
          <w:tcPr>
            <w:tcW w:type="dxa" w:w="408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two strata before and after matching trace conditions</w:t>
            </w:r>
          </w:p>
        </w:tc>
        <w:tc>
          <w:tcPr>
            <w:tcW w:type="dxa" w:w="527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stratumwise harmonic dimensions do not add automatically</w:t>
            </w:r>
          </w:p>
        </w:tc>
      </w:tr>
    </w:tbl>
    <w:p>
      <w:pPr>
        <w:spacing w:after="2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170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HOD group</w:t>
            </w:r>
          </w:p>
        </w:tc>
        <w:tc>
          <w:tcPr>
            <w:tcW w:type="dxa" w:w="7654"/>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Checks</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HOD-01-05</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spaces, grading, exact operator domains, d^2, adjoint domains, and principal-symbol ranks</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HOD-06-09</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ellipticity, boundary traces, complementing condition, and interface compatibility</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HOD-10-15</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kernel/cokernel, index, compact resolvent, harmonic basis, interval spectral gap, and Green bound</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HOD-16-20</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eta_H, Pi_E, chi_H/lambda domain, blocker-safe verdict, and source/environment/artifact hashes</w:t>
            </w:r>
          </w:p>
        </w:tc>
      </w:tr>
    </w:tbl>
    <w:p>
      <w:pPr>
        <w:spacing w:after="2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BOUNDARY OF CHAPTER 15. </w:t>
            </w:r>
            <w:r>
              <w:rPr>
                <w:rFonts w:ascii="DejaVu Serif" w:hAnsi="DejaVu Serif" w:eastAsia="DejaVu Serif"/>
                <w:b w:val="0"/>
                <w:i w:val="0"/>
                <w:color w:val="111111"/>
                <w:sz w:val="19"/>
              </w:rPr>
              <w:t>The Hodge-Fredholm certificate establishes an analytic property of the declared operator realisation. It does not by itself establish a nonlinear lift, a causal mechanism, a probability, or a physical event.</w:t>
            </w:r>
          </w:p>
        </w:tc>
        <w:trPr>
          <w:tblHeader/>
        </w:trPr>
      </w:tr>
    </w:tbl>
    <w:p>
      <w:pPr>
        <w:spacing w:after="0"/>
      </w:pPr>
    </w:p>
    <w:p>
      <w:pPr>
        <w:widowControl/>
        <w:spacing w:after="80" w:line="264" w:lineRule="auto"/>
      </w:pPr>
      <w:r>
        <w:rPr>
          <w:rFonts w:ascii="DejaVu Serif" w:hAnsi="DejaVu Serif" w:eastAsia="DejaVu Serif"/>
          <w:b w:val="0"/>
          <w:i w:val="0"/>
          <w:color w:val="111111"/>
          <w:sz w:val="20"/>
        </w:rPr>
        <w:t>Prior art includes Hilbert complexes, Hodge decomposition, elliptic complexes, boundary-value theory, Fredholm index, Green operators, and perturbation theory. The authorial contribution is their typed integration with the NAPG internal/external obstruction carriers, D/Dom, projective Reper authorisation, and the three-valued KLT-RBD verdict.</w:t>
      </w:r>
    </w:p>
    <w:p>
      <w:pPr>
        <w:pStyle w:val="Heading1"/>
        <w:keepNext/>
        <w:pageBreakBefore/>
      </w:pPr>
      <w:bookmarkStart w:id="1015" w:name="T2_CH16"/>
      <w:r>
        <w:t>Chapter 16. Deformation Functors, Moduli Spaces, and the Kuranishi Map</w:t>
      </w:r>
      <w:bookmarkEnd w:id="1015"/>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local moduli object is a deformation functor or groupoid, not merely the zero set of equations in coordinates.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Its tangent, automorphism, and obstruction directions are known through a controlling complex and small-extension lifting tests.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Kuranishi map appears as a compressed local equation whose Taylor layers encode primary and higher obstruction data.</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Versal, miniversal, universal, coarse, stacky, and derived objects are not interchangeable.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the controlled NAPG deformation machine joined to Hodge-Green contraction, Reper evidence, and an abstention gate.</w:t>
            </w:r>
          </w:p>
        </w:tc>
      </w:tr>
    </w:tbl>
    <w:p>
      <w:pPr>
        <w:spacing w:after="20"/>
      </w:pPr>
    </w:p>
    <w:p>
      <w:pPr>
        <w:widowControl/>
        <w:spacing w:after="80" w:line="264" w:lineRule="auto"/>
      </w:pPr>
      <w:r>
        <w:rPr>
          <w:rFonts w:ascii="DejaVu Serif" w:hAnsi="DejaVu Serif" w:eastAsia="DejaVu Serif"/>
          <w:b w:val="0"/>
          <w:i w:val="0"/>
          <w:color w:val="111111"/>
          <w:sz w:val="20"/>
        </w:rPr>
        <w:t>The local deformation theory now passes from isolated tangent directions to functors on Artinian bases, deformation groupoids, and local moduli objects. The central question is whether a first-order class belongs to an actual miniversal family, which higher obstructions prevent continuation, and how the Hodge-Green layer produces a finite-dimensional Kuranishi reduction without turning a local moduli germ into a physical forecast.</w:t>
      </w:r>
    </w:p>
    <w:p>
      <w:pPr>
        <w:pStyle w:val="Heading2"/>
        <w:keepNext/>
        <w:pageBreakBefore w:val="0"/>
      </w:pPr>
      <w:r>
        <w:t>16.1. Artinian Bases and the NAPG Deformation Groupoid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Art_K={(A,m_A):A/m_A isomorphic K, m_A^N=0 for some N}.</w:t>
            </w:r>
          </w:p>
        </w:tc>
        <w:tc>
          <w:tcPr>
            <w:tcW w:type="dxa" w:w="1531"/>
            <w:shd w:fill="F6F8FA"/>
          </w:tcPr>
          <w:p>
            <w:pPr>
              <w:jc w:val="right"/>
            </w:pPr>
            <w:r>
              <w:rPr>
                <w:rFonts w:ascii="DejaVu Sans" w:hAnsi="DejaVu Sans" w:eastAsia="DejaVu Sans"/>
                <w:b/>
                <w:i w:val="0"/>
                <w:color w:val="5C6773"/>
                <w:sz w:val="17"/>
              </w:rPr>
              <w:t>T2-F127</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Definition 16.1. NAPG Deformation Groupoid [DEF-A] </w:t>
            </w:r>
            <w:r>
              <w:rPr>
                <w:rFonts w:ascii="DejaVu Serif" w:hAnsi="DejaVu Serif" w:eastAsia="DejaVu Serif"/>
                <w:b w:val="0"/>
                <w:i w:val="0"/>
                <w:color w:val="111111"/>
                <w:sz w:val="19"/>
              </w:rPr>
              <w:t>For a fixed frame N, Def_N(A) consists of NAPG structures over A whose reduction to K is isomorphic to N, together with isomorphisms over A that are the identity on the special fibre. The set-valued functor F_N=pi_0 Def_N forgets automorphisms.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Def_N:Art_K-&gt;Gpd,    F_N=pi_0 Def_N:Art_K-&gt;Set.</w:t>
            </w:r>
          </w:p>
        </w:tc>
        <w:tc>
          <w:tcPr>
            <w:tcW w:type="dxa" w:w="1531"/>
            <w:shd w:fill="F6F8FA"/>
          </w:tcPr>
          <w:p>
            <w:pPr>
              <w:jc w:val="right"/>
            </w:pPr>
            <w:r>
              <w:rPr>
                <w:rFonts w:ascii="DejaVu Sans" w:hAnsi="DejaVu Sans" w:eastAsia="DejaVu Sans"/>
                <w:b/>
                <w:i w:val="0"/>
                <w:color w:val="5C6773"/>
                <w:sz w:val="17"/>
              </w:rPr>
              <w:t>T2-F128</w:t>
            </w:r>
          </w:p>
        </w:tc>
        <w:trPr>
          <w:tblHeader/>
        </w:trPr>
      </w:tr>
    </w:tbl>
    <w:p>
      <w:pPr>
        <w:spacing w:after="0"/>
      </w:pPr>
    </w:p>
    <w:p>
      <w:pPr>
        <w:widowControl/>
        <w:spacing w:after="80" w:line="264" w:lineRule="auto"/>
      </w:pPr>
      <w:r>
        <w:rPr>
          <w:rFonts w:ascii="DejaVu Serif" w:hAnsi="DejaVu Serif" w:eastAsia="DejaVu Serif"/>
          <w:b w:val="0"/>
          <w:i w:val="0"/>
          <w:color w:val="111111"/>
          <w:sz w:val="20"/>
        </w:rPr>
        <w:t>Base change must transport the partial-operation domain, grading, Evidence-D, obstruction carriers, and every selected gauge condition. A coordinate family without these structures is not the deformation functor of the declared NAPG object.</w:t>
      </w:r>
    </w:p>
    <w:p>
      <w:pPr>
        <w:keepNext/>
        <w:jc w:val="center"/>
      </w:pPr>
      <w:r>
        <w:drawing>
          <wp:inline xmlns:a="http://schemas.openxmlformats.org/drawingml/2006/main" xmlns:pic="http://schemas.openxmlformats.org/drawingml/2006/picture">
            <wp:extent cx="5760000" cy="3115102"/>
            <wp:docPr id="34" name="Picture 34" descr="Deformation groupoid, isomorphism classes, and local miniversal base" title="Deformation groupoid, isomorphism classes, and local miniversal base"/>
            <wp:cNvGraphicFramePr>
              <a:graphicFrameLocks noChangeAspect="1"/>
            </wp:cNvGraphicFramePr>
            <a:graphic>
              <a:graphicData uri="http://schemas.openxmlformats.org/drawingml/2006/picture">
                <pic:pic>
                  <pic:nvPicPr>
                    <pic:cNvPr id="0" name="fig35_deformation_functor.png"/>
                    <pic:cNvPicPr/>
                  </pic:nvPicPr>
                  <pic:blipFill>
                    <a:blip r:embed="rId44"/>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35. NAPG deformation functor and the three levels of the local moduli object.</w:t>
      </w:r>
    </w:p>
    <w:p>
      <w:pPr>
        <w:pStyle w:val="Heading2"/>
        <w:keepNext/>
        <w:pageBreakBefore w:val="0"/>
      </w:pPr>
      <w:r>
        <w:t>16.2. Small Extensions and Complete Local Obstruction Theory</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0-&gt;I-&gt;A'-&gt;A-&gt;0,    m_{A'} I=0.</w:t>
            </w:r>
          </w:p>
        </w:tc>
        <w:tc>
          <w:tcPr>
            <w:tcW w:type="dxa" w:w="1531"/>
            <w:shd w:fill="F6F8FA"/>
          </w:tcPr>
          <w:p>
            <w:pPr>
              <w:jc w:val="right"/>
            </w:pPr>
            <w:r>
              <w:rPr>
                <w:rFonts w:ascii="DejaVu Sans" w:hAnsi="DejaVu Sans" w:eastAsia="DejaVu Sans"/>
                <w:b/>
                <w:i w:val="0"/>
                <w:color w:val="5C6773"/>
                <w:sz w:val="17"/>
              </w:rPr>
              <w:t>T2-F129</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Definition 16.2. Complete Linear Obstruction Theory [COND/DEF] </w:t>
            </w:r>
            <w:r>
              <w:rPr>
                <w:rFonts w:ascii="DejaVu Serif" w:hAnsi="DejaVu Serif" w:eastAsia="DejaVu Serif"/>
                <w:b w:val="0"/>
                <w:i w:val="0"/>
                <w:color w:val="111111"/>
                <w:sz w:val="19"/>
              </w:rPr>
              <w:t>A triple (H_N^1,H_N^2,H_N^3) is complete when every small extension has a functorial obstruction in H_N^3 tensor I, vanishing exactly when a lift exists; the lift classes form an H_N^2 tensor I torsor; and infinitesimal automorphisms are controlled by H_N^1 tensor I.</w:t>
            </w:r>
          </w:p>
        </w:tc>
        <w:trPr>
          <w:tblHeader/>
        </w:trPr>
      </w:tr>
    </w:tbl>
    <w:p>
      <w:pPr>
        <w:spacing w:after="0"/>
      </w:pPr>
    </w:p>
    <w:p>
      <w:pPr>
        <w:widowControl/>
        <w:spacing w:after="80" w:line="264" w:lineRule="auto"/>
      </w:pPr>
      <w:r>
        <w:rPr>
          <w:rFonts w:ascii="DejaVu Serif" w:hAnsi="DejaVu Serif" w:eastAsia="DejaVu Serif"/>
          <w:b w:val="0"/>
          <w:i w:val="0"/>
          <w:color w:val="111111"/>
          <w:sz w:val="20"/>
        </w:rPr>
        <w:t>This package does not follow from a cochain complex alone. It must be proved directly or derived from a controlling DGLA or L_infinity algebra.</w:t>
      </w:r>
    </w:p>
    <w:p>
      <w:pPr>
        <w:pStyle w:val="Heading2"/>
        <w:keepNext/>
        <w:pageBreakBefore w:val="0"/>
      </w:pPr>
      <w:r>
        <w:t>16.3. Schlessinger Conditions and the Hull</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F(A' fibre_product_A A'')-&gt;F(A') fibre_product_{F(A)} F(A'').</w:t>
            </w:r>
          </w:p>
        </w:tc>
        <w:tc>
          <w:tcPr>
            <w:tcW w:type="dxa" w:w="1531"/>
            <w:shd w:fill="F6F8FA"/>
          </w:tcPr>
          <w:p>
            <w:pPr>
              <w:jc w:val="right"/>
            </w:pPr>
            <w:r>
              <w:rPr>
                <w:rFonts w:ascii="DejaVu Sans" w:hAnsi="DejaVu Sans" w:eastAsia="DejaVu Sans"/>
                <w:b/>
                <w:i w:val="0"/>
                <w:color w:val="5C6773"/>
                <w:sz w:val="17"/>
              </w:rPr>
              <w:t>T2-F130</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1134"/>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Condition</w:t>
            </w:r>
          </w:p>
        </w:tc>
        <w:tc>
          <w:tcPr>
            <w:tcW w:type="dxa" w:w="5783"/>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Exact role</w:t>
            </w:r>
          </w:p>
        </w:tc>
        <w:tc>
          <w:tcPr>
            <w:tcW w:type="dxa" w:w="243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NAPG status</w:t>
            </w:r>
          </w:p>
        </w:tc>
      </w:tr>
      <w:tr>
        <w:trPr>
          <w:cantSplit w:val="true"/>
        </w:trPr>
        <w:tc>
          <w:tcPr>
            <w:tcW w:type="dxa" w:w="1134"/>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H1</w:t>
            </w:r>
          </w:p>
        </w:tc>
        <w:tc>
          <w:tcPr>
            <w:tcW w:type="dxa" w:w="578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surjectivity for a small extension</w:t>
            </w:r>
          </w:p>
        </w:tc>
        <w:tc>
          <w:tcPr>
            <w:tcW w:type="dxa" w:w="2438"/>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OPEN/CTRL</w:t>
            </w:r>
          </w:p>
        </w:tc>
      </w:tr>
      <w:tr>
        <w:trPr>
          <w:cantSplit w:val="true"/>
        </w:trPr>
        <w:tc>
          <w:tcPr>
            <w:tcW w:type="dxa" w:w="1134"/>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H2</w:t>
            </w:r>
          </w:p>
        </w:tc>
        <w:tc>
          <w:tcPr>
            <w:tcW w:type="dxa" w:w="578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bijectivity at the dual-number base case</w:t>
            </w:r>
          </w:p>
        </w:tc>
        <w:tc>
          <w:tcPr>
            <w:tcW w:type="dxa" w:w="2438"/>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OPEN/CTRL</w:t>
            </w:r>
          </w:p>
        </w:tc>
      </w:tr>
      <w:tr>
        <w:trPr>
          <w:cantSplit w:val="true"/>
        </w:trPr>
        <w:tc>
          <w:tcPr>
            <w:tcW w:type="dxa" w:w="1134"/>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H3</w:t>
            </w:r>
          </w:p>
        </w:tc>
        <w:tc>
          <w:tcPr>
            <w:tcW w:type="dxa" w:w="578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finite-dimensional tangent space</w:t>
            </w:r>
          </w:p>
        </w:tc>
        <w:tc>
          <w:tcPr>
            <w:tcW w:type="dxa" w:w="2438"/>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COND-FD</w:t>
            </w:r>
          </w:p>
        </w:tc>
      </w:tr>
      <w:tr>
        <w:trPr>
          <w:cantSplit w:val="true"/>
        </w:trPr>
        <w:tc>
          <w:tcPr>
            <w:tcW w:type="dxa" w:w="1134"/>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H4</w:t>
            </w:r>
          </w:p>
        </w:tc>
        <w:tc>
          <w:tcPr>
            <w:tcW w:type="dxa" w:w="5783"/>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bijectivity for identical small extensions; prorepresentability</w:t>
            </w:r>
          </w:p>
        </w:tc>
        <w:tc>
          <w:tcPr>
            <w:tcW w:type="dxa" w:w="2438"/>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OPEN/PROREP</w:t>
            </w:r>
          </w:p>
        </w:tc>
      </w:tr>
    </w:tbl>
    <w:p>
      <w:pPr>
        <w:spacing w:after="2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16.3. Conditional Schlessinger Package [CL/COND] </w:t>
            </w:r>
            <w:r>
              <w:rPr>
                <w:rFonts w:ascii="DejaVu Serif" w:hAnsi="DejaVu Serif" w:eastAsia="DejaVu Serif"/>
                <w:b w:val="0"/>
                <w:i w:val="0"/>
                <w:color w:val="111111"/>
                <w:sz w:val="19"/>
              </w:rPr>
              <w:t>If a set-valued functor satisfies H1-H3, it has a hull: a complete local algebra R and a smooth natural transformation h_R-&gt;F inducing an isomorphism on tangent spaces. H4 yields prorepresentability. Groupoid-valued problems require a stacky or derived modification.</w:t>
            </w:r>
          </w:p>
        </w:tc>
        <w:trPr>
          <w:tblHeader/>
        </w:trPr>
      </w:tr>
    </w:tbl>
    <w:p>
      <w:pPr>
        <w:spacing w:after="0"/>
      </w:pPr>
    </w:p>
    <w:p>
      <w:pPr>
        <w:widowControl/>
        <w:spacing w:after="80" w:line="264" w:lineRule="auto"/>
      </w:pPr>
      <w:r>
        <w:rPr>
          <w:rFonts w:ascii="DejaVu Serif" w:hAnsi="DejaVu Serif" w:eastAsia="DejaVu Serif"/>
          <w:b w:val="0"/>
          <w:i w:val="0"/>
          <w:color w:val="111111"/>
          <w:sz w:val="20"/>
        </w:rPr>
        <w:t>Finite-dimensionality of the tangent space is available only in a finite-dimensional or Fredholm-reduced sector. It cannot be imported into an arbitrary infinite-dimensional NAPG model without compactness and gauge-fixing hypotheses.</w:t>
      </w:r>
    </w:p>
    <w:p>
      <w:pPr>
        <w:pStyle w:val="Heading2"/>
        <w:keepNext/>
        <w:pageBreakBefore w:val="0"/>
      </w:pPr>
      <w:r>
        <w:t>16.4. Versal, Miniversal, and Universal Families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universal =&gt; miniversal =&gt; versal; the reverse implications are false.</w:t>
            </w:r>
          </w:p>
        </w:tc>
        <w:tc>
          <w:tcPr>
            <w:tcW w:type="dxa" w:w="1531"/>
            <w:shd w:fill="F6F8FA"/>
          </w:tcPr>
          <w:p>
            <w:pPr>
              <w:jc w:val="right"/>
            </w:pPr>
            <w:r>
              <w:rPr>
                <w:rFonts w:ascii="DejaVu Sans" w:hAnsi="DejaVu Sans" w:eastAsia="DejaVu Sans"/>
                <w:b/>
                <w:i w:val="0"/>
                <w:color w:val="5C6773"/>
                <w:sz w:val="17"/>
              </w:rPr>
              <w:t>T2-F131</w:t>
            </w:r>
          </w:p>
        </w:tc>
        <w:trPr>
          <w:tblHeader/>
        </w:trPr>
      </w:tr>
    </w:tbl>
    <w:p>
      <w:pPr>
        <w:spacing w:after="0"/>
      </w:pPr>
    </w:p>
    <w:p>
      <w:pPr>
        <w:widowControl/>
        <w:spacing w:after="80" w:line="264" w:lineRule="auto"/>
      </w:pPr>
      <w:r>
        <w:rPr>
          <w:rFonts w:ascii="DejaVu Serif" w:hAnsi="DejaVu Serif" w:eastAsia="DejaVu Serif"/>
          <w:b w:val="0"/>
          <w:i w:val="0"/>
          <w:color w:val="111111"/>
          <w:sz w:val="20"/>
        </w:rPr>
        <w:t>A versal family induces all small deformations after some base map. A miniversal family additionally has the minimal tangent dimension and first-order uniqueness. Universality requires uniqueness of the full base map. Nontrivial automorphisms usually destroy universality while preserving miniversality; hence the correct object is generally a groupoid or stack germ.</w:t>
      </w:r>
    </w:p>
    <w:p>
      <w:pPr>
        <w:pStyle w:val="Heading2"/>
        <w:keepNext/>
        <w:pageBreakBefore w:val="0"/>
      </w:pPr>
      <w:r>
        <w:t>16.5. Three-Term Deformation Complex and Derived Tangent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C_N^1 --d_N^1--&gt; C_N^2 --d_N^2--&gt; C_N^3,    d_N^2 d_N^1=0.</w:t>
            </w:r>
          </w:p>
        </w:tc>
        <w:tc>
          <w:tcPr>
            <w:tcW w:type="dxa" w:w="1531"/>
            <w:shd w:fill="F6F8FA"/>
          </w:tcPr>
          <w:p>
            <w:pPr>
              <w:jc w:val="right"/>
            </w:pPr>
            <w:r>
              <w:rPr>
                <w:rFonts w:ascii="DejaVu Sans" w:hAnsi="DejaVu Sans" w:eastAsia="DejaVu Sans"/>
                <w:b/>
                <w:i w:val="0"/>
                <w:color w:val="5C6773"/>
                <w:sz w:val="17"/>
              </w:rPr>
              <w:t>T2-F132</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H_N^1=infinitesimal automorphisms,    H_N^2=tangent classes,    H_N^3=primary obstructions.</w:t>
            </w:r>
          </w:p>
        </w:tc>
        <w:tc>
          <w:tcPr>
            <w:tcW w:type="dxa" w:w="1531"/>
            <w:shd w:fill="F6F8FA"/>
          </w:tcPr>
          <w:p>
            <w:pPr>
              <w:jc w:val="right"/>
            </w:pPr>
            <w:r>
              <w:rPr>
                <w:rFonts w:ascii="DejaVu Sans" w:hAnsi="DejaVu Sans" w:eastAsia="DejaVu Sans"/>
                <w:b/>
                <w:i w:val="0"/>
                <w:color w:val="5C6773"/>
                <w:sz w:val="17"/>
              </w:rPr>
              <w:t>T2-F133</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H^{-1}(T_N^der)=H_N^1,    H^0(T_N^der)=H_N^2,    H^1(T_N^der)=H_N^3.</w:t>
            </w:r>
          </w:p>
        </w:tc>
        <w:tc>
          <w:tcPr>
            <w:tcW w:type="dxa" w:w="1531"/>
            <w:shd w:fill="F6F8FA"/>
          </w:tcPr>
          <w:p>
            <w:pPr>
              <w:jc w:val="right"/>
            </w:pPr>
            <w:r>
              <w:rPr>
                <w:rFonts w:ascii="DejaVu Sans" w:hAnsi="DejaVu Sans" w:eastAsia="DejaVu Sans"/>
                <w:b/>
                <w:i w:val="0"/>
                <w:color w:val="5C6773"/>
                <w:sz w:val="17"/>
              </w:rPr>
              <w:t>T2-F134</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negative degree stores stabiliser directions, degree zero stores deformations, and positive degree stores obstructions. The coarse tangent H_N^2 forgets H_N^1 and therefore cannot represent the whole local moduli problem.</w:t>
      </w:r>
    </w:p>
    <w:p>
      <w:pPr>
        <w:pStyle w:val="Heading2"/>
        <w:keepNext/>
        <w:pageBreakBefore w:val="0"/>
      </w:pPr>
      <w:r>
        <w:t>16.6. Controlling L-Infinity Hypothesis and Small-Extension Lift</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Hypothesis CTRL-16.1. Controlling Algebra [OPEN/COND] </w:t>
            </w:r>
            <w:r>
              <w:rPr>
                <w:rFonts w:ascii="DejaVu Serif" w:hAnsi="DejaVu Serif" w:eastAsia="DejaVu Serif"/>
                <w:b w:val="0"/>
                <w:i w:val="0"/>
                <w:color w:val="111111"/>
                <w:sz w:val="19"/>
              </w:rPr>
              <w:t>For the selected NAPG class there exists a complete filtered L_infinity algebra g_N=(g_N,l_1,l_2,l_3,...) whose Maurer-Cartan groupoid over every Artinian base is naturally equivalent to Def_N.</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g_N=(g_N,l_1,l_2,l_3,...).</w:t>
            </w:r>
          </w:p>
        </w:tc>
        <w:tc>
          <w:tcPr>
            <w:tcW w:type="dxa" w:w="1531"/>
            <w:shd w:fill="F6F8FA"/>
          </w:tcPr>
          <w:p>
            <w:pPr>
              <w:jc w:val="right"/>
            </w:pPr>
            <w:r>
              <w:rPr>
                <w:rFonts w:ascii="DejaVu Sans" w:hAnsi="DejaVu Sans" w:eastAsia="DejaVu Sans"/>
                <w:b/>
                <w:i w:val="0"/>
                <w:color w:val="5C6773"/>
                <w:sz w:val="17"/>
              </w:rPr>
              <w:t>T2-F135</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MC_N(A)={alpha in g_N^1 tensor m_A : sum_{n&gt;=1}(1/n!)l_n(alpha,...,alpha)=0}.</w:t>
            </w:r>
          </w:p>
        </w:tc>
        <w:tc>
          <w:tcPr>
            <w:tcW w:type="dxa" w:w="1531"/>
            <w:shd w:fill="F6F8FA"/>
          </w:tcPr>
          <w:p>
            <w:pPr>
              <w:jc w:val="right"/>
            </w:pPr>
            <w:r>
              <w:rPr>
                <w:rFonts w:ascii="DejaVu Sans" w:hAnsi="DejaVu Sans" w:eastAsia="DejaVu Sans"/>
                <w:b/>
                <w:i w:val="0"/>
                <w:color w:val="5C6773"/>
                <w:sz w:val="17"/>
              </w:rPr>
              <w:t>T2-F136</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16.4. Small-Extension Lift from Maurer-Cartan [COND] </w:t>
            </w:r>
            <w:r>
              <w:rPr>
                <w:rFonts w:ascii="DejaVu Serif" w:hAnsi="DejaVu Serif" w:eastAsia="DejaVu Serif"/>
                <w:b w:val="0"/>
                <w:i w:val="0"/>
                <w:color w:val="111111"/>
                <w:sz w:val="19"/>
              </w:rPr>
              <w:t>Assume CTRL-16.1 and a small extension with kernel I. The curvature of any lift alpha_tilde is an l_1-cycle in g_N^2 tensor I. Its class in H^2(g_N) tensor I=H_N^3 tensor I is independent of the selected lift, vanishes exactly when an MC lift exists, and leaves an H_N^2 tensor I torsor of lift classes modulo gauge.</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F(alpha_tilde)=sum_{n&gt;=1}(1/n!)l_n(alpha_tilde^n) in g_N^2 tensor I.</w:t>
            </w:r>
          </w:p>
        </w:tc>
        <w:tc>
          <w:tcPr>
            <w:tcW w:type="dxa" w:w="1531"/>
            <w:shd w:fill="F6F8FA"/>
          </w:tcPr>
          <w:p>
            <w:pPr>
              <w:jc w:val="right"/>
            </w:pPr>
            <w:r>
              <w:rPr>
                <w:rFonts w:ascii="DejaVu Sans" w:hAnsi="DejaVu Sans" w:eastAsia="DejaVu Sans"/>
                <w:b/>
                <w:i w:val="0"/>
                <w:color w:val="5C6773"/>
                <w:sz w:val="17"/>
              </w:rPr>
              <w:t>T2-F137</w:t>
            </w:r>
          </w:p>
        </w:tc>
        <w:trPr>
          <w:tblHeader/>
        </w:trPr>
      </w:tr>
    </w:tbl>
    <w:p>
      <w:pPr>
        <w:spacing w:after="0"/>
      </w:pPr>
    </w:p>
    <w:p>
      <w:pPr>
        <w:pStyle w:val="Heading2"/>
        <w:keepNext/>
        <w:pageBreakBefore w:val="0"/>
      </w:pPr>
      <w:r>
        <w:t>16.7. Hodge-Green Contraction and Kuranishi Recursion</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(H(g_N),0) --i--&gt; (g_N,l_1) --p--&gt; (H(g_N),0),    id-ip=l_1h+h l_1.</w:t>
            </w:r>
          </w:p>
        </w:tc>
        <w:tc>
          <w:tcPr>
            <w:tcW w:type="dxa" w:w="1531"/>
            <w:shd w:fill="F6F8FA"/>
          </w:tcPr>
          <w:p>
            <w:pPr>
              <w:jc w:val="right"/>
            </w:pPr>
            <w:r>
              <w:rPr>
                <w:rFonts w:ascii="DejaVu Sans" w:hAnsi="DejaVu Sans" w:eastAsia="DejaVu Sans"/>
                <w:b/>
                <w:i w:val="0"/>
                <w:color w:val="5C6773"/>
                <w:sz w:val="17"/>
              </w:rPr>
              <w:t>T2-F138</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p=P_H,    i=harmonic inclusion,    h=l_1* G.</w:t>
            </w:r>
          </w:p>
        </w:tc>
        <w:tc>
          <w:tcPr>
            <w:tcW w:type="dxa" w:w="1531"/>
            <w:shd w:fill="F6F8FA"/>
          </w:tcPr>
          <w:p>
            <w:pPr>
              <w:jc w:val="right"/>
            </w:pPr>
            <w:r>
              <w:rPr>
                <w:rFonts w:ascii="DejaVu Sans" w:hAnsi="DejaVu Sans" w:eastAsia="DejaVu Sans"/>
                <w:b/>
                <w:i w:val="0"/>
                <w:color w:val="5C6773"/>
                <w:sz w:val="17"/>
              </w:rPr>
              <w:t>T2-F139</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contraction follows from Hodge decomposition in a closed-range sector. For nonlinear recursion, h must preserve the filtration and admissible NAPG sectors, all brackets must be defined on its image, and multilinear estimates must control convergence.</w:t>
      </w:r>
    </w:p>
    <w:p>
      <w:pPr>
        <w:keepNext/>
        <w:jc w:val="center"/>
      </w:pPr>
      <w:r>
        <w:drawing>
          <wp:inline xmlns:a="http://schemas.openxmlformats.org/drawingml/2006/main" xmlns:pic="http://schemas.openxmlformats.org/drawingml/2006/picture">
            <wp:extent cx="5760000" cy="3115102"/>
            <wp:docPr id="35" name="Picture 35" descr="Hodge-Green contraction and the Kuranishi map" title="Hodge-Green contraction and the Kuranishi map"/>
            <wp:cNvGraphicFramePr>
              <a:graphicFrameLocks noChangeAspect="1"/>
            </wp:cNvGraphicFramePr>
            <a:graphic>
              <a:graphicData uri="http://schemas.openxmlformats.org/drawingml/2006/picture">
                <pic:pic>
                  <pic:nvPicPr>
                    <pic:cNvPr id="0" name="fig36_kuranishi.png"/>
                    <pic:cNvPicPr/>
                  </pic:nvPicPr>
                  <pic:blipFill>
                    <a:blip r:embed="rId45"/>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36. Hodge-Green contraction and construction of the Kuranishi map.</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N(alpha)=sum_{n&gt;=2}(1/n!)l_n(alpha^n).</w:t>
            </w:r>
          </w:p>
        </w:tc>
        <w:tc>
          <w:tcPr>
            <w:tcW w:type="dxa" w:w="1531"/>
            <w:shd w:fill="F6F8FA"/>
          </w:tcPr>
          <w:p>
            <w:pPr>
              <w:jc w:val="right"/>
            </w:pPr>
            <w:r>
              <w:rPr>
                <w:rFonts w:ascii="DejaVu Sans" w:hAnsi="DejaVu Sans" w:eastAsia="DejaVu Sans"/>
                <w:b/>
                <w:i w:val="0"/>
                <w:color w:val="5C6773"/>
                <w:sz w:val="17"/>
              </w:rPr>
              <w:t>T2-F140</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alpha(x)=i(x)-hN(alpha(x)),    h alpha(x)=0.</w:t>
            </w:r>
          </w:p>
        </w:tc>
        <w:tc>
          <w:tcPr>
            <w:tcW w:type="dxa" w:w="1531"/>
            <w:shd w:fill="F6F8FA"/>
          </w:tcPr>
          <w:p>
            <w:pPr>
              <w:jc w:val="right"/>
            </w:pPr>
            <w:r>
              <w:rPr>
                <w:rFonts w:ascii="DejaVu Sans" w:hAnsi="DejaVu Sans" w:eastAsia="DejaVu Sans"/>
                <w:b/>
                <w:i w:val="0"/>
                <w:color w:val="5C6773"/>
                <w:sz w:val="17"/>
              </w:rPr>
              <w:t>T2-F141</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K_N(x)=pN(alpha(x)) in H^2(g_N)=H_N^3.</w:t>
            </w:r>
          </w:p>
        </w:tc>
        <w:tc>
          <w:tcPr>
            <w:tcW w:type="dxa" w:w="1531"/>
            <w:shd w:fill="F6F8FA"/>
          </w:tcPr>
          <w:p>
            <w:pPr>
              <w:jc w:val="right"/>
            </w:pPr>
            <w:r>
              <w:rPr>
                <w:rFonts w:ascii="DejaVu Sans" w:hAnsi="DejaVu Sans" w:eastAsia="DejaVu Sans"/>
                <w:b/>
                <w:i w:val="0"/>
                <w:color w:val="5C6773"/>
                <w:sz w:val="17"/>
              </w:rPr>
              <w:t>T2-F142</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16.5. Conditional Analytic Kuranishi Reduction [COND] </w:t>
            </w:r>
            <w:r>
              <w:rPr>
                <w:rFonts w:ascii="DejaVu Serif" w:hAnsi="DejaVu Serif" w:eastAsia="DejaVu Serif"/>
                <w:b w:val="0"/>
                <w:i w:val="0"/>
                <w:color w:val="111111"/>
                <w:sz w:val="19"/>
              </w:rPr>
              <w:t>If N(alpha) is analytic on a ball, h is bounded, and alpha-&gt;i(x)-hN(alpha) is a uniform contraction for ||x||&lt;r_K, then the fixed-point equation has a unique solution. This solution satisfies the full MC equation exactly when K_N(x)=0.</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||N(alpha)-N(beta)||&lt;=L_R||alpha-beta||,    ||h||L_R&lt;1.</w:t>
            </w:r>
          </w:p>
        </w:tc>
        <w:tc>
          <w:tcPr>
            <w:tcW w:type="dxa" w:w="1531"/>
            <w:shd w:fill="F6F8FA"/>
          </w:tcPr>
          <w:p>
            <w:pPr>
              <w:jc w:val="right"/>
            </w:pPr>
            <w:r>
              <w:rPr>
                <w:rFonts w:ascii="DejaVu Sans" w:hAnsi="DejaVu Sans" w:eastAsia="DejaVu Sans"/>
                <w:b/>
                <w:i w:val="0"/>
                <w:color w:val="5C6773"/>
                <w:sz w:val="17"/>
              </w:rPr>
              <w:t>T2-F143</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||x||&lt;=R(1-||h||L_R)/||i||.</w:t>
            </w:r>
          </w:p>
        </w:tc>
        <w:tc>
          <w:tcPr>
            <w:tcW w:type="dxa" w:w="1531"/>
            <w:shd w:fill="F6F8FA"/>
          </w:tcPr>
          <w:p>
            <w:pPr>
              <w:jc w:val="right"/>
            </w:pPr>
            <w:r>
              <w:rPr>
                <w:rFonts w:ascii="DejaVu Sans" w:hAnsi="DejaVu Sans" w:eastAsia="DejaVu Sans"/>
                <w:b/>
                <w:i w:val="0"/>
                <w:color w:val="5C6773"/>
                <w:sz w:val="17"/>
              </w:rPr>
              <w:t>T2-F144</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m_K(R)=1-||h||L_R.</w:t>
            </w:r>
          </w:p>
        </w:tc>
        <w:tc>
          <w:tcPr>
            <w:tcW w:type="dxa" w:w="1531"/>
            <w:shd w:fill="F6F8FA"/>
          </w:tcPr>
          <w:p>
            <w:pPr>
              <w:jc w:val="right"/>
            </w:pPr>
            <w:r>
              <w:rPr>
                <w:rFonts w:ascii="DejaVu Sans" w:hAnsi="DejaVu Sans" w:eastAsia="DejaVu Sans"/>
                <w:b/>
                <w:i w:val="0"/>
                <w:color w:val="5C6773"/>
                <w:sz w:val="17"/>
              </w:rPr>
              <w:t>T2-F145</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convergence margin m_K is part of the certificate. A formal recursion without a positive margin does not establish an analytic family.</w:t>
      </w:r>
    </w:p>
    <w:p>
      <w:pPr>
        <w:pStyle w:val="Heading2"/>
        <w:keepNext/>
        <w:pageBreakBefore w:val="0"/>
      </w:pPr>
      <w:r>
        <w:t>16.8. Taylor Layers and Higher Obstruction Classes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K_N(x)=kappa_2(x,x)+kappa_3(x,x,x)+kappa_4(x,x,x,x)+...</w:t>
            </w:r>
          </w:p>
        </w:tc>
        <w:tc>
          <w:tcPr>
            <w:tcW w:type="dxa" w:w="1531"/>
            <w:shd w:fill="F6F8FA"/>
          </w:tcPr>
          <w:p>
            <w:pPr>
              <w:jc w:val="right"/>
            </w:pPr>
            <w:r>
              <w:rPr>
                <w:rFonts w:ascii="DejaVu Sans" w:hAnsi="DejaVu Sans" w:eastAsia="DejaVu Sans"/>
                <w:b/>
                <w:i w:val="0"/>
                <w:color w:val="5C6773"/>
                <w:sz w:val="17"/>
              </w:rPr>
              <w:t>T2-F146</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kappa_2(x,x)=1/2 p l_2(ix,ix).</w:t>
            </w:r>
          </w:p>
        </w:tc>
        <w:tc>
          <w:tcPr>
            <w:tcW w:type="dxa" w:w="1531"/>
            <w:shd w:fill="F6F8FA"/>
          </w:tcPr>
          <w:p>
            <w:pPr>
              <w:jc w:val="right"/>
            </w:pPr>
            <w:r>
              <w:rPr>
                <w:rFonts w:ascii="DejaVu Sans" w:hAnsi="DejaVu Sans" w:eastAsia="DejaVu Sans"/>
                <w:b/>
                <w:i w:val="0"/>
                <w:color w:val="5C6773"/>
                <w:sz w:val="17"/>
              </w:rPr>
              <w:t>T2-F147</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kappa_3(x,x,x)=1/6 p l_3(ix,ix,ix)-1/2 p l_2(ix,h l_2(ix,ix)).</w:t>
            </w:r>
          </w:p>
        </w:tc>
        <w:tc>
          <w:tcPr>
            <w:tcW w:type="dxa" w:w="1531"/>
            <w:shd w:fill="F6F8FA"/>
          </w:tcPr>
          <w:p>
            <w:pPr>
              <w:jc w:val="right"/>
            </w:pPr>
            <w:r>
              <w:rPr>
                <w:rFonts w:ascii="DejaVu Sans" w:hAnsi="DejaVu Sans" w:eastAsia="DejaVu Sans"/>
                <w:b/>
                <w:i w:val="0"/>
                <w:color w:val="5C6773"/>
                <w:sz w:val="17"/>
              </w:rPr>
              <w:t>T2-F148</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nu_K(x)=min{n&gt;=2:kappa_n(x,...,x)!=0},    nu_K=infinity if all terms vanish.</w:t>
            </w:r>
          </w:p>
        </w:tc>
        <w:tc>
          <w:tcPr>
            <w:tcW w:type="dxa" w:w="1531"/>
            <w:shd w:fill="F6F8FA"/>
          </w:tcPr>
          <w:p>
            <w:pPr>
              <w:jc w:val="right"/>
            </w:pPr>
            <w:r>
              <w:rPr>
                <w:rFonts w:ascii="DejaVu Sans" w:hAnsi="DejaVu Sans" w:eastAsia="DejaVu Sans"/>
                <w:b/>
                <w:i w:val="0"/>
                <w:color w:val="5C6773"/>
                <w:sz w:val="17"/>
              </w:rPr>
              <w:t>T2-F149</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first nonzero Taylor layer gives the obstruction order in the selected contraction and coordinate gauge. Vanishing of the quadratic term does not imply unobstructedness: a cubic or higher layer may remain.</w:t>
      </w:r>
    </w:p>
    <w:p>
      <w:pPr>
        <w:pStyle w:val="Heading2"/>
        <w:keepNext/>
        <w:pageBreakBefore w:val="0"/>
      </w:pPr>
      <w:r>
        <w:t>16.9. Miniversal Base, Formal Smoothness, and Derived Boundary</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R_N^min=K[[t_1,...,t_m]]/(K_1,...,K_q).</w:t>
            </w:r>
          </w:p>
        </w:tc>
        <w:tc>
          <w:tcPr>
            <w:tcW w:type="dxa" w:w="1531"/>
            <w:shd w:fill="F6F8FA"/>
          </w:tcPr>
          <w:p>
            <w:pPr>
              <w:jc w:val="right"/>
            </w:pPr>
            <w:r>
              <w:rPr>
                <w:rFonts w:ascii="DejaVu Sans" w:hAnsi="DejaVu Sans" w:eastAsia="DejaVu Sans"/>
                <w:b/>
                <w:i w:val="0"/>
                <w:color w:val="5C6773"/>
                <w:sz w:val="17"/>
              </w:rPr>
              <w:t>T2-F150</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completed local algebra is the miniversal base only after Schlessinger and control hypotheses are established. Formal smoothness means every small-extension lift exists; rigidity means the tangent space vanishes; unobstructedness means the Kuranishi map vanishes or the controlling algebra is homotopy abelian under the appropriate theorem. These notions are independent.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FormalModuli_K is equivalent to dgLie_K under characteristic-zero homotopical hypotheses.</w:t>
            </w:r>
          </w:p>
        </w:tc>
        <w:tc>
          <w:tcPr>
            <w:tcW w:type="dxa" w:w="1531"/>
            <w:shd w:fill="F6F8FA"/>
          </w:tcPr>
          <w:p>
            <w:pPr>
              <w:jc w:val="right"/>
            </w:pPr>
            <w:r>
              <w:rPr>
                <w:rFonts w:ascii="DejaVu Sans" w:hAnsi="DejaVu Sans" w:eastAsia="DejaVu Sans"/>
                <w:b/>
                <w:i w:val="0"/>
                <w:color w:val="5C6773"/>
                <w:sz w:val="17"/>
              </w:rPr>
              <w:t>T2-F151</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pi_0 Def_N does not determine H^{-1}(T_N^der).</w:t>
            </w:r>
          </w:p>
        </w:tc>
        <w:tc>
          <w:tcPr>
            <w:tcW w:type="dxa" w:w="1531"/>
            <w:shd w:fill="F6F8FA"/>
          </w:tcPr>
          <w:p>
            <w:pPr>
              <w:jc w:val="right"/>
            </w:pPr>
            <w:r>
              <w:rPr>
                <w:rFonts w:ascii="DejaVu Sans" w:hAnsi="DejaVu Sans" w:eastAsia="DejaVu Sans"/>
                <w:b/>
                <w:i w:val="0"/>
                <w:color w:val="5C6773"/>
                <w:sz w:val="17"/>
              </w:rPr>
              <w:t>T2-F152</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Theorem 16.7. Stabiliser No-Go [THM] </w:t>
            </w:r>
            <w:r>
              <w:rPr>
                <w:rFonts w:ascii="DejaVu Serif" w:hAnsi="DejaVu Serif" w:eastAsia="DejaVu Serif"/>
                <w:b w:val="0"/>
                <w:i w:val="0"/>
                <w:color w:val="111111"/>
                <w:sz w:val="19"/>
              </w:rPr>
              <w:t>A coarse moduli set or space does not determine the stabiliser directions of the deformation groupoid. A quotient stack and its coarse space may have the same underlying points but different derived tangent profiles.</w:t>
            </w:r>
          </w:p>
        </w:tc>
        <w:trPr>
          <w:tblHeader/>
        </w:trPr>
      </w:tr>
    </w:tbl>
    <w:p>
      <w:pPr>
        <w:spacing w:after="0"/>
      </w:pPr>
    </w:p>
    <w:p>
      <w:pPr>
        <w:pStyle w:val="Heading2"/>
        <w:keepNext/>
        <w:pageBreakBefore w:val="0"/>
      </w:pPr>
      <w:r>
        <w:t>16.10. Local Moduli Stratification and Transition Horizon</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S_N=disjoint_union_alpha S_{N,alpha},    P_mod(x)=(dim H^1,dim H^2,dim H^3,nu_K,HS_x,dim Aut_x,[K_lead]).</w:t>
            </w:r>
          </w:p>
        </w:tc>
        <w:tc>
          <w:tcPr>
            <w:tcW w:type="dxa" w:w="1531"/>
            <w:shd w:fill="F6F8FA"/>
          </w:tcPr>
          <w:p>
            <w:pPr>
              <w:jc w:val="right"/>
            </w:pPr>
            <w:r>
              <w:rPr>
                <w:rFonts w:ascii="DejaVu Sans" w:hAnsi="DejaVu Sans" w:eastAsia="DejaVu Sans"/>
                <w:b/>
                <w:i w:val="0"/>
                <w:color w:val="5C6773"/>
                <w:sz w:val="17"/>
              </w:rPr>
              <w:t>T2-F153</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Delta_mod=Delta_HF union Delta_ctrl union Delta_Sch union Delta_aut union Delta_tan union Delta_obs union Delta_Kur union Delta_conv union Delta_orb union Delta_D union Delta_Dom union Delta_glue.</w:t>
            </w:r>
          </w:p>
        </w:tc>
        <w:tc>
          <w:tcPr>
            <w:tcW w:type="dxa" w:w="1531"/>
            <w:shd w:fill="F6F8FA"/>
          </w:tcPr>
          <w:p>
            <w:pPr>
              <w:jc w:val="right"/>
            </w:pPr>
            <w:r>
              <w:rPr>
                <w:rFonts w:ascii="DejaVu Sans" w:hAnsi="DejaVu Sans" w:eastAsia="DejaVu Sans"/>
                <w:b/>
                <w:i w:val="0"/>
                <w:color w:val="5C6773"/>
                <w:sz w:val="17"/>
              </w:rPr>
              <w:t>T2-F154</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eta_K(t)=||K_{N_t}(x_t)||.</w:t>
            </w:r>
          </w:p>
        </w:tc>
        <w:tc>
          <w:tcPr>
            <w:tcW w:type="dxa" w:w="1531"/>
            <w:shd w:fill="F6F8FA"/>
          </w:tcPr>
          <w:p>
            <w:pPr>
              <w:jc w:val="right"/>
            </w:pPr>
            <w:r>
              <w:rPr>
                <w:rFonts w:ascii="DejaVu Sans" w:hAnsi="DejaVu Sans" w:eastAsia="DejaVu Sans"/>
                <w:b/>
                <w:i w:val="0"/>
                <w:color w:val="5C6773"/>
                <w:sz w:val="17"/>
              </w:rPr>
              <w:t>T2-F155</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36" name="Picture 36" descr="Moduli transition horizon and blocker-safe local verdict" title="Moduli transition horizon and blocker-safe local verdict"/>
            <wp:cNvGraphicFramePr>
              <a:graphicFrameLocks noChangeAspect="1"/>
            </wp:cNvGraphicFramePr>
            <a:graphic>
              <a:graphicData uri="http://schemas.openxmlformats.org/drawingml/2006/picture">
                <pic:pic>
                  <pic:nvPicPr>
                    <pic:cNvPr id="0" name="fig37_moduli_horizon.png"/>
                    <pic:cNvPicPr/>
                  </pic:nvPicPr>
                  <pic:blipFill>
                    <a:blip r:embed="rId46"/>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37. Moduli transition horizon and the blocker-safe local verdict.</w:t>
      </w:r>
    </w:p>
    <w:p>
      <w:pPr>
        <w:widowControl/>
        <w:spacing w:after="80" w:line="264" w:lineRule="auto"/>
      </w:pPr>
      <w:r>
        <w:rPr>
          <w:rFonts w:ascii="DejaVu Serif" w:hAnsi="DejaVu Serif" w:eastAsia="DejaVu Serif"/>
          <w:b w:val="0"/>
          <w:i w:val="0"/>
          <w:color w:val="111111"/>
          <w:sz w:val="20"/>
        </w:rPr>
        <w:t>A positive lower bound for eta_K excludes the selected tangent class from the local MC zero locus. A zero residual creates only a local candidate lift; it does not close the external bridge, globalisation, Reper-lambda, or independent-verification obligations.</w:t>
      </w:r>
    </w:p>
    <w:p>
      <w:pPr>
        <w:pStyle w:val="Heading2"/>
        <w:keepNext/>
        <w:pageBreakBefore w:val="0"/>
      </w:pPr>
      <w:r>
        <w:t>16.11. Certified Trivialisation of a Family of Moduli Problems</w:t>
      </w:r>
    </w:p>
    <w:p>
      <w:pPr>
        <w:widowControl/>
        <w:spacing w:after="80" w:line="264" w:lineRule="auto"/>
      </w:pPr>
      <w:r>
        <w:rPr>
          <w:rFonts w:ascii="DejaVu Serif" w:hAnsi="DejaVu Serif" w:eastAsia="DejaVu Serif"/>
          <w:b w:val="0"/>
          <w:i w:val="0"/>
          <w:color w:val="111111"/>
          <w:sz w:val="20"/>
        </w:rPr>
        <w:t>Constancy of the dimensions of H_N^i does not determine constancy of the moduli germ. The certificate ModTriv(I) includes identifications of graded Hilbert spaces and domains, filtered L_infinity isomorphisms, compatible Hodge contractions with uniform bounds, right-equivalence of Kuranishi maps, preservation of stabiliser groupoids and D/Dom/gluing data, and a uniform Kuranishi radius separated from Delta_mod.</w:t>
      </w:r>
    </w:p>
    <w:p>
      <w:pPr>
        <w:pStyle w:val="Heading2"/>
        <w:keepNext/>
        <w:pageBreakBefore w:val="0"/>
      </w:pPr>
      <w:r>
        <w:t>16.12. Main Moduli-Kuranishi-Safe Theorem</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Theorem 16.9. Moduli-Kuranishi-Safe Prediction [COND] </w:t>
            </w:r>
            <w:r>
              <w:rPr>
                <w:rFonts w:ascii="DejaVu Serif" w:hAnsi="DejaVu Serif" w:eastAsia="DejaVu Serif"/>
                <w:b w:val="0"/>
                <w:i w:val="0"/>
                <w:color w:val="111111"/>
                <w:sz w:val="19"/>
              </w:rPr>
              <w:t>Let N_t on a compact interval admit complete filtered controlling L_infinity algebras, Schlessinger H1-H3 and a miniversal hull, uniform Hodge-Green and convergence margins, a ModTriv certificate with no intersection with Delta_mod, a continuous candidate section x_t preserving Evidence-D/Dom, and closed predecessor blockers. Then the local moduli type and obstruction-order profile are constant in the certified trivialisation. If ||K_t(x_t)||&gt;=epsilon_K&gt;0, the selected branch does not integrate to an MC deformation in the declared Kuranishi neighbourhood.</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eta_K(t)=||K_t(x_t)||&gt;=epsilon_K&gt;0 for all t in I.</w:t>
            </w:r>
          </w:p>
        </w:tc>
        <w:tc>
          <w:tcPr>
            <w:tcW w:type="dxa" w:w="1531"/>
            <w:shd w:fill="F6F8FA"/>
          </w:tcPr>
          <w:p>
            <w:pPr>
              <w:jc w:val="right"/>
            </w:pPr>
            <w:r>
              <w:rPr>
                <w:rFonts w:ascii="DejaVu Sans" w:hAnsi="DejaVu Sans" w:eastAsia="DejaVu Sans"/>
                <w:b/>
                <w:i w:val="0"/>
                <w:color w:val="5C6773"/>
                <w:sz w:val="17"/>
              </w:rPr>
              <w:t>T2-F156</w:t>
            </w:r>
          </w:p>
        </w:tc>
        <w:trPr>
          <w:tblHeader/>
        </w:trPr>
      </w:tr>
    </w:tbl>
    <w:p>
      <w:pPr>
        <w:spacing w:after="0"/>
      </w:pPr>
    </w:p>
    <w:p>
      <w:pPr>
        <w:widowControl/>
        <w:spacing w:after="80" w:line="264" w:lineRule="auto"/>
      </w:pPr>
      <w:r>
        <w:rPr>
          <w:rFonts w:ascii="DejaVu Serif" w:hAnsi="DejaVu Serif" w:eastAsia="DejaVu Serif"/>
          <w:b w:val="0"/>
          <w:i w:val="0"/>
          <w:color w:val="111111"/>
          <w:sz w:val="20"/>
        </w:rPr>
        <w:t>If eta_K=0, the theorem provides only a local formal or analytic candidate lift under the remaining hypotheses. It does not assert globality, uniqueness, stability outside the radius, physical realisation, or event probability.</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Block_mod=B_ctrl union B_Sch union B_HF union B_gauge union B_conv union B_Kur union B_aut union B_stack union B_D union B_Dom union B_glue union B_ind.</w:t>
            </w:r>
          </w:p>
        </w:tc>
        <w:tc>
          <w:tcPr>
            <w:tcW w:type="dxa" w:w="1531"/>
            <w:shd w:fill="F6F8FA"/>
          </w:tcPr>
          <w:p>
            <w:pPr>
              <w:jc w:val="right"/>
            </w:pPr>
            <w:r>
              <w:rPr>
                <w:rFonts w:ascii="DejaVu Sans" w:hAnsi="DejaVu Sans" w:eastAsia="DejaVu Sans"/>
                <w:b/>
                <w:i w:val="0"/>
                <w:color w:val="5C6773"/>
                <w:sz w:val="17"/>
              </w:rPr>
              <w:t>T2-F157</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300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Condition</w:t>
            </w:r>
          </w:p>
        </w:tc>
        <w:tc>
          <w:tcPr>
            <w:tcW w:type="dxa" w:w="243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Verdict</w:t>
            </w:r>
          </w:p>
        </w:tc>
        <w:tc>
          <w:tcPr>
            <w:tcW w:type="dxa" w:w="3969"/>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Meaning</w:t>
            </w:r>
          </w:p>
        </w:tc>
      </w:tr>
      <w:tr>
        <w:trPr>
          <w:cantSplit w:val="true"/>
        </w:trPr>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eta_K&gt;=epsilon_K and Block_mod empty</w:t>
            </w:r>
          </w:p>
        </w:tc>
        <w:tc>
          <w:tcPr>
            <w:tcW w:type="dxa" w:w="2438"/>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NO-LIFT-IN-MODEL</w:t>
            </w:r>
          </w:p>
        </w:tc>
        <w:tc>
          <w:tcPr>
            <w:tcW w:type="dxa" w:w="396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class is outside the local Kuranishi zero locus</w:t>
            </w:r>
          </w:p>
        </w:tc>
      </w:tr>
      <w:tr>
        <w:trPr>
          <w:cantSplit w:val="true"/>
        </w:trPr>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eta_K=0 and Cert_mod complete</w:t>
            </w:r>
          </w:p>
        </w:tc>
        <w:tc>
          <w:tcPr>
            <w:tcW w:type="dxa" w:w="2438"/>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CANDIDATE-LIFT</w:t>
            </w:r>
          </w:p>
        </w:tc>
        <w:tc>
          <w:tcPr>
            <w:tcW w:type="dxa" w:w="396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local integrable candidate; downstream bridges remain</w:t>
            </w:r>
          </w:p>
        </w:tc>
      </w:tr>
      <w:tr>
        <w:trPr>
          <w:cantSplit w:val="true"/>
        </w:trPr>
        <w:tc>
          <w:tcPr>
            <w:tcW w:type="dxa" w:w="300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any blocker open</w:t>
            </w:r>
          </w:p>
        </w:tc>
        <w:tc>
          <w:tcPr>
            <w:tcW w:type="dxa" w:w="2438"/>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ABSTAIN</w:t>
            </w:r>
          </w:p>
        </w:tc>
        <w:tc>
          <w:tcPr>
            <w:tcW w:type="dxa" w:w="396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proof chain is incomplete or ill-conditioned</w:t>
            </w:r>
          </w:p>
        </w:tc>
      </w:tr>
    </w:tbl>
    <w:p>
      <w:pPr>
        <w:spacing w:after="20"/>
      </w:pPr>
    </w:p>
    <w:p>
      <w:pPr>
        <w:pStyle w:val="Heading2"/>
        <w:keepNext/>
        <w:pageBreakBefore w:val="0"/>
      </w:pPr>
      <w:r>
        <w:t>16.13. Separating Models and MOD-KUR Certificate</w:t>
      </w:r>
    </w:p>
    <w:p>
      <w:pPr>
        <w:pStyle w:val="ListBullet"/>
        <w:spacing w:after="40" w:line="252" w:lineRule="auto"/>
      </w:pPr>
      <w:r>
        <w:rPr>
          <w:rFonts w:ascii="DejaVu Serif" w:hAnsi="DejaVu Serif" w:eastAsia="DejaVu Serif"/>
          <w:b w:val="0"/>
          <w:i w:val="0"/>
          <w:color w:val="111111"/>
          <w:sz w:val="19"/>
        </w:rPr>
        <w:t>Tangent without lift: K(x)=x^2 has all first-order directions but only x=0 integrates.</w:t>
      </w:r>
    </w:p>
    <w:p>
      <w:pPr>
        <w:pStyle w:val="ListBullet"/>
        <w:spacing w:after="40" w:line="252" w:lineRule="auto"/>
      </w:pPr>
      <w:r>
        <w:rPr>
          <w:rFonts w:ascii="DejaVu Serif" w:hAnsi="DejaVu Serif" w:eastAsia="DejaVu Serif"/>
          <w:b w:val="0"/>
          <w:i w:val="0"/>
          <w:color w:val="111111"/>
          <w:sz w:val="19"/>
        </w:rPr>
        <w:t>Primary obstruction zero and higher obstruction nonzero: kappa_2=0 while kappa_3(x,x,x)!=0.</w:t>
      </w:r>
    </w:p>
    <w:p>
      <w:pPr>
        <w:pStyle w:val="ListBullet"/>
        <w:spacing w:after="40" w:line="252" w:lineRule="auto"/>
      </w:pPr>
      <w:r>
        <w:rPr>
          <w:rFonts w:ascii="DejaVu Serif" w:hAnsi="DejaVu Serif" w:eastAsia="DejaVu Serif"/>
          <w:b w:val="0"/>
          <w:i w:val="0"/>
          <w:color w:val="111111"/>
          <w:sz w:val="19"/>
        </w:rPr>
        <w:t>Miniversal but not universal: nontrivial H_N^1 produces several base maps related by automorphisms.</w:t>
      </w:r>
    </w:p>
    <w:p>
      <w:pPr>
        <w:pStyle w:val="ListBullet"/>
        <w:spacing w:after="40" w:line="252" w:lineRule="auto"/>
      </w:pPr>
      <w:r>
        <w:rPr>
          <w:rFonts w:ascii="DejaVu Serif" w:hAnsi="DejaVu Serif" w:eastAsia="DejaVu Serif"/>
          <w:b w:val="0"/>
          <w:i w:val="0"/>
          <w:color w:val="111111"/>
          <w:sz w:val="19"/>
        </w:rPr>
        <w:t>Equal cohomology dimensions but different germs: K_1(x,y)=xy and K_2(x,y)=x^2+y^3 have different singularity types.</w:t>
      </w:r>
    </w:p>
    <w:p>
      <w:pPr>
        <w:pStyle w:val="ListBullet"/>
        <w:spacing w:after="40" w:line="252" w:lineRule="auto"/>
      </w:pPr>
      <w:r>
        <w:rPr>
          <w:rFonts w:ascii="DejaVu Serif" w:hAnsi="DejaVu Serif" w:eastAsia="DejaVu Serif"/>
          <w:b w:val="0"/>
          <w:i w:val="0"/>
          <w:color w:val="111111"/>
          <w:sz w:val="19"/>
        </w:rPr>
        <w:t>Formal without analytic convergence: a formal series may have zero radius without estimates.</w:t>
      </w:r>
    </w:p>
    <w:p>
      <w:pPr>
        <w:pStyle w:val="ListBullet"/>
        <w:spacing w:after="40" w:line="252" w:lineRule="auto"/>
      </w:pPr>
      <w:r>
        <w:rPr>
          <w:rFonts w:ascii="DejaVu Serif" w:hAnsi="DejaVu Serif" w:eastAsia="DejaVu Serif"/>
          <w:b w:val="0"/>
          <w:i w:val="0"/>
          <w:color w:val="111111"/>
          <w:sz w:val="19"/>
        </w:rPr>
        <w:t>Metric dependence: different Hodge contractions yield different representatives and Kuranishi maps, though the correct germs may be equivalent.</w:t>
      </w:r>
    </w:p>
    <w:p>
      <w:pPr>
        <w:pStyle w:val="ListBullet"/>
        <w:spacing w:after="40" w:line="252" w:lineRule="auto"/>
      </w:pPr>
      <w:r>
        <w:rPr>
          <w:rFonts w:ascii="DejaVu Serif" w:hAnsi="DejaVu Serif" w:eastAsia="DejaVu Serif"/>
          <w:b w:val="0"/>
          <w:i w:val="0"/>
          <w:color w:val="111111"/>
          <w:sz w:val="19"/>
        </w:rPr>
        <w:t>Coarse-space blindness: a quotient stack and its coarse space have different stabiliser data.</w:t>
      </w:r>
    </w:p>
    <w:p>
      <w:pPr>
        <w:pStyle w:val="ListBullet"/>
        <w:spacing w:after="40" w:line="252" w:lineRule="auto"/>
      </w:pPr>
      <w:r>
        <w:rPr>
          <w:rFonts w:ascii="DejaVu Serif" w:hAnsi="DejaVu Serif" w:eastAsia="DejaVu Serif"/>
          <w:b w:val="0"/>
          <w:i w:val="0"/>
          <w:color w:val="111111"/>
          <w:sz w:val="19"/>
        </w:rPr>
        <w:t>K=0 without dynamics: a smooth miniversal base is not a physical event.</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170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MOD group</w:t>
            </w:r>
          </w:p>
        </w:tc>
        <w:tc>
          <w:tcPr>
            <w:tcW w:type="dxa" w:w="7654"/>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Checks</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MOD-01-06</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Artinian bases, object/morphism schemas, gauge groupoid, d^1/d^2, square-zero, and bases of H^1/H^2/H^3</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MOD-07-13</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small-extension generator, obstruction independence, lift torsor, Schlessinger H1-H4 flags</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MOD-14-19</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L_infinity identities, MC equation, gauge invariance, Hodge contraction, Green/spectral margin, and fixed-point contraction</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MOD-20-24</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Kuranishi Taylor coefficients, local algebra/zero locus, stabiliser strata, blocker-safe verdict, and all hashes</w:t>
            </w:r>
          </w:p>
        </w:tc>
      </w:tr>
    </w:tbl>
    <w:p>
      <w:pPr>
        <w:spacing w:after="2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INPUT N,g,Artin bases,Hodge-Green,x,D/Dom; verify control and Schlessinger; solve alpha=i(x)-hN(alpha); compute K(x); emit ABSTAIN, NO-LIFT-IN-MODEL, or CANDIDATE-LIFT with proof objects and hashes.</w:t>
            </w:r>
          </w:p>
        </w:tc>
        <w:tc>
          <w:tcPr>
            <w:tcW w:type="dxa" w:w="1531"/>
            <w:shd w:fill="F6F8FA"/>
          </w:tcPr>
          <w:p>
            <w:pPr>
              <w:jc w:val="right"/>
            </w:pPr>
            <w:r>
              <w:rPr>
                <w:rFonts w:ascii="DejaVu Sans" w:hAnsi="DejaVu Sans" w:eastAsia="DejaVu Sans"/>
                <w:b/>
                <w:i w:val="0"/>
                <w:color w:val="5C6773"/>
                <w:sz w:val="17"/>
              </w:rPr>
              <w:t>T2-F158</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BOUNDARY OF CHAPTER 16. </w:t>
            </w:r>
            <w:r>
              <w:rPr>
                <w:rFonts w:ascii="DejaVu Serif" w:hAnsi="DejaVu Serif" w:eastAsia="DejaVu Serif"/>
                <w:b w:val="0"/>
                <w:i w:val="0"/>
                <w:color w:val="111111"/>
                <w:sz w:val="19"/>
              </w:rPr>
              <w:t>The controlling L_infinity algebra for a general partial NAPG operation remains a proof obligation. A local Kuranishi zero is not a global object, a causal mechanism, or an empirical event.</w:t>
            </w:r>
          </w:p>
        </w:tc>
        <w:trPr>
          <w:tblHeader/>
        </w:trPr>
      </w:tr>
    </w:tbl>
    <w:p>
      <w:pPr>
        <w:spacing w:after="0"/>
      </w:pPr>
    </w:p>
    <w:p>
      <w:pPr>
        <w:widowControl/>
        <w:spacing w:after="80" w:line="264" w:lineRule="auto"/>
      </w:pPr>
      <w:r>
        <w:rPr>
          <w:rFonts w:ascii="DejaVu Serif" w:hAnsi="DejaVu Serif" w:eastAsia="DejaVu Serif"/>
          <w:b w:val="0"/>
          <w:i w:val="0"/>
          <w:color w:val="111111"/>
          <w:sz w:val="20"/>
        </w:rPr>
        <w:t>Prior art includes Schlessinger functors, Kodaira-Spencer and Kuranishi theory, graded-Lie deformation theory, Goldman-Millson germs, and derived formal moduli. The authorial contribution is their typed integration with NAPG, Hodge-Green certificates, internal/external obstruction carriers, D/Dom, Reper authorisation, and a three-valued predictive horizon.</w:t>
      </w:r>
    </w:p>
    <w:p>
      <w:pPr>
        <w:pStyle w:val="Heading1"/>
        <w:keepNext/>
        <w:pageBreakBefore/>
      </w:pPr>
      <w:bookmarkStart w:id="1016" w:name="T2_CH17"/>
      <w:r>
        <w:t>Chapter 17. Stratified Moduli Spaces, Wall Crossing, and Monodromy</w:t>
      </w:r>
      <w:bookmarkEnd w:id="1016"/>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moduli space may be stratified into chambers, walls, ramification loci, and branch-monodromy orbits.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transition is known only after branch continuation, path typing, wall certificates, and transport of invariants.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Wall crossing appears as a change of certified structural profile along a declared path.</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wall is not automatically a bifurcation, branch labels need not globalise, and path dependence cannot be erased by a coarse endpoint comparison.</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the KLT-RBD branch ledger with blocker-safe wall-crossing and monodromy certificates.</w:t>
            </w:r>
          </w:p>
        </w:tc>
      </w:tr>
    </w:tbl>
    <w:p>
      <w:pPr>
        <w:spacing w:after="20"/>
      </w:pPr>
    </w:p>
    <w:p>
      <w:pPr>
        <w:widowControl/>
        <w:spacing w:after="80" w:line="264" w:lineRule="auto"/>
      </w:pPr>
      <w:r>
        <w:rPr>
          <w:rFonts w:ascii="DejaVu Serif" w:hAnsi="DejaVu Serif" w:eastAsia="DejaVu Serif"/>
          <w:b w:val="0"/>
          <w:i w:val="0"/>
          <w:color w:val="111111"/>
          <w:sz w:val="20"/>
        </w:rPr>
        <w:t>A moduli carrier is generally not a single smooth manifold. Stabiliser dimension, branch count, the rank of the linearised Kuranishi map, and obstruction type may jump. This chapter treats the carrier as a certified stratified object, separates walls from bifurcation loci, tracks normalised branches and their monodromy, and defines the path-dependent wall-crossing operator and its predictive horizon.</w:t>
      </w:r>
    </w:p>
    <w:p>
      <w:pPr>
        <w:pStyle w:val="Heading2"/>
        <w:keepNext/>
        <w:pageBreakBefore w:val="0"/>
      </w:pPr>
      <w:r>
        <w:t>17.1. Moduli Space as a Stratified Object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M_N=disjoint_union_{alpha in A} S_alpha,    S_alpha intersect closure(S_beta)!=empty =&gt; S_alpha subset closure(S_beta).</w:t>
            </w:r>
          </w:p>
        </w:tc>
        <w:tc>
          <w:tcPr>
            <w:tcW w:type="dxa" w:w="1531"/>
            <w:shd w:fill="F6F8FA"/>
          </w:tcPr>
          <w:p>
            <w:pPr>
              <w:jc w:val="right"/>
            </w:pPr>
            <w:r>
              <w:rPr>
                <w:rFonts w:ascii="DejaVu Sans" w:hAnsi="DejaVu Sans" w:eastAsia="DejaVu Sans"/>
                <w:b/>
                <w:i w:val="0"/>
                <w:color w:val="5C6773"/>
                <w:sz w:val="17"/>
              </w:rPr>
              <w:t>T2-F159</w:t>
            </w:r>
          </w:p>
        </w:tc>
        <w:trPr>
          <w:tblHeader/>
        </w:trPr>
      </w:tr>
    </w:tbl>
    <w:p>
      <w:pPr>
        <w:spacing w:after="0"/>
      </w:pPr>
    </w:p>
    <w:p>
      <w:pPr>
        <w:widowControl/>
        <w:spacing w:after="80" w:line="264" w:lineRule="auto"/>
      </w:pPr>
      <w:r>
        <w:rPr>
          <w:rFonts w:ascii="DejaVu Serif" w:hAnsi="DejaVu Serif" w:eastAsia="DejaVu Serif"/>
          <w:b w:val="0"/>
          <w:i w:val="0"/>
          <w:color w:val="111111"/>
          <w:sz w:val="20"/>
        </w:rPr>
        <w:t>An admissible predictive stratification has smooth locally closed strata, a constant local moduli profile on each stratum, and a verified frontier condition. Whitney (a) and (b), control data, and local topological triviality are separate obligations rather than consequences of writing a finite partition.</w:t>
      </w:r>
    </w:p>
    <w:p>
      <w:pPr>
        <w:keepNext/>
        <w:jc w:val="center"/>
      </w:pPr>
      <w:r>
        <w:drawing>
          <wp:inline xmlns:a="http://schemas.openxmlformats.org/drawingml/2006/main" xmlns:pic="http://schemas.openxmlformats.org/drawingml/2006/picture">
            <wp:extent cx="5760000" cy="3115102"/>
            <wp:docPr id="37" name="Picture 37" descr="Stratified moduli space with chambers, a wall, and a bifurcation locus" title="Stratified moduli space with chambers, a wall, and a bifurcation locus"/>
            <wp:cNvGraphicFramePr>
              <a:graphicFrameLocks noChangeAspect="1"/>
            </wp:cNvGraphicFramePr>
            <a:graphic>
              <a:graphicData uri="http://schemas.openxmlformats.org/drawingml/2006/picture">
                <pic:pic>
                  <pic:nvPicPr>
                    <pic:cNvPr id="0" name="fig38_wall_chambers.png"/>
                    <pic:cNvPicPr/>
                  </pic:nvPicPr>
                  <pic:blipFill>
                    <a:blip r:embed="rId47"/>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38. Stratified moduli space, wall, and bifurcation locus.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P_str(x)=(dim H^1_x,dim H^2_x,dim H^3_x,dim Aut_x,rank dK_x,mult_x,HS_x,gamma_x,lambda_x,D_x,Dom_x).</w:t>
            </w:r>
          </w:p>
        </w:tc>
        <w:tc>
          <w:tcPr>
            <w:tcW w:type="dxa" w:w="1531"/>
            <w:shd w:fill="F6F8FA"/>
          </w:tcPr>
          <w:p>
            <w:pPr>
              <w:jc w:val="right"/>
            </w:pPr>
            <w:r>
              <w:rPr>
                <w:rFonts w:ascii="DejaVu Sans" w:hAnsi="DejaVu Sans" w:eastAsia="DejaVu Sans"/>
                <w:b/>
                <w:i w:val="0"/>
                <w:color w:val="5C6773"/>
                <w:sz w:val="17"/>
              </w:rPr>
              <w:t>T2-F160</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I_trans:M_N^reg-&gt;Lambda,    I_trans|_{S_alpha}=constant.</w:t>
            </w:r>
          </w:p>
        </w:tc>
        <w:tc>
          <w:tcPr>
            <w:tcW w:type="dxa" w:w="1531"/>
            <w:shd w:fill="F6F8FA"/>
          </w:tcPr>
          <w:p>
            <w:pPr>
              <w:jc w:val="right"/>
            </w:pPr>
            <w:r>
              <w:rPr>
                <w:rFonts w:ascii="DejaVu Sans" w:hAnsi="DejaVu Sans" w:eastAsia="DejaVu Sans"/>
                <w:b/>
                <w:i w:val="0"/>
                <w:color w:val="5C6773"/>
                <w:sz w:val="17"/>
              </w:rPr>
              <w:t>T2-F161</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profile records local deformation, automorphism, obstruction, multiplicity, Hilbert-Samuel, spectral, Reper, evidence, and domain data. Values on adjacent strata cannot be compared, added, or ranked until a typed transport rule is supplied.</w:t>
      </w:r>
    </w:p>
    <w:p>
      <w:pPr>
        <w:pStyle w:val="Heading2"/>
        <w:keepNext/>
        <w:pageBreakBefore w:val="0"/>
      </w:pPr>
      <w:r>
        <w:t>17.2. Walls, Chambers, and Wall Certificates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W=Delta_rank union Delta_aut union Delta_obs union Delta_gap union Delta_branch union Delta_D union Delta_Dom union Delta_glue.</w:t>
            </w:r>
          </w:p>
        </w:tc>
        <w:tc>
          <w:tcPr>
            <w:tcW w:type="dxa" w:w="1531"/>
            <w:shd w:fill="F6F8FA"/>
          </w:tcPr>
          <w:p>
            <w:pPr>
              <w:jc w:val="right"/>
            </w:pPr>
            <w:r>
              <w:rPr>
                <w:rFonts w:ascii="DejaVu Sans" w:hAnsi="DejaVu Sans" w:eastAsia="DejaVu Sans"/>
                <w:b/>
                <w:i w:val="0"/>
                <w:color w:val="5C6773"/>
                <w:sz w:val="17"/>
              </w:rPr>
              <w:t>T2-F162</w:t>
            </w:r>
          </w:p>
        </w:tc>
        <w:trPr>
          <w:tblHeader/>
        </w:trPr>
      </w:tr>
    </w:tbl>
    <w:p>
      <w:pPr>
        <w:spacing w:after="0"/>
      </w:pPr>
    </w:p>
    <w:p>
      <w:pPr>
        <w:widowControl/>
        <w:spacing w:after="80" w:line="264" w:lineRule="auto"/>
      </w:pPr>
      <w:r>
        <w:rPr>
          <w:rFonts w:ascii="DejaVu Serif" w:hAnsi="DejaVu Serif" w:eastAsia="DejaVu Serif"/>
          <w:b w:val="0"/>
          <w:i w:val="0"/>
          <w:color w:val="111111"/>
          <w:sz w:val="20"/>
        </w:rPr>
        <w:t>A chamber is a connected component of the parameter space minus W on which the certified moduli type is constant. A wall is a locus where at least one rank, stabiliser, obstruction, spectral, branch, evidence, domain, or gluing certificate changes. A wall certificate includes a local wall equation, normal orientation or coorientation, the incident branches, one-sided invariant limits, multiplicity control, Evidence-D, and a reproducible computation.</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17.1. Constancy in a Chamber [COND] </w:t>
            </w:r>
            <w:r>
              <w:rPr>
                <w:rFonts w:ascii="DejaVu Serif" w:hAnsi="DejaVu Serif" w:eastAsia="DejaVu Serif"/>
                <w:b w:val="0"/>
                <w:i w:val="0"/>
                <w:color w:val="111111"/>
                <w:sz w:val="19"/>
              </w:rPr>
              <w:t>If a connected chamber carries a ModTriv certificate and does not meet W, then P_str and every certified locally constant transition invariant remain constant throughout the chamber.</w:t>
            </w:r>
          </w:p>
        </w:tc>
        <w:trPr>
          <w:tblHeader/>
        </w:trPr>
      </w:tr>
    </w:tbl>
    <w:p>
      <w:pPr>
        <w:spacing w:after="0"/>
      </w:pPr>
    </w:p>
    <w:p>
      <w:pPr>
        <w:pStyle w:val="Heading2"/>
        <w:keepNext/>
        <w:pageBreakBefore w:val="0"/>
      </w:pPr>
      <w:r>
        <w:t>17.3. Partial Wall-Crossing Operator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WC_{gamma,t*}:Inv(C_-) dashedrightarrow Inv(C_+).</w:t>
            </w:r>
          </w:p>
        </w:tc>
        <w:tc>
          <w:tcPr>
            <w:tcW w:type="dxa" w:w="1531"/>
            <w:shd w:fill="F6F8FA"/>
          </w:tcPr>
          <w:p>
            <w:pPr>
              <w:jc w:val="right"/>
            </w:pPr>
            <w:r>
              <w:rPr>
                <w:rFonts w:ascii="DejaVu Sans" w:hAnsi="DejaVu Sans" w:eastAsia="DejaVu Sans"/>
                <w:b/>
                <w:i w:val="0"/>
                <w:color w:val="5C6773"/>
                <w:sz w:val="17"/>
              </w:rPr>
              <w:t>T2-F163</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operator is defined only after branches on both sides are identified through a common degeneration datum. In an additive sector, the defect is typed only after a transport map has been proved.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Delta_W I=I_+ - T_{-to+}I_-.</w:t>
            </w:r>
          </w:p>
        </w:tc>
        <w:tc>
          <w:tcPr>
            <w:tcW w:type="dxa" w:w="1531"/>
            <w:shd w:fill="F6F8FA"/>
          </w:tcPr>
          <w:p>
            <w:pPr>
              <w:jc w:val="right"/>
            </w:pPr>
            <w:r>
              <w:rPr>
                <w:rFonts w:ascii="DejaVu Sans" w:hAnsi="DejaVu Sans" w:eastAsia="DejaVu Sans"/>
                <w:b/>
                <w:i w:val="0"/>
                <w:color w:val="5C6773"/>
                <w:sz w:val="17"/>
              </w:rPr>
              <w:t>T2-F164</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Countertheorem 17.2. Equal Dimensions Do Not Define Wall Crossing [THM] </w:t>
            </w:r>
            <w:r>
              <w:rPr>
                <w:rFonts w:ascii="DejaVu Serif" w:hAnsi="DejaVu Serif" w:eastAsia="DejaVu Serif"/>
                <w:b w:val="0"/>
                <w:i w:val="0"/>
                <w:color w:val="111111"/>
                <w:sz w:val="19"/>
              </w:rPr>
              <w:t>Equal dimensions of invariant spaces on both sides of a wall do not determine a canonical transition operator. Branch identification and transport data are indispensable.</w:t>
            </w:r>
          </w:p>
        </w:tc>
        <w:trPr>
          <w:tblHeader/>
        </w:trPr>
      </w:tr>
    </w:tbl>
    <w:p>
      <w:pPr>
        <w:spacing w:after="0"/>
      </w:pPr>
    </w:p>
    <w:p>
      <w:pPr>
        <w:widowControl/>
        <w:spacing w:after="80" w:line="264" w:lineRule="auto"/>
      </w:pPr>
      <w:r>
        <w:rPr>
          <w:rFonts w:ascii="DejaVu Serif" w:hAnsi="DejaVu Serif" w:eastAsia="DejaVu Serif"/>
          <w:b w:val="0"/>
          <w:i w:val="0"/>
          <w:color w:val="111111"/>
          <w:sz w:val="20"/>
        </w:rPr>
        <w:t>In a general NAPG sector, wall crossing may be a correspondence, span, or functor between groupoids rather than a numerical jump.</w:t>
      </w:r>
    </w:p>
    <w:p>
      <w:pPr>
        <w:pStyle w:val="Heading2"/>
        <w:keepNext/>
        <w:pageBreakBefore w:val="0"/>
      </w:pPr>
      <w:r>
        <w:t>17.4. Bifurcation Locus and Reduced Equation</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Bif(K)={(t,x):K_t(x)=0, rank D_xK_t&lt;r_reg}.</w:t>
            </w:r>
          </w:p>
        </w:tc>
        <w:tc>
          <w:tcPr>
            <w:tcW w:type="dxa" w:w="1531"/>
            <w:shd w:fill="F6F8FA"/>
          </w:tcPr>
          <w:p>
            <w:pPr>
              <w:jc w:val="right"/>
            </w:pPr>
            <w:r>
              <w:rPr>
                <w:rFonts w:ascii="DejaVu Sans" w:hAnsi="DejaVu Sans" w:eastAsia="DejaVu Sans"/>
                <w:b/>
                <w:i w:val="0"/>
                <w:color w:val="5C6773"/>
                <w:sz w:val="17"/>
              </w:rPr>
              <w:t>T2-F165</w:t>
            </w:r>
          </w:p>
        </w:tc>
        <w:trPr>
          <w:tblHeader/>
        </w:trPr>
      </w:tr>
    </w:tbl>
    <w:p>
      <w:pPr>
        <w:spacing w:after="0"/>
      </w:pPr>
    </w:p>
    <w:p>
      <w:pPr>
        <w:widowControl/>
        <w:spacing w:after="80" w:line="264" w:lineRule="auto"/>
      </w:pPr>
      <w:r>
        <w:rPr>
          <w:rFonts w:ascii="DejaVu Serif" w:hAnsi="DejaVu Serif" w:eastAsia="DejaVu Serif"/>
          <w:b w:val="0"/>
          <w:i w:val="0"/>
          <w:color w:val="111111"/>
          <w:sz w:val="20"/>
        </w:rPr>
        <w:t>A singular Jacobian is only a bifurcation candidate. The number of real branches, their stability, and their observability require a Lyapunov-Schmidt reduction and verified normal-form derivatives.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fold:g=0,g_a=0,g_aa!=0,g_t!=0;    cusp:g=g_a=g_aa=0,g_aaa g_t!=0.</w:t>
            </w:r>
          </w:p>
        </w:tc>
        <w:tc>
          <w:tcPr>
            <w:tcW w:type="dxa" w:w="1531"/>
            <w:shd w:fill="F6F8FA"/>
          </w:tcPr>
          <w:p>
            <w:pPr>
              <w:jc w:val="right"/>
            </w:pPr>
            <w:r>
              <w:rPr>
                <w:rFonts w:ascii="DejaVu Sans" w:hAnsi="DejaVu Sans" w:eastAsia="DejaVu Sans"/>
                <w:b/>
                <w:i w:val="0"/>
                <w:color w:val="5C6773"/>
                <w:sz w:val="17"/>
              </w:rPr>
              <w:t>T2-F166</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17.3. Wall Is Not Bifurcation [THM] </w:t>
            </w:r>
            <w:r>
              <w:rPr>
                <w:rFonts w:ascii="DejaVu Serif" w:hAnsi="DejaVu Serif" w:eastAsia="DejaVu Serif"/>
                <w:b w:val="0"/>
                <w:i w:val="0"/>
                <w:color w:val="111111"/>
                <w:sz w:val="19"/>
              </w:rPr>
              <w:t>In general W and the bifurcation locus B do not coincide. A wall may arise from a stability, domain, or stabiliser change with a regular local equation; a bifurcation may occur inside one chamber of an external classification.</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368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Separating situation</w:t>
            </w:r>
          </w:p>
        </w:tc>
        <w:tc>
          <w:tcPr>
            <w:tcW w:type="dxa" w:w="5669"/>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What it shows</w:t>
            </w:r>
          </w:p>
        </w:tc>
      </w:tr>
      <w:tr>
        <w:trPr>
          <w:cantSplit w:val="true"/>
        </w:trPr>
        <w:tc>
          <w:tcPr>
            <w:tcW w:type="dxa" w:w="368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wall without bifurcation</w:t>
            </w:r>
          </w:p>
        </w:tc>
        <w:tc>
          <w:tcPr>
            <w:tcW w:type="dxa" w:w="566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 GIT polarisation changes admitted orbits while the local branch remains smooth</w:t>
            </w:r>
          </w:p>
        </w:tc>
      </w:tr>
      <w:tr>
        <w:trPr>
          <w:cantSplit w:val="true"/>
        </w:trPr>
        <w:tc>
          <w:tcPr>
            <w:tcW w:type="dxa" w:w="368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bifurcation without a chosen wall</w:t>
            </w:r>
          </w:p>
        </w:tc>
        <w:tc>
          <w:tcPr>
            <w:tcW w:type="dxa" w:w="566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g(t,a)=a^2-t has a fold at t=0 even if no external chamber decomposition was declared</w:t>
            </w:r>
          </w:p>
        </w:tc>
      </w:tr>
      <w:tr>
        <w:trPr>
          <w:cantSplit w:val="true"/>
        </w:trPr>
        <w:tc>
          <w:tcPr>
            <w:tcW w:type="dxa" w:w="368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false numerical coincidence</w:t>
            </w:r>
          </w:p>
        </w:tc>
        <w:tc>
          <w:tcPr>
            <w:tcW w:type="dxa" w:w="5669"/>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an apparent rank jump may disappear after interval conditioning certifies the Jacobian</w:t>
            </w:r>
          </w:p>
        </w:tc>
      </w:tr>
    </w:tbl>
    <w:p>
      <w:pPr>
        <w:spacing w:after="20"/>
      </w:pPr>
    </w:p>
    <w:p>
      <w:pPr>
        <w:pStyle w:val="Heading2"/>
        <w:keepNext/>
        <w:pageBreakBefore w:val="0"/>
      </w:pPr>
      <w:r>
        <w:t>17.5. Branch Normalisation and the Branch Ledger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Branch(Z/P)=pi_0(Z_tilde minus Ram(nu)).</w:t>
            </w:r>
          </w:p>
        </w:tc>
        <w:tc>
          <w:tcPr>
            <w:tcW w:type="dxa" w:w="1531"/>
            <w:shd w:fill="F6F8FA"/>
          </w:tcPr>
          <w:p>
            <w:pPr>
              <w:jc w:val="right"/>
            </w:pPr>
            <w:r>
              <w:rPr>
                <w:rFonts w:ascii="DejaVu Sans" w:hAnsi="DejaVu Sans" w:eastAsia="DejaVu Sans"/>
                <w:b/>
                <w:i w:val="0"/>
                <w:color w:val="5C6773"/>
                <w:sz w:val="17"/>
              </w:rPr>
              <w:t>T2-F167</w:t>
            </w:r>
          </w:p>
        </w:tc>
        <w:trPr>
          <w:tblHeader/>
        </w:trPr>
      </w:tr>
    </w:tbl>
    <w:p>
      <w:pPr>
        <w:spacing w:after="0"/>
      </w:pPr>
    </w:p>
    <w:p>
      <w:pPr>
        <w:widowControl/>
        <w:spacing w:after="80" w:line="264" w:lineRule="auto"/>
      </w:pPr>
      <w:r>
        <w:rPr>
          <w:rFonts w:ascii="DejaVu Serif" w:hAnsi="DejaVu Serif" w:eastAsia="DejaVu Serif"/>
          <w:b w:val="0"/>
          <w:i w:val="0"/>
          <w:color w:val="111111"/>
          <w:sz w:val="20"/>
        </w:rPr>
        <w:t>For the local zero locus Z={K=0}, a branch is a connected component of a normalised cover after removal of the ramification locus. The ledger records branch_id, local equation, multiplicity, orientation or coorientation, stabiliser, D/Dom, provenance, permitted continuations, and branch points. Without branch_id, the phrase “the same branch after the transition” has no verifiable content.</w:t>
      </w:r>
    </w:p>
    <w:p>
      <w:pPr>
        <w:keepNext/>
        <w:jc w:val="center"/>
      </w:pPr>
      <w:r>
        <w:drawing>
          <wp:inline xmlns:a="http://schemas.openxmlformats.org/drawingml/2006/main" xmlns:pic="http://schemas.openxmlformats.org/drawingml/2006/picture">
            <wp:extent cx="5760000" cy="3115102"/>
            <wp:docPr id="38" name="Picture 38" descr="Branch continuation and monodromy along an admissible loop" title="Branch continuation and monodromy along an admissible loop"/>
            <wp:cNvGraphicFramePr>
              <a:graphicFrameLocks noChangeAspect="1"/>
            </wp:cNvGraphicFramePr>
            <a:graphic>
              <a:graphicData uri="http://schemas.openxmlformats.org/drawingml/2006/picture">
                <pic:pic>
                  <pic:nvPicPr>
                    <pic:cNvPr id="0" name="fig39_branch_monodromy.png"/>
                    <pic:cNvPicPr/>
                  </pic:nvPicPr>
                  <pic:blipFill>
                    <a:blip r:embed="rId48"/>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39. Continuation of branches and monodromy along an admissible loop.</w:t>
      </w:r>
    </w:p>
    <w:p>
      <w:pPr>
        <w:pStyle w:val="Heading2"/>
        <w:keepNext/>
        <w:pageBreakBefore w:val="0"/>
      </w:pPr>
      <w:r>
        <w:t>17.6. Branch Monodromy and the No-Global-Label Theorem</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Mon:pi_1(U,t_0)-&gt;Perm(B_{t_0}).</w:t>
            </w:r>
          </w:p>
        </w:tc>
        <w:tc>
          <w:tcPr>
            <w:tcW w:type="dxa" w:w="1531"/>
            <w:shd w:fill="F6F8FA"/>
          </w:tcPr>
          <w:p>
            <w:pPr>
              <w:jc w:val="right"/>
            </w:pPr>
            <w:r>
              <w:rPr>
                <w:rFonts w:ascii="DejaVu Sans" w:hAnsi="DejaVu Sans" w:eastAsia="DejaVu Sans"/>
                <w:b/>
                <w:i w:val="0"/>
                <w:color w:val="5C6773"/>
                <w:sz w:val="17"/>
              </w:rPr>
              <w:t>T2-F168</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rho:pi_1(U,t_0)-&gt;Aut(V_{t_0}).</w:t>
            </w:r>
          </w:p>
        </w:tc>
        <w:tc>
          <w:tcPr>
            <w:tcW w:type="dxa" w:w="1531"/>
            <w:shd w:fill="F6F8FA"/>
          </w:tcPr>
          <w:p>
            <w:pPr>
              <w:jc w:val="right"/>
            </w:pPr>
            <w:r>
              <w:rPr>
                <w:rFonts w:ascii="DejaVu Sans" w:hAnsi="DejaVu Sans" w:eastAsia="DejaVu Sans"/>
                <w:b/>
                <w:i w:val="0"/>
                <w:color w:val="5C6773"/>
                <w:sz w:val="17"/>
              </w:rPr>
              <w:t>T2-F169</w:t>
            </w:r>
          </w:p>
        </w:tc>
        <w:trPr>
          <w:tblHeader/>
        </w:trPr>
      </w:tr>
    </w:tbl>
    <w:p>
      <w:pPr>
        <w:spacing w:after="0"/>
      </w:pPr>
    </w:p>
    <w:p>
      <w:pPr>
        <w:widowControl/>
        <w:spacing w:after="80" w:line="264" w:lineRule="auto"/>
      </w:pPr>
      <w:r>
        <w:rPr>
          <w:rFonts w:ascii="DejaVu Serif" w:hAnsi="DejaVu Serif" w:eastAsia="DejaVu Serif"/>
          <w:b w:val="0"/>
          <w:i w:val="0"/>
          <w:color w:val="111111"/>
          <w:sz w:val="20"/>
        </w:rPr>
        <w:t>Monodromy depends on the punctured parameter domain and the allowed path class. It is not automatically the holonomy of Chapter 9; a comparison functor must translate branch continuation into parallel transport of a specified bundle.</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17.4. Homotopy Invariance [THM] </w:t>
            </w:r>
            <w:r>
              <w:rPr>
                <w:rFonts w:ascii="DejaVu Serif" w:hAnsi="DejaVu Serif" w:eastAsia="DejaVu Serif"/>
                <w:b w:val="0"/>
                <w:i w:val="0"/>
                <w:color w:val="111111"/>
                <w:sz w:val="19"/>
              </w:rPr>
              <w:t>If the branch cover is locally trivial over U, continuation along homotopic loops with fixed endpoints yields the same branch permutation; Mon therefore factors through pi_1(U,t_0).</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Theorem 17.5. No Global Labelling [THM] </w:t>
            </w:r>
            <w:r>
              <w:rPr>
                <w:rFonts w:ascii="DejaVu Serif" w:hAnsi="DejaVu Serif" w:eastAsia="DejaVu Serif"/>
                <w:b w:val="0"/>
                <w:i w:val="0"/>
                <w:color w:val="111111"/>
                <w:sz w:val="19"/>
              </w:rPr>
              <w:t>If the image of Mon is nontrivial, there is no global continuous numbering of all branches over U.</w:t>
            </w:r>
          </w:p>
        </w:tc>
        <w:trPr>
          <w:tblHeader/>
        </w:trPr>
      </w:tr>
    </w:tbl>
    <w:p>
      <w:pPr>
        <w:spacing w:after="0"/>
      </w:pPr>
    </w:p>
    <w:p>
      <w:pPr>
        <w:spacing w:after="100" w:line="259" w:lineRule="auto"/>
        <w:ind w:left="255" w:right="113"/>
      </w:pPr>
      <w:r>
        <w:rPr>
          <w:rFonts w:ascii="DejaVu Serif" w:hAnsi="DejaVu Serif" w:eastAsia="DejaVu Serif"/>
          <w:b/>
          <w:i w:val="0"/>
          <w:color w:val="173F69"/>
          <w:sz w:val="19"/>
        </w:rPr>
        <w:t xml:space="preserve">Proof. </w:t>
      </w:r>
      <w:r>
        <w:rPr>
          <w:rFonts w:ascii="DejaVu Serif" w:hAnsi="DejaVu Serif" w:eastAsia="DejaVu Serif"/>
          <w:b w:val="0"/>
          <w:i w:val="0"/>
          <w:color w:val="111111"/>
          <w:sz w:val="19"/>
        </w:rPr>
        <w:t>A global numbering would trivialise the branch cover and force every loop to preserve each label, contradicting a loop with nontrivial permutation. □</w:t>
      </w:r>
    </w:p>
    <w:p>
      <w:pPr>
        <w:widowControl/>
        <w:spacing w:after="80" w:line="264" w:lineRule="auto"/>
      </w:pPr>
      <w:r>
        <w:rPr>
          <w:rFonts w:ascii="DejaVu Serif" w:hAnsi="DejaVu Serif" w:eastAsia="DejaVu Serif"/>
          <w:b w:val="0"/>
          <w:i w:val="0"/>
          <w:color w:val="111111"/>
          <w:sz w:val="20"/>
        </w:rPr>
        <w:t>KLT-RBD must therefore store monodromy orbits. It must neither create artificial new objects after a permutation nor force a label to remain fixed when the topology forbids it.</w:t>
      </w:r>
    </w:p>
    <w:p>
      <w:pPr>
        <w:pStyle w:val="Heading2"/>
        <w:keepNext/>
        <w:pageBreakBefore w:val="0"/>
      </w:pPr>
      <w:r>
        <w:t>17.7. Path Dependence and Relations Between Wall Operators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T_gamma=WC_m o ... o WC_2 o WC_1.</w:t>
            </w:r>
          </w:p>
        </w:tc>
        <w:tc>
          <w:tcPr>
            <w:tcW w:type="dxa" w:w="1531"/>
            <w:shd w:fill="F6F8FA"/>
          </w:tcPr>
          <w:p>
            <w:pPr>
              <w:jc w:val="right"/>
            </w:pPr>
            <w:r>
              <w:rPr>
                <w:rFonts w:ascii="DejaVu Sans" w:hAnsi="DejaVu Sans" w:eastAsia="DejaVu Sans"/>
                <w:b/>
                <w:i w:val="0"/>
                <w:color w:val="5C6773"/>
                <w:sz w:val="17"/>
              </w:rPr>
              <w:t>T2-F170</w:t>
            </w:r>
          </w:p>
        </w:tc>
        <w:trPr>
          <w:tblHeader/>
        </w:trPr>
      </w:tr>
    </w:tbl>
    <w:p>
      <w:pPr>
        <w:spacing w:after="0"/>
      </w:pPr>
    </w:p>
    <w:p>
      <w:pPr>
        <w:widowControl/>
        <w:spacing w:after="80" w:line="264" w:lineRule="auto"/>
      </w:pPr>
      <w:r>
        <w:rPr>
          <w:rFonts w:ascii="DejaVu Serif" w:hAnsi="DejaVu Serif" w:eastAsia="DejaVu Serif"/>
          <w:b w:val="0"/>
          <w:i w:val="0"/>
          <w:color w:val="111111"/>
          <w:sz w:val="20"/>
        </w:rPr>
        <w:t>Even with the same endpoints, T_gamma may depend on the homotopy class of the path in the complement of higher-codimension discriminants. Path independence requires a flat local system or proved commutation, braid, or higher-coherence relations.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WC_i WC_j=WC_j WC_i or WC_i WC_j WC_i=WC_j WC_i WC_j.</w:t>
            </w:r>
          </w:p>
        </w:tc>
        <w:tc>
          <w:tcPr>
            <w:tcW w:type="dxa" w:w="1531"/>
            <w:shd w:fill="F6F8FA"/>
          </w:tcPr>
          <w:p>
            <w:pPr>
              <w:jc w:val="right"/>
            </w:pPr>
            <w:r>
              <w:rPr>
                <w:rFonts w:ascii="DejaVu Sans" w:hAnsi="DejaVu Sans" w:eastAsia="DejaVu Sans"/>
                <w:b/>
                <w:i w:val="0"/>
                <w:color w:val="5C6773"/>
                <w:sz w:val="17"/>
              </w:rPr>
              <w:t>T2-F171</w:t>
            </w:r>
          </w:p>
        </w:tc>
        <w:trPr>
          <w:tblHeader/>
        </w:trPr>
      </w:tr>
    </w:tbl>
    <w:p>
      <w:pPr>
        <w:spacing w:after="0"/>
      </w:pPr>
    </w:p>
    <w:p>
      <w:pPr>
        <w:widowControl/>
        <w:spacing w:after="80" w:line="264" w:lineRule="auto"/>
      </w:pPr>
      <w:r>
        <w:rPr>
          <w:rFonts w:ascii="DejaVu Serif" w:hAnsi="DejaVu Serif" w:eastAsia="DejaVu Serif"/>
          <w:b w:val="0"/>
          <w:i w:val="0"/>
          <w:color w:val="111111"/>
          <w:sz w:val="20"/>
        </w:rPr>
        <w:t>Such relations are conclusions of a specific model, not consequences of the term “wall crossing.”</w:t>
      </w:r>
    </w:p>
    <w:p>
      <w:pPr>
        <w:pStyle w:val="Heading2"/>
        <w:keepNext/>
        <w:pageBreakBefore w:val="0"/>
      </w:pPr>
      <w:r>
        <w:t>17.8. Stratified Local Triviality and Stability Levels</w:t>
      </w:r>
    </w:p>
    <w:p>
      <w:pPr>
        <w:widowControl/>
        <w:spacing w:after="80" w:line="264" w:lineRule="auto"/>
      </w:pPr>
      <w:r>
        <w:rPr>
          <w:rFonts w:ascii="DejaVu Serif" w:hAnsi="DejaVu Serif" w:eastAsia="DejaVu Serif"/>
          <w:b w:val="0"/>
          <w:i w:val="0"/>
          <w:color w:val="111111"/>
          <w:sz w:val="20"/>
        </w:rPr>
        <w:t>The certificate StratTriv(U) records Whitney conditions or a declared replacement, the frontier condition, properness or local properness, submersion on each stratum, control data, and compatibility with Kuranishi charts, stabilisers, and Evidence-D. Under these hypotheses, the family is locally topologically trivial by strata and the stratified homeomorphism type is constant.</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1134"/>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Level</w:t>
            </w:r>
          </w:p>
        </w:tc>
        <w:tc>
          <w:tcPr>
            <w:tcW w:type="dxa" w:w="8220"/>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Stability contract</w:t>
            </w:r>
          </w:p>
        </w:tc>
      </w:tr>
      <w:tr>
        <w:trPr>
          <w:cantSplit w:val="true"/>
        </w:trPr>
        <w:tc>
          <w:tcPr>
            <w:tcW w:type="dxa" w:w="1134"/>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S0</w:t>
            </w:r>
          </w:p>
        </w:tc>
        <w:tc>
          <w:tcPr>
            <w:tcW w:type="dxa" w:w="82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chamber constancy of a discrete invariant</w:t>
            </w:r>
          </w:p>
        </w:tc>
      </w:tr>
      <w:tr>
        <w:trPr>
          <w:cantSplit w:val="true"/>
        </w:trPr>
        <w:tc>
          <w:tcPr>
            <w:tcW w:type="dxa" w:w="1134"/>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S1</w:t>
            </w:r>
          </w:p>
        </w:tc>
        <w:tc>
          <w:tcPr>
            <w:tcW w:type="dxa" w:w="82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transport stability of a vector or class under a declared local system</w:t>
            </w:r>
          </w:p>
        </w:tc>
      </w:tr>
      <w:tr>
        <w:trPr>
          <w:cantSplit w:val="true"/>
        </w:trPr>
        <w:tc>
          <w:tcPr>
            <w:tcW w:type="dxa" w:w="1134"/>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S2</w:t>
            </w:r>
          </w:p>
        </w:tc>
        <w:tc>
          <w:tcPr>
            <w:tcW w:type="dxa" w:w="82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branch stability including normalisation, monodromy orbit, and wall operators</w:t>
            </w:r>
          </w:p>
        </w:tc>
      </w:tr>
      <w:tr>
        <w:trPr>
          <w:cantSplit w:val="true"/>
        </w:trPr>
        <w:tc>
          <w:tcPr>
            <w:tcW w:type="dxa" w:w="1134"/>
            <w:shd w:fill="FFFFFF"/>
            <w:vAlign w:val="center"/>
            <w:tcMar>
              <w:top w:w="90" w:type="dxa"/>
              <w:start w:w="100" w:type="dxa"/>
              <w:bottom w:w="90" w:type="dxa"/>
              <w:end w:w="100" w:type="dxa"/>
            </w:tcMar>
          </w:tcPr>
          <w:p>
            <w:pPr>
              <w:spacing w:after="0" w:line="252" w:lineRule="auto"/>
              <w:jc w:val="center"/>
            </w:pPr>
            <w:r/>
            <w:r>
              <w:rPr>
                <w:rFonts w:ascii="DejaVu Serif" w:hAnsi="DejaVu Serif" w:eastAsia="DejaVu Serif"/>
                <w:b w:val="0"/>
                <w:i w:val="0"/>
                <w:color w:val="111111"/>
                <w:sz w:val="16"/>
              </w:rPr>
              <w:t>S3</w:t>
            </w:r>
          </w:p>
        </w:tc>
        <w:tc>
          <w:tcPr>
            <w:tcW w:type="dxa" w:w="822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predictive stability with D/Dom, numerical margins, and independent reproducibility</w:t>
            </w:r>
          </w:p>
        </w:tc>
      </w:tr>
    </w:tbl>
    <w:p>
      <w:pPr>
        <w:spacing w:after="2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P_W(t,b)=(dist(t,W),sigma_min(D_xK_t),mult_b,MonOrb_b,eta_K,eta_H,lambda_b,CGI_b).</w:t>
            </w:r>
          </w:p>
        </w:tc>
        <w:tc>
          <w:tcPr>
            <w:tcW w:type="dxa" w:w="1531"/>
            <w:shd w:fill="F6F8FA"/>
          </w:tcPr>
          <w:p>
            <w:pPr>
              <w:jc w:val="right"/>
            </w:pPr>
            <w:r>
              <w:rPr>
                <w:rFonts w:ascii="DejaVu Sans" w:hAnsi="DejaVu Sans" w:eastAsia="DejaVu Sans"/>
                <w:b/>
                <w:i w:val="0"/>
                <w:color w:val="5C6773"/>
                <w:sz w:val="17"/>
              </w:rPr>
              <w:t>T2-F172</w:t>
            </w:r>
          </w:p>
        </w:tc>
        <w:trPr>
          <w:tblHeader/>
        </w:trPr>
      </w:tr>
    </w:tbl>
    <w:p>
      <w:pPr>
        <w:spacing w:after="0"/>
      </w:pPr>
    </w:p>
    <w:p>
      <w:pPr>
        <w:pStyle w:val="Heading2"/>
        <w:keepNext/>
        <w:pageBreakBefore w:val="0"/>
      </w:pPr>
      <w:r>
        <w:t>17.9. Wall-Bifurcation Transition Horizon</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Delta_WB=Delta_strat union Delta_wall union Delta_bif union Delta_ram union Delta_mon union Delta_path union Delta_inv.</w:t>
            </w:r>
          </w:p>
        </w:tc>
        <w:tc>
          <w:tcPr>
            <w:tcW w:type="dxa" w:w="1531"/>
            <w:shd w:fill="F6F8FA"/>
          </w:tcPr>
          <w:p>
            <w:pPr>
              <w:jc w:val="right"/>
            </w:pPr>
            <w:r>
              <w:rPr>
                <w:rFonts w:ascii="DejaVu Sans" w:hAnsi="DejaVu Sans" w:eastAsia="DejaVu Sans"/>
                <w:b/>
                <w:i w:val="0"/>
                <w:color w:val="5C6773"/>
                <w:sz w:val="17"/>
              </w:rPr>
              <w:t>T2-F173</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Delta_safe^{v0.14}=Delta_mod union Delta_WB.</w:t>
            </w:r>
          </w:p>
        </w:tc>
        <w:tc>
          <w:tcPr>
            <w:tcW w:type="dxa" w:w="1531"/>
            <w:shd w:fill="F6F8FA"/>
          </w:tcPr>
          <w:p>
            <w:pPr>
              <w:jc w:val="right"/>
            </w:pPr>
            <w:r>
              <w:rPr>
                <w:rFonts w:ascii="DejaVu Sans" w:hAnsi="DejaVu Sans" w:eastAsia="DejaVu Sans"/>
                <w:b/>
                <w:i w:val="0"/>
                <w:color w:val="5C6773"/>
                <w:sz w:val="17"/>
              </w:rPr>
              <w:t>T2-F174</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cumulative horizon records failure of the stratification, wall certificate, bifurcation test, branch normalisation, monodromy control, path typing, or invariant transport. It is combined with the Chapter 16 moduli horizon, but the individual causes remain visible.</w:t>
      </w:r>
    </w:p>
    <w:p>
      <w:pPr>
        <w:pStyle w:val="Heading2"/>
        <w:keepNext/>
        <w:pageBreakBefore w:val="0"/>
      </w:pPr>
      <w:r>
        <w:t>17.10. Main Wall-Crossing-Safe Theorem</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Theorem 17.7. Wall-Crossing-Safe Prediction [COND] </w:t>
            </w:r>
            <w:r>
              <w:rPr>
                <w:rFonts w:ascii="DejaVu Serif" w:hAnsi="DejaVu Serif" w:eastAsia="DejaVu Serif"/>
                <w:b w:val="0"/>
                <w:i w:val="0"/>
                <w:color w:val="111111"/>
                <w:sz w:val="19"/>
              </w:rPr>
              <w:t>Let a family possess certified Kuranishi charts, an admissible stratification, StratTriv and ModTriv data, branch normalisation and monodromy, typed wall operators, stable transition invariants, valid D/Dom/gluing evidence, and closed predecessor blockers. If a path avoids Delta_safe^{v0.14}, no certified wall crossing occurs. If it meets the horizon, the output is only a candidate requiring post-wall branch matching and independent checks.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gamma intersect Delta_safe^{v0.14}=empty  =&gt;  NO-WALL-CROSSING-IN-MODEL.</w:t>
            </w:r>
          </w:p>
        </w:tc>
        <w:tc>
          <w:tcPr>
            <w:tcW w:type="dxa" w:w="1531"/>
            <w:shd w:fill="F6F8FA"/>
          </w:tcPr>
          <w:p>
            <w:pPr>
              <w:jc w:val="right"/>
            </w:pPr>
            <w:r>
              <w:rPr>
                <w:rFonts w:ascii="DejaVu Sans" w:hAnsi="DejaVu Sans" w:eastAsia="DejaVu Sans"/>
                <w:b/>
                <w:i w:val="0"/>
                <w:color w:val="5C6773"/>
                <w:sz w:val="17"/>
              </w:rPr>
              <w:t>T2-F175</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Block_WB=B_strat union B_Whit union B_wall union B_bif union B_branch union B_mon union B_path union B_inv union B_D union B_Dom union B_glue union B_ind.</w:t>
            </w:r>
          </w:p>
        </w:tc>
        <w:tc>
          <w:tcPr>
            <w:tcW w:type="dxa" w:w="1531"/>
            <w:shd w:fill="F6F8FA"/>
          </w:tcPr>
          <w:p>
            <w:pPr>
              <w:jc w:val="right"/>
            </w:pPr>
            <w:r>
              <w:rPr>
                <w:rFonts w:ascii="DejaVu Sans" w:hAnsi="DejaVu Sans" w:eastAsia="DejaVu Sans"/>
                <w:b/>
                <w:i w:val="0"/>
                <w:color w:val="5C6773"/>
                <w:sz w:val="17"/>
              </w:rPr>
              <w:t>T2-F176</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39" name="Picture 39" descr="Blocker-safe wall-crossing certificate and three-valued output" title="Blocker-safe wall-crossing certificate and three-valued output"/>
            <wp:cNvGraphicFramePr>
              <a:graphicFrameLocks noChangeAspect="1"/>
            </wp:cNvGraphicFramePr>
            <a:graphic>
              <a:graphicData uri="http://schemas.openxmlformats.org/drawingml/2006/picture">
                <pic:pic>
                  <pic:nvPicPr>
                    <pic:cNvPr id="0" name="fig40_wall_gate.png"/>
                    <pic:cNvPicPr/>
                  </pic:nvPicPr>
                  <pic:blipFill>
                    <a:blip r:embed="rId49"/>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40. Blocker-safe wall-crossing certificate WC-01-WC-24.</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89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Output</w:t>
            </w:r>
          </w:p>
        </w:tc>
        <w:tc>
          <w:tcPr>
            <w:tcW w:type="dxa" w:w="345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Condition</w:t>
            </w:r>
          </w:p>
        </w:tc>
        <w:tc>
          <w:tcPr>
            <w:tcW w:type="dxa" w:w="306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Interpretation</w:t>
            </w:r>
          </w:p>
        </w:tc>
      </w:tr>
      <w:tr>
        <w:trPr>
          <w:cantSplit w:val="true"/>
        </w:trPr>
        <w:tc>
          <w:tcPr>
            <w:tcW w:type="dxa" w:w="28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NO-WALL-CROSSING-IN-MODEL</w:t>
            </w:r>
          </w:p>
        </w:tc>
        <w:tc>
          <w:tcPr>
            <w:tcW w:type="dxa" w:w="345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gamma avoids Delta_safe and blockers are empty</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certified structural profile remains in one chamber</w:t>
            </w:r>
          </w:p>
        </w:tc>
      </w:tr>
      <w:tr>
        <w:trPr>
          <w:cantSplit w:val="true"/>
        </w:trPr>
        <w:tc>
          <w:tcPr>
            <w:tcW w:type="dxa" w:w="28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CANDIDATE-WALL-CROSSING</w:t>
            </w:r>
          </w:p>
        </w:tc>
        <w:tc>
          <w:tcPr>
            <w:tcW w:type="dxa" w:w="345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gamma meets the horizon with a valid certificate</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target for branch and post-wall tests</w:t>
            </w:r>
          </w:p>
        </w:tc>
      </w:tr>
      <w:tr>
        <w:trPr>
          <w:cantSplit w:val="true"/>
        </w:trPr>
        <w:tc>
          <w:tcPr>
            <w:tcW w:type="dxa" w:w="289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w:t>
            </w:r>
          </w:p>
        </w:tc>
        <w:tc>
          <w:tcPr>
            <w:tcW w:type="dxa" w:w="345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any stratification, branch, path, evidence, or independence blocker remains</w:t>
            </w:r>
          </w:p>
        </w:tc>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no transition conclusion</w:t>
            </w:r>
          </w:p>
        </w:tc>
      </w:tr>
    </w:tbl>
    <w:p>
      <w:pPr>
        <w:spacing w:after="20"/>
      </w:pPr>
    </w:p>
    <w:p>
      <w:pPr>
        <w:pStyle w:val="Heading2"/>
        <w:keepNext/>
        <w:pageBreakBefore w:val="0"/>
      </w:pPr>
      <w:r>
        <w:t>17.11. Countermodels and WC-MON Certificate</w:t>
      </w:r>
    </w:p>
    <w:p>
      <w:pPr>
        <w:pStyle w:val="ListBullet"/>
        <w:spacing w:after="40" w:line="252" w:lineRule="auto"/>
      </w:pPr>
      <w:r>
        <w:rPr>
          <w:rFonts w:ascii="DejaVu Serif" w:hAnsi="DejaVu Serif" w:eastAsia="DejaVu Serif"/>
          <w:b w:val="0"/>
          <w:i w:val="0"/>
          <w:color w:val="111111"/>
          <w:sz w:val="19"/>
        </w:rPr>
        <w:t>Equal endpoints with different path classes may yield different ordered wall compositions.</w:t>
      </w:r>
    </w:p>
    <w:p>
      <w:pPr>
        <w:pStyle w:val="ListBullet"/>
        <w:spacing w:after="40" w:line="252" w:lineRule="auto"/>
      </w:pPr>
      <w:r>
        <w:rPr>
          <w:rFonts w:ascii="DejaVu Serif" w:hAnsi="DejaVu Serif" w:eastAsia="DejaVu Serif"/>
          <w:b w:val="0"/>
          <w:i w:val="0"/>
          <w:color w:val="111111"/>
          <w:sz w:val="19"/>
        </w:rPr>
        <w:t>A singular numerical Jacobian may be a conditioning artefact rather than a bifurcation.</w:t>
      </w:r>
    </w:p>
    <w:p>
      <w:pPr>
        <w:pStyle w:val="ListBullet"/>
        <w:spacing w:after="40" w:line="252" w:lineRule="auto"/>
      </w:pPr>
      <w:r>
        <w:rPr>
          <w:rFonts w:ascii="DejaVu Serif" w:hAnsi="DejaVu Serif" w:eastAsia="DejaVu Serif"/>
          <w:b w:val="0"/>
          <w:i w:val="0"/>
          <w:color w:val="111111"/>
          <w:sz w:val="19"/>
        </w:rPr>
        <w:t>A wall generated by a domain or stability change may have no local branch bifurcation.</w:t>
      </w:r>
    </w:p>
    <w:p>
      <w:pPr>
        <w:pStyle w:val="ListBullet"/>
        <w:spacing w:after="40" w:line="252" w:lineRule="auto"/>
      </w:pPr>
      <w:r>
        <w:rPr>
          <w:rFonts w:ascii="DejaVu Serif" w:hAnsi="DejaVu Serif" w:eastAsia="DejaVu Serif"/>
          <w:b w:val="0"/>
          <w:i w:val="0"/>
          <w:color w:val="111111"/>
          <w:sz w:val="19"/>
        </w:rPr>
        <w:t>A genuine fold may occur before any external wall decomposition is chosen.</w:t>
      </w:r>
    </w:p>
    <w:p>
      <w:pPr>
        <w:pStyle w:val="ListBullet"/>
        <w:spacing w:after="40" w:line="252" w:lineRule="auto"/>
      </w:pPr>
      <w:r>
        <w:rPr>
          <w:rFonts w:ascii="DejaVu Serif" w:hAnsi="DejaVu Serif" w:eastAsia="DejaVu Serif"/>
          <w:b w:val="0"/>
          <w:i w:val="0"/>
          <w:color w:val="111111"/>
          <w:sz w:val="19"/>
        </w:rPr>
        <w:t>Nontrivial monodromy prohibits a global branch label even though every local chart is regular.</w:t>
      </w:r>
    </w:p>
    <w:p>
      <w:pPr>
        <w:pStyle w:val="ListBullet"/>
        <w:spacing w:after="40" w:line="252" w:lineRule="auto"/>
      </w:pPr>
      <w:r>
        <w:rPr>
          <w:rFonts w:ascii="DejaVu Serif" w:hAnsi="DejaVu Serif" w:eastAsia="DejaVu Serif"/>
          <w:b w:val="0"/>
          <w:i w:val="0"/>
          <w:color w:val="111111"/>
          <w:sz w:val="19"/>
        </w:rPr>
        <w:t>A constant dimension profile does not determine multiplicity, branch topology, or monodromy orbit.</w:t>
      </w:r>
    </w:p>
    <w:p>
      <w:pPr>
        <w:pStyle w:val="ListBullet"/>
        <w:spacing w:after="40" w:line="252" w:lineRule="auto"/>
      </w:pPr>
      <w:r>
        <w:rPr>
          <w:rFonts w:ascii="DejaVu Serif" w:hAnsi="DejaVu Serif" w:eastAsia="DejaVu Serif"/>
          <w:b w:val="0"/>
          <w:i w:val="0"/>
          <w:color w:val="111111"/>
          <w:sz w:val="19"/>
        </w:rPr>
        <w:t>A wall crossing in a static moduli family is not by itself a physical event or causal transition.</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170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WC-MON group</w:t>
            </w:r>
          </w:p>
        </w:tc>
        <w:tc>
          <w:tcPr>
            <w:tcW w:type="dxa" w:w="7654"/>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Checks</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WC-01-06</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stratification, frontier and Whitney/control data, wall equations, coorientations, and chamber decomposition</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WC-07-12</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Kuranishi discriminant, reduced equation, branch normalisation, ramification, multiplicity, and branch IDs</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WC-13-18</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continuation, monodromy, path classes, wall operators, cocycle/braid relations, and transport typing</w:t>
            </w:r>
          </w:p>
        </w:tc>
      </w:tr>
      <w:tr>
        <w:trPr>
          <w:cantSplit w:val="true"/>
        </w:trPr>
        <w:tc>
          <w:tcPr>
            <w:tcW w:type="dxa" w:w="170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WC-19-24</w:t>
            </w:r>
          </w:p>
        </w:tc>
        <w:tc>
          <w:tcPr>
            <w:tcW w:type="dxa" w:w="765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Evidence-D/Dom, stability margins, cumulative horizon, blocker-safe verdict, code/data/environment hashes</w:t>
            </w:r>
          </w:p>
        </w:tc>
      </w:tr>
    </w:tbl>
    <w:p>
      <w:pPr>
        <w:spacing w:after="2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INPUT K_t,stratification,path,branches,invariant,D/Dom; verify charts, strata, walls, normalisation, monodromy, transport, and margins; emit ABSTAIN, NO-WALL-CROSSING-IN-MODEL, or CANDIDATE-WALL-CROSSING.</w:t>
            </w:r>
          </w:p>
        </w:tc>
        <w:tc>
          <w:tcPr>
            <w:tcW w:type="dxa" w:w="1531"/>
            <w:shd w:fill="F6F8FA"/>
          </w:tcPr>
          <w:p>
            <w:pPr>
              <w:jc w:val="right"/>
            </w:pPr>
            <w:r>
              <w:rPr>
                <w:rFonts w:ascii="DejaVu Sans" w:hAnsi="DejaVu Sans" w:eastAsia="DejaVu Sans"/>
                <w:b/>
                <w:i w:val="0"/>
                <w:color w:val="5C6773"/>
                <w:sz w:val="17"/>
              </w:rPr>
              <w:t>T2-F177</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BOUNDARY OF CHAPTER 17. </w:t>
            </w:r>
            <w:r>
              <w:rPr>
                <w:rFonts w:ascii="DejaVu Serif" w:hAnsi="DejaVu Serif" w:eastAsia="DejaVu Serif"/>
                <w:b w:val="0"/>
                <w:i w:val="0"/>
                <w:color w:val="111111"/>
                <w:sz w:val="19"/>
              </w:rPr>
              <w:t>Wall crossing is a certified change of classification along a path. It is not an observation that a physical event occurred, and branch monodromy is not automatically causal holonomy.</w:t>
            </w:r>
          </w:p>
        </w:tc>
        <w:trPr>
          <w:tblHeader/>
        </w:trPr>
      </w:tr>
    </w:tbl>
    <w:p>
      <w:pPr>
        <w:spacing w:after="0"/>
      </w:pPr>
    </w:p>
    <w:p>
      <w:pPr>
        <w:widowControl/>
        <w:spacing w:after="80" w:line="264" w:lineRule="auto"/>
      </w:pPr>
      <w:r>
        <w:rPr>
          <w:rFonts w:ascii="DejaVu Serif" w:hAnsi="DejaVu Serif" w:eastAsia="DejaVu Serif"/>
          <w:b w:val="0"/>
          <w:i w:val="0"/>
          <w:color w:val="111111"/>
          <w:sz w:val="20"/>
        </w:rPr>
        <w:t>Prior art includes Whitney stratifications, isotopy lemmas, singularity and bifurcation theory, branch normalisation, monodromy, and wall-crossing formalisms. The authorial contribution is their KLT-RBD integration with the NAPG Kuranishi package, branch ledger, D/Dom, Reper coordinates, and blocker-safe predictive verdict.</w:t>
      </w:r>
    </w:p>
    <w:p>
      <w:pPr>
        <w:pStyle w:val="Heading1"/>
        <w:keepNext/>
        <w:pageBreakBefore/>
      </w:pPr>
      <w:bookmarkStart w:id="1017" w:name="T2_CH18"/>
      <w:r>
        <w:t>Chapter 18. Global Derived/Stacky Moduli Spaces and the Predictive Carrier</w:t>
      </w:r>
      <w:bookmarkEnd w:id="1017"/>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global predictive carrier is a homotopy-coherent stacky or derived moduli object, not a collection of local charts or its coarse quotient.</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Global knowledge requires effective descent, coherent coordinate changes, a perfect virtual tangent complex, branch descent, and Evidence-D/Dom compatibility.</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global object appears through a virtual tangent profile, obstruction sheaf or cone, branch stack, determinant data, and transported Reper coordinates.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Local liftability does not imply a global object, and equal coarse spaces do not imply equivalent stacky or derived structures.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the global NAPG/KLT-RBD predictive carrier with a three-valued verdict and preserved status firewall.</w:t>
            </w:r>
          </w:p>
        </w:tc>
      </w:tr>
    </w:tbl>
    <w:p>
      <w:pPr>
        <w:spacing w:after="20"/>
      </w:pPr>
    </w:p>
    <w:p>
      <w:pPr>
        <w:widowControl/>
        <w:spacing w:after="80" w:line="264" w:lineRule="auto"/>
      </w:pPr>
      <w:r>
        <w:rPr>
          <w:rFonts w:ascii="DejaVu Serif" w:hAnsi="DejaVu Serif" w:eastAsia="DejaVu Serif"/>
          <w:b w:val="0"/>
          <w:i w:val="0"/>
          <w:color w:val="111111"/>
          <w:sz w:val="20"/>
        </w:rPr>
        <w:t>Local Kuranishi charts, their coarse quotient, and even locally vanishing obstruction classes do not determine a global moduli object. The final chapter of this checkpoint constructs a homotopy-coherent global carrier, its virtual tangent complex, obstruction sheaf or cone, branch stack, determinant and orientation data, Reper/Evidence-D descent, and the global transition horizon. The output remains NO-GLOBAL-TRANSITION-IN-MODEL, CANDIDATE-GLOBAL-TRANSITION, or ABSTAIN.</w:t>
      </w:r>
    </w:p>
    <w:p>
      <w:pPr>
        <w:pStyle w:val="Heading2"/>
        <w:keepNext/>
        <w:pageBreakBefore w:val="0"/>
      </w:pPr>
      <w:r>
        <w:t>18.1. Three Global Moduli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 &lt;- M &lt;- M^der.</w:t>
            </w:r>
          </w:p>
        </w:tc>
        <w:tc>
          <w:tcPr>
            <w:tcW w:type="dxa" w:w="1531"/>
            <w:shd w:fill="F6F8FA"/>
          </w:tcPr>
          <w:p>
            <w:pPr>
              <w:jc w:val="right"/>
            </w:pPr>
            <w:r>
              <w:rPr>
                <w:rFonts w:ascii="DejaVu Sans" w:hAnsi="DejaVu Sans" w:eastAsia="DejaVu Sans"/>
                <w:b/>
                <w:i w:val="0"/>
                <w:color w:val="5C6773"/>
                <w:sz w:val="17"/>
              </w:rPr>
              <w:t>T2-F178</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Level</w:t>
            </w:r>
          </w:p>
        </w:tc>
        <w:tc>
          <w:tcPr>
            <w:tcW w:type="dxa" w:w="368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Retained information</w:t>
            </w:r>
          </w:p>
        </w:tc>
        <w:tc>
          <w:tcPr>
            <w:tcW w:type="dxa" w:w="3402"/>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Typical loss at the next coarser level</w:t>
            </w:r>
          </w:p>
        </w:tc>
      </w:tr>
      <w:tr>
        <w:trPr>
          <w:cantSplit w:val="true"/>
        </w:trPr>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derived moduli object M^der</w:t>
            </w:r>
          </w:p>
        </w:tc>
        <w:tc>
          <w:tcPr>
            <w:tcW w:type="dxa" w:w="368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higher tangent and obstruction data, homotopies, stabilisers</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derived directions and higher coherence</w:t>
            </w:r>
          </w:p>
        </w:tc>
      </w:tr>
      <w:tr>
        <w:trPr>
          <w:cantSplit w:val="true"/>
        </w:trPr>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stacky moduli object M</w:t>
            </w:r>
          </w:p>
        </w:tc>
        <w:tc>
          <w:tcPr>
            <w:tcW w:type="dxa" w:w="368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objects, isomorphisms, stabilisers, descent</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automorphism and branch information</w:t>
            </w:r>
          </w:p>
        </w:tc>
      </w:tr>
      <w:tr>
        <w:trPr>
          <w:cantSplit w:val="true"/>
        </w:trPr>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coarse space |M|</w:t>
            </w:r>
          </w:p>
        </w:tc>
        <w:tc>
          <w:tcPr>
            <w:tcW w:type="dxa" w:w="368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isomorphism classes as points</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stabilisers, derived tangent profile, and higher descent</w:t>
            </w:r>
          </w:p>
        </w:tc>
      </w:tr>
    </w:tbl>
    <w:p>
      <w:pPr>
        <w:spacing w:after="20"/>
      </w:pPr>
    </w:p>
    <w:p>
      <w:pPr>
        <w:widowControl/>
        <w:spacing w:after="80" w:line="264" w:lineRule="auto"/>
      </w:pPr>
      <w:r>
        <w:rPr>
          <w:rFonts w:ascii="DejaVu Serif" w:hAnsi="DejaVu Serif" w:eastAsia="DejaVu Serif"/>
          <w:b w:val="0"/>
          <w:i w:val="0"/>
          <w:color w:val="111111"/>
          <w:sz w:val="20"/>
        </w:rPr>
        <w:t>The arrows are forgetful, not equivalences. A coarse point cannot reconstruct the stacky or derived object without additional data.</w:t>
      </w:r>
    </w:p>
    <w:p>
      <w:pPr>
        <w:pStyle w:val="Heading2"/>
        <w:keepNext/>
        <w:pageBreakBefore w:val="0"/>
      </w:pPr>
      <w:r>
        <w:t>18.2. Local Kuranishi Charts and Coordinate Changes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K_i=(U_i,E_i,s_i,G_i,psi_i).</w:t>
            </w:r>
          </w:p>
        </w:tc>
        <w:tc>
          <w:tcPr>
            <w:tcW w:type="dxa" w:w="1531"/>
            <w:shd w:fill="F6F8FA"/>
          </w:tcPr>
          <w:p>
            <w:pPr>
              <w:jc w:val="right"/>
            </w:pPr>
            <w:r>
              <w:rPr>
                <w:rFonts w:ascii="DejaVu Sans" w:hAnsi="DejaVu Sans" w:eastAsia="DejaVu Sans"/>
                <w:b/>
                <w:i w:val="0"/>
                <w:color w:val="5C6773"/>
                <w:sz w:val="17"/>
              </w:rPr>
              <w:t>T2-F179</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vdim(K_i)=dim U_i-rank E_i-dim G_i.</w:t>
            </w:r>
          </w:p>
        </w:tc>
        <w:tc>
          <w:tcPr>
            <w:tcW w:type="dxa" w:w="1531"/>
            <w:shd w:fill="F6F8FA"/>
          </w:tcPr>
          <w:p>
            <w:pPr>
              <w:jc w:val="right"/>
            </w:pPr>
            <w:r>
              <w:rPr>
                <w:rFonts w:ascii="DejaVu Sans" w:hAnsi="DejaVu Sans" w:eastAsia="DejaVu Sans"/>
                <w:b/>
                <w:i w:val="0"/>
                <w:color w:val="5C6773"/>
                <w:sz w:val="17"/>
              </w:rPr>
              <w:t>T2-F180</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s_j o phi_ij = phi_hat_ij o s_i.</w:t>
            </w:r>
          </w:p>
        </w:tc>
        <w:tc>
          <w:tcPr>
            <w:tcW w:type="dxa" w:w="1531"/>
            <w:shd w:fill="F6F8FA"/>
          </w:tcPr>
          <w:p>
            <w:pPr>
              <w:jc w:val="right"/>
            </w:pPr>
            <w:r>
              <w:rPr>
                <w:rFonts w:ascii="DejaVu Sans" w:hAnsi="DejaVu Sans" w:eastAsia="DejaVu Sans"/>
                <w:b/>
                <w:i w:val="0"/>
                <w:color w:val="5C6773"/>
                <w:sz w:val="17"/>
              </w:rPr>
              <w:t>T2-F181</w:t>
            </w:r>
          </w:p>
        </w:tc>
        <w:trPr>
          <w:tblHeader/>
        </w:trPr>
      </w:tr>
    </w:tbl>
    <w:p>
      <w:pPr>
        <w:spacing w:after="0"/>
      </w:pPr>
    </w:p>
    <w:p>
      <w:pPr>
        <w:widowControl/>
        <w:spacing w:after="80" w:line="264" w:lineRule="auto"/>
      </w:pPr>
      <w:r>
        <w:rPr>
          <w:rFonts w:ascii="DejaVu Serif" w:hAnsi="DejaVu Serif" w:eastAsia="DejaVu Serif"/>
          <w:b w:val="0"/>
          <w:i w:val="0"/>
          <w:color w:val="111111"/>
          <w:sz w:val="20"/>
        </w:rPr>
        <w:t>A chart includes a finite-dimensional base U_i, an obstruction bundle E_i, a section s_i, an isotropy group G_i, and a footprint map psi_i. A coordinate change is not only a map of bases: it must intertwine obstruction bundles, sections, group actions, footprints, and the declared Reper/Evidence-D structures.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alpha_ijk:Phi_jk o Phi_ij =&gt; Phi_ik.</w:t>
            </w:r>
          </w:p>
        </w:tc>
        <w:tc>
          <w:tcPr>
            <w:tcW w:type="dxa" w:w="1531"/>
            <w:shd w:fill="F6F8FA"/>
          </w:tcPr>
          <w:p>
            <w:pPr>
              <w:jc w:val="right"/>
            </w:pPr>
            <w:r>
              <w:rPr>
                <w:rFonts w:ascii="DejaVu Sans" w:hAnsi="DejaVu Sans" w:eastAsia="DejaVu Sans"/>
                <w:b/>
                <w:i w:val="0"/>
                <w:color w:val="5C6773"/>
                <w:sz w:val="17"/>
              </w:rPr>
              <w:t>T2-F182</w:t>
            </w:r>
          </w:p>
        </w:tc>
        <w:trPr>
          <w:tblHeader/>
        </w:trPr>
      </w:tr>
    </w:tbl>
    <w:p>
      <w:pPr>
        <w:spacing w:after="0"/>
      </w:pPr>
    </w:p>
    <w:p>
      <w:pPr>
        <w:widowControl/>
        <w:spacing w:after="80" w:line="264" w:lineRule="auto"/>
      </w:pPr>
      <w:r>
        <w:rPr>
          <w:rFonts w:ascii="DejaVu Serif" w:hAnsi="DejaVu Serif" w:eastAsia="DejaVu Serif"/>
          <w:b w:val="0"/>
          <w:i w:val="0"/>
          <w:color w:val="111111"/>
          <w:sz w:val="20"/>
        </w:rPr>
        <w:t>Triple compositions agree up to specified 2-morphisms, which must themselves satisfy a higher coherence condition on quadruple overlaps. Pairwise coordinate compatibility is not enough.</w:t>
      </w:r>
    </w:p>
    <w:p>
      <w:pPr>
        <w:keepNext/>
        <w:jc w:val="center"/>
      </w:pPr>
      <w:r>
        <w:drawing>
          <wp:inline xmlns:a="http://schemas.openxmlformats.org/drawingml/2006/main" xmlns:pic="http://schemas.openxmlformats.org/drawingml/2006/picture">
            <wp:extent cx="5760000" cy="3115102"/>
            <wp:docPr id="40" name="Picture 40" descr="Homotopy-coherent descent of local Kuranishi charts" title="Homotopy-coherent descent of local Kuranishi charts"/>
            <wp:cNvGraphicFramePr>
              <a:graphicFrameLocks noChangeAspect="1"/>
            </wp:cNvGraphicFramePr>
            <a:graphic>
              <a:graphicData uri="http://schemas.openxmlformats.org/drawingml/2006/picture">
                <pic:pic>
                  <pic:nvPicPr>
                    <pic:cNvPr id="0" name="fig41_homotopy_descent.png"/>
                    <pic:cNvPicPr/>
                  </pic:nvPicPr>
                  <pic:blipFill>
                    <a:blip r:embed="rId50"/>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41. Homotopy-coherent descent from local Kuranishi charts to a global stacky or derived carrier.</w:t>
      </w:r>
    </w:p>
    <w:p>
      <w:pPr>
        <w:pStyle w:val="Heading2"/>
        <w:keepNext/>
        <w:pageBreakBefore w:val="0"/>
      </w:pPr>
      <w:r>
        <w:t>18.3. Cech Nerve and Effective Descent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M(U) is equivalent to Tot(M(U_bullet)).</w:t>
            </w:r>
          </w:p>
        </w:tc>
        <w:tc>
          <w:tcPr>
            <w:tcW w:type="dxa" w:w="1531"/>
            <w:shd w:fill="F6F8FA"/>
          </w:tcPr>
          <w:p>
            <w:pPr>
              <w:jc w:val="right"/>
            </w:pPr>
            <w:r>
              <w:rPr>
                <w:rFonts w:ascii="DejaVu Sans" w:hAnsi="DejaVu Sans" w:eastAsia="DejaVu Sans"/>
                <w:b/>
                <w:i w:val="0"/>
                <w:color w:val="5C6773"/>
                <w:sz w:val="17"/>
              </w:rPr>
              <w:t>T2-F183</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Definition 18.2. Effective Descent [CL/COND] </w:t>
            </w:r>
            <w:r>
              <w:rPr>
                <w:rFonts w:ascii="DejaVu Serif" w:hAnsi="DejaVu Serif" w:eastAsia="DejaVu Serif"/>
                <w:b w:val="0"/>
                <w:i w:val="0"/>
                <w:color w:val="111111"/>
                <w:sz w:val="19"/>
              </w:rPr>
              <w:t>A homotopy-coherent local datum is effective when its totalisation is represented by a global object with the declared universal property.</w:t>
            </w:r>
          </w:p>
        </w:tc>
        <w:trPr>
          <w:tblHeader/>
        </w:trPr>
      </w:tr>
    </w:tbl>
    <w:p>
      <w:pPr>
        <w:spacing w:after="0"/>
      </w:pPr>
    </w:p>
    <w:p>
      <w:pPr>
        <w:widowControl/>
        <w:spacing w:after="80" w:line="264" w:lineRule="auto"/>
      </w:pPr>
      <w:r>
        <w:rPr>
          <w:rFonts w:ascii="DejaVu Serif" w:hAnsi="DejaVu Serif" w:eastAsia="DejaVu Serif"/>
          <w:b w:val="0"/>
          <w:i w:val="0"/>
          <w:color w:val="111111"/>
          <w:sz w:val="20"/>
        </w:rPr>
        <w:t>A coherent diagram may still fail to be effective in the selected category. The globalisation certificate therefore records the Cech nerve, pairwise maps, triple 2-cocycles, quadruple coherence, stabilisers, and the existence—not merely the notation—of the global object.</w:t>
      </w:r>
    </w:p>
    <w:p>
      <w:pPr>
        <w:pStyle w:val="Heading2"/>
        <w:keepNext/>
        <w:pageBreakBefore w:val="0"/>
      </w:pPr>
      <w:r>
        <w:t>18.4. Virtual Tangent Complex</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T_x^vir=[ g_x -&gt; T_xU_i -&gt; E_{i,x} ].</w:t>
            </w:r>
          </w:p>
        </w:tc>
        <w:tc>
          <w:tcPr>
            <w:tcW w:type="dxa" w:w="1531"/>
            <w:shd w:fill="F6F8FA"/>
          </w:tcPr>
          <w:p>
            <w:pPr>
              <w:jc w:val="right"/>
            </w:pPr>
            <w:r>
              <w:rPr>
                <w:rFonts w:ascii="DejaVu Sans" w:hAnsi="DejaVu Sans" w:eastAsia="DejaVu Sans"/>
                <w:b/>
                <w:i w:val="0"/>
                <w:color w:val="5C6773"/>
                <w:sz w:val="17"/>
              </w:rPr>
              <w:t>T2-F184</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vdim_x=-dim H^{-1}+dim H^0-dim H^1.</w:t>
            </w:r>
          </w:p>
        </w:tc>
        <w:tc>
          <w:tcPr>
            <w:tcW w:type="dxa" w:w="1531"/>
            <w:shd w:fill="F6F8FA"/>
          </w:tcPr>
          <w:p>
            <w:pPr>
              <w:jc w:val="right"/>
            </w:pPr>
            <w:r>
              <w:rPr>
                <w:rFonts w:ascii="DejaVu Sans" w:hAnsi="DejaVu Sans" w:eastAsia="DejaVu Sans"/>
                <w:b/>
                <w:i w:val="0"/>
                <w:color w:val="5C6773"/>
                <w:sz w:val="17"/>
              </w:rPr>
              <w:t>T2-F185</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three cohomological degrees record infinitesimal automorphisms, deformation directions, and obstruction directions. Virtual dimension is only their alternating sum and cannot reconstruct the individual groups.</w:t>
      </w:r>
    </w:p>
    <w:p>
      <w:pPr>
        <w:keepNext/>
        <w:jc w:val="center"/>
      </w:pPr>
      <w:r>
        <w:drawing>
          <wp:inline xmlns:a="http://schemas.openxmlformats.org/drawingml/2006/main" xmlns:pic="http://schemas.openxmlformats.org/drawingml/2006/picture">
            <wp:extent cx="5760000" cy="3115102"/>
            <wp:docPr id="41" name="Picture 41" descr="Three-term virtual tangent complex" title="Three-term virtual tangent complex"/>
            <wp:cNvGraphicFramePr>
              <a:graphicFrameLocks noChangeAspect="1"/>
            </wp:cNvGraphicFramePr>
            <a:graphic>
              <a:graphicData uri="http://schemas.openxmlformats.org/drawingml/2006/picture">
                <pic:pic>
                  <pic:nvPicPr>
                    <pic:cNvPr id="0" name="fig42_virtual_tangent.png"/>
                    <pic:cNvPicPr/>
                  </pic:nvPicPr>
                  <pic:blipFill>
                    <a:blip r:embed="rId51"/>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42. Virtual tangent complex: automorphisms, deformations, and obstructions remain visible.</w:t>
      </w:r>
    </w:p>
    <w:p>
      <w:pPr>
        <w:pStyle w:val="Heading2"/>
        <w:keepNext/>
        <w:pageBreakBefore w:val="0"/>
      </w:pPr>
      <w:r>
        <w:t>18.5. Perfect Obstruction Theory and Intrinsic Normal Cone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phi:E^bullet-&gt;L_M,    E^bullet perfect,    amp(E^bullet) subset [-1,0].</w:t>
            </w:r>
          </w:p>
        </w:tc>
        <w:tc>
          <w:tcPr>
            <w:tcW w:type="dxa" w:w="1531"/>
            <w:shd w:fill="F6F8FA"/>
          </w:tcPr>
          <w:p>
            <w:pPr>
              <w:jc w:val="right"/>
            </w:pPr>
            <w:r>
              <w:rPr>
                <w:rFonts w:ascii="DejaVu Sans" w:hAnsi="DejaVu Sans" w:eastAsia="DejaVu Sans"/>
                <w:b/>
                <w:i w:val="0"/>
                <w:color w:val="5C6773"/>
                <w:sz w:val="17"/>
              </w:rPr>
              <w:t>T2-F186</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Ob_M=h^1((E^bullet)^vee),    N_M=h^1/h^0(L_M^vee).</w:t>
            </w:r>
          </w:p>
        </w:tc>
        <w:tc>
          <w:tcPr>
            <w:tcW w:type="dxa" w:w="1531"/>
            <w:shd w:fill="F6F8FA"/>
          </w:tcPr>
          <w:p>
            <w:pPr>
              <w:jc w:val="right"/>
            </w:pPr>
            <w:r>
              <w:rPr>
                <w:rFonts w:ascii="DejaVu Sans" w:hAnsi="DejaVu Sans" w:eastAsia="DejaVu Sans"/>
                <w:b/>
                <w:i w:val="0"/>
                <w:color w:val="5C6773"/>
                <w:sz w:val="17"/>
              </w:rPr>
              <w:t>T2-F187</w:t>
            </w:r>
          </w:p>
        </w:tc>
        <w:trPr>
          <w:tblHeader/>
        </w:trPr>
      </w:tr>
    </w:tbl>
    <w:p>
      <w:pPr>
        <w:spacing w:after="0"/>
      </w:pPr>
    </w:p>
    <w:p>
      <w:pPr>
        <w:widowControl/>
        <w:spacing w:after="80" w:line="264" w:lineRule="auto"/>
      </w:pPr>
      <w:r>
        <w:rPr>
          <w:rFonts w:ascii="DejaVu Serif" w:hAnsi="DejaVu Serif" w:eastAsia="DejaVu Serif"/>
          <w:b w:val="0"/>
          <w:i w:val="0"/>
          <w:color w:val="111111"/>
          <w:sz w:val="20"/>
        </w:rPr>
        <w:t>A perfect obstruction theory gives a controlled morphism from a perfect complex to the cotangent complex and supports an intrinsic normal cone construction. The selected amplitude, perfectness, compatibility with local charts, and orientation data are certificate fields; they are not inferred from a finite list of equations.</w:t>
      </w:r>
    </w:p>
    <w:p>
      <w:pPr>
        <w:pStyle w:val="Heading2"/>
        <w:keepNext/>
        <w:pageBreakBefore w:val="0"/>
      </w:pPr>
      <w:r>
        <w:t>18.6. Gluing Local Obstruction Theories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q_jk o q_ij is homotopic to q_ik.</w:t>
            </w:r>
          </w:p>
        </w:tc>
        <w:tc>
          <w:tcPr>
            <w:tcW w:type="dxa" w:w="1531"/>
            <w:shd w:fill="F6F8FA"/>
          </w:tcPr>
          <w:p>
            <w:pPr>
              <w:jc w:val="right"/>
            </w:pPr>
            <w:r>
              <w:rPr>
                <w:rFonts w:ascii="DejaVu Sans" w:hAnsi="DejaVu Sans" w:eastAsia="DejaVu Sans"/>
                <w:b/>
                <w:i w:val="0"/>
                <w:color w:val="5C6773"/>
                <w:sz w:val="17"/>
              </w:rPr>
              <w:t>T2-F188</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c_ijk=q_ik^{-1}q_jkq_ij in Z,    [c] in Cech H^2(X,Z).</w:t>
            </w:r>
          </w:p>
        </w:tc>
        <w:tc>
          <w:tcPr>
            <w:tcW w:type="dxa" w:w="1531"/>
            <w:shd w:fill="F6F8FA"/>
          </w:tcPr>
          <w:p>
            <w:pPr>
              <w:jc w:val="right"/>
            </w:pPr>
            <w:r>
              <w:rPr>
                <w:rFonts w:ascii="DejaVu Sans" w:hAnsi="DejaVu Sans" w:eastAsia="DejaVu Sans"/>
                <w:b/>
                <w:i w:val="0"/>
                <w:color w:val="5C6773"/>
                <w:sz w:val="17"/>
              </w:rPr>
              <w:t>T2-F189</w:t>
            </w:r>
          </w:p>
        </w:tc>
        <w:trPr>
          <w:tblHeader/>
        </w:trPr>
      </w:tr>
    </w:tbl>
    <w:p>
      <w:pPr>
        <w:spacing w:after="0"/>
      </w:pPr>
    </w:p>
    <w:p>
      <w:pPr>
        <w:widowControl/>
        <w:spacing w:after="80" w:line="264" w:lineRule="auto"/>
      </w:pPr>
      <w:r>
        <w:rPr>
          <w:rFonts w:ascii="DejaVu Serif" w:hAnsi="DejaVu Serif" w:eastAsia="DejaVu Serif"/>
          <w:b w:val="0"/>
          <w:i w:val="0"/>
          <w:color w:val="111111"/>
          <w:sz w:val="20"/>
        </w:rPr>
        <w:t>Local obstruction complexes glue only through quasi-isomorphisms with coherent homotopies. A nontrivial central Cech class blocks the global obstruction theory even when every local chart is individually valid.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det(T^vir)=tensor_j(det H^j(T^vir))^{(-1)^j}.</w:t>
            </w:r>
          </w:p>
        </w:tc>
        <w:tc>
          <w:tcPr>
            <w:tcW w:type="dxa" w:w="1531"/>
            <w:shd w:fill="F6F8FA"/>
          </w:tcPr>
          <w:p>
            <w:pPr>
              <w:jc w:val="right"/>
            </w:pPr>
            <w:r>
              <w:rPr>
                <w:rFonts w:ascii="DejaVu Sans" w:hAnsi="DejaVu Sans" w:eastAsia="DejaVu Sans"/>
                <w:b/>
                <w:i w:val="0"/>
                <w:color w:val="5C6773"/>
                <w:sz w:val="17"/>
              </w:rPr>
              <w:t>T2-F190</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determinant line and orientation are additional global data. Equal virtual dimensions do not imply equal determinant, orientation, or cohomological profile.</w:t>
      </w:r>
    </w:p>
    <w:p>
      <w:pPr>
        <w:pStyle w:val="Heading2"/>
        <w:keepNext/>
        <w:pageBreakBefore w:val="0"/>
      </w:pPr>
      <w:r>
        <w:t>18.7. Branch Stack and Monodromy</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Mon:pi_1(P minus Delta,p_0)-&gt;Perm(B_{p_0}).</w:t>
            </w:r>
          </w:p>
        </w:tc>
        <w:tc>
          <w:tcPr>
            <w:tcW w:type="dxa" w:w="1531"/>
            <w:shd w:fill="F6F8FA"/>
          </w:tcPr>
          <w:p>
            <w:pPr>
              <w:jc w:val="right"/>
            </w:pPr>
            <w:r>
              <w:rPr>
                <w:rFonts w:ascii="DejaVu Sans" w:hAnsi="DejaVu Sans" w:eastAsia="DejaVu Sans"/>
                <w:b/>
                <w:i w:val="0"/>
                <w:color w:val="5C6773"/>
                <w:sz w:val="17"/>
              </w:rPr>
              <w:t>T2-F191</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branch stack retains local branches, isotropy, continuation maps, and monodromy. A coarse quotient forgets these data. The Chapter 17 branch ledger is therefore promoted to part of the global descent package.</w:t>
      </w:r>
    </w:p>
    <w:p>
      <w:pPr>
        <w:pStyle w:val="Heading2"/>
        <w:keepNext/>
        <w:pageBreakBefore w:val="0"/>
      </w:pPr>
      <w:r>
        <w:t>18.8. Global KLT-RBD Predictive Carrier</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Definition 18.4. Predictive Carrier [DEF-A] </w:t>
            </w:r>
            <w:r>
              <w:rPr>
                <w:rFonts w:ascii="DejaVu Serif" w:hAnsi="DejaVu Serif" w:eastAsia="DejaVu Serif"/>
                <w:b w:val="0"/>
                <w:i w:val="0"/>
                <w:color w:val="111111"/>
                <w:sz w:val="19"/>
              </w:rPr>
              <w:t>The global carrier PredCar_N combines a derived moduli family, virtual tangent complex, obstruction sheaf or cone, branch stack, Reper atlas, projective-harmonic coordinate, Evidence-D, admissible domain, and external E-complex.</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PredCar_N=(M_N^der-&gt;P,T^vir,Ob_N,C_N,B_N,Rep_N,lambda_N,D_N,Dom_N,E_N).</w:t>
            </w:r>
          </w:p>
        </w:tc>
        <w:tc>
          <w:tcPr>
            <w:tcW w:type="dxa" w:w="1531"/>
            <w:shd w:fill="F6F8FA"/>
          </w:tcPr>
          <w:p>
            <w:pPr>
              <w:jc w:val="right"/>
            </w:pPr>
            <w:r>
              <w:rPr>
                <w:rFonts w:ascii="DejaVu Sans" w:hAnsi="DejaVu Sans" w:eastAsia="DejaVu Sans"/>
                <w:b/>
                <w:i w:val="0"/>
                <w:color w:val="5C6773"/>
                <w:sz w:val="17"/>
              </w:rPr>
              <w:t>T2-F192</w:t>
            </w:r>
          </w:p>
        </w:tc>
        <w:trPr>
          <w:tblHeader/>
        </w:trPr>
      </w:tr>
    </w:tbl>
    <w:p>
      <w:pPr>
        <w:spacing w:after="0"/>
      </w:pPr>
    </w:p>
    <w:p>
      <w:pPr>
        <w:widowControl/>
        <w:spacing w:after="80" w:line="264" w:lineRule="auto"/>
      </w:pPr>
      <w:r>
        <w:rPr>
          <w:rFonts w:ascii="DejaVu Serif" w:hAnsi="DejaVu Serif" w:eastAsia="DejaVu Serif"/>
          <w:b w:val="0"/>
          <w:i w:val="0"/>
          <w:color w:val="111111"/>
          <w:sz w:val="20"/>
        </w:rPr>
        <w:t>Existence requires effective atlas descent, coherent coordinate changes, a derived/perfect enhancement, fixed amplitude and perfectness, branch descent, Reper descent, Evidence-D descent, Dom compatibility, a global lambda outside its poles, and an independently reproducible computational package.</w:t>
      </w:r>
    </w:p>
    <w:p>
      <w:pPr>
        <w:pStyle w:val="Heading2"/>
        <w:keepNext/>
        <w:pageBreakBefore w:val="0"/>
      </w:pPr>
      <w:r>
        <w:t>18.9. Local-to-Global and Coarse-Moduli No-Go Theorems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c_ijk=g_ki g_jk g_ij.</w:t>
            </w:r>
          </w:p>
        </w:tc>
        <w:tc>
          <w:tcPr>
            <w:tcW w:type="dxa" w:w="1531"/>
            <w:shd w:fill="F6F8FA"/>
          </w:tcPr>
          <w:p>
            <w:pPr>
              <w:jc w:val="right"/>
            </w:pPr>
            <w:r>
              <w:rPr>
                <w:rFonts w:ascii="DejaVu Sans" w:hAnsi="DejaVu Sans" w:eastAsia="DejaVu Sans"/>
                <w:b/>
                <w:i w:val="0"/>
                <w:color w:val="5C6773"/>
                <w:sz w:val="17"/>
              </w:rPr>
              <w:t>T2-F193</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Theorem 18.5. Local-to-Global No-Go [THM] </w:t>
            </w:r>
            <w:r>
              <w:rPr>
                <w:rFonts w:ascii="DejaVu Serif" w:hAnsi="DejaVu Serif" w:eastAsia="DejaVu Serif"/>
                <w:b w:val="0"/>
                <w:i w:val="0"/>
                <w:color w:val="111111"/>
                <w:sz w:val="19"/>
              </w:rPr>
              <w:t>Vanishing of every local obstruction class does not imply a global object. A nontrivial descent class or failure of coherent trivialisation may obstruct the global lift even when all local Kuranishi residuals vanish.</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local lift + local obstruction=0 does not imply global lift.</w:t>
            </w:r>
          </w:p>
        </w:tc>
        <w:tc>
          <w:tcPr>
            <w:tcW w:type="dxa" w:w="1531"/>
            <w:shd w:fill="F6F8FA"/>
          </w:tcPr>
          <w:p>
            <w:pPr>
              <w:jc w:val="right"/>
            </w:pPr>
            <w:r>
              <w:rPr>
                <w:rFonts w:ascii="DejaVu Sans" w:hAnsi="DejaVu Sans" w:eastAsia="DejaVu Sans"/>
                <w:b/>
                <w:i w:val="0"/>
                <w:color w:val="5C6773"/>
                <w:sz w:val="17"/>
              </w:rPr>
              <w:t>T2-F194</w:t>
            </w:r>
          </w:p>
        </w:tc>
        <w:trPr>
          <w:tblHeader/>
        </w:trPr>
      </w:tr>
    </w:tbl>
    <w:p>
      <w:pPr>
        <w:spacing w:after="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Theorem 18.6. Coarse-Moduli No-Go [THM] </w:t>
            </w:r>
            <w:r>
              <w:rPr>
                <w:rFonts w:ascii="DejaVu Serif" w:hAnsi="DejaVu Serif" w:eastAsia="DejaVu Serif"/>
                <w:b w:val="0"/>
                <w:i w:val="0"/>
                <w:color w:val="111111"/>
                <w:sz w:val="19"/>
              </w:rPr>
              <w:t>A coarse moduli space does not determine the stacky or derived moduli object. The quotient stack [A^1/mu_2] and the ordinary A^1 have the same coarse type but different stabilisers and virtual tangent profiles.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|M_1| isomorphic |M_2| does not imply M_1 equivalent M_2 and does not imply M_1^der equivalent M_2^der.</w:t>
            </w:r>
          </w:p>
        </w:tc>
        <w:tc>
          <w:tcPr>
            <w:tcW w:type="dxa" w:w="1531"/>
            <w:shd w:fill="F6F8FA"/>
          </w:tcPr>
          <w:p>
            <w:pPr>
              <w:jc w:val="right"/>
            </w:pPr>
            <w:r>
              <w:rPr>
                <w:rFonts w:ascii="DejaVu Sans" w:hAnsi="DejaVu Sans" w:eastAsia="DejaVu Sans"/>
                <w:b/>
                <w:i w:val="0"/>
                <w:color w:val="5C6773"/>
                <w:sz w:val="17"/>
              </w:rPr>
              <w:t>T2-F195</w:t>
            </w:r>
          </w:p>
        </w:tc>
        <w:trPr>
          <w:tblHeader/>
        </w:trPr>
      </w:tr>
    </w:tbl>
    <w:p>
      <w:pPr>
        <w:spacing w:after="0"/>
      </w:pPr>
    </w:p>
    <w:p>
      <w:pPr>
        <w:pStyle w:val="Heading2"/>
        <w:keepNext/>
        <w:pageBreakBefore w:val="0"/>
      </w:pPr>
      <w:r>
        <w:t>18.10. Global Residuals and Transition Horizon</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eta_desc=||higher descent defect||,    eta_ob=||h(ob)||,    eta_ext=||Pi_E(ob)||.</w:t>
            </w:r>
          </w:p>
        </w:tc>
        <w:tc>
          <w:tcPr>
            <w:tcW w:type="dxa" w:w="1531"/>
            <w:shd w:fill="F6F8FA"/>
          </w:tcPr>
          <w:p>
            <w:pPr>
              <w:jc w:val="right"/>
            </w:pPr>
            <w:r>
              <w:rPr>
                <w:rFonts w:ascii="DejaVu Sans" w:hAnsi="DejaVu Sans" w:eastAsia="DejaVu Sans"/>
                <w:b/>
                <w:i w:val="0"/>
                <w:color w:val="5C6773"/>
                <w:sz w:val="17"/>
              </w:rPr>
              <w:t>T2-F196</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three residuals live in different carriers and may not be added before an explicit normalisation and comparison theorem. The decision object is a blocker vector, not a single untyped score. A small numerical descent defect does not establish exact 2-coherence without an interval certificate.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Delta_stack=Delta_desc union Delta_coh union Delta_perf union Delta_amp union Delta_vrank union Delta_orient union Delta_branch union Delta_mon union Delta_Rep union Delta_D union Delta_Dom union Delta_ext union Delta_ind.</w:t>
            </w:r>
          </w:p>
        </w:tc>
        <w:tc>
          <w:tcPr>
            <w:tcW w:type="dxa" w:w="1531"/>
            <w:shd w:fill="F6F8FA"/>
          </w:tcPr>
          <w:p>
            <w:pPr>
              <w:jc w:val="right"/>
            </w:pPr>
            <w:r>
              <w:rPr>
                <w:rFonts w:ascii="DejaVu Sans" w:hAnsi="DejaVu Sans" w:eastAsia="DejaVu Sans"/>
                <w:b/>
                <w:i w:val="0"/>
                <w:color w:val="5C6773"/>
                <w:sz w:val="17"/>
              </w:rPr>
              <w:t>T2-F197</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Delta_safe^{v0.15}=Delta_safe^{v0.14} union Delta_stack.</w:t>
            </w:r>
          </w:p>
        </w:tc>
        <w:tc>
          <w:tcPr>
            <w:tcW w:type="dxa" w:w="1531"/>
            <w:shd w:fill="F6F8FA"/>
          </w:tcPr>
          <w:p>
            <w:pPr>
              <w:jc w:val="right"/>
            </w:pPr>
            <w:r>
              <w:rPr>
                <w:rFonts w:ascii="DejaVu Sans" w:hAnsi="DejaVu Sans" w:eastAsia="DejaVu Sans"/>
                <w:b/>
                <w:i w:val="0"/>
                <w:color w:val="5C6773"/>
                <w:sz w:val="17"/>
              </w:rPr>
              <w:t>T2-F198</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P_stack(p)=([amp T^vir],h^{-1},h^0,h^1,vdim,[det],[desc],MonOrb,eta_ob,eta_ext,lambda,CGI).</w:t>
            </w:r>
          </w:p>
        </w:tc>
        <w:tc>
          <w:tcPr>
            <w:tcW w:type="dxa" w:w="1531"/>
            <w:shd w:fill="F6F8FA"/>
          </w:tcPr>
          <w:p>
            <w:pPr>
              <w:jc w:val="right"/>
            </w:pPr>
            <w:r>
              <w:rPr>
                <w:rFonts w:ascii="DejaVu Sans" w:hAnsi="DejaVu Sans" w:eastAsia="DejaVu Sans"/>
                <w:b/>
                <w:i w:val="0"/>
                <w:color w:val="5C6773"/>
                <w:sz w:val="17"/>
              </w:rPr>
              <w:t>T2-F199</w:t>
            </w:r>
          </w:p>
        </w:tc>
        <w:trPr>
          <w:tblHeader/>
        </w:trPr>
      </w:tr>
    </w:tbl>
    <w:p>
      <w:pPr>
        <w:spacing w:after="0"/>
      </w:pPr>
    </w:p>
    <w:p>
      <w:pPr>
        <w:widowControl/>
        <w:spacing w:after="80" w:line="264" w:lineRule="auto"/>
      </w:pPr>
      <w:r>
        <w:rPr>
          <w:rFonts w:ascii="DejaVu Serif" w:hAnsi="DejaVu Serif" w:eastAsia="DejaVu Serif"/>
          <w:b w:val="0"/>
          <w:i w:val="0"/>
          <w:color w:val="111111"/>
          <w:sz w:val="20"/>
        </w:rPr>
        <w:t>The global profile is comparable only after transport between fibres and branch identification. Raw Kuranishi coordinates, numbers of local equations, and branch names are not global invariants.</w:t>
      </w:r>
    </w:p>
    <w:p>
      <w:pPr>
        <w:pStyle w:val="Heading2"/>
        <w:keepNext/>
        <w:pageBreakBefore w:val="0"/>
      </w:pPr>
      <w:r>
        <w:t>18.11. Main Global-Stack-Safe Theorem</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Theorem 18.7. Global-Stack-Safe Prediction [COND] </w:t>
            </w:r>
            <w:r>
              <w:rPr>
                <w:rFonts w:ascii="DejaVu Serif" w:hAnsi="DejaVu Serif" w:eastAsia="DejaVu Serif"/>
                <w:b w:val="0"/>
                <w:i w:val="0"/>
                <w:color w:val="111111"/>
                <w:sz w:val="19"/>
              </w:rPr>
              <w:t>Let a connected parameter chamber carry a proper or controlled locally trivial stacky/derived family; effective homotopy-coherent Kuranishi descent; perfect virtual tangent complexes linked by quasi-isomorphisms of constant amplitude; certified cohomology ranks, determinant/orientation, and branch monodromy orbit; compatible descent of the Reper atlas, lambda, Evidence-D, Dom, and the external E-bridge; closed Hodge-Green, Kuranishi, wall-crossing, and globalisation blockers; a path avoiding Delta_safe^{v0.15}; and a uniform positive margin for the relevant global obstruction. Then the global profile is constant along the path up to proved transport, and a transition requiring a profile change or removal of the uniformly nonzero obstruction is impossible inside the model.</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gamma intersect Delta_safe^{v0.15}=empty  =&gt;  NO-GLOBAL-TRANSITION-IN-MODEL.</w:t>
            </w:r>
          </w:p>
        </w:tc>
        <w:tc>
          <w:tcPr>
            <w:tcW w:type="dxa" w:w="1531"/>
            <w:shd w:fill="F6F8FA"/>
          </w:tcPr>
          <w:p>
            <w:pPr>
              <w:jc w:val="right"/>
            </w:pPr>
            <w:r>
              <w:rPr>
                <w:rFonts w:ascii="DejaVu Sans" w:hAnsi="DejaVu Sans" w:eastAsia="DejaVu Sans"/>
                <w:b/>
                <w:i w:val="0"/>
                <w:color w:val="5C6773"/>
                <w:sz w:val="17"/>
              </w:rPr>
              <w:t>T2-F200</w:t>
            </w:r>
          </w:p>
        </w:tc>
        <w:trPr>
          <w:tblHeader/>
        </w:trPr>
      </w:tr>
    </w:tbl>
    <w:p>
      <w:pPr>
        <w:spacing w:after="0"/>
      </w:pPr>
    </w:p>
    <w:p>
      <w:pPr>
        <w:widowControl/>
        <w:spacing w:after="80" w:line="264" w:lineRule="auto"/>
      </w:pPr>
      <w:r>
        <w:rPr>
          <w:rFonts w:ascii="DejaVu Serif" w:hAnsi="DejaVu Serif" w:eastAsia="DejaVu Serif"/>
          <w:b w:val="0"/>
          <w:i w:val="0"/>
          <w:color w:val="111111"/>
          <w:sz w:val="20"/>
        </w:rPr>
        <w:t>If the path meets Delta_stack or the global obstruction residual admits zero, the only allowed positive-side output is CANDIDATE-GLOBAL-TRANSITION. A positive transition conclusion still requires a post-transition global object, branch matching, and independent verification.</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Block_stack=B_atlas union B_2coc union B_eff union B_perf union B_amp union B_vtan union B_branch union B_Rep union B_D union B_Dom union B_E union B_ind.</w:t>
            </w:r>
          </w:p>
        </w:tc>
        <w:tc>
          <w:tcPr>
            <w:tcW w:type="dxa" w:w="1531"/>
            <w:shd w:fill="F6F8FA"/>
          </w:tcPr>
          <w:p>
            <w:pPr>
              <w:jc w:val="right"/>
            </w:pPr>
            <w:r>
              <w:rPr>
                <w:rFonts w:ascii="DejaVu Sans" w:hAnsi="DejaVu Sans" w:eastAsia="DejaVu Sans"/>
                <w:b/>
                <w:i w:val="0"/>
                <w:color w:val="5C6773"/>
                <w:sz w:val="17"/>
              </w:rPr>
              <w:t>T2-F201</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42" name="Picture 42" descr="Global derived stacky predictive carrier and three-valued verdict" title="Global derived stacky predictive carrier and three-valued verdict"/>
            <wp:cNvGraphicFramePr>
              <a:graphicFrameLocks noChangeAspect="1"/>
            </wp:cNvGraphicFramePr>
            <a:graphic>
              <a:graphicData uri="http://schemas.openxmlformats.org/drawingml/2006/picture">
                <pic:pic>
                  <pic:nvPicPr>
                    <pic:cNvPr id="0" name="fig43_global_carrier.png"/>
                    <pic:cNvPicPr/>
                  </pic:nvPicPr>
                  <pic:blipFill>
                    <a:blip r:embed="rId52"/>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43. Global predictive carrier and blocker-safe three-valued verdict.</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306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Output</w:t>
            </w:r>
          </w:p>
        </w:tc>
        <w:tc>
          <w:tcPr>
            <w:tcW w:type="dxa" w:w="3402"/>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Condition</w:t>
            </w:r>
          </w:p>
        </w:tc>
        <w:tc>
          <w:tcPr>
            <w:tcW w:type="dxa" w:w="2835"/>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Permitted meaning</w:t>
            </w:r>
          </w:p>
        </w:tc>
      </w:tr>
      <w:tr>
        <w:trPr>
          <w:cantSplit w:val="true"/>
        </w:trPr>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NO-GLOBAL-TRANSITION-IN-MODEL</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path avoids the cumulative horizon, residual margin positive, blockers empty</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global certified profile remains constant</w:t>
            </w:r>
          </w:p>
        </w:tc>
      </w:tr>
      <w:tr>
        <w:trPr>
          <w:cantSplit w:val="true"/>
        </w:trPr>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CANDIDATE-GLOBAL-TRANSITION</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path meets the horizon or the residual admits zero with a valid certificate</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requires construction of the post-transition global object</w:t>
            </w:r>
          </w:p>
        </w:tc>
      </w:tr>
      <w:tr>
        <w:trPr>
          <w:cantSplit w:val="true"/>
        </w:trPr>
        <w:tc>
          <w:tcPr>
            <w:tcW w:type="dxa" w:w="306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w:t>
            </w:r>
          </w:p>
        </w:tc>
        <w:tc>
          <w:tcPr>
            <w:tcW w:type="dxa" w:w="3402"/>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any descent, coherence, perfectness, branch, evidence, domain, external, or independence blocker remains</w:t>
            </w:r>
          </w:p>
        </w:tc>
        <w:tc>
          <w:tcPr>
            <w:tcW w:type="dxa" w:w="2835"/>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no global transition conclusion</w:t>
            </w:r>
          </w:p>
        </w:tc>
      </w:tr>
    </w:tbl>
    <w:p>
      <w:pPr>
        <w:spacing w:after="20"/>
      </w:pPr>
    </w:p>
    <w:p>
      <w:pPr>
        <w:pStyle w:val="Heading2"/>
        <w:keepNext/>
        <w:pageBreakBefore w:val="0"/>
      </w:pPr>
      <w:r>
        <w:t>18.12. Separating Models and STACK-GLOB Certificate</w:t>
      </w:r>
    </w:p>
    <w:p>
      <w:pPr>
        <w:pStyle w:val="ListBullet"/>
        <w:spacing w:after="40" w:line="252" w:lineRule="auto"/>
      </w:pPr>
      <w:r>
        <w:rPr>
          <w:rFonts w:ascii="DejaVu Serif" w:hAnsi="DejaVu Serif" w:eastAsia="DejaVu Serif"/>
          <w:b w:val="0"/>
          <w:i w:val="0"/>
          <w:color w:val="111111"/>
          <w:sz w:val="19"/>
        </w:rPr>
        <w:t>All local Kuranishi maps vanish while a nontrivial gerbe or descent class blocks the global object.</w:t>
      </w:r>
    </w:p>
    <w:p>
      <w:pPr>
        <w:pStyle w:val="ListBullet"/>
        <w:spacing w:after="40" w:line="252" w:lineRule="auto"/>
      </w:pPr>
      <w:r>
        <w:rPr>
          <w:rFonts w:ascii="DejaVu Serif" w:hAnsi="DejaVu Serif" w:eastAsia="DejaVu Serif"/>
          <w:b w:val="0"/>
          <w:i w:val="0"/>
          <w:color w:val="111111"/>
          <w:sz w:val="19"/>
        </w:rPr>
        <w:t>The same coarse space with different stabilisers has different stacky type.</w:t>
      </w:r>
    </w:p>
    <w:p>
      <w:pPr>
        <w:pStyle w:val="ListBullet"/>
        <w:spacing w:after="40" w:line="252" w:lineRule="auto"/>
      </w:pPr>
      <w:r>
        <w:rPr>
          <w:rFonts w:ascii="DejaVu Serif" w:hAnsi="DejaVu Serif" w:eastAsia="DejaVu Serif"/>
          <w:b w:val="0"/>
          <w:i w:val="0"/>
          <w:color w:val="111111"/>
          <w:sz w:val="19"/>
        </w:rPr>
        <w:t>The same virtual dimension with different H^{-1} and H^1 hides automorphisms and obstruction directions.</w:t>
      </w:r>
    </w:p>
    <w:p>
      <w:pPr>
        <w:pStyle w:val="ListBullet"/>
        <w:spacing w:after="40" w:line="252" w:lineRule="auto"/>
      </w:pPr>
      <w:r>
        <w:rPr>
          <w:rFonts w:ascii="DejaVu Serif" w:hAnsi="DejaVu Serif" w:eastAsia="DejaVu Serif"/>
          <w:b w:val="0"/>
          <w:i w:val="0"/>
          <w:color w:val="111111"/>
          <w:sz w:val="19"/>
        </w:rPr>
        <w:t>Perfect complexes with the same Euler characteristic need not be quasi-isomorphic.</w:t>
      </w:r>
    </w:p>
    <w:p>
      <w:pPr>
        <w:pStyle w:val="ListBullet"/>
        <w:spacing w:after="40" w:line="252" w:lineRule="auto"/>
      </w:pPr>
      <w:r>
        <w:rPr>
          <w:rFonts w:ascii="DejaVu Serif" w:hAnsi="DejaVu Serif" w:eastAsia="DejaVu Serif"/>
          <w:b w:val="0"/>
          <w:i w:val="0"/>
          <w:color w:val="111111"/>
          <w:sz w:val="19"/>
        </w:rPr>
        <w:t>A glued stack without descended Evidence-D is a mathematical object but not an authorised Reper candidate.</w:t>
      </w:r>
    </w:p>
    <w:p>
      <w:pPr>
        <w:pStyle w:val="ListBullet"/>
        <w:spacing w:after="40" w:line="252" w:lineRule="auto"/>
      </w:pPr>
      <w:r>
        <w:rPr>
          <w:rFonts w:ascii="DejaVu Serif" w:hAnsi="DejaVu Serif" w:eastAsia="DejaVu Serif"/>
          <w:b w:val="0"/>
          <w:i w:val="0"/>
          <w:color w:val="111111"/>
          <w:sz w:val="19"/>
        </w:rPr>
        <w:t>Global lambda=-1 with invalid Dom leaves the prediction gate closed.</w:t>
      </w:r>
    </w:p>
    <w:p>
      <w:pPr>
        <w:pStyle w:val="ListBullet"/>
        <w:spacing w:after="40" w:line="252" w:lineRule="auto"/>
      </w:pPr>
      <w:r>
        <w:rPr>
          <w:rFonts w:ascii="DejaVu Serif" w:hAnsi="DejaVu Serif" w:eastAsia="DejaVu Serif"/>
          <w:b w:val="0"/>
          <w:i w:val="0"/>
          <w:color w:val="111111"/>
          <w:sz w:val="19"/>
        </w:rPr>
        <w:t>A nontrivial virtual class without time dynamics is an enumerative invariant, not an event.</w:t>
      </w:r>
    </w:p>
    <w:p>
      <w:pPr>
        <w:pStyle w:val="ListBullet"/>
        <w:spacing w:after="40" w:line="252" w:lineRule="auto"/>
      </w:pPr>
      <w:r>
        <w:rPr>
          <w:rFonts w:ascii="DejaVu Serif" w:hAnsi="DejaVu Serif" w:eastAsia="DejaVu Serif"/>
          <w:b w:val="0"/>
          <w:i w:val="0"/>
          <w:color w:val="111111"/>
          <w:sz w:val="19"/>
        </w:rPr>
        <w:t>A numerically small descent defect without interval certification may be a badly conditioned nonzero defect.</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1814"/>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STACK-GLOB group</w:t>
            </w:r>
          </w:p>
        </w:tc>
        <w:tc>
          <w:tcPr>
            <w:tcW w:type="dxa" w:w="7540"/>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Checks</w:t>
            </w:r>
          </w:p>
        </w:tc>
      </w:tr>
      <w:tr>
        <w:trPr>
          <w:cantSplit w:val="true"/>
        </w:trPr>
        <w:tc>
          <w:tcPr>
            <w:tcW w:type="dxa" w:w="181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STACK-01-08</w:t>
            </w:r>
          </w:p>
        </w:tc>
        <w:tc>
          <w:tcPr>
            <w:tcW w:type="dxa" w:w="754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atlas and footprint inventory, typed coordinate changes, pairwise/triple/quadruple coherence, stabilisers, and equivalence checks</w:t>
            </w:r>
          </w:p>
        </w:tc>
      </w:tr>
      <w:tr>
        <w:trPr>
          <w:cantSplit w:val="true"/>
        </w:trPr>
        <w:tc>
          <w:tcPr>
            <w:tcW w:type="dxa" w:w="181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STACK-09-16</w:t>
            </w:r>
          </w:p>
        </w:tc>
        <w:tc>
          <w:tcPr>
            <w:tcW w:type="dxa" w:w="754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Cech nerve, effective totalisation, local virtual tangent complexes, quasi-isomorphisms, amplitude, ranks, virtual dimension, determinant/orientation</w:t>
            </w:r>
          </w:p>
        </w:tc>
      </w:tr>
      <w:tr>
        <w:trPr>
          <w:cantSplit w:val="true"/>
        </w:trPr>
        <w:tc>
          <w:tcPr>
            <w:tcW w:type="dxa" w:w="181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STACK-17-24</w:t>
            </w:r>
          </w:p>
        </w:tc>
        <w:tc>
          <w:tcPr>
            <w:tcW w:type="dxa" w:w="754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local/global obstruction carriers, branch stack and monodromy, Reper/Evidence-D/Dom descent, lambda invariance and pole checks</w:t>
            </w:r>
          </w:p>
        </w:tc>
      </w:tr>
      <w:tr>
        <w:trPr>
          <w:cantSplit w:val="true"/>
        </w:trPr>
        <w:tc>
          <w:tcPr>
            <w:tcW w:type="dxa" w:w="1814"/>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STACK-25-28</w:t>
            </w:r>
          </w:p>
        </w:tc>
        <w:tc>
          <w:tcPr>
            <w:tcW w:type="dxa" w:w="7540"/>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external E/Pi_E compatibility, cumulative horizon, blocker-safe verdict, and code/data/environment hashes</w:t>
            </w:r>
          </w:p>
        </w:tc>
      </w:tr>
    </w:tbl>
    <w:p>
      <w:pPr>
        <w:spacing w:after="20"/>
      </w:pP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BOUNDARY OF CHAPTER 18. </w:t>
            </w:r>
            <w:r>
              <w:rPr>
                <w:rFonts w:ascii="DejaVu Serif" w:hAnsi="DejaVu Serif" w:eastAsia="DejaVu Serif"/>
                <w:b w:val="0"/>
                <w:i w:val="0"/>
                <w:color w:val="111111"/>
                <w:sz w:val="19"/>
              </w:rPr>
              <w:t>The global carrier is a conditional mathematical construction. It preserves local-to-global, stacky/derived, evidence, and domain distinctions. It does not turn a virtual or enumerative invariant into a physical event.</w:t>
            </w:r>
          </w:p>
        </w:tc>
        <w:trPr>
          <w:tblHeader/>
        </w:trPr>
      </w:tr>
    </w:tbl>
    <w:p>
      <w:pPr>
        <w:spacing w:after="0"/>
      </w:pPr>
    </w:p>
    <w:p>
      <w:pPr>
        <w:widowControl/>
        <w:spacing w:after="80" w:line="264" w:lineRule="auto"/>
      </w:pPr>
      <w:r>
        <w:rPr>
          <w:rFonts w:ascii="DejaVu Serif" w:hAnsi="DejaVu Serif" w:eastAsia="DejaVu Serif"/>
          <w:b w:val="0"/>
          <w:i w:val="0"/>
          <w:color w:val="111111"/>
          <w:sz w:val="20"/>
        </w:rPr>
        <w:t>Prior art includes cotangent complexes, intrinsic normal cones and perfect obstruction theories, derived and homotopical geometry, derived smooth manifolds, Kuranishi atlases, and Kuranishi 2-categories. The authorial contribution is their blocker-safe NAPG/KLT-RBD synthesis in which the global carrier simultaneously preserves derived tangent type, branch monodromy, Reper structure, Evidence-D, Dom, the external E-bridge, and the right to abstain.</w:t>
      </w:r>
    </w:p>
    <w:p>
      <w:pPr>
        <w:pStyle w:val="Heading1"/>
        <w:keepNext/>
        <w:pageBreakBefore/>
      </w:pPr>
      <w:bookmarkStart w:id="1018" w:name="T2_CH19"/>
      <w:r>
        <w:t>Chapter 19. Virtual Cycles, Enumerative Invariants, and the Probability Firewall</w:t>
      </w:r>
      <w:bookmarkEnd w:id="1018"/>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Virtual geometry supplies a cycle-theoretic carrier; probability requires a separate measurable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certified through a perfect obstruction package, a virtual class, insertions, orientation, properness, and an explicit probability model when probabilistic language is used.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layer appears through signed or weighted virtual counts, localization formulas, deformation invariants, and calibrated predictive outputs.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virtual degree is not a probability measure, and an enumerative invariant does not determine event likelihood without an independently tested link.</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the two-gate virtual/probability firewall inside the Reper, D/Dom, and KLT-RBD certificate chain.</w:t>
            </w:r>
          </w:p>
        </w:tc>
      </w:tr>
    </w:tbl>
    <w:p>
      <w:pPr>
        <w:spacing w:after="20"/>
      </w:pPr>
    </w:p>
    <w:p>
      <w:pPr>
        <w:widowControl/>
        <w:spacing w:after="80" w:line="264" w:lineRule="auto"/>
      </w:pPr>
      <w:r>
        <w:rPr>
          <w:rFonts w:ascii="DejaVu Serif" w:hAnsi="DejaVu Serif" w:eastAsia="DejaVu Serif"/>
          <w:b w:val="0"/>
          <w:i w:val="0"/>
          <w:color w:val="111111"/>
          <w:sz w:val="20"/>
        </w:rPr>
        <w:t>The horizon is the union of loci where rank, domain, topology, calibration, identification, or numerical certification can change.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243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Controlled field</w:t>
            </w:r>
          </w:p>
        </w:tc>
        <w:tc>
          <w:tcPr>
            <w:tcW w:type="dxa" w:w="691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Value</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Canonical input</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Frozen Russian Chapter 19, inherited English Chapters 1-18, and formula/source passports.</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New mathematical layer</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Virtual geometry supplies a cycle-theoretic carrier; probability requires a separate measurable bridge.</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Status rule</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Definitions, theorems, conditional bridges, models, numerical certificates, and physical hypotheses remain distinct.</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Prohibition</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 virtual degree is not a probability measure, and an enumerative invariant does not determine event likelihood without an independently tested link.</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Downstream role</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Chapter 24 composes all certified layers and preserves ABSTAIN/FAIL as absorbing results.</w:t>
            </w:r>
          </w:p>
        </w:tc>
      </w:tr>
    </w:tbl>
    <w:p>
      <w:pPr>
        <w:spacing w:after="20"/>
      </w:pPr>
    </w:p>
    <w:p>
      <w:pPr>
        <w:pStyle w:val="Heading2"/>
        <w:keepNext/>
        <w:pageBreakBefore w:val="0"/>
      </w:pPr>
      <w:r>
        <w:t>19.1. Four Non-equivalent Layers of Knowledge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V0 -&gt; V1 does not imply P0 -&gt; E0.</w:t>
            </w:r>
          </w:p>
        </w:tc>
        <w:tc>
          <w:tcPr>
            <w:tcW w:type="dxa" w:w="1531"/>
            <w:shd w:fill="F6F8FA"/>
          </w:tcPr>
          <w:p>
            <w:pPr>
              <w:jc w:val="right"/>
            </w:pPr>
            <w:r>
              <w:rPr>
                <w:rFonts w:ascii="DejaVu Sans" w:hAnsi="DejaVu Sans" w:eastAsia="DejaVu Sans"/>
                <w:b/>
                <w:i w:val="0"/>
                <w:color w:val="5C6773"/>
                <w:sz w:val="17"/>
              </w:rPr>
              <w:t>T2-F202</w:t>
            </w:r>
          </w:p>
        </w:tc>
        <w:trPr>
          <w:tblHeader/>
        </w:trPr>
      </w:tr>
    </w:tbl>
    <w:p>
      <w:pPr>
        <w:spacing w:after="0"/>
      </w:pPr>
    </w:p>
    <w:p>
      <w:pPr>
        <w:pStyle w:val="Heading2"/>
        <w:keepNext/>
        <w:pageBreakBefore w:val="0"/>
      </w:pPr>
      <w:r>
        <w:t>19.2. Cycle Carrier and Virtual Dimension</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φ:E•→L_𝔐, amp(E•)⊂[-1,0].</w:t>
            </w:r>
          </w:p>
        </w:tc>
        <w:tc>
          <w:tcPr>
            <w:tcW w:type="dxa" w:w="1531"/>
            <w:shd w:fill="F6F8FA"/>
          </w:tcPr>
          <w:p>
            <w:pPr>
              <w:jc w:val="right"/>
            </w:pPr>
            <w:r>
              <w:rPr>
                <w:rFonts w:ascii="DejaVu Sans" w:hAnsi="DejaVu Sans" w:eastAsia="DejaVu Sans"/>
                <w:b/>
                <w:i w:val="0"/>
                <w:color w:val="5C6773"/>
                <w:sz w:val="17"/>
              </w:rPr>
              <w:t>T2-F203</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vdim(𝔐)=rk(E•)=rk(E⁰)-rk(E⁻¹).</w:t>
            </w:r>
          </w:p>
        </w:tc>
        <w:tc>
          <w:tcPr>
            <w:tcW w:type="dxa" w:w="1531"/>
            <w:shd w:fill="F6F8FA"/>
          </w:tcPr>
          <w:p>
            <w:pPr>
              <w:jc w:val="right"/>
            </w:pPr>
            <w:r>
              <w:rPr>
                <w:rFonts w:ascii="DejaVu Sans" w:hAnsi="DejaVu Sans" w:eastAsia="DejaVu Sans"/>
                <w:b/>
                <w:i w:val="0"/>
                <w:color w:val="5C6773"/>
                <w:sz w:val="17"/>
              </w:rPr>
              <w:t>T2-F204</w:t>
            </w:r>
          </w:p>
        </w:tc>
        <w:trPr>
          <w:tblHeader/>
        </w:trPr>
      </w:tr>
    </w:tbl>
    <w:p>
      <w:pPr>
        <w:spacing w:after="0"/>
      </w:pPr>
    </w:p>
    <w:p>
      <w:pPr>
        <w:pStyle w:val="Heading2"/>
        <w:keepNext/>
        <w:pageBreakBefore w:val="0"/>
      </w:pPr>
      <w:r>
        <w:t>19.3. Construction of the Virtual Fundamental Class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[𝔐]ᵛⁱʳ = 0_𝔈^! [𝔠_𝔐] ∈ A_vdim(𝔐).</w:t>
            </w:r>
          </w:p>
        </w:tc>
        <w:tc>
          <w:tcPr>
            <w:tcW w:type="dxa" w:w="1531"/>
            <w:shd w:fill="F6F8FA"/>
          </w:tcPr>
          <w:p>
            <w:pPr>
              <w:jc w:val="right"/>
            </w:pPr>
            <w:r>
              <w:rPr>
                <w:rFonts w:ascii="DejaVu Sans" w:hAnsi="DejaVu Sans" w:eastAsia="DejaVu Sans"/>
                <w:b/>
                <w:i w:val="0"/>
                <w:color w:val="5C6773"/>
                <w:sz w:val="17"/>
              </w:rPr>
              <w:t>T2-F205</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43" name="Picture 43" descr="Figure 44. Virtual carrier and separate probability bridge." title="Figure 44. Virtual carrier and separate probability bridge."/>
            <wp:cNvGraphicFramePr>
              <a:graphicFrameLocks noChangeAspect="1"/>
            </wp:cNvGraphicFramePr>
            <a:graphic>
              <a:graphicData uri="http://schemas.openxmlformats.org/drawingml/2006/picture">
                <pic:pic>
                  <pic:nvPicPr>
                    <pic:cNvPr id="0" name="fig44_vfc_bridge.png"/>
                    <pic:cNvPicPr/>
                  </pic:nvPicPr>
                  <pic:blipFill>
                    <a:blip r:embed="rId53"/>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44. Virtual carrier and separate probability bridge.</w:t>
      </w:r>
    </w:p>
    <w:p>
      <w:pPr>
        <w:pStyle w:val="Heading2"/>
        <w:keepNext/>
        <w:pageBreakBefore w:val="0"/>
      </w:pPr>
      <w:r>
        <w:t>19.4. Integration over the Virtual Class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Iᵛⁱʳ(𝔐;α)=∫_[𝔐]ᵛⁱʳ α = deg(α∩[𝔐]ᵛⁱʳ).</w:t>
            </w:r>
          </w:p>
        </w:tc>
        <w:tc>
          <w:tcPr>
            <w:tcW w:type="dxa" w:w="1531"/>
            <w:shd w:fill="F6F8FA"/>
          </w:tcPr>
          <w:p>
            <w:pPr>
              <w:jc w:val="right"/>
            </w:pPr>
            <w:r>
              <w:rPr>
                <w:rFonts w:ascii="DejaVu Sans" w:hAnsi="DejaVu Sans" w:eastAsia="DejaVu Sans"/>
                <w:b/>
                <w:i w:val="0"/>
                <w:color w:val="5C6773"/>
                <w:sz w:val="17"/>
              </w:rPr>
              <w:t>T2-F206</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⟨α₁,…,αₙ⟩ᵛⁱʳ = ∫_[𝔐]ᵛⁱʳ ∏ᵢ evᵢ*αᵢ.</w:t>
            </w:r>
          </w:p>
        </w:tc>
        <w:tc>
          <w:tcPr>
            <w:tcW w:type="dxa" w:w="1531"/>
            <w:shd w:fill="F6F8FA"/>
          </w:tcPr>
          <w:p>
            <w:pPr>
              <w:jc w:val="right"/>
            </w:pPr>
            <w:r>
              <w:rPr>
                <w:rFonts w:ascii="DejaVu Sans" w:hAnsi="DejaVu Sans" w:eastAsia="DejaVu Sans"/>
                <w:b/>
                <w:i w:val="0"/>
                <w:color w:val="5C6773"/>
                <w:sz w:val="17"/>
              </w:rPr>
              <w:t>T2-F207</w:t>
            </w:r>
          </w:p>
        </w:tc>
        <w:trPr>
          <w:tblHeader/>
        </w:trPr>
      </w:tr>
    </w:tbl>
    <w:p>
      <w:pPr>
        <w:spacing w:after="0"/>
      </w:pPr>
    </w:p>
    <w:p>
      <w:pPr>
        <w:pStyle w:val="Heading2"/>
        <w:keepNext/>
        <w:pageBreakBefore w:val="0"/>
      </w:pPr>
      <w:r>
        <w:t>19.5. Regular Zero Locus and Excess Intersection</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[Z]ᵛⁱʳ=[Z], vdim=dim U-rk E.</w:t>
            </w:r>
          </w:p>
        </w:tc>
        <w:tc>
          <w:tcPr>
            <w:tcW w:type="dxa" w:w="1531"/>
            <w:shd w:fill="F6F8FA"/>
          </w:tcPr>
          <w:p>
            <w:pPr>
              <w:jc w:val="right"/>
            </w:pPr>
            <w:r>
              <w:rPr>
                <w:rFonts w:ascii="DejaVu Sans" w:hAnsi="DejaVu Sans" w:eastAsia="DejaVu Sans"/>
                <w:b/>
                <w:i w:val="0"/>
                <w:color w:val="5C6773"/>
                <w:sz w:val="17"/>
              </w:rPr>
              <w:t>T2-F208</w:t>
            </w:r>
          </w:p>
        </w:tc>
        <w:trPr>
          <w:tblHeader/>
        </w:trPr>
      </w:tr>
    </w:tbl>
    <w:p>
      <w:pPr>
        <w:spacing w:after="0"/>
      </w:pPr>
    </w:p>
    <w:p>
      <w:pPr>
        <w:pStyle w:val="Heading2"/>
        <w:keepNext/>
        <w:pageBreakBefore w:val="0"/>
      </w:pPr>
      <w:r>
        <w:t>19.6. Deformation Invariance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[𝔐_b]ᵛⁱʳ = i_b^![𝔐]ᵛⁱʳ_rel.</w:t>
            </w:r>
          </w:p>
        </w:tc>
        <w:tc>
          <w:tcPr>
            <w:tcW w:type="dxa" w:w="1531"/>
            <w:shd w:fill="F6F8FA"/>
          </w:tcPr>
          <w:p>
            <w:pPr>
              <w:jc w:val="right"/>
            </w:pPr>
            <w:r>
              <w:rPr>
                <w:rFonts w:ascii="DejaVu Sans" w:hAnsi="DejaVu Sans" w:eastAsia="DejaVu Sans"/>
                <w:b/>
                <w:i w:val="0"/>
                <w:color w:val="5C6773"/>
                <w:sz w:val="17"/>
              </w:rPr>
              <w:t>T2-F209</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Iᵛⁱʳ(𝔐_b;α_b)=const.</w:t>
            </w:r>
          </w:p>
        </w:tc>
        <w:tc>
          <w:tcPr>
            <w:tcW w:type="dxa" w:w="1531"/>
            <w:shd w:fill="F6F8FA"/>
          </w:tcPr>
          <w:p>
            <w:pPr>
              <w:jc w:val="right"/>
            </w:pPr>
            <w:r>
              <w:rPr>
                <w:rFonts w:ascii="DejaVu Sans" w:hAnsi="DejaVu Sans" w:eastAsia="DejaVu Sans"/>
                <w:b/>
                <w:i w:val="0"/>
                <w:color w:val="5C6773"/>
                <w:sz w:val="17"/>
              </w:rPr>
              <w:t>T2-F210</w:t>
            </w:r>
          </w:p>
        </w:tc>
        <w:trPr>
          <w:tblHeader/>
        </w:trPr>
      </w:tr>
    </w:tbl>
    <w:p>
      <w:pPr>
        <w:spacing w:after="0"/>
      </w:pPr>
    </w:p>
    <w:p>
      <w:pPr>
        <w:pStyle w:val="Heading2"/>
        <w:keepNext/>
        <w:pageBreakBefore w:val="0"/>
      </w:pPr>
      <w:r>
        <w:t>19.7. Equivariant Localization</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[𝔐]ᵛⁱʳ = i_* Σ_F [F]ᵛⁱʳ / e_T(N_Fᵛⁱʳ)</w:t>
            </w:r>
          </w:p>
        </w:tc>
        <w:tc>
          <w:tcPr>
            <w:tcW w:type="dxa" w:w="1531"/>
            <w:shd w:fill="F6F8FA"/>
          </w:tcPr>
          <w:p>
            <w:pPr>
              <w:jc w:val="right"/>
            </w:pPr>
            <w:r>
              <w:rPr>
                <w:rFonts w:ascii="DejaVu Sans" w:hAnsi="DejaVu Sans" w:eastAsia="DejaVu Sans"/>
                <w:b/>
                <w:i w:val="0"/>
                <w:color w:val="5C6773"/>
                <w:sz w:val="17"/>
              </w:rPr>
              <w:t>T2-F211</w:t>
            </w:r>
          </w:p>
        </w:tc>
        <w:trPr>
          <w:tblHeader/>
        </w:trPr>
      </w:tr>
    </w:tbl>
    <w:p>
      <w:pPr>
        <w:spacing w:after="0"/>
      </w:pPr>
    </w:p>
    <w:p>
      <w:pPr>
        <w:pStyle w:val="Heading2"/>
        <w:keepNext/>
        <w:pageBreakBefore w:val="0"/>
      </w:pPr>
      <w:r>
        <w:t>19.8. When a Virtual Count Is Genuinely Enumerative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Iᵛⁱʳ = Σ_[x] m_x / |Aut(x)|.</w:t>
            </w:r>
          </w:p>
        </w:tc>
        <w:tc>
          <w:tcPr>
            <w:tcW w:type="dxa" w:w="1531"/>
            <w:shd w:fill="F6F8FA"/>
          </w:tcPr>
          <w:p>
            <w:pPr>
              <w:jc w:val="right"/>
            </w:pPr>
            <w:r>
              <w:rPr>
                <w:rFonts w:ascii="DejaVu Sans" w:hAnsi="DejaVu Sans" w:eastAsia="DejaVu Sans"/>
                <w:b/>
                <w:i w:val="0"/>
                <w:color w:val="5C6773"/>
                <w:sz w:val="17"/>
              </w:rPr>
              <w:t>T2-F212</w:t>
            </w:r>
          </w:p>
        </w:tc>
        <w:trPr>
          <w:tblHeader/>
        </w:trPr>
      </w:tr>
    </w:tbl>
    <w:p>
      <w:pPr>
        <w:spacing w:after="0"/>
      </w:pPr>
    </w:p>
    <w:p>
      <w:pPr>
        <w:pStyle w:val="Heading2"/>
        <w:keepNext/>
        <w:pageBreakBefore w:val="0"/>
      </w:pPr>
      <w:r>
        <w:t>19.9. Three Models Refuting the Probability Substitution</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Virtual intersection data and probabilistic data remain separate until a calibrated measurable link is supplied.</w:t>
      </w:r>
    </w:p>
    <w:p>
      <w:pPr>
        <w:pStyle w:val="Heading2"/>
        <w:keepNext/>
        <w:pageBreakBefore w:val="0"/>
      </w:pPr>
      <w:r>
        <w:t>19.10. No Universal Probabilistic Interpretation Theorem</w:t>
      </w:r>
    </w:p>
    <w:p>
      <w:pPr>
        <w:widowControl/>
        <w:spacing w:after="80" w:line="264" w:lineRule="auto"/>
      </w:pPr>
      <w:r>
        <w:rPr>
          <w:rFonts w:ascii="DejaVu Serif" w:hAnsi="DejaVu Serif" w:eastAsia="DejaVu Serif"/>
          <w:b w:val="0"/>
          <w:i w:val="0"/>
          <w:color w:val="111111"/>
          <w:sz w:val="20"/>
        </w:rPr>
        <w:t>The statement is read under the explicitly declared hypotheses; its conclusion remains inside the mathematical model and does not acquire empirical status by translation. Separating models show that the prohibited inference fails even when the upstream mathematical object is well defined.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19.4. No Universal Probability Interpretation [THM] </w:t>
            </w:r>
            <w:r>
              <w:rPr>
                <w:rFonts w:ascii="DejaVu Serif" w:hAnsi="DejaVu Serif" w:eastAsia="DejaVu Serif"/>
                <w:b w:val="0"/>
                <w:i w:val="0"/>
                <w:color w:val="111111"/>
                <w:sz w:val="19"/>
              </w:rPr>
              <w:t>There is no unrestricted carrier-independent rule that sends every virtual count to a probability while preserving the required probability axioms. Negative, greater-than-one, and stack-weighted examples provide separating witnesses.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virtual degree ≠ probability measure.</w:t>
            </w:r>
          </w:p>
        </w:tc>
        <w:tc>
          <w:tcPr>
            <w:tcW w:type="dxa" w:w="1531"/>
            <w:shd w:fill="F6F8FA"/>
          </w:tcPr>
          <w:p>
            <w:pPr>
              <w:jc w:val="right"/>
            </w:pPr>
            <w:r>
              <w:rPr>
                <w:rFonts w:ascii="DejaVu Sans" w:hAnsi="DejaVu Sans" w:eastAsia="DejaVu Sans"/>
                <w:b/>
                <w:i w:val="0"/>
                <w:color w:val="5C6773"/>
                <w:sz w:val="17"/>
              </w:rPr>
              <w:t>T2-F213</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44" name="Picture 44" descr="Figure 45. Probability no-go test for unrestricted virtual counts." title="Figure 45. Probability no-go test for unrestricted virtual counts."/>
            <wp:cNvGraphicFramePr>
              <a:graphicFrameLocks noChangeAspect="1"/>
            </wp:cNvGraphicFramePr>
            <a:graphic>
              <a:graphicData uri="http://schemas.openxmlformats.org/drawingml/2006/picture">
                <pic:pic>
                  <pic:nvPicPr>
                    <pic:cNvPr id="0" name="fig45_probability_no_go.png"/>
                    <pic:cNvPicPr/>
                  </pic:nvPicPr>
                  <pic:blipFill>
                    <a:blip r:embed="rId54"/>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45. Probability no-go test for unrestricted virtual counts.</w:t>
      </w:r>
    </w:p>
    <w:p>
      <w:pPr>
        <w:pStyle w:val="Heading2"/>
        <w:keepNext/>
        <w:pageBreakBefore w:val="0"/>
      </w:pPr>
      <w:r>
        <w:t>19.11. The Probabilistic Bridge</w:t>
      </w:r>
    </w:p>
    <w:p>
      <w:pPr>
        <w:widowControl/>
        <w:spacing w:after="80" w:line="264" w:lineRule="auto"/>
      </w:pPr>
      <w:r>
        <w:rPr>
          <w:rFonts w:ascii="DejaVu Serif" w:hAnsi="DejaVu Serif" w:eastAsia="DejaVu Serif"/>
          <w:b w:val="0"/>
          <w:i w:val="0"/>
          <w:color w:val="111111"/>
          <w:sz w:val="20"/>
        </w:rPr>
        <w:t>The bridge is an additional typed map with its own identification, calibration, and transport obligations; it is not supplied by a shared notation.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B_prob=(Ω,ℱ,P,Y,φ,g_θ,ℒ,Cal,Val,Ext).</w:t>
            </w:r>
          </w:p>
        </w:tc>
        <w:tc>
          <w:tcPr>
            <w:tcW w:type="dxa" w:w="1531"/>
            <w:shd w:fill="F6F8FA"/>
          </w:tcPr>
          <w:p>
            <w:pPr>
              <w:jc w:val="right"/>
            </w:pPr>
            <w:r>
              <w:rPr>
                <w:rFonts w:ascii="DejaVu Sans" w:hAnsi="DejaVu Sans" w:eastAsia="DejaVu Sans"/>
                <w:b/>
                <w:i w:val="0"/>
                <w:color w:val="5C6773"/>
                <w:sz w:val="17"/>
              </w:rPr>
              <w:t>T2-F214</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p_θ = g_θ(φ(P_vir, P_stack, λ, CGI, D, Dom)).</w:t>
            </w:r>
          </w:p>
        </w:tc>
        <w:tc>
          <w:tcPr>
            <w:tcW w:type="dxa" w:w="1531"/>
            <w:shd w:fill="F6F8FA"/>
          </w:tcPr>
          <w:p>
            <w:pPr>
              <w:jc w:val="right"/>
            </w:pPr>
            <w:r>
              <w:rPr>
                <w:rFonts w:ascii="DejaVu Sans" w:hAnsi="DejaVu Sans" w:eastAsia="DejaVu Sans"/>
                <w:b/>
                <w:i w:val="0"/>
                <w:color w:val="5C6773"/>
                <w:sz w:val="17"/>
              </w:rPr>
              <w:t>T2-F215</w:t>
            </w:r>
          </w:p>
        </w:tc>
        <w:trPr>
          <w:tblHeader/>
        </w:trPr>
      </w:tr>
    </w:tbl>
    <w:p>
      <w:pPr>
        <w:spacing w:after="0"/>
      </w:pPr>
    </w:p>
    <w:p>
      <w:pPr>
        <w:pStyle w:val="Heading2"/>
        <w:keepNext/>
        <w:pageBreakBefore w:val="0"/>
      </w:pPr>
      <w:r>
        <w:t>19.12. Calibration, Discrimination, and Transportability</w:t>
      </w:r>
    </w:p>
    <w:p>
      <w:pPr>
        <w:widowControl/>
        <w:spacing w:after="80" w:line="264" w:lineRule="auto"/>
      </w:pPr>
      <w:r>
        <w:rPr>
          <w:rFonts w:ascii="DejaVu Serif" w:hAnsi="DejaVu Serif" w:eastAsia="DejaVu Serif"/>
          <w:b w:val="0"/>
          <w:i w:val="0"/>
          <w:color w:val="111111"/>
          <w:sz w:val="20"/>
        </w:rPr>
        <w:t>The bridge is an additional typed map with its own identification, calibration, and transport obligations; it is not supplied by a shared notation.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E[Y | p_θ]=p_θ.</w:t>
            </w:r>
          </w:p>
        </w:tc>
        <w:tc>
          <w:tcPr>
            <w:tcW w:type="dxa" w:w="1531"/>
            <w:shd w:fill="F6F8FA"/>
          </w:tcPr>
          <w:p>
            <w:pPr>
              <w:jc w:val="right"/>
            </w:pPr>
            <w:r>
              <w:rPr>
                <w:rFonts w:ascii="DejaVu Sans" w:hAnsi="DejaVu Sans" w:eastAsia="DejaVu Sans"/>
                <w:b/>
                <w:i w:val="0"/>
                <w:color w:val="5C6773"/>
                <w:sz w:val="17"/>
              </w:rPr>
              <w:t>T2-F216</w:t>
            </w:r>
          </w:p>
        </w:tc>
        <w:trPr>
          <w:tblHeader/>
        </w:trPr>
      </w:tr>
    </w:tbl>
    <w:p>
      <w:pPr>
        <w:spacing w:after="0"/>
      </w:pPr>
    </w:p>
    <w:p>
      <w:pPr>
        <w:pStyle w:val="Heading2"/>
        <w:keepNext/>
        <w:pageBreakBefore w:val="0"/>
      </w:pPr>
      <w:r>
        <w:t>19.13. Virtual Reper Certificate</w:t>
      </w:r>
    </w:p>
    <w:p>
      <w:pPr>
        <w:widowControl/>
        <w:spacing w:after="80" w:line="264" w:lineRule="auto"/>
      </w:pPr>
      <w:r>
        <w:rPr>
          <w:rFonts w:ascii="DejaVu Serif" w:hAnsi="DejaVu Serif" w:eastAsia="DejaVu Serif"/>
          <w:b w:val="0"/>
          <w:i w:val="0"/>
          <w:color w:val="111111"/>
          <w:sz w:val="20"/>
        </w:rPr>
        <w:t>The certificate records inputs, algorithms, tolerances, residuals, sources, code and data hashes, and the weakest evidential status supported by the chain.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VirtCert=(𝔐ᵈᵉʳ,E•,𝔠_𝔐,[𝔐]ᵛⁱʳ,α,or,prop,src,code,D,Dom).</w:t>
            </w:r>
          </w:p>
        </w:tc>
        <w:tc>
          <w:tcPr>
            <w:tcW w:type="dxa" w:w="1531"/>
            <w:shd w:fill="F6F8FA"/>
          </w:tcPr>
          <w:p>
            <w:pPr>
              <w:jc w:val="right"/>
            </w:pPr>
            <w:r>
              <w:rPr>
                <w:rFonts w:ascii="DejaVu Sans" w:hAnsi="DejaVu Sans" w:eastAsia="DejaVu Sans"/>
                <w:b/>
                <w:i w:val="0"/>
                <w:color w:val="5C6773"/>
                <w:sz w:val="17"/>
              </w:rPr>
              <w:t>T2-F217</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Rep_vir=(R_vir,I_vir,U_vir;D_vir),</w:t>
            </w:r>
          </w:p>
        </w:tc>
        <w:tc>
          <w:tcPr>
            <w:tcW w:type="dxa" w:w="1531"/>
            <w:shd w:fill="F6F8FA"/>
          </w:tcPr>
          <w:p>
            <w:pPr>
              <w:jc w:val="right"/>
            </w:pPr>
            <w:r>
              <w:rPr>
                <w:rFonts w:ascii="DejaVu Sans" w:hAnsi="DejaVu Sans" w:eastAsia="DejaVu Sans"/>
                <w:b/>
                <w:i w:val="0"/>
                <w:color w:val="5C6773"/>
                <w:sz w:val="17"/>
              </w:rPr>
              <w:t>T2-F218</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19.14. Projective-Harmonic and Enumerative Gate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Gate_vir=1 ⇔ Cert_VFC=1 ∧ Valid(D)=1 ∧ Dom=1 ∧ Block_vir=∅.</w:t>
            </w:r>
          </w:p>
        </w:tc>
        <w:tc>
          <w:tcPr>
            <w:tcW w:type="dxa" w:w="1531"/>
            <w:shd w:fill="F6F8FA"/>
          </w:tcPr>
          <w:p>
            <w:pPr>
              <w:jc w:val="right"/>
            </w:pPr>
            <w:r>
              <w:rPr>
                <w:rFonts w:ascii="DejaVu Sans" w:hAnsi="DejaVu Sans" w:eastAsia="DejaVu Sans"/>
                <w:b/>
                <w:i w:val="0"/>
                <w:color w:val="5C6773"/>
                <w:sz w:val="17"/>
              </w:rPr>
              <w:t>T2-F219</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Gate_prob=1 ⇔ Gate_vir=1 ∧ Cert_prob=1 ∧ Ext=1.</w:t>
            </w:r>
          </w:p>
        </w:tc>
        <w:tc>
          <w:tcPr>
            <w:tcW w:type="dxa" w:w="1531"/>
            <w:shd w:fill="F6F8FA"/>
          </w:tcPr>
          <w:p>
            <w:pPr>
              <w:jc w:val="right"/>
            </w:pPr>
            <w:r>
              <w:rPr>
                <w:rFonts w:ascii="DejaVu Sans" w:hAnsi="DejaVu Sans" w:eastAsia="DejaVu Sans"/>
                <w:b/>
                <w:i w:val="0"/>
                <w:color w:val="5C6773"/>
                <w:sz w:val="17"/>
              </w:rPr>
              <w:t>T2-F220</w:t>
            </w:r>
          </w:p>
        </w:tc>
        <w:trPr>
          <w:tblHeader/>
        </w:trPr>
      </w:tr>
    </w:tbl>
    <w:p>
      <w:pPr>
        <w:spacing w:after="0"/>
      </w:pPr>
    </w:p>
    <w:p>
      <w:pPr>
        <w:pStyle w:val="Heading2"/>
        <w:keepNext/>
        <w:pageBreakBefore w:val="0"/>
      </w:pPr>
      <w:r>
        <w:t>19.15. Virtual and Probabilistic Horizons</w:t>
      </w:r>
    </w:p>
    <w:p>
      <w:pPr>
        <w:widowControl/>
        <w:spacing w:after="80" w:line="264" w:lineRule="auto"/>
      </w:pPr>
      <w:r>
        <w:rPr>
          <w:rFonts w:ascii="DejaVu Serif" w:hAnsi="DejaVu Serif" w:eastAsia="DejaVu Serif"/>
          <w:b w:val="0"/>
          <w:i w:val="0"/>
          <w:color w:val="111111"/>
          <w:sz w:val="20"/>
        </w:rPr>
        <w:t>The horizon is the union of loci where rank, domain, topology, calibration, identification, or numerical certification can change.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Δ_VFC = Δ_POT ∪ Δ_amp ∪ Δ_prop ∪ Δ_or ∪ Δ_comp ∪ Δ_ins ∪ Δ_loc ∪ Δ_wall ∪ Δ_num.</w:t>
            </w:r>
          </w:p>
        </w:tc>
        <w:tc>
          <w:tcPr>
            <w:tcW w:type="dxa" w:w="1531"/>
            <w:shd w:fill="F6F8FA"/>
          </w:tcPr>
          <w:p>
            <w:pPr>
              <w:jc w:val="right"/>
            </w:pPr>
            <w:r>
              <w:rPr>
                <w:rFonts w:ascii="DejaVu Sans" w:hAnsi="DejaVu Sans" w:eastAsia="DejaVu Sans"/>
                <w:b/>
                <w:i w:val="0"/>
                <w:color w:val="5C6773"/>
                <w:sz w:val="17"/>
              </w:rPr>
              <w:t>T2-F221</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Δ_prob = Δ_Ω ∪ Δ_meas ∪ Δ_link ∪ Δ_cal ∪ Δ_shift ∪ Δ_sel ∪ Δ_ext.</w:t>
            </w:r>
          </w:p>
        </w:tc>
        <w:tc>
          <w:tcPr>
            <w:tcW w:type="dxa" w:w="1531"/>
            <w:shd w:fill="F6F8FA"/>
          </w:tcPr>
          <w:p>
            <w:pPr>
              <w:jc w:val="right"/>
            </w:pPr>
            <w:r>
              <w:rPr>
                <w:rFonts w:ascii="DejaVu Sans" w:hAnsi="DejaVu Sans" w:eastAsia="DejaVu Sans"/>
                <w:b/>
                <w:i w:val="0"/>
                <w:color w:val="5C6773"/>
                <w:sz w:val="17"/>
              </w:rPr>
              <w:t>T2-F222</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Δ_safe^{v0.16}=Δ_safe^{v0.15}∪Δ_VFC∪Δ_prob.</w:t>
            </w:r>
          </w:p>
        </w:tc>
        <w:tc>
          <w:tcPr>
            <w:tcW w:type="dxa" w:w="1531"/>
            <w:shd w:fill="F6F8FA"/>
          </w:tcPr>
          <w:p>
            <w:pPr>
              <w:jc w:val="right"/>
            </w:pPr>
            <w:r>
              <w:rPr>
                <w:rFonts w:ascii="DejaVu Sans" w:hAnsi="DejaVu Sans" w:eastAsia="DejaVu Sans"/>
                <w:b/>
                <w:i w:val="0"/>
                <w:color w:val="5C6773"/>
                <w:sz w:val="17"/>
              </w:rPr>
              <w:t>T2-F223</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19.16. Main Conditional Theorem</w:t>
      </w:r>
    </w:p>
    <w:p>
      <w:pPr>
        <w:widowControl/>
        <w:spacing w:after="80" w:line="264" w:lineRule="auto"/>
      </w:pPr>
      <w:r>
        <w:rPr>
          <w:rFonts w:ascii="DejaVu Serif" w:hAnsi="DejaVu Serif" w:eastAsia="DejaVu Serif"/>
          <w:b w:val="0"/>
          <w:i w:val="0"/>
          <w:color w:val="111111"/>
          <w:sz w:val="20"/>
        </w:rPr>
        <w:t>The statement is read under the explicitly declared hypotheses; its conclusion remains inside the mathematical model and does not acquire empirical status by translation.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Theorem 19.6. Conditional Virtual-Profile Constancy [COND] </w:t>
            </w:r>
            <w:r>
              <w:rPr>
                <w:rFonts w:ascii="DejaVu Serif" w:hAnsi="DejaVu Serif" w:eastAsia="DejaVu Serif"/>
                <w:b w:val="0"/>
                <w:i w:val="0"/>
                <w:color w:val="111111"/>
                <w:sz w:val="19"/>
              </w:rPr>
              <w:t>Along a path that avoids the inherited and virtual horizons, with a transported obstruction theory, orientation, properness and insertion data, the certified virtual profile is constant. This does not determine the probability of leaving that sector.</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P_VFC(t)=([𝔐_t]ᵛⁱʳ, vdim, Iᵛⁱʳ_t, supp, sign, denom, chamber, λ_t, CGI_t)</w:t>
            </w:r>
          </w:p>
        </w:tc>
        <w:tc>
          <w:tcPr>
            <w:tcW w:type="dxa" w:w="1531"/>
            <w:shd w:fill="F6F8FA"/>
          </w:tcPr>
          <w:p>
            <w:pPr>
              <w:jc w:val="right"/>
            </w:pPr>
            <w:r>
              <w:rPr>
                <w:rFonts w:ascii="DejaVu Sans" w:hAnsi="DejaVu Sans" w:eastAsia="DejaVu Sans"/>
                <w:b/>
                <w:i w:val="0"/>
                <w:color w:val="5C6773"/>
                <w:sz w:val="17"/>
              </w:rPr>
              <w:t>T2-F224</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γ∩(Δ_safe^{v0.15}∪Δ_VFC)=∅ ⇒ NO-VIRTUAL-CHANGE-IN-MODEL.</w:t>
            </w:r>
          </w:p>
        </w:tc>
        <w:tc>
          <w:tcPr>
            <w:tcW w:type="dxa" w:w="1531"/>
            <w:shd w:fill="F6F8FA"/>
          </w:tcPr>
          <w:p>
            <w:pPr>
              <w:jc w:val="right"/>
            </w:pPr>
            <w:r>
              <w:rPr>
                <w:rFonts w:ascii="DejaVu Sans" w:hAnsi="DejaVu Sans" w:eastAsia="DejaVu Sans"/>
                <w:b/>
                <w:i w:val="0"/>
                <w:color w:val="5C6773"/>
                <w:sz w:val="17"/>
              </w:rPr>
              <w:t>T2-F225</w:t>
            </w:r>
          </w:p>
        </w:tc>
        <w:trPr>
          <w:tblHeader/>
        </w:trPr>
      </w:tr>
    </w:tbl>
    <w:p>
      <w:pPr>
        <w:spacing w:after="0"/>
      </w:pPr>
    </w:p>
    <w:p>
      <w:pPr>
        <w:pStyle w:val="Heading2"/>
        <w:keepNext/>
        <w:pageBreakBefore w:val="0"/>
      </w:pPr>
      <w:r>
        <w:t>19.17. Two-Stage Blocker-Safe Verdict</w:t>
      </w:r>
    </w:p>
    <w:p>
      <w:pPr>
        <w:widowControl/>
        <w:spacing w:after="80" w:line="264" w:lineRule="auto"/>
      </w:pPr>
      <w:r>
        <w:rPr>
          <w:rFonts w:ascii="DejaVu Serif" w:hAnsi="DejaVu Serif" w:eastAsia="DejaVu Serif"/>
          <w:b w:val="0"/>
          <w:i w:val="0"/>
          <w:color w:val="111111"/>
          <w:sz w:val="20"/>
        </w:rPr>
        <w:t>The allowed output is multi-valued: a certified conclusion, an explicit candidate requiring further checks, ABSTAIN with blockers, or FAIL with a witness. Virtual intersection data and probabilistic data remain separate until a calibrated measurable link is supplied.</w:t>
      </w:r>
    </w:p>
    <w:p>
      <w:pPr>
        <w:keepNext/>
        <w:jc w:val="center"/>
      </w:pPr>
      <w:r>
        <w:drawing>
          <wp:inline xmlns:a="http://schemas.openxmlformats.org/drawingml/2006/main" xmlns:pic="http://schemas.openxmlformats.org/drawingml/2006/picture">
            <wp:extent cx="5760000" cy="3115102"/>
            <wp:docPr id="45" name="Picture 45" descr="Figure 46. Two-stage virtual/probability verdict." title="Figure 46. Two-stage virtual/probability verdict."/>
            <wp:cNvGraphicFramePr>
              <a:graphicFrameLocks noChangeAspect="1"/>
            </wp:cNvGraphicFramePr>
            <a:graphic>
              <a:graphicData uri="http://schemas.openxmlformats.org/drawingml/2006/picture">
                <pic:pic>
                  <pic:nvPicPr>
                    <pic:cNvPr id="0" name="fig46_virtual_verdict.png"/>
                    <pic:cNvPicPr/>
                  </pic:nvPicPr>
                  <pic:blipFill>
                    <a:blip r:embed="rId55"/>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46. Two-stage virtual/probability verdict.</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19.18. Counterexamples and Separating Models</w:t>
      </w:r>
    </w:p>
    <w:p>
      <w:pPr>
        <w:widowControl/>
        <w:spacing w:after="80" w:line="264" w:lineRule="auto"/>
      </w:pPr>
      <w:r>
        <w:rPr>
          <w:rFonts w:ascii="DejaVu Serif" w:hAnsi="DejaVu Serif" w:eastAsia="DejaVu Serif"/>
          <w:b w:val="0"/>
          <w:i w:val="0"/>
          <w:color w:val="111111"/>
          <w:sz w:val="20"/>
        </w:rPr>
        <w:t>Separating models show that the prohibited inference fails even when the upstream mathematical object is well defined. Virtual intersection data and probabilistic data remain separate until a calibrated measurable link is supplied.</w:t>
      </w:r>
    </w:p>
    <w:p>
      <w:pPr>
        <w:pStyle w:val="Heading2"/>
        <w:keepNext/>
        <w:pageBreakBefore w:val="0"/>
      </w:pPr>
      <w:r>
        <w:t>19.19. Computational Certificate VFC-ENUM-PROB</w:t>
      </w:r>
    </w:p>
    <w:p>
      <w:pPr>
        <w:widowControl/>
        <w:spacing w:after="80" w:line="264" w:lineRule="auto"/>
      </w:pPr>
      <w:r>
        <w:rPr>
          <w:rFonts w:ascii="DejaVu Serif" w:hAnsi="DejaVu Serif" w:eastAsia="DejaVu Serif"/>
          <w:b w:val="0"/>
          <w:i w:val="0"/>
          <w:color w:val="111111"/>
          <w:sz w:val="20"/>
        </w:rPr>
        <w:t>The certificate records inputs, algorithms, tolerances, residuals, sources, code and data hashes, and the weakest evidential status supported by the chain.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3"/>
        <w:keepNext/>
        <w:pageBreakBefore w:val="0"/>
      </w:pPr>
      <w:r>
        <w:t>19.19.1. Pseudocode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Virtual intersection data and probabilistic data remain separate until a calibrated measurable link is supplied.</w:t>
      </w:r>
    </w:p>
    <w:p>
      <w:pPr>
        <w:pStyle w:val="Heading2"/>
        <w:keepNext/>
        <w:pageBreakBefore w:val="0"/>
      </w:pPr>
      <w:r>
        <w:t>19.20. Prior Art and Boundary of the Authorial Contribution</w:t>
      </w:r>
    </w:p>
    <w:p>
      <w:pPr>
        <w:widowControl/>
        <w:spacing w:after="80" w:line="264" w:lineRule="auto"/>
      </w:pPr>
      <w:r>
        <w:rPr>
          <w:rFonts w:ascii="DejaVu Serif" w:hAnsi="DejaVu Serif" w:eastAsia="DejaVu Serif"/>
          <w:b w:val="0"/>
          <w:i w:val="0"/>
          <w:color w:val="111111"/>
          <w:sz w:val="20"/>
        </w:rPr>
        <w:t>Classical constructions retain their standard attribution; the authorial contribution is the typed, blocker-safe synthesis inside KLT-RBD. Virtual intersection data and probabilistic data remain separate until a calibrated measurable link is supplied.</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BOUNDARY OF CHAPTER 19. </w:t>
            </w:r>
            <w:r>
              <w:rPr>
                <w:rFonts w:ascii="DejaVu Serif" w:hAnsi="DejaVu Serif" w:eastAsia="DejaVu Serif"/>
                <w:b w:val="0"/>
                <w:i w:val="0"/>
                <w:color w:val="111111"/>
                <w:sz w:val="19"/>
              </w:rPr>
              <w:t>A virtual degree is not a probability measure, and an enumerative invariant does not determine event likelihood without an independently tested link. truth_layer_promotion=0; independent EXT-RUN and EMP-OBS remain absent.</w:t>
            </w:r>
          </w:p>
        </w:tc>
        <w:trPr>
          <w:tblHeader/>
        </w:trPr>
      </w:tr>
    </w:tbl>
    <w:p>
      <w:pPr>
        <w:pStyle w:val="Heading1"/>
        <w:keepNext/>
        <w:pageBreakBefore/>
      </w:pPr>
      <w:bookmarkStart w:id="1019" w:name="T2_CH20"/>
      <w:r>
        <w:t>Chapter 20. Categorified, Motivic, and Refined Virtual Invariants</w:t>
      </w:r>
      <w:bookmarkEnd w:id="1019"/>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refined invariant first lives in a categorical or motivic carrier and only later admits decategorified and numerical realizations.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Each realization is treated as a potentially information-losing map whose domain, completion, orientation data, and specialization must be recorded.</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structure appears through Grothendieck classes, motives, vanishing cycles, refined series, CoHA/BPS carriers, and completed products.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grading, charge, coefficient index, or generating-series variable is not physical time without a state space, evolution family, observable, and empirical bridge.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the motivic/series/dynamic firewall with a typed realization passport and an abstention rule.</w:t>
            </w:r>
          </w:p>
        </w:tc>
      </w:tr>
    </w:tbl>
    <w:p>
      <w:pPr>
        <w:spacing w:after="20"/>
      </w:pP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243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Controlled field</w:t>
            </w:r>
          </w:p>
        </w:tc>
        <w:tc>
          <w:tcPr>
            <w:tcW w:type="dxa" w:w="691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Value</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Canonical input</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Frozen Russian Chapter 20, inherited English Chapters 1-18, and formula/source passports.</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New mathematical layer</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 refined invariant first lives in a categorical or motivic carrier and only later admits decategorified and numerical realizations.</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Status rule</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Definitions, theorems, conditional bridges, models, numerical certificates, and physical hypotheses remain distinct.</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Prohibition</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 grading, charge, coefficient index, or generating-series variable is not physical time without a state space, evolution family, observable, and empirical bridge.</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Downstream role</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Chapter 24 composes all certified layers and preserves ABSTAIN/FAIL as absorbing results.</w:t>
            </w:r>
          </w:p>
        </w:tc>
      </w:tr>
    </w:tbl>
    <w:p>
      <w:pPr>
        <w:spacing w:after="20"/>
      </w:pPr>
    </w:p>
    <w:p>
      <w:pPr>
        <w:pStyle w:val="Heading2"/>
        <w:keepNext/>
        <w:pageBreakBefore w:val="0"/>
      </w:pPr>
      <w:r>
        <w:t>20.1. Carrier Ladder and No-Promotion Rule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𝕍_γ ∈ 𝒞_γ → [𝕍_γ] ∈ K₀(𝒞_γ) → 𝓜_γ ∈ R_mot → Real(𝓜_γ) → I_γ ∈ R_num.</w:t>
            </w:r>
          </w:p>
        </w:tc>
        <w:tc>
          <w:tcPr>
            <w:tcW w:type="dxa" w:w="1531"/>
            <w:shd w:fill="F6F8FA"/>
          </w:tcPr>
          <w:p>
            <w:pPr>
              <w:jc w:val="right"/>
            </w:pPr>
            <w:r>
              <w:rPr>
                <w:rFonts w:ascii="DejaVu Sans" w:hAnsi="DejaVu Sans" w:eastAsia="DejaVu Sans"/>
                <w:b/>
                <w:i w:val="0"/>
                <w:color w:val="5C6773"/>
                <w:sz w:val="17"/>
              </w:rPr>
              <w:t>T2-F226</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46" name="Picture 46" descr="Figure 47. Refined carrier ladder and information loss." title="Figure 47. Refined carrier ladder and information loss."/>
            <wp:cNvGraphicFramePr>
              <a:graphicFrameLocks noChangeAspect="1"/>
            </wp:cNvGraphicFramePr>
            <a:graphic>
              <a:graphicData uri="http://schemas.openxmlformats.org/drawingml/2006/picture">
                <pic:pic>
                  <pic:nvPicPr>
                    <pic:cNvPr id="0" name="fig47_refinement_ladder.png"/>
                    <pic:cNvPicPr/>
                  </pic:nvPicPr>
                  <pic:blipFill>
                    <a:blip r:embed="rId56"/>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47. Refined carrier ladder and information loss.</w:t>
      </w:r>
    </w:p>
    <w:p>
      <w:pPr>
        <w:pStyle w:val="Heading2"/>
        <w:keepNext/>
        <w:pageBreakBefore w:val="0"/>
      </w:pPr>
      <w:r>
        <w:t>20.2. Categorification and Decategorification</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[Y]=[X]+[Z].</w:t>
            </w:r>
          </w:p>
        </w:tc>
        <w:tc>
          <w:tcPr>
            <w:tcW w:type="dxa" w:w="1531"/>
            <w:shd w:fill="F6F8FA"/>
          </w:tcPr>
          <w:p>
            <w:pPr>
              <w:jc w:val="right"/>
            </w:pPr>
            <w:r>
              <w:rPr>
                <w:rFonts w:ascii="DejaVu Sans" w:hAnsi="DejaVu Sans" w:eastAsia="DejaVu Sans"/>
                <w:b/>
                <w:i w:val="0"/>
                <w:color w:val="5C6773"/>
                <w:sz w:val="17"/>
              </w:rPr>
              <w:t>T2-F227</w:t>
            </w:r>
          </w:p>
        </w:tc>
        <w:trPr>
          <w:tblHeader/>
        </w:trPr>
      </w:tr>
    </w:tbl>
    <w:p>
      <w:pPr>
        <w:spacing w:after="0"/>
      </w:pPr>
    </w:p>
    <w:p>
      <w:pPr>
        <w:pStyle w:val="Heading2"/>
        <w:keepNext/>
        <w:pageBreakBefore w:val="0"/>
      </w:pPr>
      <w:r>
        <w:t>20.3. Motivic Carrier and the Grothendieck Ring of Varieties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[X]=[Z]+[X\Z] for closed Z subset X, and [X]*[Y]=[X x Y].</w:t>
            </w:r>
          </w:p>
        </w:tc>
        <w:tc>
          <w:tcPr>
            <w:tcW w:type="dxa" w:w="1531"/>
            <w:shd w:fill="F6F8FA"/>
          </w:tcPr>
          <w:p>
            <w:pPr>
              <w:jc w:val="right"/>
            </w:pPr>
            <w:r>
              <w:rPr>
                <w:rFonts w:ascii="DejaVu Sans" w:hAnsi="DejaVu Sans" w:eastAsia="DejaVu Sans"/>
                <w:b/>
                <w:i w:val="0"/>
                <w:color w:val="5C6773"/>
                <w:sz w:val="17"/>
              </w:rPr>
              <w:t>T2-F228</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MotCar=(R_mot, 𝕃^{1/2}, Fil, Comp, μ̂, or, src, D, Dom),</w:t>
            </w:r>
          </w:p>
        </w:tc>
        <w:tc>
          <w:tcPr>
            <w:tcW w:type="dxa" w:w="1531"/>
            <w:shd w:fill="F6F8FA"/>
          </w:tcPr>
          <w:p>
            <w:pPr>
              <w:jc w:val="right"/>
            </w:pPr>
            <w:r>
              <w:rPr>
                <w:rFonts w:ascii="DejaVu Sans" w:hAnsi="DejaVu Sans" w:eastAsia="DejaVu Sans"/>
                <w:b/>
                <w:i w:val="0"/>
                <w:color w:val="5C6773"/>
                <w:sz w:val="17"/>
              </w:rPr>
              <w:t>T2-F229</w:t>
            </w:r>
          </w:p>
        </w:tc>
        <w:trPr>
          <w:tblHeader/>
        </w:trPr>
      </w:tr>
    </w:tbl>
    <w:p>
      <w:pPr>
        <w:spacing w:after="0"/>
      </w:pPr>
    </w:p>
    <w:p>
      <w:pPr>
        <w:pStyle w:val="Heading2"/>
        <w:keepNext/>
        <w:pageBreakBefore w:val="0"/>
      </w:pPr>
      <w:r>
        <w:t>20.4. Realizations and the Numerical Indistinguishability Theorem</w:t>
      </w:r>
    </w:p>
    <w:p>
      <w:pPr>
        <w:widowControl/>
        <w:spacing w:after="80" w:line="264" w:lineRule="auto"/>
      </w:pPr>
      <w:r>
        <w:rPr>
          <w:rFonts w:ascii="DejaVu Serif" w:hAnsi="DejaVu Serif" w:eastAsia="DejaVu Serif"/>
          <w:b w:val="0"/>
          <w:i w:val="0"/>
          <w:color w:val="111111"/>
          <w:sz w:val="20"/>
        </w:rPr>
        <w:t>The statement is read under the explicitly declared hypotheses; its conclusion remains inside the mathematical model and does not acquire empirical status by translation. Categorical, motivic, refined, numerical, temporal, and empirical carriers are tracked as distinct levels.</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20.2. Numerical Indistinguishability [THM] </w:t>
            </w:r>
            <w:r>
              <w:rPr>
                <w:rFonts w:ascii="DejaVu Serif" w:hAnsi="DejaVu Serif" w:eastAsia="DejaVu Serif"/>
                <w:b w:val="0"/>
                <w:i w:val="0"/>
                <w:color w:val="111111"/>
                <w:sz w:val="19"/>
              </w:rPr>
              <w:t>Equal numerical realizations do not reconstruct equivalent categorical or motivic carriers unless the selected realization functor is proved conservative on the declared subcategory.</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χ_c : K₀(Var_ℂ) → ℤ, E_c : K₀(Var_ℂ) → ℤ[u,v].</w:t>
            </w:r>
          </w:p>
        </w:tc>
        <w:tc>
          <w:tcPr>
            <w:tcW w:type="dxa" w:w="1531"/>
            <w:shd w:fill="F6F8FA"/>
          </w:tcPr>
          <w:p>
            <w:pPr>
              <w:jc w:val="right"/>
            </w:pPr>
            <w:r>
              <w:rPr>
                <w:rFonts w:ascii="DejaVu Sans" w:hAnsi="DejaVu Sans" w:eastAsia="DejaVu Sans"/>
                <w:b/>
                <w:i w:val="0"/>
                <w:color w:val="5C6773"/>
                <w:sz w:val="17"/>
              </w:rPr>
              <w:t>T2-F230</w:t>
            </w:r>
          </w:p>
        </w:tc>
        <w:trPr>
          <w:tblHeader/>
        </w:trPr>
      </w:tr>
    </w:tbl>
    <w:p>
      <w:pPr>
        <w:spacing w:after="0"/>
      </w:pPr>
    </w:p>
    <w:p>
      <w:pPr>
        <w:pStyle w:val="Heading2"/>
        <w:keepNext/>
        <w:pageBreakBefore w:val="0"/>
      </w:pPr>
      <w:r>
        <w:t>20.5. Power Structures and Plethystic Operations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PExp(f)=exp(Σ_{r≥1} ψ_r(f)/r), PLog=PExp^{-1}.</w:t>
            </w:r>
          </w:p>
        </w:tc>
        <w:tc>
          <w:tcPr>
            <w:tcW w:type="dxa" w:w="1531"/>
            <w:shd w:fill="F6F8FA"/>
          </w:tcPr>
          <w:p>
            <w:pPr>
              <w:jc w:val="right"/>
            </w:pPr>
            <w:r>
              <w:rPr>
                <w:rFonts w:ascii="DejaVu Sans" w:hAnsi="DejaVu Sans" w:eastAsia="DejaVu Sans"/>
                <w:b/>
                <w:i w:val="0"/>
                <w:color w:val="5C6773"/>
                <w:sz w:val="17"/>
              </w:rPr>
              <w:t>T2-F231</w:t>
            </w:r>
          </w:p>
        </w:tc>
        <w:trPr>
          <w:tblHeader/>
        </w:trPr>
      </w:tr>
    </w:tbl>
    <w:p>
      <w:pPr>
        <w:spacing w:after="0"/>
      </w:pPr>
    </w:p>
    <w:p>
      <w:pPr>
        <w:pStyle w:val="Heading2"/>
        <w:keepNext/>
        <w:pageBreakBefore w:val="0"/>
      </w:pPr>
      <w:r>
        <w:t>20.6. Motivic Vanishing Cycles and Orientation Data</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MF^φ_{U,f} ∈ 𝓜_X^{μ̂}, Real(MF^φ_{U,f}) = vanishing-cycle realization.</w:t>
            </w:r>
          </w:p>
        </w:tc>
        <w:tc>
          <w:tcPr>
            <w:tcW w:type="dxa" w:w="1531"/>
            <w:shd w:fill="F6F8FA"/>
          </w:tcPr>
          <w:p>
            <w:pPr>
              <w:jc w:val="right"/>
            </w:pPr>
            <w:r>
              <w:rPr>
                <w:rFonts w:ascii="DejaVu Sans" w:hAnsi="DejaVu Sans" w:eastAsia="DejaVu Sans"/>
                <w:b/>
                <w:i w:val="0"/>
                <w:color w:val="5C6773"/>
                <w:sz w:val="17"/>
              </w:rPr>
              <w:t>T2-F232</w:t>
            </w:r>
          </w:p>
        </w:tc>
        <w:trPr>
          <w:tblHeader/>
        </w:trPr>
      </w:tr>
    </w:tbl>
    <w:p>
      <w:pPr>
        <w:spacing w:after="0"/>
      </w:pPr>
    </w:p>
    <w:p>
      <w:pPr>
        <w:pStyle w:val="Heading2"/>
        <w:keepNext/>
        <w:pageBreakBefore w:val="0"/>
      </w:pPr>
      <w:r>
        <w:t>20.7. Refined Invariants and the Realization Passport</w:t>
      </w:r>
    </w:p>
    <w:p>
      <w:pPr>
        <w:widowControl/>
        <w:spacing w:after="80" w:line="264" w:lineRule="auto"/>
      </w:pPr>
      <w:r>
        <w:rPr>
          <w:rFonts w:ascii="DejaVu Serif" w:hAnsi="DejaVu Serif" w:eastAsia="DejaVu Serif"/>
          <w:b w:val="0"/>
          <w:i w:val="0"/>
          <w:color w:val="111111"/>
          <w:sz w:val="20"/>
        </w:rPr>
        <w:t>The certificate records inputs, algorithms, tolerances, residuals, sources, code and data hashes, and the weakest evidential status supported by the chain.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Ω_γ^{ref}(y)=Σ_j (-1)^j dim 𝓗_γ^j · y^{j/2}.</w:t>
            </w:r>
          </w:p>
        </w:tc>
        <w:tc>
          <w:tcPr>
            <w:tcW w:type="dxa" w:w="1531"/>
            <w:shd w:fill="F6F8FA"/>
          </w:tcPr>
          <w:p>
            <w:pPr>
              <w:jc w:val="right"/>
            </w:pPr>
            <w:r>
              <w:rPr>
                <w:rFonts w:ascii="DejaVu Sans" w:hAnsi="DejaVu Sans" w:eastAsia="DejaVu Sans"/>
                <w:b/>
                <w:i w:val="0"/>
                <w:color w:val="5C6773"/>
                <w:sz w:val="17"/>
              </w:rPr>
              <w:t>T2-F233</w:t>
            </w:r>
          </w:p>
        </w:tc>
        <w:trPr>
          <w:tblHeader/>
        </w:trPr>
      </w:tr>
    </w:tbl>
    <w:p>
      <w:pPr>
        <w:spacing w:after="0"/>
      </w:pPr>
    </w:p>
    <w:p>
      <w:pPr>
        <w:pStyle w:val="Heading2"/>
        <w:keepNext/>
        <w:pageBreakBefore w:val="0"/>
      </w:pPr>
      <w:r>
        <w:rPr>
          <w:rFonts w:ascii="Aptos" w:hAnsi="Aptos"/>
          <w:b w:val="0"/>
          <w:i w:val="0"/>
          <w:sz w:val="20"/>
        </w:rPr>
        <w:t>20.8. Cohomologicalical Hall Algebra</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CoHA=⊕_{γ∈Γ_+} H^•_{c,G_γ}(Rep_γ, φ_{Tr W}),</w:t>
            </w:r>
          </w:p>
        </w:tc>
        <w:tc>
          <w:tcPr>
            <w:tcW w:type="dxa" w:w="1531"/>
            <w:shd w:fill="F6F8FA"/>
          </w:tcPr>
          <w:p>
            <w:pPr>
              <w:jc w:val="right"/>
            </w:pPr>
            <w:r>
              <w:rPr>
                <w:rFonts w:ascii="DejaVu Sans" w:hAnsi="DejaVu Sans" w:eastAsia="DejaVu Sans"/>
                <w:b/>
                <w:i w:val="0"/>
                <w:color w:val="5C6773"/>
                <w:sz w:val="17"/>
              </w:rPr>
              <w:t>T2-F234</w:t>
            </w:r>
          </w:p>
        </w:tc>
        <w:trPr>
          <w:tblHeader/>
        </w:trPr>
      </w:tr>
    </w:tbl>
    <w:p>
      <w:pPr>
        <w:spacing w:after="0"/>
      </w:pPr>
    </w:p>
    <w:p>
      <w:pPr>
        <w:pStyle w:val="Heading2"/>
        <w:keepNext/>
        <w:pageBreakBefore w:val="0"/>
      </w:pPr>
      <w:r>
        <w:rPr>
          <w:rFonts w:ascii="Aptos" w:hAnsi="Aptos"/>
          <w:b w:val="0"/>
          <w:i w:val="0"/>
          <w:sz w:val="20"/>
        </w:rPr>
        <w:t>20.9. BPS Cohomologicaly and Integrality</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BPS_γ ∈ MHM(M_γ), Ω_γ^{ref}=Real(BPS_γ).</w:t>
            </w:r>
          </w:p>
        </w:tc>
        <w:tc>
          <w:tcPr>
            <w:tcW w:type="dxa" w:w="1531"/>
            <w:shd w:fill="F6F8FA"/>
          </w:tcPr>
          <w:p>
            <w:pPr>
              <w:jc w:val="right"/>
            </w:pPr>
            <w:r>
              <w:rPr>
                <w:rFonts w:ascii="DejaVu Sans" w:hAnsi="DejaVu Sans" w:eastAsia="DejaVu Sans"/>
                <w:b/>
                <w:i w:val="0"/>
                <w:color w:val="5C6773"/>
                <w:sz w:val="17"/>
              </w:rPr>
              <w:t>T2-F235</w:t>
            </w:r>
          </w:p>
        </w:tc>
        <w:trPr>
          <w:tblHeader/>
        </w:trPr>
      </w:tr>
    </w:tbl>
    <w:p>
      <w:pPr>
        <w:spacing w:after="0"/>
      </w:pPr>
    </w:p>
    <w:p>
      <w:pPr>
        <w:pStyle w:val="Heading2"/>
        <w:keepNext/>
        <w:pageBreakBefore w:val="0"/>
      </w:pPr>
      <w:r>
        <w:t>20.10. Generating Series as Completed Graded Objects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Z_ref(𝐱;y,𝕃)=1+Σ_{0≠γ∈Γ_+} Ω_γ^{ref}(y,𝕃) 𝐱^γ ∈ 1+Î.</w:t>
            </w:r>
          </w:p>
        </w:tc>
        <w:tc>
          <w:tcPr>
            <w:tcW w:type="dxa" w:w="1531"/>
            <w:shd w:fill="F6F8FA"/>
          </w:tcPr>
          <w:p>
            <w:pPr>
              <w:jc w:val="right"/>
            </w:pPr>
            <w:r>
              <w:rPr>
                <w:rFonts w:ascii="DejaVu Sans" w:hAnsi="DejaVu Sans" w:eastAsia="DejaVu Sans"/>
                <w:b/>
                <w:i w:val="0"/>
                <w:color w:val="5C6773"/>
                <w:sz w:val="17"/>
              </w:rPr>
              <w:t>T2-F236</w:t>
            </w:r>
          </w:p>
        </w:tc>
        <w:trPr>
          <w:tblHeader/>
        </w:trPr>
      </w:tr>
    </w:tbl>
    <w:p>
      <w:pPr>
        <w:spacing w:after="0"/>
      </w:pPr>
    </w:p>
    <w:p>
      <w:pPr>
        <w:pStyle w:val="Heading2"/>
        <w:keepNext/>
        <w:pageBreakBefore w:val="0"/>
      </w:pPr>
      <w:r>
        <w:t>20.11. Quantum Torus and Ordered Factorizations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𝐱^α 𝐱^β = 𝕃^{⟨α,β⟩/2} 𝐱^{α+β}.</w:t>
            </w:r>
          </w:p>
        </w:tc>
        <w:tc>
          <w:tcPr>
            <w:tcW w:type="dxa" w:w="1531"/>
            <w:shd w:fill="F6F8FA"/>
          </w:tcPr>
          <w:p>
            <w:pPr>
              <w:jc w:val="right"/>
            </w:pPr>
            <w:r>
              <w:rPr>
                <w:rFonts w:ascii="DejaVu Sans" w:hAnsi="DejaVu Sans" w:eastAsia="DejaVu Sans"/>
                <w:b/>
                <w:i w:val="0"/>
                <w:color w:val="5C6773"/>
                <w:sz w:val="17"/>
              </w:rPr>
              <w:t>T2-F237</w:t>
            </w:r>
          </w:p>
        </w:tc>
        <w:trPr>
          <w:tblHeader/>
        </w:trPr>
      </w:tr>
    </w:tbl>
    <w:p>
      <w:pPr>
        <w:spacing w:after="0"/>
      </w:pPr>
    </w:p>
    <w:p>
      <w:pPr>
        <w:pStyle w:val="Heading2"/>
        <w:keepNext/>
        <w:pageBreakBefore w:val="0"/>
      </w:pPr>
      <w:r>
        <w:t>20.12. Rationality and Functional Equations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Z(q^{-1}) = q^a * epsilon * Z(q), or Z(q)=P(q)/Q(q).</w:t>
            </w:r>
          </w:p>
        </w:tc>
        <w:tc>
          <w:tcPr>
            <w:tcW w:type="dxa" w:w="1531"/>
            <w:shd w:fill="F6F8FA"/>
          </w:tcPr>
          <w:p>
            <w:pPr>
              <w:jc w:val="right"/>
            </w:pPr>
            <w:r>
              <w:rPr>
                <w:rFonts w:ascii="DejaVu Sans" w:hAnsi="DejaVu Sans" w:eastAsia="DejaVu Sans"/>
                <w:b/>
                <w:i w:val="0"/>
                <w:color w:val="5C6773"/>
                <w:sz w:val="17"/>
              </w:rPr>
              <w:t>T2-F238</w:t>
            </w:r>
          </w:p>
        </w:tc>
        <w:trPr>
          <w:tblHeader/>
        </w:trPr>
      </w:tr>
    </w:tbl>
    <w:p>
      <w:pPr>
        <w:spacing w:after="0"/>
      </w:pPr>
    </w:p>
    <w:p>
      <w:pPr>
        <w:pStyle w:val="Heading2"/>
        <w:keepNext/>
        <w:pageBreakBefore w:val="0"/>
      </w:pPr>
      <w:r>
        <w:t>20.13. Non-identifiability of Time from Coefficients</w:t>
      </w:r>
    </w:p>
    <w:p>
      <w:pPr>
        <w:widowControl/>
        <w:spacing w:after="80" w:line="264" w:lineRule="auto"/>
      </w:pPr>
      <w:r>
        <w:rPr>
          <w:rFonts w:ascii="DejaVu Serif" w:hAnsi="DejaVu Serif" w:eastAsia="DejaVu Serif"/>
          <w:b w:val="0"/>
          <w:i w:val="0"/>
          <w:color w:val="111111"/>
          <w:sz w:val="20"/>
        </w:rPr>
        <w:t>Separating models show that the prohibited inference fails even when the upstream mathematical object is well defined. Categorical, motivic, refined, numerical, temporal, and empirical carriers are tracked as distinct levels.</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20.5. Time Non-identifiability from Coefficients [THM] </w:t>
            </w:r>
            <w:r>
              <w:rPr>
                <w:rFonts w:ascii="DejaVu Serif" w:hAnsi="DejaVu Serif" w:eastAsia="DejaVu Serif"/>
                <w:b w:val="0"/>
                <w:i w:val="0"/>
                <w:color w:val="111111"/>
                <w:sz w:val="19"/>
              </w:rPr>
              <w:t>A graded or generating-series coefficient sequence does not identify a temporal evolution law without a time set, state embedding, evolution family, observation map, and calibration contract.</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graded coefficient ≠ time-stamped state; generating series ≠ flow.</w:t>
            </w:r>
          </w:p>
        </w:tc>
        <w:tc>
          <w:tcPr>
            <w:tcW w:type="dxa" w:w="1531"/>
            <w:shd w:fill="F6F8FA"/>
          </w:tcPr>
          <w:p>
            <w:pPr>
              <w:jc w:val="right"/>
            </w:pPr>
            <w:r>
              <w:rPr>
                <w:rFonts w:ascii="DejaVu Sans" w:hAnsi="DejaVu Sans" w:eastAsia="DejaVu Sans"/>
                <w:b/>
                <w:i w:val="0"/>
                <w:color w:val="5C6773"/>
                <w:sz w:val="17"/>
              </w:rPr>
              <w:t>T2-F239</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47" name="Picture 47" descr="Figure 48. Barrier between a generating series and temporal dynamics." title="Figure 48. Barrier between a generating series and temporal dynamics."/>
            <wp:cNvGraphicFramePr>
              <a:graphicFrameLocks noChangeAspect="1"/>
            </wp:cNvGraphicFramePr>
            <a:graphic>
              <a:graphicData uri="http://schemas.openxmlformats.org/drawingml/2006/picture">
                <pic:pic>
                  <pic:nvPicPr>
                    <pic:cNvPr id="0" name="fig48_series_time_barrier.png"/>
                    <pic:cNvPicPr/>
                  </pic:nvPicPr>
                  <pic:blipFill>
                    <a:blip r:embed="rId57"/>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48. Barrier between a generating series and temporal dynamics.</w:t>
      </w:r>
    </w:p>
    <w:p>
      <w:pPr>
        <w:pStyle w:val="Heading2"/>
        <w:keepNext/>
        <w:pageBreakBefore w:val="0"/>
      </w:pPr>
      <w:r>
        <w:t>20.14. Minimal Dynamical Bridge</w:t>
      </w:r>
    </w:p>
    <w:p>
      <w:pPr>
        <w:widowControl/>
        <w:spacing w:after="80" w:line="264" w:lineRule="auto"/>
      </w:pPr>
      <w:r>
        <w:rPr>
          <w:rFonts w:ascii="DejaVu Serif" w:hAnsi="DejaVu Serif" w:eastAsia="DejaVu Serif"/>
          <w:b w:val="0"/>
          <w:i w:val="0"/>
          <w:color w:val="111111"/>
          <w:sz w:val="20"/>
        </w:rPr>
        <w:t>The bridge is an additional typed map with its own identification, calibration, and transport obligations; it is not supplied by a shared notation.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B_dyn=(T,S,τ,U,𝒢,ι,Obs,noise,Cal,Ext,D,Dom).</w:t>
            </w:r>
          </w:p>
        </w:tc>
        <w:tc>
          <w:tcPr>
            <w:tcW w:type="dxa" w:w="1531"/>
            <w:shd w:fill="F6F8FA"/>
          </w:tcPr>
          <w:p>
            <w:pPr>
              <w:jc w:val="right"/>
            </w:pPr>
            <w:r>
              <w:rPr>
                <w:rFonts w:ascii="DejaVu Sans" w:hAnsi="DejaVu Sans" w:eastAsia="DejaVu Sans"/>
                <w:b/>
                <w:i w:val="0"/>
                <w:color w:val="5C6773"/>
                <w:sz w:val="17"/>
              </w:rPr>
              <w:t>T2-F240</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U(t,t)=Id, U(t,r)∘U(r,s)=U(t,s), t≥r≥s.</w:t>
            </w:r>
          </w:p>
        </w:tc>
        <w:tc>
          <w:tcPr>
            <w:tcW w:type="dxa" w:w="1531"/>
            <w:shd w:fill="F6F8FA"/>
          </w:tcPr>
          <w:p>
            <w:pPr>
              <w:jc w:val="right"/>
            </w:pPr>
            <w:r>
              <w:rPr>
                <w:rFonts w:ascii="DejaVu Sans" w:hAnsi="DejaVu Sans" w:eastAsia="DejaVu Sans"/>
                <w:b/>
                <w:i w:val="0"/>
                <w:color w:val="5C6773"/>
                <w:sz w:val="17"/>
              </w:rPr>
              <w:t>T2-F241</w:t>
            </w:r>
          </w:p>
        </w:tc>
        <w:trPr>
          <w:tblHeader/>
        </w:trPr>
      </w:tr>
    </w:tbl>
    <w:p>
      <w:pPr>
        <w:spacing w:after="0"/>
      </w:pPr>
    </w:p>
    <w:p>
      <w:pPr>
        <w:pStyle w:val="Heading2"/>
        <w:keepNext/>
        <w:pageBreakBefore w:val="0"/>
      </w:pPr>
      <w:r>
        <w:t>20.15. Semigroups, Generators, and Transfer Operators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Ax = lim_{t↓0} (U(t)x-x)/t, x∈Dom(A).</w:t>
            </w:r>
          </w:p>
        </w:tc>
        <w:tc>
          <w:tcPr>
            <w:tcW w:type="dxa" w:w="1531"/>
            <w:shd w:fill="F6F8FA"/>
          </w:tcPr>
          <w:p>
            <w:pPr>
              <w:jc w:val="right"/>
            </w:pPr>
            <w:r>
              <w:rPr>
                <w:rFonts w:ascii="DejaVu Sans" w:hAnsi="DejaVu Sans" w:eastAsia="DejaVu Sans"/>
                <w:b/>
                <w:i w:val="0"/>
                <w:color w:val="5C6773"/>
                <w:sz w:val="17"/>
              </w:rPr>
              <w:t>T2-F242</w:t>
            </w:r>
          </w:p>
        </w:tc>
        <w:trPr>
          <w:tblHeader/>
        </w:trPr>
      </w:tr>
    </w:tbl>
    <w:p>
      <w:pPr>
        <w:spacing w:after="0"/>
      </w:pPr>
    </w:p>
    <w:p>
      <w:pPr>
        <w:pStyle w:val="Heading2"/>
        <w:keepNext/>
        <w:pageBreakBefore w:val="0"/>
      </w:pPr>
      <w:r>
        <w:t>20.16. Path-Space Carrier and Causal Order</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K_{t,s}=K_{t,r}∘K_{r,s}.</w:t>
            </w:r>
          </w:p>
        </w:tc>
        <w:tc>
          <w:tcPr>
            <w:tcW w:type="dxa" w:w="1531"/>
            <w:shd w:fill="F6F8FA"/>
          </w:tcPr>
          <w:p>
            <w:pPr>
              <w:jc w:val="right"/>
            </w:pPr>
            <w:r>
              <w:rPr>
                <w:rFonts w:ascii="DejaVu Sans" w:hAnsi="DejaVu Sans" w:eastAsia="DejaVu Sans"/>
                <w:b/>
                <w:i w:val="0"/>
                <w:color w:val="5C6773"/>
                <w:sz w:val="17"/>
              </w:rPr>
              <w:t>T2-F243</w:t>
            </w:r>
          </w:p>
        </w:tc>
        <w:trPr>
          <w:tblHeader/>
        </w:trPr>
      </w:tr>
    </w:tbl>
    <w:p>
      <w:pPr>
        <w:spacing w:after="0"/>
      </w:pPr>
    </w:p>
    <w:p>
      <w:pPr>
        <w:pStyle w:val="Heading2"/>
        <w:keepNext/>
        <w:pageBreakBefore w:val="0"/>
      </w:pPr>
      <w:r>
        <w:t>20.17. Empirical Bridge and Operationalization</w:t>
      </w:r>
    </w:p>
    <w:p>
      <w:pPr>
        <w:widowControl/>
        <w:spacing w:after="80" w:line="264" w:lineRule="auto"/>
      </w:pPr>
      <w:r>
        <w:rPr>
          <w:rFonts w:ascii="DejaVu Serif" w:hAnsi="DejaVu Serif" w:eastAsia="DejaVu Serif"/>
          <w:b w:val="0"/>
          <w:i w:val="0"/>
          <w:color w:val="111111"/>
          <w:sz w:val="20"/>
        </w:rPr>
        <w:t>The bridge is an additional typed map with its own identification, calibration, and transport obligations; it is not supplied by a shared notation.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Y_t = Obs(U(t,t₀)ι(𝓜_ref)) + ε_t.</w:t>
            </w:r>
          </w:p>
        </w:tc>
        <w:tc>
          <w:tcPr>
            <w:tcW w:type="dxa" w:w="1531"/>
            <w:shd w:fill="F6F8FA"/>
          </w:tcPr>
          <w:p>
            <w:pPr>
              <w:jc w:val="right"/>
            </w:pPr>
            <w:r>
              <w:rPr>
                <w:rFonts w:ascii="DejaVu Sans" w:hAnsi="DejaVu Sans" w:eastAsia="DejaVu Sans"/>
                <w:b/>
                <w:i w:val="0"/>
                <w:color w:val="5C6773"/>
                <w:sz w:val="17"/>
              </w:rPr>
              <w:t>T2-F244</w:t>
            </w:r>
          </w:p>
        </w:tc>
        <w:trPr>
          <w:tblHeader/>
        </w:trPr>
      </w:tr>
    </w:tbl>
    <w:p>
      <w:pPr>
        <w:spacing w:after="0"/>
      </w:pPr>
    </w:p>
    <w:p>
      <w:pPr>
        <w:pStyle w:val="Heading2"/>
        <w:keepNext/>
        <w:pageBreakBefore w:val="0"/>
      </w:pPr>
      <w:r>
        <w:t>20.18. Motivic-Refined Reper Certificate</w:t>
      </w:r>
    </w:p>
    <w:p>
      <w:pPr>
        <w:widowControl/>
        <w:spacing w:after="80" w:line="264" w:lineRule="auto"/>
      </w:pPr>
      <w:r>
        <w:rPr>
          <w:rFonts w:ascii="DejaVu Serif" w:hAnsi="DejaVu Serif" w:eastAsia="DejaVu Serif"/>
          <w:b w:val="0"/>
          <w:i w:val="0"/>
          <w:color w:val="111111"/>
          <w:sz w:val="20"/>
        </w:rPr>
        <w:t>The certificate records inputs, algorithms, tolerances, residuals, sources, code and data hashes, and the weakest evidential status supported by the chain.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MotRefCert=(𝕍,K₀,𝓜,Real,Ω_ref,Z_ref,B_dyn,B_emp,src,code,D,Dom).</w:t>
            </w:r>
          </w:p>
        </w:tc>
        <w:tc>
          <w:tcPr>
            <w:tcW w:type="dxa" w:w="1531"/>
            <w:shd w:fill="F6F8FA"/>
          </w:tcPr>
          <w:p>
            <w:pPr>
              <w:jc w:val="right"/>
            </w:pPr>
            <w:r>
              <w:rPr>
                <w:rFonts w:ascii="DejaVu Sans" w:hAnsi="DejaVu Sans" w:eastAsia="DejaVu Sans"/>
                <w:b/>
                <w:i w:val="0"/>
                <w:color w:val="5C6773"/>
                <w:sz w:val="17"/>
              </w:rPr>
              <w:t>T2-F245</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Rep_mot=(R_mot,I_mot,U_mot;D_mot),</w:t>
            </w:r>
          </w:p>
        </w:tc>
        <w:tc>
          <w:tcPr>
            <w:tcW w:type="dxa" w:w="1531"/>
            <w:shd w:fill="F6F8FA"/>
          </w:tcPr>
          <w:p>
            <w:pPr>
              <w:jc w:val="right"/>
            </w:pPr>
            <w:r>
              <w:rPr>
                <w:rFonts w:ascii="DejaVu Sans" w:hAnsi="DejaVu Sans" w:eastAsia="DejaVu Sans"/>
                <w:b/>
                <w:i w:val="0"/>
                <w:color w:val="5C6773"/>
                <w:sz w:val="17"/>
              </w:rPr>
              <w:t>T2-F246</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20.19. Information Residuals and Refined CGI</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R_ref=(r_cat,r_K₀,r_mot,r_real,r_spec,r_series,r_time,r_evol,r_obs,r_ext).</w:t>
            </w:r>
          </w:p>
        </w:tc>
        <w:tc>
          <w:tcPr>
            <w:tcW w:type="dxa" w:w="1531"/>
            <w:shd w:fill="F6F8FA"/>
          </w:tcPr>
          <w:p>
            <w:pPr>
              <w:jc w:val="right"/>
            </w:pPr>
            <w:r>
              <w:rPr>
                <w:rFonts w:ascii="DejaVu Sans" w:hAnsi="DejaVu Sans" w:eastAsia="DejaVu Sans"/>
                <w:b/>
                <w:i w:val="0"/>
                <w:color w:val="5C6773"/>
                <w:sz w:val="17"/>
              </w:rPr>
              <w:t>T2-F247</w:t>
            </w:r>
          </w:p>
        </w:tc>
        <w:trPr>
          <w:tblHeader/>
        </w:trPr>
      </w:tr>
    </w:tbl>
    <w:p>
      <w:pPr>
        <w:spacing w:after="0"/>
      </w:pPr>
    </w:p>
    <w:p>
      <w:pPr>
        <w:pStyle w:val="Heading2"/>
        <w:keepNext/>
        <w:pageBreakBefore w:val="0"/>
      </w:pPr>
      <w:r>
        <w:t>20.20. Three Transition Horizons</w:t>
      </w:r>
    </w:p>
    <w:p>
      <w:pPr>
        <w:widowControl/>
        <w:spacing w:after="80" w:line="264" w:lineRule="auto"/>
      </w:pPr>
      <w:r>
        <w:rPr>
          <w:rFonts w:ascii="DejaVu Serif" w:hAnsi="DejaVu Serif" w:eastAsia="DejaVu Serif"/>
          <w:b w:val="0"/>
          <w:i w:val="0"/>
          <w:color w:val="111111"/>
          <w:sz w:val="20"/>
        </w:rPr>
        <w:t>The horizon is the union of loci where rank, domain, topology, calibration, identification, or numerical certification can change.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Δ_mot = Δ_cat ∪ Δ_or ∪ Δ_glue ∪ Δ_comp ∪ Δ_real ∪ Δ_spec.</w:t>
            </w:r>
          </w:p>
        </w:tc>
        <w:tc>
          <w:tcPr>
            <w:tcW w:type="dxa" w:w="1531"/>
            <w:shd w:fill="F6F8FA"/>
          </w:tcPr>
          <w:p>
            <w:pPr>
              <w:jc w:val="right"/>
            </w:pPr>
            <w:r>
              <w:rPr>
                <w:rFonts w:ascii="DejaVu Sans" w:hAnsi="DejaVu Sans" w:eastAsia="DejaVu Sans"/>
                <w:b/>
                <w:i w:val="0"/>
                <w:color w:val="5C6773"/>
                <w:sz w:val="17"/>
              </w:rPr>
              <w:t>T2-F248</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Δ_series = Δ_ring ∪ Δ_order ∪ Δ_wall ∪ Δ_PExp ∪ Δ_conv ∪ Δ_func.</w:t>
            </w:r>
          </w:p>
        </w:tc>
        <w:tc>
          <w:tcPr>
            <w:tcW w:type="dxa" w:w="1531"/>
            <w:shd w:fill="F6F8FA"/>
          </w:tcPr>
          <w:p>
            <w:pPr>
              <w:jc w:val="right"/>
            </w:pPr>
            <w:r>
              <w:rPr>
                <w:rFonts w:ascii="DejaVu Sans" w:hAnsi="DejaVu Sans" w:eastAsia="DejaVu Sans"/>
                <w:b/>
                <w:i w:val="0"/>
                <w:color w:val="5C6773"/>
                <w:sz w:val="17"/>
              </w:rPr>
              <w:t>T2-F249</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Δ_dyn = Δ_time ∪ Δ_state ∪ Δ_U ∪ Δ_gen ∪ Δ_path ∪ Δ_obs ∪ Δ_cal ∪ Δ_ext.</w:t>
            </w:r>
          </w:p>
        </w:tc>
        <w:tc>
          <w:tcPr>
            <w:tcW w:type="dxa" w:w="1531"/>
            <w:shd w:fill="F6F8FA"/>
          </w:tcPr>
          <w:p>
            <w:pPr>
              <w:jc w:val="right"/>
            </w:pPr>
            <w:r>
              <w:rPr>
                <w:rFonts w:ascii="DejaVu Sans" w:hAnsi="DejaVu Sans" w:eastAsia="DejaVu Sans"/>
                <w:b/>
                <w:i w:val="0"/>
                <w:color w:val="5C6773"/>
                <w:sz w:val="17"/>
              </w:rPr>
              <w:t>T2-F250</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Δ_safe^{v0.17}=Δ_safe^{v0.16}∪Δ_mot∪Δ_series∪Δ_dyn.</w:t>
            </w:r>
          </w:p>
        </w:tc>
        <w:tc>
          <w:tcPr>
            <w:tcW w:type="dxa" w:w="1531"/>
            <w:shd w:fill="F6F8FA"/>
          </w:tcPr>
          <w:p>
            <w:pPr>
              <w:jc w:val="right"/>
            </w:pPr>
            <w:r>
              <w:rPr>
                <w:rFonts w:ascii="DejaVu Sans" w:hAnsi="DejaVu Sans" w:eastAsia="DejaVu Sans"/>
                <w:b/>
                <w:i w:val="0"/>
                <w:color w:val="5C6773"/>
                <w:sz w:val="17"/>
              </w:rPr>
              <w:t>T2-F251</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20.21. Main Conditional Theorem</w:t>
      </w:r>
    </w:p>
    <w:p>
      <w:pPr>
        <w:widowControl/>
        <w:spacing w:after="80" w:line="264" w:lineRule="auto"/>
      </w:pPr>
      <w:r>
        <w:rPr>
          <w:rFonts w:ascii="DejaVu Serif" w:hAnsi="DejaVu Serif" w:eastAsia="DejaVu Serif"/>
          <w:b w:val="0"/>
          <w:i w:val="0"/>
          <w:color w:val="111111"/>
          <w:sz w:val="20"/>
        </w:rPr>
        <w:t>The statement is read under the explicitly declared hypotheses; its conclusion remains inside the mathematical model and does not acquire empirical status by translation. Categorical, motivic, refined, numerical, temporal, and empirical carriers are tracked as distinct levels.</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Theorem 20.8. Conditional Refined-Profile Constancy [COND] </w:t>
            </w:r>
            <w:r>
              <w:rPr>
                <w:rFonts w:ascii="DejaVu Serif" w:hAnsi="DejaVu Serif" w:eastAsia="DejaVu Serif"/>
                <w:b w:val="0"/>
                <w:i w:val="0"/>
                <w:color w:val="111111"/>
                <w:sz w:val="19"/>
              </w:rPr>
              <w:t>Inside a fixed motivic, series, chamber and dynamical certificate, the refined profile is transported without status promotion. Any missing temporal or empirical bridge yields FORMAL-SERIES-ONLY or ABSTAIN.</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P_ref(t)=([𝕍_t],𝓜_t,Real_t,Ω_t^{ref},Z_t,chamber_t,λ_t,CGI_ref,t)</w:t>
            </w:r>
          </w:p>
        </w:tc>
        <w:tc>
          <w:tcPr>
            <w:tcW w:type="dxa" w:w="1531"/>
            <w:shd w:fill="F6F8FA"/>
          </w:tcPr>
          <w:p>
            <w:pPr>
              <w:jc w:val="right"/>
            </w:pPr>
            <w:r>
              <w:rPr>
                <w:rFonts w:ascii="DejaVu Sans" w:hAnsi="DejaVu Sans" w:eastAsia="DejaVu Sans"/>
                <w:b/>
                <w:i w:val="0"/>
                <w:color w:val="5C6773"/>
                <w:sz w:val="17"/>
              </w:rPr>
              <w:t>T2-F252</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NO-REFINED-CHANGE-IN-MODEL or FORMAL-SERIES-ONLY.</w:t>
            </w:r>
          </w:p>
        </w:tc>
        <w:tc>
          <w:tcPr>
            <w:tcW w:type="dxa" w:w="1531"/>
            <w:shd w:fill="F6F8FA"/>
          </w:tcPr>
          <w:p>
            <w:pPr>
              <w:jc w:val="right"/>
            </w:pPr>
            <w:r>
              <w:rPr>
                <w:rFonts w:ascii="DejaVu Sans" w:hAnsi="DejaVu Sans" w:eastAsia="DejaVu Sans"/>
                <w:b/>
                <w:i w:val="0"/>
                <w:color w:val="5C6773"/>
                <w:sz w:val="17"/>
              </w:rPr>
              <w:t>T2-F253</w:t>
            </w:r>
          </w:p>
        </w:tc>
        <w:trPr>
          <w:tblHeader/>
        </w:trPr>
      </w:tr>
    </w:tbl>
    <w:p>
      <w:pPr>
        <w:spacing w:after="0"/>
      </w:pPr>
    </w:p>
    <w:p>
      <w:pPr>
        <w:pStyle w:val="Heading2"/>
        <w:keepNext/>
        <w:pageBreakBefore w:val="0"/>
      </w:pPr>
      <w:r>
        <w:t>20.22. Three-Stage Blocker-Safe Verdict</w:t>
      </w:r>
    </w:p>
    <w:p>
      <w:pPr>
        <w:widowControl/>
        <w:spacing w:after="80" w:line="264" w:lineRule="auto"/>
      </w:pPr>
      <w:r>
        <w:rPr>
          <w:rFonts w:ascii="DejaVu Serif" w:hAnsi="DejaVu Serif" w:eastAsia="DejaVu Serif"/>
          <w:b w:val="0"/>
          <w:i w:val="0"/>
          <w:color w:val="111111"/>
          <w:sz w:val="20"/>
        </w:rPr>
        <w:t>The allowed output is multi-valued: a certified conclusion, an explicit candidate requiring further checks, ABSTAIN with blockers, or FAIL with a witness. Categorical, motivic, refined, numerical, temporal, and empirical carriers are tracked as distinct levels.</w:t>
      </w:r>
    </w:p>
    <w:p>
      <w:pPr>
        <w:keepNext/>
        <w:jc w:val="center"/>
      </w:pPr>
      <w:r>
        <w:drawing>
          <wp:inline xmlns:a="http://schemas.openxmlformats.org/drawingml/2006/main" xmlns:pic="http://schemas.openxmlformats.org/drawingml/2006/picture">
            <wp:extent cx="5760000" cy="3115102"/>
            <wp:docPr id="48" name="Picture 48" descr="Figure 49. Motivic, series, and dynamic verdict." title="Figure 49. Motivic, series, and dynamic verdict."/>
            <wp:cNvGraphicFramePr>
              <a:graphicFrameLocks noChangeAspect="1"/>
            </wp:cNvGraphicFramePr>
            <a:graphic>
              <a:graphicData uri="http://schemas.openxmlformats.org/drawingml/2006/picture">
                <pic:pic>
                  <pic:nvPicPr>
                    <pic:cNvPr id="0" name="fig49_refined_verdict.png"/>
                    <pic:cNvPicPr/>
                  </pic:nvPicPr>
                  <pic:blipFill>
                    <a:blip r:embed="rId58"/>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49. Motivic, series, and dynamic verdict.</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20.23. Counterexamples and Separating Models</w:t>
      </w:r>
    </w:p>
    <w:p>
      <w:pPr>
        <w:widowControl/>
        <w:spacing w:after="80" w:line="264" w:lineRule="auto"/>
      </w:pPr>
      <w:r>
        <w:rPr>
          <w:rFonts w:ascii="DejaVu Serif" w:hAnsi="DejaVu Serif" w:eastAsia="DejaVu Serif"/>
          <w:b w:val="0"/>
          <w:i w:val="0"/>
          <w:color w:val="111111"/>
          <w:sz w:val="20"/>
        </w:rPr>
        <w:t>Separating models show that the prohibited inference fails even when the upstream mathematical object is well defined. Categorical, motivic, refined, numerical, temporal, and empirical carriers are tracked as distinct levels.</w:t>
      </w:r>
    </w:p>
    <w:p>
      <w:pPr>
        <w:pStyle w:val="Heading2"/>
        <w:keepNext/>
        <w:pageBreakBefore w:val="0"/>
      </w:pPr>
      <w:r>
        <w:t>20.24. Computational Certificate MOT-REF-SER-DYN</w:t>
      </w:r>
    </w:p>
    <w:p>
      <w:pPr>
        <w:widowControl/>
        <w:spacing w:after="80" w:line="264" w:lineRule="auto"/>
      </w:pPr>
      <w:r>
        <w:rPr>
          <w:rFonts w:ascii="DejaVu Serif" w:hAnsi="DejaVu Serif" w:eastAsia="DejaVu Serif"/>
          <w:b w:val="0"/>
          <w:i w:val="0"/>
          <w:color w:val="111111"/>
          <w:sz w:val="20"/>
        </w:rPr>
        <w:t>The certificate records inputs, algorithms, tolerances, residuals, sources, code and data hashes, and the weakest evidential status supported by the chain. Categorical, motivic, refined, numerical, temporal, and empirical carriers are tracked as distinct levels.</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3"/>
        <w:keepNext/>
        <w:pageBreakBefore w:val="0"/>
      </w:pPr>
      <w:r>
        <w:t>20.24.1. Pseudocode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Categorical, motivic, refined, numerical, temporal, and empirical carriers are tracked as distinct levels.</w:t>
      </w:r>
    </w:p>
    <w:p>
      <w:pPr>
        <w:pStyle w:val="Heading2"/>
        <w:keepNext/>
        <w:pageBreakBefore w:val="0"/>
      </w:pPr>
      <w:r>
        <w:t>20.25. Prior Art and Boundary of the Authorial Contribution</w:t>
      </w:r>
    </w:p>
    <w:p>
      <w:pPr>
        <w:widowControl/>
        <w:spacing w:after="80" w:line="264" w:lineRule="auto"/>
      </w:pPr>
      <w:r>
        <w:rPr>
          <w:rFonts w:ascii="DejaVu Serif" w:hAnsi="DejaVu Serif" w:eastAsia="DejaVu Serif"/>
          <w:b w:val="0"/>
          <w:i w:val="0"/>
          <w:color w:val="111111"/>
          <w:sz w:val="20"/>
        </w:rPr>
        <w:t>Classical constructions retain their standard attribution; the authorial contribution is the typed, blocker-safe synthesis inside KLT-RBD. Categorical, motivic, refined, numerical, temporal, and empirical carriers are tracked as distinct levels.</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BOUNDARY OF CHAPTER 20. </w:t>
            </w:r>
            <w:r>
              <w:rPr>
                <w:rFonts w:ascii="DejaVu Serif" w:hAnsi="DejaVu Serif" w:eastAsia="DejaVu Serif"/>
                <w:b w:val="0"/>
                <w:i w:val="0"/>
                <w:color w:val="111111"/>
                <w:sz w:val="19"/>
              </w:rPr>
              <w:t>A grading, charge, coefficient index, or generating-series variable is not physical time without a state space, evolution family, observable, and empirical bridge. truth_layer_promotion=0; independent EXT-RUN and EMP-OBS remain absent.</w:t>
            </w:r>
          </w:p>
        </w:tc>
        <w:trPr>
          <w:tblHeader/>
        </w:trPr>
      </w:tr>
    </w:tbl>
    <w:p>
      <w:pPr>
        <w:pStyle w:val="Heading1"/>
        <w:keepNext/>
        <w:pageBreakBefore/>
      </w:pPr>
      <w:bookmarkStart w:id="1020" w:name="T2_CH21"/>
      <w:r>
        <w:t>Chapter 21. Nonlinear Evolution Semigroups, Transfer Operators, Path-Space Carriers, and Causal Kernels</w:t>
      </w:r>
      <w:bookmarkEnd w:id="1020"/>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Temporal prediction requires an evolution law on states and a compatible carrier on observables, measures, and paths.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certified through domains, semigroup or evolution-family identities, generators, kernels, path consistency, non-anticipation, and observation maps.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dynamics appears through nonlinear flows, Koopman and transfer operators, Markov kernels, Volterra memory, and Reper trajectories.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Static snapshots do not determine a unique evolution, and a transition kernel is not an intervention kernel or a physical cause.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the temporal Reper carrier with causal typing, dynamic residuals, transition horizons, and blocker-safe output.</w:t>
            </w:r>
          </w:p>
        </w:tc>
      </w:tr>
    </w:tbl>
    <w:p>
      <w:pPr>
        <w:spacing w:after="20"/>
      </w:pP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243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Controlled field</w:t>
            </w:r>
          </w:p>
        </w:tc>
        <w:tc>
          <w:tcPr>
            <w:tcW w:type="dxa" w:w="691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Value</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Canonical input</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Frozen Russian Chapter 21, inherited English Chapters 1-18, and formula/source passports.</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New mathematical layer</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Temporal prediction requires an evolution law on states and a compatible carrier on observables, measures, and paths.</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Status rule</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Definitions, theorems, conditional bridges, models, numerical certificates, and physical hypotheses remain distinct.</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Prohibition</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Static snapshots do not determine a unique evolution, and a transition kernel is not an intervention kernel or a physical cause.</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Downstream role</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Chapter 24 composes all certified layers and preserves ABSTAIN/FAIL as absorbing results.</w:t>
            </w:r>
          </w:p>
        </w:tc>
      </w:tr>
    </w:tbl>
    <w:p>
      <w:pPr>
        <w:spacing w:after="20"/>
      </w:pPr>
    </w:p>
    <w:p>
      <w:pPr>
        <w:pStyle w:val="Heading2"/>
        <w:keepNext/>
        <w:pageBreakBefore w:val="0"/>
      </w:pPr>
      <w:r>
        <w:t>21.1. Types of Time, State, and Evolution</w:t>
      </w:r>
    </w:p>
    <w:p>
      <w:pPr>
        <w:widowControl/>
        <w:spacing w:after="80" w:line="264" w:lineRule="auto"/>
      </w:pPr>
      <w:r>
        <w:rPr>
          <w:rFonts w:ascii="DejaVu Serif" w:hAnsi="DejaVu Serif" w:eastAsia="DejaVu Serif"/>
          <w:b w:val="0"/>
          <w:i w:val="0"/>
          <w:color w:val="111111"/>
          <w:sz w:val="20"/>
        </w:rPr>
        <w:t>This section fixes the carrier, domain, codomain, and status type before any computation or interpretation is permitted.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truth_layer_promotion=0; source=T2-RP-v0.17; checkpoint=T2-RP-v0.18.</w:t>
            </w:r>
          </w:p>
        </w:tc>
        <w:tc>
          <w:tcPr>
            <w:tcW w:type="dxa" w:w="1531"/>
            <w:shd w:fill="F6F8FA"/>
          </w:tcPr>
          <w:p>
            <w:pPr>
              <w:jc w:val="right"/>
            </w:pPr>
            <w:r>
              <w:rPr>
                <w:rFonts w:ascii="DejaVu Sans" w:hAnsi="DejaVu Sans" w:eastAsia="DejaVu Sans"/>
                <w:b/>
                <w:i w:val="0"/>
                <w:color w:val="5C6773"/>
                <w:sz w:val="17"/>
              </w:rPr>
              <w:t>T2-F254</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𝒰(t,s): Dom_{t,s}⊆S_s → S_t.</w:t>
            </w:r>
          </w:p>
        </w:tc>
        <w:tc>
          <w:tcPr>
            <w:tcW w:type="dxa" w:w="1531"/>
            <w:shd w:fill="F6F8FA"/>
          </w:tcPr>
          <w:p>
            <w:pPr>
              <w:jc w:val="right"/>
            </w:pPr>
            <w:r>
              <w:rPr>
                <w:rFonts w:ascii="DejaVu Sans" w:hAnsi="DejaVu Sans" w:eastAsia="DejaVu Sans"/>
                <w:b/>
                <w:i w:val="0"/>
                <w:color w:val="5C6773"/>
                <w:sz w:val="17"/>
              </w:rPr>
              <w:t>T2-F255</w:t>
            </w:r>
          </w:p>
        </w:tc>
        <w:trPr>
          <w:tblHeader/>
        </w:trPr>
      </w:tr>
    </w:tbl>
    <w:p>
      <w:pPr>
        <w:spacing w:after="0"/>
      </w:pPr>
    </w:p>
    <w:p>
      <w:pPr>
        <w:pStyle w:val="Heading3"/>
        <w:keepNext/>
        <w:pageBreakBefore w:val="0"/>
      </w:pPr>
      <w:r>
        <w:t>21.1.1. Minimal Type Registry</w:t>
      </w:r>
    </w:p>
    <w:p>
      <w:pPr>
        <w:widowControl/>
        <w:spacing w:after="80" w:line="264" w:lineRule="auto"/>
      </w:pPr>
      <w:r>
        <w:rPr>
          <w:rFonts w:ascii="DejaVu Serif" w:hAnsi="DejaVu Serif" w:eastAsia="DejaVu Serif"/>
          <w:b w:val="0"/>
          <w:i w:val="0"/>
          <w:color w:val="111111"/>
          <w:sz w:val="20"/>
        </w:rPr>
        <w:t>This section fixes the carrier, domain, codomain, and status type before any computation or interpretation is permitted. Evolution on states, observables, measures, and paths is synchronized only through declared duality and consistency contracts.</w:t>
      </w:r>
    </w:p>
    <w:p>
      <w:pPr>
        <w:pStyle w:val="Heading2"/>
        <w:keepNext/>
        <w:pageBreakBefore w:val="0"/>
      </w:pPr>
      <w:r>
        <w:t>21.2. Nonlinear Evolution Semigroup</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𝒮(0)=Id_C, 𝒮(t+s)=𝒮(t)∘𝒮(s), lim_{t↓0}𝒮(t)x=x.</w:t>
            </w:r>
          </w:p>
        </w:tc>
        <w:tc>
          <w:tcPr>
            <w:tcW w:type="dxa" w:w="1531"/>
            <w:shd w:fill="F6F8FA"/>
          </w:tcPr>
          <w:p>
            <w:pPr>
              <w:jc w:val="right"/>
            </w:pPr>
            <w:r>
              <w:rPr>
                <w:rFonts w:ascii="DejaVu Sans" w:hAnsi="DejaVu Sans" w:eastAsia="DejaVu Sans"/>
                <w:b/>
                <w:i w:val="0"/>
                <w:color w:val="5C6773"/>
                <w:sz w:val="17"/>
              </w:rPr>
              <w:t>T2-F256</w:t>
            </w:r>
          </w:p>
        </w:tc>
        <w:trPr>
          <w:tblHeader/>
        </w:trPr>
      </w:tr>
    </w:tbl>
    <w:p>
      <w:pPr>
        <w:spacing w:after="0"/>
      </w:pPr>
    </w:p>
    <w:p>
      <w:pPr>
        <w:pStyle w:val="Heading2"/>
        <w:keepNext/>
        <w:pageBreakBefore w:val="0"/>
      </w:pPr>
      <w:r>
        <w:t>21.3. Accretive and m-Accretive Generators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𝒮(t)x = lim_{m→∞}(I+(t/m)A)^{-m}x</w:t>
            </w:r>
          </w:p>
        </w:tc>
        <w:tc>
          <w:tcPr>
            <w:tcW w:type="dxa" w:w="1531"/>
            <w:shd w:fill="F6F8FA"/>
          </w:tcPr>
          <w:p>
            <w:pPr>
              <w:jc w:val="right"/>
            </w:pPr>
            <w:r>
              <w:rPr>
                <w:rFonts w:ascii="DejaVu Sans" w:hAnsi="DejaVu Sans" w:eastAsia="DejaVu Sans"/>
                <w:b/>
                <w:i w:val="0"/>
                <w:color w:val="5C6773"/>
                <w:sz w:val="17"/>
              </w:rPr>
              <w:t>T2-F257</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49" name="Picture 49" descr="Figure 50. Nonlinear semigroup, generator, and resolvent." title="Figure 50. Nonlinear semigroup, generator, and resolvent."/>
            <wp:cNvGraphicFramePr>
              <a:graphicFrameLocks noChangeAspect="1"/>
            </wp:cNvGraphicFramePr>
            <a:graphic>
              <a:graphicData uri="http://schemas.openxmlformats.org/drawingml/2006/picture">
                <pic:pic>
                  <pic:nvPicPr>
                    <pic:cNvPr id="0" name="fig50_nonlinear_semigroup.png"/>
                    <pic:cNvPicPr/>
                  </pic:nvPicPr>
                  <pic:blipFill>
                    <a:blip r:embed="rId59"/>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50. Nonlinear semigroup, generator, and resolvent.</w:t>
      </w:r>
    </w:p>
    <w:p>
      <w:pPr>
        <w:pStyle w:val="Heading2"/>
        <w:keepNext/>
        <w:pageBreakBefore w:val="0"/>
      </w:pPr>
      <w:r>
        <w:t>21.4. Non-autonomous Evolution Families and the Kato Interface</w:t>
      </w:r>
    </w:p>
    <w:p>
      <w:pPr>
        <w:widowControl/>
        <w:spacing w:after="80" w:line="264" w:lineRule="auto"/>
      </w:pPr>
      <w:r>
        <w:rPr>
          <w:rFonts w:ascii="DejaVu Serif" w:hAnsi="DejaVu Serif" w:eastAsia="DejaVu Serif"/>
          <w:b w:val="0"/>
          <w:i w:val="0"/>
          <w:color w:val="111111"/>
          <w:sz w:val="20"/>
        </w:rPr>
        <w:t>The bridge is an additional typed map with its own identification, calibration, and transport obligations; it is not supplied by a shared notation.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𝒰(s,s)=Id, 𝒰(t,r)∘𝒰(r,s)=𝒰(t,s).</w:t>
            </w:r>
          </w:p>
        </w:tc>
        <w:tc>
          <w:tcPr>
            <w:tcW w:type="dxa" w:w="1531"/>
            <w:shd w:fill="F6F8FA"/>
          </w:tcPr>
          <w:p>
            <w:pPr>
              <w:jc w:val="right"/>
            </w:pPr>
            <w:r>
              <w:rPr>
                <w:rFonts w:ascii="DejaVu Sans" w:hAnsi="DejaVu Sans" w:eastAsia="DejaVu Sans"/>
                <w:b/>
                <w:i w:val="0"/>
                <w:color w:val="5C6773"/>
                <w:sz w:val="17"/>
              </w:rPr>
              <w:t>T2-F258</w:t>
            </w:r>
          </w:p>
        </w:tc>
        <w:trPr>
          <w:tblHeader/>
        </w:trPr>
      </w:tr>
    </w:tbl>
    <w:p>
      <w:pPr>
        <w:spacing w:after="0"/>
      </w:pPr>
    </w:p>
    <w:p>
      <w:pPr>
        <w:pStyle w:val="Heading2"/>
        <w:keepNext/>
        <w:pageBreakBefore w:val="0"/>
      </w:pPr>
      <w:r>
        <w:t>21.5. State Dynamics and the Koopman Operator on Observables</w:t>
      </w:r>
    </w:p>
    <w:p>
      <w:pPr>
        <w:widowControl/>
        <w:spacing w:after="80" w:line="264" w:lineRule="auto"/>
      </w:pPr>
      <w:r>
        <w:rPr>
          <w:rFonts w:ascii="DejaVu Serif" w:hAnsi="DejaVu Serif" w:eastAsia="DejaVu Serif"/>
          <w:b w:val="0"/>
          <w:i w:val="0"/>
          <w:color w:val="111111"/>
          <w:sz w:val="20"/>
        </w:rPr>
        <w:t>This section fixes the carrier, domain, codomain, and status type before any computation or interpretation is permitted.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(𝒦_t f)(x)=f(Φ_t(x)).</w:t>
            </w:r>
          </w:p>
        </w:tc>
        <w:tc>
          <w:tcPr>
            <w:tcW w:type="dxa" w:w="1531"/>
            <w:shd w:fill="F6F8FA"/>
          </w:tcPr>
          <w:p>
            <w:pPr>
              <w:jc w:val="right"/>
            </w:pPr>
            <w:r>
              <w:rPr>
                <w:rFonts w:ascii="DejaVu Sans" w:hAnsi="DejaVu Sans" w:eastAsia="DejaVu Sans"/>
                <w:b/>
                <w:i w:val="0"/>
                <w:color w:val="5C6773"/>
                <w:sz w:val="17"/>
              </w:rPr>
              <w:t>T2-F259</w:t>
            </w:r>
          </w:p>
        </w:tc>
        <w:trPr>
          <w:tblHeader/>
        </w:trPr>
      </w:tr>
    </w:tbl>
    <w:p>
      <w:pPr>
        <w:spacing w:after="0"/>
      </w:pPr>
    </w:p>
    <w:p>
      <w:pPr>
        <w:pStyle w:val="Heading2"/>
        <w:keepNext/>
        <w:pageBreakBefore w:val="0"/>
      </w:pPr>
      <w:r>
        <w:t>21.6. Perron-Frobenius and Transfer Operators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𝒫_t μ=(Φ_t)_#μ, (𝒫_t μ)(B)=μ(Φ_t^{-1}(B)).</w:t>
            </w:r>
          </w:p>
        </w:tc>
        <w:tc>
          <w:tcPr>
            <w:tcW w:type="dxa" w:w="1531"/>
            <w:shd w:fill="F6F8FA"/>
          </w:tcPr>
          <w:p>
            <w:pPr>
              <w:jc w:val="right"/>
            </w:pPr>
            <w:r>
              <w:rPr>
                <w:rFonts w:ascii="DejaVu Sans" w:hAnsi="DejaVu Sans" w:eastAsia="DejaVu Sans"/>
                <w:b/>
                <w:i w:val="0"/>
                <w:color w:val="5C6773"/>
                <w:sz w:val="17"/>
              </w:rPr>
              <w:t>T2-F260</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∫_S f d(𝒫_t μ)=∫_S (𝒦_t f)dμ.</w:t>
            </w:r>
          </w:p>
        </w:tc>
        <w:tc>
          <w:tcPr>
            <w:tcW w:type="dxa" w:w="1531"/>
            <w:shd w:fill="F6F8FA"/>
          </w:tcPr>
          <w:p>
            <w:pPr>
              <w:jc w:val="right"/>
            </w:pPr>
            <w:r>
              <w:rPr>
                <w:rFonts w:ascii="DejaVu Sans" w:hAnsi="DejaVu Sans" w:eastAsia="DejaVu Sans"/>
                <w:b/>
                <w:i w:val="0"/>
                <w:color w:val="5C6773"/>
                <w:sz w:val="17"/>
              </w:rPr>
              <w:t>T2-F261</w:t>
            </w:r>
          </w:p>
        </w:tc>
        <w:trPr>
          <w:tblHeader/>
        </w:trPr>
      </w:tr>
    </w:tbl>
    <w:p>
      <w:pPr>
        <w:spacing w:after="0"/>
      </w:pPr>
    </w:p>
    <w:p>
      <w:pPr>
        <w:pStyle w:val="Heading2"/>
        <w:keepNext/>
        <w:pageBreakBefore w:val="0"/>
      </w:pPr>
      <w:r>
        <w:t>21.7. Markov Kernels and Chapman-Kolmogorov</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K_{t,s}(x,B)=∫_S K_{t,r}(y,B)K_{r,s}(x,dy), t≥r≥s.</w:t>
            </w:r>
          </w:p>
        </w:tc>
        <w:tc>
          <w:tcPr>
            <w:tcW w:type="dxa" w:w="1531"/>
            <w:shd w:fill="F6F8FA"/>
          </w:tcPr>
          <w:p>
            <w:pPr>
              <w:jc w:val="right"/>
            </w:pPr>
            <w:r>
              <w:rPr>
                <w:rFonts w:ascii="DejaVu Sans" w:hAnsi="DejaVu Sans" w:eastAsia="DejaVu Sans"/>
                <w:b/>
                <w:i w:val="0"/>
                <w:color w:val="5C6773"/>
                <w:sz w:val="17"/>
              </w:rPr>
              <w:t>T2-F262</w:t>
            </w:r>
          </w:p>
        </w:tc>
        <w:trPr>
          <w:tblHeader/>
        </w:trPr>
      </w:tr>
    </w:tbl>
    <w:p>
      <w:pPr>
        <w:spacing w:after="0"/>
      </w:pPr>
    </w:p>
    <w:p>
      <w:pPr>
        <w:pStyle w:val="Heading2"/>
        <w:keepNext/>
        <w:pageBreakBefore w:val="0"/>
      </w:pPr>
      <w:r>
        <w:t>21.8. Path-Space Carrier and Cylinder Consistency</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μ_{t₁,…,t_m}=Q∘(X_{t₁},…,X_{t_m})^{-1}.</w:t>
            </w:r>
          </w:p>
        </w:tc>
        <w:tc>
          <w:tcPr>
            <w:tcW w:type="dxa" w:w="1531"/>
            <w:shd w:fill="F6F8FA"/>
          </w:tcPr>
          <w:p>
            <w:pPr>
              <w:jc w:val="right"/>
            </w:pPr>
            <w:r>
              <w:rPr>
                <w:rFonts w:ascii="DejaVu Sans" w:hAnsi="DejaVu Sans" w:eastAsia="DejaVu Sans"/>
                <w:b/>
                <w:i w:val="0"/>
                <w:color w:val="5C6773"/>
                <w:sz w:val="17"/>
              </w:rPr>
              <w:t>T2-F263</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50" name="Picture 50" descr="Figure 51. State, observable, measure, and path carriers." title="Figure 51. State, observable, measure, and path carriers."/>
            <wp:cNvGraphicFramePr>
              <a:graphicFrameLocks noChangeAspect="1"/>
            </wp:cNvGraphicFramePr>
            <a:graphic>
              <a:graphicData uri="http://schemas.openxmlformats.org/drawingml/2006/picture">
                <pic:pic>
                  <pic:nvPicPr>
                    <pic:cNvPr id="0" name="fig51_transfer_path.png"/>
                    <pic:cNvPicPr/>
                  </pic:nvPicPr>
                  <pic:blipFill>
                    <a:blip r:embed="rId60"/>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51. State, observable, measure, and path carriers.</w:t>
      </w:r>
    </w:p>
    <w:p>
      <w:pPr>
        <w:pStyle w:val="Heading2"/>
        <w:keepNext/>
        <w:pageBreakBefore w:val="0"/>
      </w:pPr>
      <w:r>
        <w:t>21.9. Deterministic Path Carriers and Orbits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ω_x(t)=𝒰(t,t₀)x.</w:t>
            </w:r>
          </w:p>
        </w:tc>
        <w:tc>
          <w:tcPr>
            <w:tcW w:type="dxa" w:w="1531"/>
            <w:shd w:fill="F6F8FA"/>
          </w:tcPr>
          <w:p>
            <w:pPr>
              <w:jc w:val="right"/>
            </w:pPr>
            <w:r>
              <w:rPr>
                <w:rFonts w:ascii="DejaVu Sans" w:hAnsi="DejaVu Sans" w:eastAsia="DejaVu Sans"/>
                <w:b/>
                <w:i w:val="0"/>
                <w:color w:val="5C6773"/>
                <w:sz w:val="17"/>
              </w:rPr>
              <w:t>T2-F264</w:t>
            </w:r>
          </w:p>
        </w:tc>
        <w:trPr>
          <w:tblHeader/>
        </w:trPr>
      </w:tr>
    </w:tbl>
    <w:p>
      <w:pPr>
        <w:spacing w:after="0"/>
      </w:pPr>
    </w:p>
    <w:p>
      <w:pPr>
        <w:pStyle w:val="Heading2"/>
        <w:keepNext/>
        <w:pageBreakBefore w:val="0"/>
      </w:pPr>
      <w:r>
        <w:t>21.10. Causal Volterra Kernels and Memory</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x(t)=f(t)+∫_{t₀}^{t} B(t,s,x(s)) ds.</w:t>
            </w:r>
          </w:p>
        </w:tc>
        <w:tc>
          <w:tcPr>
            <w:tcW w:type="dxa" w:w="1531"/>
            <w:shd w:fill="F6F8FA"/>
          </w:tcPr>
          <w:p>
            <w:pPr>
              <w:jc w:val="right"/>
            </w:pPr>
            <w:r>
              <w:rPr>
                <w:rFonts w:ascii="DejaVu Sans" w:hAnsi="DejaVu Sans" w:eastAsia="DejaVu Sans"/>
                <w:b/>
                <w:i w:val="0"/>
                <w:color w:val="5C6773"/>
                <w:sz w:val="17"/>
              </w:rPr>
              <w:t>T2-F265</w:t>
            </w:r>
          </w:p>
        </w:tc>
        <w:trPr>
          <w:tblHeader/>
        </w:trPr>
      </w:tr>
    </w:tbl>
    <w:p>
      <w:pPr>
        <w:spacing w:after="0"/>
      </w:pPr>
    </w:p>
    <w:p>
      <w:pPr>
        <w:pStyle w:val="Heading2"/>
        <w:keepNext/>
        <w:pageBreakBefore w:val="0"/>
      </w:pPr>
      <w:r>
        <w:t>21.11. Non-anticipation as a Strict Causal Firewall</w:t>
      </w:r>
    </w:p>
    <w:p>
      <w:pPr>
        <w:widowControl/>
        <w:spacing w:after="80" w:line="264" w:lineRule="auto"/>
      </w:pPr>
      <w:r>
        <w:rPr>
          <w:rFonts w:ascii="DejaVu Serif" w:hAnsi="DejaVu Serif" w:eastAsia="DejaVu Serif"/>
          <w:b w:val="0"/>
          <w:i w:val="0"/>
          <w:color w:val="111111"/>
          <w:sz w:val="20"/>
        </w:rPr>
        <w:t>The horizon is the union of loci where rank, domain, topology, calibration, identification, or numerical certification can change.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(Fω)(t)=(Fω′)(t).</w:t>
            </w:r>
          </w:p>
        </w:tc>
        <w:tc>
          <w:tcPr>
            <w:tcW w:type="dxa" w:w="1531"/>
            <w:shd w:fill="F6F8FA"/>
          </w:tcPr>
          <w:p>
            <w:pPr>
              <w:jc w:val="right"/>
            </w:pPr>
            <w:r>
              <w:rPr>
                <w:rFonts w:ascii="DejaVu Sans" w:hAnsi="DejaVu Sans" w:eastAsia="DejaVu Sans"/>
                <w:b/>
                <w:i w:val="0"/>
                <w:color w:val="5C6773"/>
                <w:sz w:val="17"/>
              </w:rPr>
              <w:t>T2-F266</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21.12. Filtrations, Adaptedness, and Observability</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p>
      <w:pPr>
        <w:pStyle w:val="Heading2"/>
        <w:keepNext/>
        <w:pageBreakBefore w:val="0"/>
      </w:pPr>
      <w:r>
        <w:t>21.13. A Causal Kernel Is Not a Causal Mechanism</w:t>
      </w:r>
    </w:p>
    <w:p>
      <w:pPr>
        <w:widowControl/>
        <w:spacing w:after="80" w:line="264" w:lineRule="auto"/>
      </w:pPr>
      <w:r>
        <w:rPr>
          <w:rFonts w:ascii="DejaVu Serif" w:hAnsi="DejaVu Serif" w:eastAsia="DejaVu Serif"/>
          <w:b w:val="0"/>
          <w:i w:val="0"/>
          <w:color w:val="111111"/>
          <w:sz w:val="20"/>
        </w:rPr>
        <w:t>Separating models show that the prohibited inference fails even when the upstream mathematical object is well defined.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transition kernel != intervention kernel != physical cause.</w:t>
            </w:r>
          </w:p>
        </w:tc>
        <w:tc>
          <w:tcPr>
            <w:tcW w:type="dxa" w:w="1531"/>
            <w:shd w:fill="F6F8FA"/>
          </w:tcPr>
          <w:p>
            <w:pPr>
              <w:jc w:val="right"/>
            </w:pPr>
            <w:r>
              <w:rPr>
                <w:rFonts w:ascii="DejaVu Sans" w:hAnsi="DejaVu Sans" w:eastAsia="DejaVu Sans"/>
                <w:b/>
                <w:i w:val="0"/>
                <w:color w:val="5C6773"/>
                <w:sz w:val="17"/>
              </w:rPr>
              <w:t>T2-F267</w:t>
            </w:r>
          </w:p>
        </w:tc>
        <w:trPr>
          <w:tblHeader/>
        </w:trPr>
      </w:tr>
    </w:tbl>
    <w:p>
      <w:pPr>
        <w:spacing w:after="0"/>
      </w:pPr>
    </w:p>
    <w:p>
      <w:pPr>
        <w:pStyle w:val="Heading2"/>
        <w:keepNext/>
        <w:pageBreakBefore w:val="0"/>
      </w:pPr>
      <w:r>
        <w:t>21.14. Reper Trajectory and Temporal Reper</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Rep_t=(R_t,I_t,U_t;D_t), λ_t=cr(U_t,I_t;R_t,D_t).</w:t>
            </w:r>
          </w:p>
        </w:tc>
        <w:tc>
          <w:tcPr>
            <w:tcW w:type="dxa" w:w="1531"/>
            <w:shd w:fill="F6F8FA"/>
          </w:tcPr>
          <w:p>
            <w:pPr>
              <w:jc w:val="right"/>
            </w:pPr>
            <w:r>
              <w:rPr>
                <w:rFonts w:ascii="DejaVu Sans" w:hAnsi="DejaVu Sans" w:eastAsia="DejaVu Sans"/>
                <w:b/>
                <w:i w:val="0"/>
                <w:color w:val="5C6773"/>
                <w:sz w:val="17"/>
              </w:rPr>
              <w:t>T2-F268</w:t>
            </w:r>
          </w:p>
        </w:tc>
        <w:trPr>
          <w:tblHeader/>
        </w:trPr>
      </w:tr>
    </w:tbl>
    <w:p>
      <w:pPr>
        <w:spacing w:after="0"/>
      </w:pPr>
    </w:p>
    <w:p>
      <w:pPr>
        <w:pStyle w:val="Heading2"/>
        <w:keepNext/>
        <w:pageBreakBefore w:val="0"/>
      </w:pPr>
      <w:r>
        <w:t>21.15. Path-Reper Carrier</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PathRep=(Ω,Q/𝔄,{Rep_t},𝒰,K,B,Obs,𝔽,D,Dom,src,code).</w:t>
            </w:r>
          </w:p>
        </w:tc>
        <w:tc>
          <w:tcPr>
            <w:tcW w:type="dxa" w:w="1531"/>
            <w:shd w:fill="F6F8FA"/>
          </w:tcPr>
          <w:p>
            <w:pPr>
              <w:jc w:val="right"/>
            </w:pPr>
            <w:r>
              <w:rPr>
                <w:rFonts w:ascii="DejaVu Sans" w:hAnsi="DejaVu Sans" w:eastAsia="DejaVu Sans"/>
                <w:b/>
                <w:i w:val="0"/>
                <w:color w:val="5C6773"/>
                <w:sz w:val="17"/>
              </w:rPr>
              <w:t>T2-F269</w:t>
            </w:r>
          </w:p>
        </w:tc>
        <w:trPr>
          <w:tblHeader/>
        </w:trPr>
      </w:tr>
    </w:tbl>
    <w:p>
      <w:pPr>
        <w:spacing w:after="0"/>
      </w:pPr>
    </w:p>
    <w:p>
      <w:pPr>
        <w:pStyle w:val="Heading2"/>
        <w:keepNext/>
        <w:pageBreakBefore w:val="0"/>
      </w:pPr>
      <w:r>
        <w:t>21.16. Dynamic Projective-Harmonic Coordinate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dλ_t/dt = Dλ(Rep_t)·Ṙep_t.</w:t>
            </w:r>
          </w:p>
        </w:tc>
        <w:tc>
          <w:tcPr>
            <w:tcW w:type="dxa" w:w="1531"/>
            <w:shd w:fill="F6F8FA"/>
          </w:tcPr>
          <w:p>
            <w:pPr>
              <w:jc w:val="right"/>
            </w:pPr>
            <w:r>
              <w:rPr>
                <w:rFonts w:ascii="DejaVu Sans" w:hAnsi="DejaVu Sans" w:eastAsia="DejaVu Sans"/>
                <w:b/>
                <w:i w:val="0"/>
                <w:color w:val="5C6773"/>
                <w:sz w:val="17"/>
              </w:rPr>
              <w:t>T2-F270</w:t>
            </w:r>
          </w:p>
        </w:tc>
        <w:trPr>
          <w:tblHeader/>
        </w:trPr>
      </w:tr>
    </w:tbl>
    <w:p>
      <w:pPr>
        <w:spacing w:after="0"/>
      </w:pPr>
    </w:p>
    <w:p>
      <w:pPr>
        <w:pStyle w:val="Heading2"/>
        <w:keepNext/>
        <w:pageBreakBefore w:val="0"/>
      </w:pPr>
      <w:r>
        <w:t>21.17. Transfer Operator of the Reper Database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𝒯_{t,s}: 𝔐(S_s)→𝔐(S_t), 𝒯_{t,r}𝒯_{r,s}=𝒯_{t,s}.</w:t>
            </w:r>
          </w:p>
        </w:tc>
        <w:tc>
          <w:tcPr>
            <w:tcW w:type="dxa" w:w="1531"/>
            <w:shd w:fill="F6F8FA"/>
          </w:tcPr>
          <w:p>
            <w:pPr>
              <w:jc w:val="right"/>
            </w:pPr>
            <w:r>
              <w:rPr>
                <w:rFonts w:ascii="DejaVu Sans" w:hAnsi="DejaVu Sans" w:eastAsia="DejaVu Sans"/>
                <w:b/>
                <w:i w:val="0"/>
                <w:color w:val="5C6773"/>
                <w:sz w:val="17"/>
              </w:rPr>
              <w:t>T2-F271</w:t>
            </w:r>
          </w:p>
        </w:tc>
        <w:trPr>
          <w:tblHeader/>
        </w:trPr>
      </w:tr>
    </w:tbl>
    <w:p>
      <w:pPr>
        <w:spacing w:after="0"/>
      </w:pPr>
    </w:p>
    <w:p>
      <w:pPr>
        <w:pStyle w:val="Heading2"/>
        <w:keepNext/>
        <w:pageBreakBefore w:val="0"/>
      </w:pPr>
      <w:r>
        <w:t>21.18. Generator and Local Forecast</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d/dt 𝒯_t f |_{t=0}=Lf</w:t>
            </w:r>
          </w:p>
        </w:tc>
        <w:tc>
          <w:tcPr>
            <w:tcW w:type="dxa" w:w="1531"/>
            <w:shd w:fill="F6F8FA"/>
          </w:tcPr>
          <w:p>
            <w:pPr>
              <w:jc w:val="right"/>
            </w:pPr>
            <w:r>
              <w:rPr>
                <w:rFonts w:ascii="DejaVu Sans" w:hAnsi="DejaVu Sans" w:eastAsia="DejaVu Sans"/>
                <w:b/>
                <w:i w:val="0"/>
                <w:color w:val="5C6773"/>
                <w:sz w:val="17"/>
              </w:rPr>
              <w:t>T2-F272</w:t>
            </w:r>
          </w:p>
        </w:tc>
        <w:trPr>
          <w:tblHeader/>
        </w:trPr>
      </w:tr>
    </w:tbl>
    <w:p>
      <w:pPr>
        <w:spacing w:after="0"/>
      </w:pPr>
    </w:p>
    <w:p>
      <w:pPr>
        <w:pStyle w:val="Heading2"/>
        <w:keepNext/>
        <w:pageBreakBefore w:val="0"/>
      </w:pPr>
      <w:r>
        <w:t>21.19. Perturbation Stability and Trajectory Error</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e_𝒰(t,s;x)=d(𝒰(t,s)x,Ũ(t,s)x).</w:t>
            </w:r>
          </w:p>
        </w:tc>
        <w:tc>
          <w:tcPr>
            <w:tcW w:type="dxa" w:w="1531"/>
            <w:shd w:fill="F6F8FA"/>
          </w:tcPr>
          <w:p>
            <w:pPr>
              <w:jc w:val="right"/>
            </w:pPr>
            <w:r>
              <w:rPr>
                <w:rFonts w:ascii="DejaVu Sans" w:hAnsi="DejaVu Sans" w:eastAsia="DejaVu Sans"/>
                <w:b/>
                <w:i w:val="0"/>
                <w:color w:val="5C6773"/>
                <w:sz w:val="17"/>
              </w:rPr>
              <w:t>T2-F273</w:t>
            </w:r>
          </w:p>
        </w:tc>
        <w:trPr>
          <w:tblHeader/>
        </w:trPr>
      </w:tr>
    </w:tbl>
    <w:p>
      <w:pPr>
        <w:spacing w:after="0"/>
      </w:pPr>
    </w:p>
    <w:p>
      <w:pPr>
        <w:pStyle w:val="Heading2"/>
        <w:keepNext/>
        <w:pageBreakBefore w:val="0"/>
      </w:pPr>
      <w:r>
        <w:t>21.20. Dynamic and Causal Residual Vector</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R_time=(r_sg,r_gen,r_res,r_tr,r_path,r_CK,r_mem,r_na,r_obs,r_cal,r_ext).</w:t>
            </w:r>
          </w:p>
        </w:tc>
        <w:tc>
          <w:tcPr>
            <w:tcW w:type="dxa" w:w="1531"/>
            <w:shd w:fill="F6F8FA"/>
          </w:tcPr>
          <w:p>
            <w:pPr>
              <w:jc w:val="right"/>
            </w:pPr>
            <w:r>
              <w:rPr>
                <w:rFonts w:ascii="DejaVu Sans" w:hAnsi="DejaVu Sans" w:eastAsia="DejaVu Sans"/>
                <w:b/>
                <w:i w:val="0"/>
                <w:color w:val="5C6773"/>
                <w:sz w:val="17"/>
              </w:rPr>
              <w:t>T2-F274</w:t>
            </w:r>
          </w:p>
        </w:tc>
        <w:trPr>
          <w:tblHeader/>
        </w:trPr>
      </w:tr>
    </w:tbl>
    <w:p>
      <w:pPr>
        <w:spacing w:after="0"/>
      </w:pPr>
    </w:p>
    <w:p>
      <w:pPr>
        <w:pStyle w:val="Heading2"/>
        <w:keepNext/>
        <w:pageBreakBefore w:val="0"/>
      </w:pPr>
      <w:r>
        <w:t>21.21. Transition Horizons of Chapter 21</w:t>
      </w:r>
    </w:p>
    <w:p>
      <w:pPr>
        <w:widowControl/>
        <w:spacing w:after="80" w:line="264" w:lineRule="auto"/>
      </w:pPr>
      <w:r>
        <w:rPr>
          <w:rFonts w:ascii="DejaVu Serif" w:hAnsi="DejaVu Serif" w:eastAsia="DejaVu Serif"/>
          <w:b w:val="0"/>
          <w:i w:val="0"/>
          <w:color w:val="111111"/>
          <w:sz w:val="20"/>
        </w:rPr>
        <w:t>The horizon is the union of loci where rank, domain, topology, calibration, identification, or numerical certification can change.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Δ_sg=Δ_dom∪Δ_cont∪Δ_comp∪Δ_accr∪Δ_res.</w:t>
            </w:r>
          </w:p>
        </w:tc>
        <w:tc>
          <w:tcPr>
            <w:tcW w:type="dxa" w:w="1531"/>
            <w:shd w:fill="F6F8FA"/>
          </w:tcPr>
          <w:p>
            <w:pPr>
              <w:jc w:val="right"/>
            </w:pPr>
            <w:r>
              <w:rPr>
                <w:rFonts w:ascii="DejaVu Sans" w:hAnsi="DejaVu Sans" w:eastAsia="DejaVu Sans"/>
                <w:b/>
                <w:i w:val="0"/>
                <w:color w:val="5C6773"/>
                <w:sz w:val="17"/>
              </w:rPr>
              <w:t>T2-F275</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Δ_tr=Δ_pos∪Δ_mass∪Δ_dual∪Δ_spec∪Δ_inv.</w:t>
            </w:r>
          </w:p>
        </w:tc>
        <w:tc>
          <w:tcPr>
            <w:tcW w:type="dxa" w:w="1531"/>
            <w:shd w:fill="F6F8FA"/>
          </w:tcPr>
          <w:p>
            <w:pPr>
              <w:jc w:val="right"/>
            </w:pPr>
            <w:r>
              <w:rPr>
                <w:rFonts w:ascii="DejaVu Sans" w:hAnsi="DejaVu Sans" w:eastAsia="DejaVu Sans"/>
                <w:b/>
                <w:i w:val="0"/>
                <w:color w:val="5C6773"/>
                <w:sz w:val="17"/>
              </w:rPr>
              <w:t>T2-F276</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Δ_path=Δ_cons∪Δ_tight∪Δ_reg∪Δ_branch∪Δ_hist.</w:t>
            </w:r>
          </w:p>
        </w:tc>
        <w:tc>
          <w:tcPr>
            <w:tcW w:type="dxa" w:w="1531"/>
            <w:shd w:fill="F6F8FA"/>
          </w:tcPr>
          <w:p>
            <w:pPr>
              <w:jc w:val="right"/>
            </w:pPr>
            <w:r>
              <w:rPr>
                <w:rFonts w:ascii="DejaVu Sans" w:hAnsi="DejaVu Sans" w:eastAsia="DejaVu Sans"/>
                <w:b/>
                <w:i w:val="0"/>
                <w:color w:val="5C6773"/>
                <w:sz w:val="17"/>
              </w:rPr>
              <w:t>T2-F277</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Δ_causal=Δ_order∪Δ_NA∪Δ_filt∪Δ_interv∪Δ_transport.</w:t>
            </w:r>
          </w:p>
        </w:tc>
        <w:tc>
          <w:tcPr>
            <w:tcW w:type="dxa" w:w="1531"/>
            <w:shd w:fill="F6F8FA"/>
          </w:tcPr>
          <w:p>
            <w:pPr>
              <w:jc w:val="right"/>
            </w:pPr>
            <w:r>
              <w:rPr>
                <w:rFonts w:ascii="DejaVu Sans" w:hAnsi="DejaVu Sans" w:eastAsia="DejaVu Sans"/>
                <w:b/>
                <w:i w:val="0"/>
                <w:color w:val="5C6773"/>
                <w:sz w:val="17"/>
              </w:rPr>
              <w:t>T2-F278</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Δ_safe^{v0.18}=Δ_safe^{v0.17}∪Δ_sg∪Δ_tr∪Δ_path∪Δ_causal.</w:t>
            </w:r>
          </w:p>
        </w:tc>
        <w:tc>
          <w:tcPr>
            <w:tcW w:type="dxa" w:w="1531"/>
            <w:shd w:fill="F6F8FA"/>
          </w:tcPr>
          <w:p>
            <w:pPr>
              <w:jc w:val="right"/>
            </w:pPr>
            <w:r>
              <w:rPr>
                <w:rFonts w:ascii="DejaVu Sans" w:hAnsi="DejaVu Sans" w:eastAsia="DejaVu Sans"/>
                <w:b/>
                <w:i w:val="0"/>
                <w:color w:val="5C6773"/>
                <w:sz w:val="17"/>
              </w:rPr>
              <w:t>T2-F279</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51" name="Picture 51" descr="Figure 52. Temporal and causal firewall." title="Figure 52. Temporal and causal firewall."/>
            <wp:cNvGraphicFramePr>
              <a:graphicFrameLocks noChangeAspect="1"/>
            </wp:cNvGraphicFramePr>
            <a:graphic>
              <a:graphicData uri="http://schemas.openxmlformats.org/drawingml/2006/picture">
                <pic:pic>
                  <pic:nvPicPr>
                    <pic:cNvPr id="0" name="fig52_temporal_firewall.png"/>
                    <pic:cNvPicPr/>
                  </pic:nvPicPr>
                  <pic:blipFill>
                    <a:blip r:embed="rId61"/>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52. Temporal and causal firewall.</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21.22. Temporal Profile Constancy Theorem</w:t>
      </w:r>
    </w:p>
    <w:p>
      <w:pPr>
        <w:widowControl/>
        <w:spacing w:after="80" w:line="264" w:lineRule="auto"/>
      </w:pPr>
      <w:r>
        <w:rPr>
          <w:rFonts w:ascii="DejaVu Serif" w:hAnsi="DejaVu Serif" w:eastAsia="DejaVu Serif"/>
          <w:b w:val="0"/>
          <w:i w:val="0"/>
          <w:color w:val="111111"/>
          <w:sz w:val="20"/>
        </w:rPr>
        <w:t>The statement is read under the explicitly declared hypotheses; its conclusion remains inside the mathematical model and does not acquire empirical status by translation.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Theorem 21.5. Temporal Profile Constancy [COND] </w:t>
            </w:r>
            <w:r>
              <w:rPr>
                <w:rFonts w:ascii="DejaVu Serif" w:hAnsi="DejaVu Serif" w:eastAsia="DejaVu Serif"/>
                <w:b w:val="0"/>
                <w:i w:val="0"/>
                <w:color w:val="111111"/>
                <w:sz w:val="19"/>
              </w:rPr>
              <w:t>If the evolution family, transfer carrier, path law, observation map and Reper transport remain certified and the path avoids the temporal horizon, the temporal profile remains in the same certified class.</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P_time(t)=(class(𝒰_t),class(𝒯_t),class(Q_t),rank/stratum,λ_t,CGI_time,t)</w:t>
            </w:r>
          </w:p>
        </w:tc>
        <w:tc>
          <w:tcPr>
            <w:tcW w:type="dxa" w:w="1531"/>
            <w:shd w:fill="F6F8FA"/>
          </w:tcPr>
          <w:p>
            <w:pPr>
              <w:jc w:val="right"/>
            </w:pPr>
            <w:r>
              <w:rPr>
                <w:rFonts w:ascii="DejaVu Sans" w:hAnsi="DejaVu Sans" w:eastAsia="DejaVu Sans"/>
                <w:b/>
                <w:i w:val="0"/>
                <w:color w:val="5C6773"/>
                <w:sz w:val="17"/>
              </w:rPr>
              <w:t>T2-F280</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NO-TEMPORAL-TRANSITION-IN-MODEL.</w:t>
            </w:r>
          </w:p>
        </w:tc>
        <w:tc>
          <w:tcPr>
            <w:tcW w:type="dxa" w:w="1531"/>
            <w:shd w:fill="F6F8FA"/>
          </w:tcPr>
          <w:p>
            <w:pPr>
              <w:jc w:val="right"/>
            </w:pPr>
            <w:r>
              <w:rPr>
                <w:rFonts w:ascii="DejaVu Sans" w:hAnsi="DejaVu Sans" w:eastAsia="DejaVu Sans"/>
                <w:b/>
                <w:i w:val="0"/>
                <w:color w:val="5C6773"/>
                <w:sz w:val="17"/>
              </w:rPr>
              <w:t>T2-F281</w:t>
            </w:r>
          </w:p>
        </w:tc>
        <w:trPr>
          <w:tblHeader/>
        </w:trPr>
      </w:tr>
    </w:tbl>
    <w:p>
      <w:pPr>
        <w:spacing w:after="0"/>
      </w:pPr>
    </w:p>
    <w:p>
      <w:pPr>
        <w:pStyle w:val="Heading2"/>
        <w:keepNext/>
        <w:pageBreakBefore w:val="0"/>
      </w:pPr>
      <w:r>
        <w:t>21.23. Negative Theorem on Static Snapshots</w:t>
      </w:r>
    </w:p>
    <w:p>
      <w:pPr>
        <w:widowControl/>
        <w:spacing w:after="80" w:line="264" w:lineRule="auto"/>
      </w:pPr>
      <w:r>
        <w:rPr>
          <w:rFonts w:ascii="DejaVu Serif" w:hAnsi="DejaVu Serif" w:eastAsia="DejaVu Serif"/>
          <w:b w:val="0"/>
          <w:i w:val="0"/>
          <w:color w:val="111111"/>
          <w:sz w:val="20"/>
        </w:rPr>
        <w:t>The statement is read under the explicitly declared hypotheses; its conclusion remains inside the mathematical model and does not acquire empirical status by translation.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21.6. Static-Snapshot No-Go [THM] </w:t>
            </w:r>
            <w:r>
              <w:rPr>
                <w:rFonts w:ascii="DejaVu Serif" w:hAnsi="DejaVu Serif" w:eastAsia="DejaVu Serif"/>
                <w:b w:val="0"/>
                <w:i w:val="0"/>
                <w:color w:val="111111"/>
                <w:sz w:val="19"/>
              </w:rPr>
              <w:t>A family of one-time marginals or static snapshots does not in general identify a unique path law, generator, memory kernel, or causal mechanism.</w:t>
            </w:r>
          </w:p>
        </w:tc>
        <w:trPr>
          <w:tblHeader/>
        </w:trPr>
      </w:tr>
    </w:tbl>
    <w:p>
      <w:pPr>
        <w:spacing w:after="0"/>
      </w:pPr>
    </w:p>
    <w:p>
      <w:pPr>
        <w:pStyle w:val="Heading2"/>
        <w:keepNext/>
        <w:pageBreakBefore w:val="0"/>
      </w:pPr>
      <w:r>
        <w:t>21.24. Counterexamples and Separating Models</w:t>
      </w:r>
    </w:p>
    <w:p>
      <w:pPr>
        <w:widowControl/>
        <w:spacing w:after="80" w:line="264" w:lineRule="auto"/>
      </w:pPr>
      <w:r>
        <w:rPr>
          <w:rFonts w:ascii="DejaVu Serif" w:hAnsi="DejaVu Serif" w:eastAsia="DejaVu Serif"/>
          <w:b w:val="0"/>
          <w:i w:val="0"/>
          <w:color w:val="111111"/>
          <w:sz w:val="20"/>
        </w:rPr>
        <w:t>Separating models show that the prohibited inference fails even when the upstream mathematical object is well defined. Evolution on states, observables, measures, and paths is synchronized only through declared duality and consistency contracts.</w:t>
      </w:r>
    </w:p>
    <w:p>
      <w:pPr>
        <w:pStyle w:val="Heading2"/>
        <w:keepNext/>
        <w:pageBreakBefore w:val="0"/>
      </w:pPr>
      <w:r>
        <w:t>21.25. Computational Certificate EVOL-TRANSFER-PATH</w:t>
      </w:r>
    </w:p>
    <w:p>
      <w:pPr>
        <w:widowControl/>
        <w:spacing w:after="80" w:line="264" w:lineRule="auto"/>
      </w:pPr>
      <w:r>
        <w:rPr>
          <w:rFonts w:ascii="DejaVu Serif" w:hAnsi="DejaVu Serif" w:eastAsia="DejaVu Serif"/>
          <w:b w:val="0"/>
          <w:i w:val="0"/>
          <w:color w:val="111111"/>
          <w:sz w:val="20"/>
        </w:rPr>
        <w:t>The certificate records inputs, algorithms, tolerances, residuals, sources, code and data hashes, and the weakest evidential status supported by the chain.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3"/>
        <w:keepNext/>
        <w:pageBreakBefore w:val="0"/>
      </w:pPr>
      <w:r>
        <w:t>21.25.1. Pseudocode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Evolution on states, observables, measures, and paths is synchronized only through declared duality and consistency contracts.</w:t>
      </w:r>
    </w:p>
    <w:p>
      <w:pPr>
        <w:pStyle w:val="Heading2"/>
        <w:keepNext/>
        <w:pageBreakBefore w:val="0"/>
      </w:pPr>
      <w:r>
        <w:t>21.26. Prior Art and Boundary of the Authorial Contribution</w:t>
      </w:r>
    </w:p>
    <w:p>
      <w:pPr>
        <w:widowControl/>
        <w:spacing w:after="80" w:line="264" w:lineRule="auto"/>
      </w:pPr>
      <w:r>
        <w:rPr>
          <w:rFonts w:ascii="DejaVu Serif" w:hAnsi="DejaVu Serif" w:eastAsia="DejaVu Serif"/>
          <w:b w:val="0"/>
          <w:i w:val="0"/>
          <w:color w:val="111111"/>
          <w:sz w:val="20"/>
        </w:rPr>
        <w:t>Classical constructions retain their standard attribution; the authorial contribution is the typed, blocker-safe synthesis inside KLT-RBD. Evolution on states, observables, measures, and paths is synchronized only through declared duality and consistency contracts.</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BOUNDARY OF CHAPTER 21. </w:t>
            </w:r>
            <w:r>
              <w:rPr>
                <w:rFonts w:ascii="DejaVu Serif" w:hAnsi="DejaVu Serif" w:eastAsia="DejaVu Serif"/>
                <w:b w:val="0"/>
                <w:i w:val="0"/>
                <w:color w:val="111111"/>
                <w:sz w:val="19"/>
              </w:rPr>
              <w:t>Static snapshots do not determine a unique evolution, and a transition kernel is not an intervention kernel or a physical cause. truth_layer_promotion=0; independent EXT-RUN and EMP-OBS remain absent.</w:t>
            </w:r>
          </w:p>
        </w:tc>
        <w:trPr>
          <w:tblHeader/>
        </w:trPr>
      </w:tr>
    </w:tbl>
    <w:p>
      <w:pPr>
        <w:pStyle w:val="Heading1"/>
        <w:keepNext/>
        <w:pageBreakBefore/>
      </w:pPr>
      <w:bookmarkStart w:id="1021" w:name="T2_CH22"/>
      <w:r>
        <w:t>Chapter 22. Stochastic Evolutions, Martingale Problems, Stopping Times, Control, and Causal Inference</w:t>
      </w:r>
      <w:bookmarkEnd w:id="1021"/>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 stochastic law is a probability measure on adapted paths together with a filtration, generator, martingale problem, and declared interventions.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established by existence and uniqueness, domain-rich test functions, stopping-time conditions, barrier certificates, and causal identification assumptions.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layer appears through Markov semigroups, SDEs, martingale residuals, hitting probabilities, controls, HJB equations, and sequential evidence.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Observational prediction, control under a policy, and intervention are different laws; optional stopping and Girsanov changes require their exact hypotheses.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the stochastic Reper-path and forecast-control-intervention firewall with an anytime-valid evidence gate.</w:t>
            </w:r>
          </w:p>
        </w:tc>
      </w:tr>
    </w:tbl>
    <w:p>
      <w:pPr>
        <w:spacing w:after="20"/>
      </w:pP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243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Controlled field</w:t>
            </w:r>
          </w:p>
        </w:tc>
        <w:tc>
          <w:tcPr>
            <w:tcW w:type="dxa" w:w="691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Value</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Canonical input</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Frozen Russian Chapter 22, inherited English Chapters 1-18, and formula/source passports.</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New mathematical layer</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 stochastic law is a probability measure on adapted paths together with a filtration, generator, martingale problem, and declared interventions.</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Status rule</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Definitions, theorems, conditional bridges, models, numerical certificates, and physical hypotheses remain distinct.</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Prohibition</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Observational prediction, control under a policy, and intervention are different laws; optional stopping and Girsanov changes require their exact hypotheses.</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Downstream role</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Chapter 24 composes all certified layers and preserves ABSTAIN/FAIL as absorbing results.</w:t>
            </w:r>
          </w:p>
        </w:tc>
      </w:tr>
    </w:tbl>
    <w:p>
      <w:pPr>
        <w:spacing w:after="20"/>
      </w:pPr>
    </w:p>
    <w:p>
      <w:pPr>
        <w:pStyle w:val="Heading2"/>
        <w:keepNext/>
        <w:pageBreakBefore w:val="0"/>
      </w:pPr>
      <w:r>
        <w:t>22.1. Stochastic Basis and Usual Conditions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truth_layer_promotion=0; source=T2-RP-v0.18; checkpoint=T2-RP-v0.19.</w:t>
            </w:r>
          </w:p>
        </w:tc>
        <w:tc>
          <w:tcPr>
            <w:tcW w:type="dxa" w:w="1531"/>
            <w:shd w:fill="F6F8FA"/>
          </w:tcPr>
          <w:p>
            <w:pPr>
              <w:jc w:val="right"/>
            </w:pPr>
            <w:r>
              <w:rPr>
                <w:rFonts w:ascii="DejaVu Sans" w:hAnsi="DejaVu Sans" w:eastAsia="DejaVu Sans"/>
                <w:b/>
                <w:i w:val="0"/>
                <w:color w:val="5C6773"/>
                <w:sz w:val="17"/>
              </w:rPr>
              <w:t>T2-F282</w:t>
            </w:r>
          </w:p>
        </w:tc>
        <w:trPr>
          <w:tblHeader/>
        </w:trPr>
      </w:tr>
    </w:tbl>
    <w:p>
      <w:pPr>
        <w:spacing w:after="0"/>
      </w:pPr>
    </w:p>
    <w:p>
      <w:pPr>
        <w:pStyle w:val="Heading3"/>
        <w:keepNext/>
        <w:pageBreakBefore w:val="0"/>
      </w:pPr>
      <w:r>
        <w:t>22.1.1. Registry of Stochastic Types</w:t>
      </w:r>
    </w:p>
    <w:p>
      <w:pPr>
        <w:widowControl/>
        <w:spacing w:after="80" w:line="264" w:lineRule="auto"/>
      </w:pPr>
      <w:r>
        <w:rPr>
          <w:rFonts w:ascii="DejaVu Serif" w:hAnsi="DejaVu Serif" w:eastAsia="DejaVu Serif"/>
          <w:b w:val="0"/>
          <w:i w:val="0"/>
          <w:color w:val="111111"/>
          <w:sz w:val="20"/>
        </w:rPr>
        <w:t>This section fixes the carrier, domain, codomain, and status type before any computation or interpretation is permitted. The stochastic conclusion is limited by the martingale domain, stopping conditions, policy law, and causal identification bridge.</w:t>
      </w:r>
    </w:p>
    <w:p>
      <w:pPr>
        <w:pStyle w:val="Heading2"/>
        <w:keepNext/>
        <w:pageBreakBefore w:val="0"/>
      </w:pPr>
      <w:r>
        <w:t>22.2. Markov Kernels and Markov Semigroup</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(P_t f)(x)=∫_E f(y)p_t(x,dy)=E_x[f(X_t)].</w:t>
            </w:r>
          </w:p>
        </w:tc>
        <w:tc>
          <w:tcPr>
            <w:tcW w:type="dxa" w:w="1531"/>
            <w:shd w:fill="F6F8FA"/>
          </w:tcPr>
          <w:p>
            <w:pPr>
              <w:jc w:val="right"/>
            </w:pPr>
            <w:r>
              <w:rPr>
                <w:rFonts w:ascii="DejaVu Sans" w:hAnsi="DejaVu Sans" w:eastAsia="DejaVu Sans"/>
                <w:b/>
                <w:i w:val="0"/>
                <w:color w:val="5C6773"/>
                <w:sz w:val="17"/>
              </w:rPr>
              <w:t>T2-F283</w:t>
            </w:r>
          </w:p>
        </w:tc>
        <w:trPr>
          <w:tblHeader/>
        </w:trPr>
      </w:tr>
    </w:tbl>
    <w:p>
      <w:pPr>
        <w:spacing w:after="0"/>
      </w:pPr>
    </w:p>
    <w:p>
      <w:pPr>
        <w:pStyle w:val="Heading2"/>
        <w:keepNext/>
        <w:pageBreakBefore w:val="0"/>
      </w:pPr>
      <w:r>
        <w:t>22.3. Feller Sector, Generator, and Positive Maximum Principle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Lf = lim_{t↓0}(P_t f-f)/t, f∈Dom(L).</w:t>
            </w:r>
          </w:p>
        </w:tc>
        <w:tc>
          <w:tcPr>
            <w:tcW w:type="dxa" w:w="1531"/>
            <w:shd w:fill="F6F8FA"/>
          </w:tcPr>
          <w:p>
            <w:pPr>
              <w:jc w:val="right"/>
            </w:pPr>
            <w:r>
              <w:rPr>
                <w:rFonts w:ascii="DejaVu Sans" w:hAnsi="DejaVu Sans" w:eastAsia="DejaVu Sans"/>
                <w:b/>
                <w:i w:val="0"/>
                <w:color w:val="5C6773"/>
                <w:sz w:val="17"/>
              </w:rPr>
              <w:t>T2-F284</w:t>
            </w:r>
          </w:p>
        </w:tc>
        <w:trPr>
          <w:tblHeader/>
        </w:trPr>
      </w:tr>
    </w:tbl>
    <w:p>
      <w:pPr>
        <w:spacing w:after="0"/>
      </w:pPr>
    </w:p>
    <w:p>
      <w:pPr>
        <w:pStyle w:val="Heading2"/>
        <w:keepNext/>
        <w:pageBreakBefore w:val="0"/>
      </w:pPr>
      <w:r>
        <w:t>22.4. Resolvent and Kolmogorov Equations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R_α f = ∫_0^∞ e^{-αt}P_t f dt.</w:t>
            </w:r>
          </w:p>
        </w:tc>
        <w:tc>
          <w:tcPr>
            <w:tcW w:type="dxa" w:w="1531"/>
            <w:shd w:fill="F6F8FA"/>
          </w:tcPr>
          <w:p>
            <w:pPr>
              <w:jc w:val="right"/>
            </w:pPr>
            <w:r>
              <w:rPr>
                <w:rFonts w:ascii="DejaVu Sans" w:hAnsi="DejaVu Sans" w:eastAsia="DejaVu Sans"/>
                <w:b/>
                <w:i w:val="0"/>
                <w:color w:val="5C6773"/>
                <w:sz w:val="17"/>
              </w:rPr>
              <w:t>T2-F285</w:t>
            </w:r>
          </w:p>
        </w:tc>
        <w:trPr>
          <w:tblHeader/>
        </w:trPr>
      </w:tr>
    </w:tbl>
    <w:p>
      <w:pPr>
        <w:spacing w:after="0"/>
      </w:pPr>
    </w:p>
    <w:p>
      <w:pPr>
        <w:pStyle w:val="Heading2"/>
        <w:keepNext/>
        <w:pageBreakBefore w:val="0"/>
      </w:pPr>
      <w:r>
        <w:t>22.5. Stroock-Varadhan Martingale Problem</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M_t^f = f(X_t)-f(X_0)-∫_0^t Lf(X_s)ds</w:t>
            </w:r>
          </w:p>
        </w:tc>
        <w:tc>
          <w:tcPr>
            <w:tcW w:type="dxa" w:w="1531"/>
            <w:shd w:fill="F6F8FA"/>
          </w:tcPr>
          <w:p>
            <w:pPr>
              <w:jc w:val="right"/>
            </w:pPr>
            <w:r>
              <w:rPr>
                <w:rFonts w:ascii="DejaVu Sans" w:hAnsi="DejaVu Sans" w:eastAsia="DejaVu Sans"/>
                <w:b/>
                <w:i w:val="0"/>
                <w:color w:val="5C6773"/>
                <w:sz w:val="17"/>
              </w:rPr>
              <w:t>T2-F286</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52" name="Picture 52" descr="Figure 53. Markov semigroup, generator, and martingale problem." title="Figure 53. Markov semigroup, generator, and martingale problem."/>
            <wp:cNvGraphicFramePr>
              <a:graphicFrameLocks noChangeAspect="1"/>
            </wp:cNvGraphicFramePr>
            <a:graphic>
              <a:graphicData uri="http://schemas.openxmlformats.org/drawingml/2006/picture">
                <pic:pic>
                  <pic:nvPicPr>
                    <pic:cNvPr id="0" name="fig53_markov_triangle.png"/>
                    <pic:cNvPicPr/>
                  </pic:nvPicPr>
                  <pic:blipFill>
                    <a:blip r:embed="rId62"/>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53. Markov semigroup, generator, and martingale problem.</w:t>
      </w:r>
    </w:p>
    <w:p>
      <w:pPr>
        <w:pStyle w:val="Heading2"/>
        <w:keepNext/>
        <w:pageBreakBefore w:val="0"/>
      </w:pPr>
      <w:r>
        <w:t>22.6. Existence, Uniqueness, and the Strong Markov Firewall</w:t>
      </w:r>
    </w:p>
    <w:p>
      <w:pPr>
        <w:widowControl/>
        <w:spacing w:after="80" w:line="264" w:lineRule="auto"/>
      </w:pPr>
      <w:r>
        <w:rPr>
          <w:rFonts w:ascii="DejaVu Serif" w:hAnsi="DejaVu Serif" w:eastAsia="DejaVu Serif"/>
          <w:b w:val="0"/>
          <w:i w:val="0"/>
          <w:color w:val="111111"/>
          <w:sz w:val="20"/>
        </w:rPr>
        <w:t>The horizon is the union of loci where rank, domain, topology, calibration, identification, or numerical certification can change.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22.7. Diffusion Generator and Stochastic Differential Equation</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dX_t=b(t,X_t)dt+σ(t,X_t)dW_t</w:t>
            </w:r>
          </w:p>
        </w:tc>
        <w:tc>
          <w:tcPr>
            <w:tcW w:type="dxa" w:w="1531"/>
            <w:shd w:fill="F6F8FA"/>
          </w:tcPr>
          <w:p>
            <w:pPr>
              <w:jc w:val="right"/>
            </w:pPr>
            <w:r>
              <w:rPr>
                <w:rFonts w:ascii="DejaVu Sans" w:hAnsi="DejaVu Sans" w:eastAsia="DejaVu Sans"/>
                <w:b/>
                <w:i w:val="0"/>
                <w:color w:val="5C6773"/>
                <w:sz w:val="17"/>
              </w:rPr>
              <w:t>T2-F287</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L_t f(x)=b(t,x)·∇f(x)+(1/2)Tr(a(t,x)∇²f(x)), a=σσᵀ.</w:t>
            </w:r>
          </w:p>
        </w:tc>
        <w:tc>
          <w:tcPr>
            <w:tcW w:type="dxa" w:w="1531"/>
            <w:shd w:fill="F6F8FA"/>
          </w:tcPr>
          <w:p>
            <w:pPr>
              <w:jc w:val="right"/>
            </w:pPr>
            <w:r>
              <w:rPr>
                <w:rFonts w:ascii="DejaVu Sans" w:hAnsi="DejaVu Sans" w:eastAsia="DejaVu Sans"/>
                <w:b/>
                <w:i w:val="0"/>
                <w:color w:val="5C6773"/>
                <w:sz w:val="17"/>
              </w:rPr>
              <w:t>T2-F288</w:t>
            </w:r>
          </w:p>
        </w:tc>
        <w:trPr>
          <w:tblHeader/>
        </w:trPr>
      </w:tr>
    </w:tbl>
    <w:p>
      <w:pPr>
        <w:spacing w:after="0"/>
      </w:pPr>
    </w:p>
    <w:p>
      <w:pPr>
        <w:pStyle w:val="Heading2"/>
        <w:keepNext/>
        <w:pageBreakBefore w:val="0"/>
      </w:pPr>
      <w:r>
        <w:t>22.8. Weak and Strong Solutions and the Uniqueness Hierarchy</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p>
      <w:pPr>
        <w:pStyle w:val="Heading2"/>
        <w:keepNext/>
        <w:pageBreakBefore w:val="0"/>
      </w:pPr>
      <w:r>
        <w:t>22.9. Girsanov Transform and the Intervention Firewall</w:t>
      </w:r>
    </w:p>
    <w:p>
      <w:pPr>
        <w:widowControl/>
        <w:spacing w:after="80" w:line="264" w:lineRule="auto"/>
      </w:pPr>
      <w:r>
        <w:rPr>
          <w:rFonts w:ascii="DejaVu Serif" w:hAnsi="DejaVu Serif" w:eastAsia="DejaVu Serif"/>
          <w:b w:val="0"/>
          <w:i w:val="0"/>
          <w:color w:val="111111"/>
          <w:sz w:val="20"/>
        </w:rPr>
        <w:t>The horizon is the union of loci where rank, domain, topology, calibration, identification, or numerical certification can change.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Z_t=exp(∫_0^t θ_s·dW_s-(1/2)∫_0^t||θ_s||²ds)</w:t>
            </w:r>
          </w:p>
        </w:tc>
        <w:tc>
          <w:tcPr>
            <w:tcW w:type="dxa" w:w="1531"/>
            <w:shd w:fill="F6F8FA"/>
          </w:tcPr>
          <w:p>
            <w:pPr>
              <w:jc w:val="right"/>
            </w:pPr>
            <w:r>
              <w:rPr>
                <w:rFonts w:ascii="DejaVu Sans" w:hAnsi="DejaVu Sans" w:eastAsia="DejaVu Sans"/>
                <w:b/>
                <w:i w:val="0"/>
                <w:color w:val="5C6773"/>
                <w:sz w:val="17"/>
              </w:rPr>
              <w:t>T2-F289</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22.10. Stopping Times and the Stopped Process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τ_A = inf{t≥t_0 : X_t∈A}.</w:t>
            </w:r>
          </w:p>
        </w:tc>
        <w:tc>
          <w:tcPr>
            <w:tcW w:type="dxa" w:w="1531"/>
            <w:shd w:fill="F6F8FA"/>
          </w:tcPr>
          <w:p>
            <w:pPr>
              <w:jc w:val="right"/>
            </w:pPr>
            <w:r>
              <w:rPr>
                <w:rFonts w:ascii="DejaVu Sans" w:hAnsi="DejaVu Sans" w:eastAsia="DejaVu Sans"/>
                <w:b/>
                <w:i w:val="0"/>
                <w:color w:val="5C6773"/>
                <w:sz w:val="17"/>
              </w:rPr>
              <w:t>T2-F290</w:t>
            </w:r>
          </w:p>
        </w:tc>
        <w:trPr>
          <w:tblHeader/>
        </w:trPr>
      </w:tr>
    </w:tbl>
    <w:p>
      <w:pPr>
        <w:spacing w:after="0"/>
      </w:pPr>
    </w:p>
    <w:p>
      <w:pPr>
        <w:pStyle w:val="Heading2"/>
        <w:keepNext/>
        <w:pageBreakBefore w:val="0"/>
      </w:pPr>
      <w:r>
        <w:t>22.11. Optional Sampling: Exact Domain of Applicability</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p>
      <w:pPr>
        <w:pStyle w:val="Heading2"/>
        <w:keepNext/>
        <w:pageBreakBefore w:val="0"/>
      </w:pPr>
      <w:r>
        <w:t>22.12. Counterexample to Naive Optional Stopping</w:t>
      </w:r>
    </w:p>
    <w:p>
      <w:pPr>
        <w:widowControl/>
        <w:spacing w:after="80" w:line="264" w:lineRule="auto"/>
      </w:pPr>
      <w:r>
        <w:rPr>
          <w:rFonts w:ascii="DejaVu Serif" w:hAnsi="DejaVu Serif" w:eastAsia="DejaVu Serif"/>
          <w:b w:val="0"/>
          <w:i w:val="0"/>
          <w:color w:val="111111"/>
          <w:sz w:val="20"/>
        </w:rPr>
        <w:t>Separating models show that the prohibited inference fails even when the upstream mathematical object is well defined. The stochastic conclusion is limited by the martingale domain, stopping conditions, policy law, and causal identification bridge.</w:t>
      </w:r>
    </w:p>
    <w:p>
      <w:pPr>
        <w:pStyle w:val="Heading2"/>
        <w:keepNext/>
        <w:pageBreakBefore w:val="0"/>
      </w:pPr>
      <w:r>
        <w:t>22.13. Hitting Probabilities and First-Passage Prediction</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p_A(T,x)=P_x(τ_A≤T).</w:t>
            </w:r>
          </w:p>
        </w:tc>
        <w:tc>
          <w:tcPr>
            <w:tcW w:type="dxa" w:w="1531"/>
            <w:shd w:fill="F6F8FA"/>
          </w:tcPr>
          <w:p>
            <w:pPr>
              <w:jc w:val="right"/>
            </w:pPr>
            <w:r>
              <w:rPr>
                <w:rFonts w:ascii="DejaVu Sans" w:hAnsi="DejaVu Sans" w:eastAsia="DejaVu Sans"/>
                <w:b/>
                <w:i w:val="0"/>
                <w:color w:val="5C6773"/>
                <w:sz w:val="17"/>
              </w:rPr>
              <w:t>T2-F291</w:t>
            </w:r>
          </w:p>
        </w:tc>
        <w:trPr>
          <w:tblHeader/>
        </w:trPr>
      </w:tr>
    </w:tbl>
    <w:p>
      <w:pPr>
        <w:spacing w:after="0"/>
      </w:pPr>
    </w:p>
    <w:p>
      <w:pPr>
        <w:pStyle w:val="Heading2"/>
        <w:keepNext/>
        <w:pageBreakBefore w:val="0"/>
      </w:pPr>
      <w:r>
        <w:t>22.14. Stochastic Barrier Certificate</w:t>
      </w:r>
    </w:p>
    <w:p>
      <w:pPr>
        <w:widowControl/>
        <w:spacing w:after="80" w:line="264" w:lineRule="auto"/>
      </w:pPr>
      <w:r>
        <w:rPr>
          <w:rFonts w:ascii="DejaVu Serif" w:hAnsi="DejaVu Serif" w:eastAsia="DejaVu Serif"/>
          <w:b w:val="0"/>
          <w:i w:val="0"/>
          <w:color w:val="111111"/>
          <w:sz w:val="20"/>
        </w:rPr>
        <w:t>The certificate records inputs, algorithms, tolerances, residuals, sources, code and data hashes, and the weakest evidential status supported by the chain.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(partial_t+L_t)V(t,x) &lt;= 0 on [0,T] x (E\A).</w:t>
            </w:r>
          </w:p>
        </w:tc>
        <w:tc>
          <w:tcPr>
            <w:tcW w:type="dxa" w:w="1531"/>
            <w:shd w:fill="F6F8FA"/>
          </w:tcPr>
          <w:p>
            <w:pPr>
              <w:jc w:val="right"/>
            </w:pPr>
            <w:r>
              <w:rPr>
                <w:rFonts w:ascii="DejaVu Sans" w:hAnsi="DejaVu Sans" w:eastAsia="DejaVu Sans"/>
                <w:b/>
                <w:i w:val="0"/>
                <w:color w:val="5C6773"/>
                <w:sz w:val="17"/>
              </w:rPr>
              <w:t>T2-F292</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P_{x_0}(τ_A≤T)≤V(0,x_0).</w:t>
            </w:r>
          </w:p>
        </w:tc>
        <w:tc>
          <w:tcPr>
            <w:tcW w:type="dxa" w:w="1531"/>
            <w:shd w:fill="F6F8FA"/>
          </w:tcPr>
          <w:p>
            <w:pPr>
              <w:jc w:val="right"/>
            </w:pPr>
            <w:r>
              <w:rPr>
                <w:rFonts w:ascii="DejaVu Sans" w:hAnsi="DejaVu Sans" w:eastAsia="DejaVu Sans"/>
                <w:b/>
                <w:i w:val="0"/>
                <w:color w:val="5C6773"/>
                <w:sz w:val="17"/>
              </w:rPr>
              <w:t>T2-F293</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53" name="Picture 53" descr="Figure 54. Stopping-time barrier certificate." title="Figure 54. Stopping-time barrier certificate."/>
            <wp:cNvGraphicFramePr>
              <a:graphicFrameLocks noChangeAspect="1"/>
            </wp:cNvGraphicFramePr>
            <a:graphic>
              <a:graphicData uri="http://schemas.openxmlformats.org/drawingml/2006/picture">
                <pic:pic>
                  <pic:nvPicPr>
                    <pic:cNvPr id="0" name="fig54_stopping_barrier.png"/>
                    <pic:cNvPicPr/>
                  </pic:nvPicPr>
                  <pic:blipFill>
                    <a:blip r:embed="rId63"/>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54. Stopping-time barrier certificate.</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22.15. Robust Barrier for All Admissible Controls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sup_{a∈A(t,x)} (∂_t+L_t^a)V(t,x)≤0,</w:t>
            </w:r>
          </w:p>
        </w:tc>
        <w:tc>
          <w:tcPr>
            <w:tcW w:type="dxa" w:w="1531"/>
            <w:shd w:fill="F6F8FA"/>
          </w:tcPr>
          <w:p>
            <w:pPr>
              <w:jc w:val="right"/>
            </w:pPr>
            <w:r>
              <w:rPr>
                <w:rFonts w:ascii="DejaVu Sans" w:hAnsi="DejaVu Sans" w:eastAsia="DejaVu Sans"/>
                <w:b/>
                <w:i w:val="0"/>
                <w:color w:val="5C6773"/>
                <w:sz w:val="17"/>
              </w:rPr>
              <w:t>T2-F294</w:t>
            </w:r>
          </w:p>
        </w:tc>
        <w:trPr>
          <w:tblHeader/>
        </w:trPr>
      </w:tr>
    </w:tbl>
    <w:p>
      <w:pPr>
        <w:spacing w:after="0"/>
      </w:pPr>
    </w:p>
    <w:p>
      <w:pPr>
        <w:pStyle w:val="Heading2"/>
        <w:keepNext/>
        <w:pageBreakBefore w:val="0"/>
      </w:pPr>
      <w:r>
        <w:t>22.16. Controlled Markov Family and Policy Law</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J(π;x)=E_x^π[∫_0^T c(t,X_t,a_t)dt+g(X_T)].</w:t>
            </w:r>
          </w:p>
        </w:tc>
        <w:tc>
          <w:tcPr>
            <w:tcW w:type="dxa" w:w="1531"/>
            <w:shd w:fill="F6F8FA"/>
          </w:tcPr>
          <w:p>
            <w:pPr>
              <w:jc w:val="right"/>
            </w:pPr>
            <w:r>
              <w:rPr>
                <w:rFonts w:ascii="DejaVu Sans" w:hAnsi="DejaVu Sans" w:eastAsia="DejaVu Sans"/>
                <w:b/>
                <w:i w:val="0"/>
                <w:color w:val="5C6773"/>
                <w:sz w:val="17"/>
              </w:rPr>
              <w:t>T2-F295</w:t>
            </w:r>
          </w:p>
        </w:tc>
        <w:trPr>
          <w:tblHeader/>
        </w:trPr>
      </w:tr>
    </w:tbl>
    <w:p>
      <w:pPr>
        <w:spacing w:after="0"/>
      </w:pPr>
    </w:p>
    <w:p>
      <w:pPr>
        <w:pStyle w:val="Heading2"/>
        <w:keepNext/>
        <w:pageBreakBefore w:val="0"/>
      </w:pPr>
      <w:r>
        <w:t>22.17. Dynamic Programming and the HJB Layer</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∂_tV^*+inf_{a∈A}{L^aV^*+c(t,x,a)}=0, V^*(T,x)=g(x).</w:t>
            </w:r>
          </w:p>
        </w:tc>
        <w:tc>
          <w:tcPr>
            <w:tcW w:type="dxa" w:w="1531"/>
            <w:shd w:fill="F6F8FA"/>
          </w:tcPr>
          <w:p>
            <w:pPr>
              <w:jc w:val="right"/>
            </w:pPr>
            <w:r>
              <w:rPr>
                <w:rFonts w:ascii="DejaVu Sans" w:hAnsi="DejaVu Sans" w:eastAsia="DejaVu Sans"/>
                <w:b/>
                <w:i w:val="0"/>
                <w:color w:val="5C6773"/>
                <w:sz w:val="17"/>
              </w:rPr>
              <w:t>T2-F296</w:t>
            </w:r>
          </w:p>
        </w:tc>
        <w:trPr>
          <w:tblHeader/>
        </w:trPr>
      </w:tr>
    </w:tbl>
    <w:p>
      <w:pPr>
        <w:spacing w:after="0"/>
      </w:pPr>
    </w:p>
    <w:p>
      <w:pPr>
        <w:pStyle w:val="Heading2"/>
        <w:keepNext/>
        <w:pageBreakBefore w:val="0"/>
      </w:pPr>
      <w:r>
        <w:t>22.18. Forecast, Control, and Intervention as Three Different Laws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p>
      <w:pPr>
        <w:keepNext/>
        <w:jc w:val="center"/>
      </w:pPr>
      <w:r>
        <w:drawing>
          <wp:inline xmlns:a="http://schemas.openxmlformats.org/drawingml/2006/main" xmlns:pic="http://schemas.openxmlformats.org/drawingml/2006/picture">
            <wp:extent cx="5760000" cy="3115102"/>
            <wp:docPr id="54" name="Picture 54" descr="Figure 55. Forecast-control-intervention firewall." title="Figure 55. Forecast-control-intervention firewall."/>
            <wp:cNvGraphicFramePr>
              <a:graphicFrameLocks noChangeAspect="1"/>
            </wp:cNvGraphicFramePr>
            <a:graphic>
              <a:graphicData uri="http://schemas.openxmlformats.org/drawingml/2006/picture">
                <pic:pic>
                  <pic:nvPicPr>
                    <pic:cNvPr id="0" name="fig55_causal_firewall.png"/>
                    <pic:cNvPicPr/>
                  </pic:nvPicPr>
                  <pic:blipFill>
                    <a:blip r:embed="rId64"/>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55. Forecast-control-intervention firewall.</w:t>
      </w:r>
    </w:p>
    <w:p>
      <w:pPr>
        <w:pStyle w:val="Heading2"/>
        <w:keepNext/>
        <w:pageBreakBefore w:val="0"/>
      </w:pPr>
      <w:r>
        <w:t>22.19. An Observational Markov Law Does Not Identify an Intervention Law</w:t>
      </w:r>
    </w:p>
    <w:p>
      <w:pPr>
        <w:widowControl/>
        <w:spacing w:after="80" w:line="264" w:lineRule="auto"/>
      </w:pPr>
      <w:r>
        <w:rPr>
          <w:rFonts w:ascii="DejaVu Serif" w:hAnsi="DejaVu Serif" w:eastAsia="DejaVu Serif"/>
          <w:b w:val="0"/>
          <w:i w:val="0"/>
          <w:color w:val="111111"/>
          <w:sz w:val="20"/>
        </w:rPr>
        <w:t>Separating models show that the prohibited inference fails even when the upstream mathematical object is well defined. The stochastic conclusion is limited by the martingale domain, stopping conditions, policy law, and causal identification bridge.</w:t>
      </w:r>
    </w:p>
    <w:p>
      <w:pPr>
        <w:pStyle w:val="Heading2"/>
        <w:keepNext/>
        <w:pageBreakBefore w:val="0"/>
      </w:pPr>
      <w:r>
        <w:t>22.20. Structural Causal Kernel and the do-Operator</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X_{t+1}=F_t(X_{≤t},A_t,U_{t+1}), Y_t=G_t(X_{≤t},U_t).</w:t>
            </w:r>
          </w:p>
        </w:tc>
        <w:tc>
          <w:tcPr>
            <w:tcW w:type="dxa" w:w="1531"/>
            <w:shd w:fill="F6F8FA"/>
          </w:tcPr>
          <w:p>
            <w:pPr>
              <w:jc w:val="right"/>
            </w:pPr>
            <w:r>
              <w:rPr>
                <w:rFonts w:ascii="DejaVu Sans" w:hAnsi="DejaVu Sans" w:eastAsia="DejaVu Sans"/>
                <w:b/>
                <w:i w:val="0"/>
                <w:color w:val="5C6773"/>
                <w:sz w:val="17"/>
              </w:rPr>
              <w:t>T2-F297</w:t>
            </w:r>
          </w:p>
        </w:tc>
        <w:trPr>
          <w:tblHeader/>
        </w:trPr>
      </w:tr>
    </w:tbl>
    <w:p>
      <w:pPr>
        <w:spacing w:after="0"/>
      </w:pPr>
    </w:p>
    <w:p>
      <w:pPr>
        <w:pStyle w:val="Heading2"/>
        <w:keepNext/>
        <w:pageBreakBefore w:val="0"/>
      </w:pPr>
      <w:r>
        <w:t>22.21. The g-Formula and Identification Conditions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p(y^{a-bar}) = ∫ ∏_t p(l_{t+1}|l-bar_t,a-bar_t) p(y|l-bar_T,a-bar_T) d(l-bar).</w:t>
            </w:r>
          </w:p>
        </w:tc>
        <w:tc>
          <w:tcPr>
            <w:tcW w:type="dxa" w:w="1531"/>
            <w:shd w:fill="F6F8FA"/>
          </w:tcPr>
          <w:p>
            <w:pPr>
              <w:jc w:val="right"/>
            </w:pPr>
            <w:r>
              <w:rPr>
                <w:rFonts w:ascii="DejaVu Sans" w:hAnsi="DejaVu Sans" w:eastAsia="DejaVu Sans"/>
                <w:b/>
                <w:i w:val="0"/>
                <w:color w:val="5C6773"/>
                <w:sz w:val="17"/>
              </w:rPr>
              <w:t>T2-F298</w:t>
            </w:r>
          </w:p>
        </w:tc>
        <w:trPr>
          <w:tblHeader/>
        </w:trPr>
      </w:tr>
    </w:tbl>
    <w:p>
      <w:pPr>
        <w:spacing w:after="0"/>
      </w:pPr>
    </w:p>
    <w:p>
      <w:pPr>
        <w:pStyle w:val="Heading2"/>
        <w:keepNext/>
        <w:pageBreakBefore w:val="0"/>
      </w:pPr>
      <w:r>
        <w:t>22.22. Counterfactual Carrier</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p>
      <w:pPr>
        <w:pStyle w:val="Heading2"/>
        <w:keepNext/>
        <w:pageBreakBefore w:val="0"/>
      </w:pPr>
      <w:r>
        <w:t>22.23. Stochastic Reper-Path</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Rep_t(ω)=(R_t(ω),I_t(ω),U_t(ω);D_t(ω)).</w:t>
            </w:r>
          </w:p>
        </w:tc>
        <w:tc>
          <w:tcPr>
            <w:tcW w:type="dxa" w:w="1531"/>
            <w:shd w:fill="F6F8FA"/>
          </w:tcPr>
          <w:p>
            <w:pPr>
              <w:jc w:val="right"/>
            </w:pPr>
            <w:r>
              <w:rPr>
                <w:rFonts w:ascii="DejaVu Sans" w:hAnsi="DejaVu Sans" w:eastAsia="DejaVu Sans"/>
                <w:b/>
                <w:i w:val="0"/>
                <w:color w:val="5C6773"/>
                <w:sz w:val="17"/>
              </w:rPr>
              <w:t>T2-F299</w:t>
            </w:r>
          </w:p>
        </w:tc>
        <w:trPr>
          <w:tblHeader/>
        </w:trPr>
      </w:tr>
    </w:tbl>
    <w:p>
      <w:pPr>
        <w:spacing w:after="0"/>
      </w:pPr>
    </w:p>
    <w:p>
      <w:pPr>
        <w:pStyle w:val="Heading2"/>
        <w:keepNext/>
        <w:pageBreakBefore w:val="0"/>
      </w:pPr>
      <w:r>
        <w:t>22.24. Ito Formula for the Harmonic Defect</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dφ(X_t)=Lφ(X_t)dt+∇φ(X_t)σ(X_t)dW_t.</w:t>
            </w:r>
          </w:p>
        </w:tc>
        <w:tc>
          <w:tcPr>
            <w:tcW w:type="dxa" w:w="1531"/>
            <w:shd w:fill="F6F8FA"/>
          </w:tcPr>
          <w:p>
            <w:pPr>
              <w:jc w:val="right"/>
            </w:pPr>
            <w:r>
              <w:rPr>
                <w:rFonts w:ascii="DejaVu Sans" w:hAnsi="DejaVu Sans" w:eastAsia="DejaVu Sans"/>
                <w:b/>
                <w:i w:val="0"/>
                <w:color w:val="5C6773"/>
                <w:sz w:val="17"/>
              </w:rPr>
              <w:t>T2-F300</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Lq=2φLφ+||σᵀ∇φ||².</w:t>
            </w:r>
          </w:p>
        </w:tc>
        <w:tc>
          <w:tcPr>
            <w:tcW w:type="dxa" w:w="1531"/>
            <w:shd w:fill="F6F8FA"/>
          </w:tcPr>
          <w:p>
            <w:pPr>
              <w:jc w:val="right"/>
            </w:pPr>
            <w:r>
              <w:rPr>
                <w:rFonts w:ascii="DejaVu Sans" w:hAnsi="DejaVu Sans" w:eastAsia="DejaVu Sans"/>
                <w:b/>
                <w:i w:val="0"/>
                <w:color w:val="5C6773"/>
                <w:sz w:val="17"/>
              </w:rPr>
              <w:t>T2-F301</w:t>
            </w:r>
          </w:p>
        </w:tc>
        <w:trPr>
          <w:tblHeader/>
        </w:trPr>
      </w:tr>
    </w:tbl>
    <w:p>
      <w:pPr>
        <w:spacing w:after="0"/>
      </w:pPr>
    </w:p>
    <w:p>
      <w:pPr>
        <w:pStyle w:val="Heading2"/>
        <w:keepNext/>
        <w:pageBreakBefore w:val="0"/>
      </w:pPr>
      <w:r>
        <w:t>22.25. Conditions for Stochastic Invariance of the Harmonic Locus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sigma_j(x) dot grad phi(x)=0 for all j, and L phi(x)=0 for x in M.</w:t>
            </w:r>
          </w:p>
        </w:tc>
        <w:tc>
          <w:tcPr>
            <w:tcW w:type="dxa" w:w="1531"/>
            <w:shd w:fill="F6F8FA"/>
          </w:tcPr>
          <w:p>
            <w:pPr>
              <w:jc w:val="right"/>
            </w:pPr>
            <w:r>
              <w:rPr>
                <w:rFonts w:ascii="DejaVu Sans" w:hAnsi="DejaVu Sans" w:eastAsia="DejaVu Sans"/>
                <w:b/>
                <w:i w:val="0"/>
                <w:color w:val="5C6773"/>
                <w:sz w:val="17"/>
              </w:rPr>
              <w:t>T2-F302</w:t>
            </w:r>
          </w:p>
        </w:tc>
        <w:trPr>
          <w:tblHeader/>
        </w:trPr>
      </w:tr>
    </w:tbl>
    <w:p>
      <w:pPr>
        <w:spacing w:after="0"/>
      </w:pPr>
    </w:p>
    <w:p>
      <w:pPr>
        <w:pStyle w:val="Heading2"/>
        <w:keepNext/>
        <w:pageBreakBefore w:val="0"/>
      </w:pPr>
      <w:r>
        <w:t>22.26. Martingale Residuals as Computational Generator Tests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R_{s,t}^{f_k}=f_k(X_t)-f_k(X_s)-∫_s^t Lf_k(X_r)dr.</w:t>
            </w:r>
          </w:p>
        </w:tc>
        <w:tc>
          <w:tcPr>
            <w:tcW w:type="dxa" w:w="1531"/>
            <w:shd w:fill="F6F8FA"/>
          </w:tcPr>
          <w:p>
            <w:pPr>
              <w:jc w:val="right"/>
            </w:pPr>
            <w:r>
              <w:rPr>
                <w:rFonts w:ascii="DejaVu Sans" w:hAnsi="DejaVu Sans" w:eastAsia="DejaVu Sans"/>
                <w:b/>
                <w:i w:val="0"/>
                <w:color w:val="5C6773"/>
                <w:sz w:val="17"/>
              </w:rPr>
              <w:t>T2-F303</w:t>
            </w:r>
          </w:p>
        </w:tc>
        <w:trPr>
          <w:tblHeader/>
        </w:trPr>
      </w:tr>
    </w:tbl>
    <w:p>
      <w:pPr>
        <w:spacing w:after="0"/>
      </w:pPr>
    </w:p>
    <w:p>
      <w:pPr>
        <w:pStyle w:val="Heading2"/>
        <w:keepNext/>
        <w:pageBreakBefore w:val="0"/>
      </w:pPr>
      <w:r>
        <w:t>22.27. Sequential Evidence and the Optional-Stopping-Safe Layer</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P(sup_t E_t ≥ 1/α)≤α.</w:t>
            </w:r>
          </w:p>
        </w:tc>
        <w:tc>
          <w:tcPr>
            <w:tcW w:type="dxa" w:w="1531"/>
            <w:shd w:fill="F6F8FA"/>
          </w:tcPr>
          <w:p>
            <w:pPr>
              <w:jc w:val="right"/>
            </w:pPr>
            <w:r>
              <w:rPr>
                <w:rFonts w:ascii="DejaVu Sans" w:hAnsi="DejaVu Sans" w:eastAsia="DejaVu Sans"/>
                <w:b/>
                <w:i w:val="0"/>
                <w:color w:val="5C6773"/>
                <w:sz w:val="17"/>
              </w:rPr>
              <w:t>T2-F304</w:t>
            </w:r>
          </w:p>
        </w:tc>
        <w:trPr>
          <w:tblHeader/>
        </w:trPr>
      </w:tr>
    </w:tbl>
    <w:p>
      <w:pPr>
        <w:spacing w:after="0"/>
      </w:pPr>
    </w:p>
    <w:p>
      <w:pPr>
        <w:pStyle w:val="Heading2"/>
        <w:keepNext/>
        <w:pageBreakBefore w:val="0"/>
      </w:pPr>
      <w:r>
        <w:t>22.28. Stochastic Transition Horizon</w:t>
      </w:r>
    </w:p>
    <w:p>
      <w:pPr>
        <w:widowControl/>
        <w:spacing w:after="80" w:line="264" w:lineRule="auto"/>
      </w:pPr>
      <w:r>
        <w:rPr>
          <w:rFonts w:ascii="DejaVu Serif" w:hAnsi="DejaVu Serif" w:eastAsia="DejaVu Serif"/>
          <w:b w:val="0"/>
          <w:i w:val="0"/>
          <w:color w:val="111111"/>
          <w:sz w:val="20"/>
        </w:rPr>
        <w:t>The horizon is the union of loci where rank, domain, topology, calibration, identification, or numerical certification can change.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Δ_stoch = Δ_MP ∪ Δ_Feller ∪ Δ_gen ∪ Δ_stop ∪ Δ_hit ∪ Δ_bar ∪ Δ_ctrl ∪ Δ_HJB ∪ Δ_do ∪ Δ_id ∪ Δ_λ ∪ Δ_cal ∪ Δ_ext.</w:t>
            </w:r>
          </w:p>
        </w:tc>
        <w:tc>
          <w:tcPr>
            <w:tcW w:type="dxa" w:w="1531"/>
            <w:shd w:fill="F6F8FA"/>
          </w:tcPr>
          <w:p>
            <w:pPr>
              <w:jc w:val="right"/>
            </w:pPr>
            <w:r>
              <w:rPr>
                <w:rFonts w:ascii="DejaVu Sans" w:hAnsi="DejaVu Sans" w:eastAsia="DejaVu Sans"/>
                <w:b/>
                <w:i w:val="0"/>
                <w:color w:val="5C6773"/>
                <w:sz w:val="17"/>
              </w:rPr>
              <w:t>T2-F305</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Δ_safe^{v0.19}=Δ_safe^{v0.18}∪Δ_stoch.</w:t>
            </w:r>
          </w:p>
        </w:tc>
        <w:tc>
          <w:tcPr>
            <w:tcW w:type="dxa" w:w="1531"/>
            <w:shd w:fill="F6F8FA"/>
          </w:tcPr>
          <w:p>
            <w:pPr>
              <w:jc w:val="right"/>
            </w:pPr>
            <w:r>
              <w:rPr>
                <w:rFonts w:ascii="DejaVu Sans" w:hAnsi="DejaVu Sans" w:eastAsia="DejaVu Sans"/>
                <w:b/>
                <w:i w:val="0"/>
                <w:color w:val="5C6773"/>
                <w:sz w:val="17"/>
              </w:rPr>
              <w:t>T2-F306</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22.29. Main Conditional Theorem</w:t>
      </w:r>
    </w:p>
    <w:p>
      <w:pPr>
        <w:widowControl/>
        <w:spacing w:after="80" w:line="264" w:lineRule="auto"/>
      </w:pPr>
      <w:r>
        <w:rPr>
          <w:rFonts w:ascii="DejaVu Serif" w:hAnsi="DejaVu Serif" w:eastAsia="DejaVu Serif"/>
          <w:b w:val="0"/>
          <w:i w:val="0"/>
          <w:color w:val="111111"/>
          <w:sz w:val="20"/>
        </w:rPr>
        <w:t>The statement is read under the explicitly declared hypotheses; its conclusion remains inside the mathematical model and does not acquire empirical status by translation.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Theorem 22.7. Conditional Stochastic Safety [COND] </w:t>
            </w:r>
            <w:r>
              <w:rPr>
                <w:rFonts w:ascii="DejaVu Serif" w:hAnsi="DejaVu Serif" w:eastAsia="DejaVu Serif"/>
                <w:b w:val="0"/>
                <w:i w:val="0"/>
                <w:color w:val="111111"/>
                <w:sz w:val="19"/>
              </w:rPr>
              <w:t>Under a well-posed martingale problem, valid stopping and barrier hypotheses, certified policy or intervention law, and sequential evidence control, the reported hitting or risk bound is valid inside the model.</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V(0,x)=0 =&gt; NO-HIT-IN-MODEL; 0&lt;V(0,x)≤α =&gt; RISK-BOUND≤α.</w:t>
            </w:r>
          </w:p>
        </w:tc>
        <w:tc>
          <w:tcPr>
            <w:tcW w:type="dxa" w:w="1531"/>
            <w:shd w:fill="F6F8FA"/>
          </w:tcPr>
          <w:p>
            <w:pPr>
              <w:jc w:val="right"/>
            </w:pPr>
            <w:r>
              <w:rPr>
                <w:rFonts w:ascii="DejaVu Sans" w:hAnsi="DejaVu Sans" w:eastAsia="DejaVu Sans"/>
                <w:b/>
                <w:i w:val="0"/>
                <w:color w:val="5C6773"/>
                <w:sz w:val="17"/>
              </w:rPr>
              <w:t>T2-F307</w:t>
            </w:r>
          </w:p>
        </w:tc>
        <w:trPr>
          <w:tblHeader/>
        </w:trPr>
      </w:tr>
    </w:tbl>
    <w:p>
      <w:pPr>
        <w:spacing w:after="0"/>
      </w:pPr>
    </w:p>
    <w:p>
      <w:pPr>
        <w:pStyle w:val="Heading2"/>
        <w:keepNext/>
        <w:pageBreakBefore w:val="0"/>
      </w:pPr>
      <w:r>
        <w:t>22.30. Blocker-Safe Verdict</w:t>
      </w:r>
    </w:p>
    <w:p>
      <w:pPr>
        <w:widowControl/>
        <w:spacing w:after="80" w:line="264" w:lineRule="auto"/>
      </w:pPr>
      <w:r>
        <w:rPr>
          <w:rFonts w:ascii="DejaVu Serif" w:hAnsi="DejaVu Serif" w:eastAsia="DejaVu Serif"/>
          <w:b w:val="0"/>
          <w:i w:val="0"/>
          <w:color w:val="111111"/>
          <w:sz w:val="20"/>
        </w:rPr>
        <w:t>The allowed output is multi-valued: a certified conclusion, an explicit candidate requiring further checks, ABSTAIN with blockers, or FAIL with a witness.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Block_stoch=B_basis∪B_MP∪B_gen∪B_stop∪B_bar∪B_ctrl∪B_do∪B_id∪B_λ∪B_cal∪B_ext.</w:t>
            </w:r>
          </w:p>
        </w:tc>
        <w:tc>
          <w:tcPr>
            <w:tcW w:type="dxa" w:w="1531"/>
            <w:shd w:fill="F6F8FA"/>
          </w:tcPr>
          <w:p>
            <w:pPr>
              <w:jc w:val="right"/>
            </w:pPr>
            <w:r>
              <w:rPr>
                <w:rFonts w:ascii="DejaVu Sans" w:hAnsi="DejaVu Sans" w:eastAsia="DejaVu Sans"/>
                <w:b/>
                <w:i w:val="0"/>
                <w:color w:val="5C6773"/>
                <w:sz w:val="17"/>
              </w:rPr>
              <w:t>T2-F308</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22.31. Separating Countermodels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p>
      <w:pPr>
        <w:pStyle w:val="Heading2"/>
        <w:keepNext/>
        <w:pageBreakBefore w:val="0"/>
      </w:pPr>
      <w:r>
        <w:t>22.32. Computational Certificate STOCH-CAUSAL</w:t>
      </w:r>
    </w:p>
    <w:p>
      <w:pPr>
        <w:widowControl/>
        <w:spacing w:after="80" w:line="264" w:lineRule="auto"/>
      </w:pPr>
      <w:r>
        <w:rPr>
          <w:rFonts w:ascii="DejaVu Serif" w:hAnsi="DejaVu Serif" w:eastAsia="DejaVu Serif"/>
          <w:b w:val="0"/>
          <w:i w:val="0"/>
          <w:color w:val="111111"/>
          <w:sz w:val="20"/>
        </w:rPr>
        <w:t>The certificate records inputs, algorithms, tolerances, residuals, sources, code and data hashes, and the weakest evidential status supported by the chain.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3"/>
        <w:keepNext/>
        <w:pageBreakBefore w:val="0"/>
      </w:pPr>
      <w:r>
        <w:t>22.32.1. Pseudocode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The stochastic conclusion is limited by the martingale domain, stopping conditions, policy law, and causal identification bridge.</w:t>
      </w:r>
    </w:p>
    <w:p>
      <w:pPr>
        <w:pStyle w:val="Heading2"/>
        <w:keepNext/>
        <w:pageBreakBefore w:val="0"/>
      </w:pPr>
      <w:r>
        <w:t>22.33. Prior Art and Boundary of the Authorial Contribution</w:t>
      </w:r>
    </w:p>
    <w:p>
      <w:pPr>
        <w:widowControl/>
        <w:spacing w:after="80" w:line="264" w:lineRule="auto"/>
      </w:pPr>
      <w:r>
        <w:rPr>
          <w:rFonts w:ascii="DejaVu Serif" w:hAnsi="DejaVu Serif" w:eastAsia="DejaVu Serif"/>
          <w:b w:val="0"/>
          <w:i w:val="0"/>
          <w:color w:val="111111"/>
          <w:sz w:val="20"/>
        </w:rPr>
        <w:t>Classical constructions retain their standard attribution; the authorial contribution is the typed, blocker-safe synthesis inside KLT-RBD. The stochastic conclusion is limited by the martingale domain, stopping conditions, policy law, and causal identification bridge.</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BOUNDARY OF CHAPTER 22. </w:t>
            </w:r>
            <w:r>
              <w:rPr>
                <w:rFonts w:ascii="DejaVu Serif" w:hAnsi="DejaVu Serif" w:eastAsia="DejaVu Serif"/>
                <w:b w:val="0"/>
                <w:i w:val="0"/>
                <w:color w:val="111111"/>
                <w:sz w:val="19"/>
              </w:rPr>
              <w:t>Observational prediction, control under a policy, and intervention are different laws; optional stopping and Girsanov changes require their exact hypotheses. truth_layer_promotion=0; independent EXT-RUN and EMP-OBS remain absent.</w:t>
            </w:r>
          </w:p>
        </w:tc>
        <w:trPr>
          <w:tblHeader/>
        </w:trPr>
      </w:tr>
    </w:tbl>
    <w:p>
      <w:pPr>
        <w:pStyle w:val="Heading1"/>
        <w:keepNext/>
        <w:pageBreakBefore/>
      </w:pPr>
      <w:bookmarkStart w:id="1022" w:name="T2_CH23"/>
      <w:r>
        <w:t>Chapter 23. Large Deviations, Risk-Sensitive Semigroups, Rare-Event Geometry, and Finite-Sample Certification</w:t>
      </w:r>
      <w:bookmarkEnd w:id="1022"/>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Rare-event analysis separates asymptotic rate geometry, risk-sensitive dynamics, simulation efficiency, and finite-sample coverage.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certified through topology, speed, exponential tightness, a good rate function, robust ambiguity sets, and finite-sample guarantees.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layer appears through actions, quasipotentials, Feynman-Kac and logarithmic semigroups, importance sampling, splitting, and risk bounds.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An asymptotic exponent is not a finite-sample probability, and an unobserved rare event does not imply zero risk.</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the robust rare-event Reper certificate joining large deviations to coverage-valid finite-sample decisions.</w:t>
            </w:r>
          </w:p>
        </w:tc>
      </w:tr>
    </w:tbl>
    <w:p>
      <w:pPr>
        <w:spacing w:after="20"/>
      </w:pP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243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Controlled field</w:t>
            </w:r>
          </w:p>
        </w:tc>
        <w:tc>
          <w:tcPr>
            <w:tcW w:type="dxa" w:w="691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Value</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Canonical input</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Frozen Russian Chapter 23, inherited English Chapters 1-18, and formula/source passports.</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New mathematical layer</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Rare-event analysis separates asymptotic rate geometry, risk-sensitive dynamics, simulation efficiency, and finite-sample coverage.</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Status rule</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Definitions, theorems, conditional bridges, models, numerical certificates, and physical hypotheses remain distinct.</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Prohibition</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An asymptotic exponent is not a finite-sample probability, and an unobserved rare event does not imply zero risk.</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Downstream role</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Chapter 24 composes all certified layers and preserves ABSTAIN/FAIL as absorbing results.</w:t>
            </w:r>
          </w:p>
        </w:tc>
      </w:tr>
    </w:tbl>
    <w:p>
      <w:pPr>
        <w:spacing w:after="20"/>
      </w:pPr>
    </w:p>
    <w:p>
      <w:pPr>
        <w:pStyle w:val="Heading2"/>
        <w:keepNext/>
        <w:pageBreakBefore w:val="0"/>
      </w:pPr>
      <w:r>
        <w:t>23.1. Four Levels of Rare-Event Inference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truth_layer_promotion=0; source=T2-RP-v0.19; checkpoint=T2-RP-v0.20.</w:t>
            </w:r>
          </w:p>
        </w:tc>
        <w:tc>
          <w:tcPr>
            <w:tcW w:type="dxa" w:w="1531"/>
            <w:shd w:fill="F6F8FA"/>
          </w:tcPr>
          <w:p>
            <w:pPr>
              <w:jc w:val="right"/>
            </w:pPr>
            <w:r>
              <w:rPr>
                <w:rFonts w:ascii="DejaVu Sans" w:hAnsi="DejaVu Sans" w:eastAsia="DejaVu Sans"/>
                <w:b/>
                <w:i w:val="0"/>
                <w:color w:val="5C6773"/>
                <w:sz w:val="17"/>
              </w:rPr>
              <w:t>T2-F309</w:t>
            </w:r>
          </w:p>
        </w:tc>
        <w:trPr>
          <w:tblHeader/>
        </w:trPr>
      </w:tr>
    </w:tbl>
    <w:p>
      <w:pPr>
        <w:spacing w:after="0"/>
      </w:pPr>
    </w:p>
    <w:p>
      <w:pPr>
        <w:pStyle w:val="Heading3"/>
        <w:keepNext/>
        <w:pageBreakBefore w:val="0"/>
      </w:pPr>
      <w:r>
        <w:t>23.1.1. Typed Ladder</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p>
      <w:pPr>
        <w:pStyle w:val="Heading2"/>
        <w:keepNext/>
        <w:pageBreakBefore w:val="0"/>
      </w:pPr>
      <w:r>
        <w:t>23.2. Definition of the Large-Deviation Principle</w:t>
      </w:r>
    </w:p>
    <w:p>
      <w:pPr>
        <w:widowControl/>
        <w:spacing w:after="80" w:line="264" w:lineRule="auto"/>
      </w:pPr>
      <w:r>
        <w:rPr>
          <w:rFonts w:ascii="DejaVu Serif" w:hAnsi="DejaVu Serif" w:eastAsia="DejaVu Serif"/>
          <w:b w:val="0"/>
          <w:i w:val="0"/>
          <w:color w:val="111111"/>
          <w:sz w:val="20"/>
        </w:rPr>
        <w:t>This section fixes the carrier, domain, codomain, and status type before any computation or interpretation is permitted.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-inf_{x∈A°} I(x) ≤ liminf_n a_n^{-1}log P(Z_n∈A) ≤ limsup_n a_n^{-1}log P(Z_n∈A) ≤ -inf_{x∈cl A}I(x).</w:t>
            </w:r>
          </w:p>
        </w:tc>
        <w:tc>
          <w:tcPr>
            <w:tcW w:type="dxa" w:w="1531"/>
            <w:shd w:fill="F6F8FA"/>
          </w:tcPr>
          <w:p>
            <w:pPr>
              <w:jc w:val="right"/>
            </w:pPr>
            <w:r>
              <w:rPr>
                <w:rFonts w:ascii="DejaVu Sans" w:hAnsi="DejaVu Sans" w:eastAsia="DejaVu Sans"/>
                <w:b/>
                <w:i w:val="0"/>
                <w:color w:val="5C6773"/>
                <w:sz w:val="17"/>
              </w:rPr>
              <w:t>T2-F310</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55" name="Picture 55" descr="Figure 56. Large-deviation pipeline and evidence firewall." title="Figure 56. Large-deviation pipeline and evidence firewall."/>
            <wp:cNvGraphicFramePr>
              <a:graphicFrameLocks noChangeAspect="1"/>
            </wp:cNvGraphicFramePr>
            <a:graphic>
              <a:graphicData uri="http://schemas.openxmlformats.org/drawingml/2006/picture">
                <pic:pic>
                  <pic:nvPicPr>
                    <pic:cNvPr id="0" name="fig56_ld_pipeline.png"/>
                    <pic:cNvPicPr/>
                  </pic:nvPicPr>
                  <pic:blipFill>
                    <a:blip r:embed="rId65"/>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56. Large-deviation pipeline and evidence firewall.</w:t>
      </w:r>
    </w:p>
    <w:p>
      <w:pPr>
        <w:pStyle w:val="Heading2"/>
        <w:keepNext/>
        <w:pageBreakBefore w:val="0"/>
      </w:pPr>
      <w:r>
        <w:t>23.3. Exponential Tightness and a Good Rate Function</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limsup_n a_n^{-1}log P(Z_n∉K_M) ≤ -M.</w:t>
            </w:r>
          </w:p>
        </w:tc>
        <w:tc>
          <w:tcPr>
            <w:tcW w:type="dxa" w:w="1531"/>
            <w:shd w:fill="F6F8FA"/>
          </w:tcPr>
          <w:p>
            <w:pPr>
              <w:jc w:val="right"/>
            </w:pPr>
            <w:r>
              <w:rPr>
                <w:rFonts w:ascii="DejaVu Sans" w:hAnsi="DejaVu Sans" w:eastAsia="DejaVu Sans"/>
                <w:b/>
                <w:i w:val="0"/>
                <w:color w:val="5C6773"/>
                <w:sz w:val="17"/>
              </w:rPr>
              <w:t>T2-F311</w:t>
            </w:r>
          </w:p>
        </w:tc>
        <w:trPr>
          <w:tblHeader/>
        </w:trPr>
      </w:tr>
    </w:tbl>
    <w:p>
      <w:pPr>
        <w:spacing w:after="0"/>
      </w:pPr>
    </w:p>
    <w:p>
      <w:pPr>
        <w:pStyle w:val="Heading2"/>
        <w:keepNext/>
        <w:pageBreakBefore w:val="0"/>
      </w:pPr>
      <w:r>
        <w:t>23.4. Contraction Principle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J(y)=inf{I(x):F(x)=y}, inf∅=∞.</w:t>
            </w:r>
          </w:p>
        </w:tc>
        <w:tc>
          <w:tcPr>
            <w:tcW w:type="dxa" w:w="1531"/>
            <w:shd w:fill="F6F8FA"/>
          </w:tcPr>
          <w:p>
            <w:pPr>
              <w:jc w:val="right"/>
            </w:pPr>
            <w:r>
              <w:rPr>
                <w:rFonts w:ascii="DejaVu Sans" w:hAnsi="DejaVu Sans" w:eastAsia="DejaVu Sans"/>
                <w:b/>
                <w:i w:val="0"/>
                <w:color w:val="5C6773"/>
                <w:sz w:val="17"/>
              </w:rPr>
              <w:t>T2-F312</w:t>
            </w:r>
          </w:p>
        </w:tc>
        <w:trPr>
          <w:tblHeader/>
        </w:trPr>
      </w:tr>
    </w:tbl>
    <w:p>
      <w:pPr>
        <w:spacing w:after="0"/>
      </w:pPr>
    </w:p>
    <w:p>
      <w:pPr>
        <w:pStyle w:val="Heading2"/>
        <w:keepNext/>
        <w:pageBreakBefore w:val="0"/>
      </w:pPr>
      <w:r>
        <w:t>23.5. Laplace Principle and Varadhan Lemma</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lim_n a_n^{-1}log E exp(a_n F(Z_n)) = sup_{x∈𝒳}{F(x)-I(x)}.</w:t>
            </w:r>
          </w:p>
        </w:tc>
        <w:tc>
          <w:tcPr>
            <w:tcW w:type="dxa" w:w="1531"/>
            <w:shd w:fill="F6F8FA"/>
          </w:tcPr>
          <w:p>
            <w:pPr>
              <w:jc w:val="right"/>
            </w:pPr>
            <w:r>
              <w:rPr>
                <w:rFonts w:ascii="DejaVu Sans" w:hAnsi="DejaVu Sans" w:eastAsia="DejaVu Sans"/>
                <w:b/>
                <w:i w:val="0"/>
                <w:color w:val="5C6773"/>
                <w:sz w:val="17"/>
              </w:rPr>
              <w:t>T2-F313</w:t>
            </w:r>
          </w:p>
        </w:tc>
        <w:trPr>
          <w:tblHeader/>
        </w:trPr>
      </w:tr>
    </w:tbl>
    <w:p>
      <w:pPr>
        <w:spacing w:after="0"/>
      </w:pPr>
    </w:p>
    <w:p>
      <w:pPr>
        <w:pStyle w:val="Heading2"/>
        <w:keepNext/>
        <w:pageBreakBefore w:val="0"/>
      </w:pPr>
      <w:r>
        <w:t>23.6. Gartner-Ellis Theorem and Its Limits</w:t>
      </w:r>
    </w:p>
    <w:p>
      <w:pPr>
        <w:widowControl/>
        <w:spacing w:after="80" w:line="264" w:lineRule="auto"/>
      </w:pPr>
      <w:r>
        <w:rPr>
          <w:rFonts w:ascii="DejaVu Serif" w:hAnsi="DejaVu Serif" w:eastAsia="DejaVu Serif"/>
          <w:b w:val="0"/>
          <w:i w:val="0"/>
          <w:color w:val="111111"/>
          <w:sz w:val="20"/>
        </w:rPr>
        <w:t>The statement is read under the explicitly declared hypotheses; its conclusion remains inside the mathematical model and does not acquire empirical status by translation.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Λ(θ)=lim_n a_n^{-1}log E exp(a_n⟨θ,Z_n⟩).</w:t>
            </w:r>
          </w:p>
        </w:tc>
        <w:tc>
          <w:tcPr>
            <w:tcW w:type="dxa" w:w="1531"/>
            <w:shd w:fill="F6F8FA"/>
          </w:tcPr>
          <w:p>
            <w:pPr>
              <w:jc w:val="right"/>
            </w:pPr>
            <w:r>
              <w:rPr>
                <w:rFonts w:ascii="DejaVu Sans" w:hAnsi="DejaVu Sans" w:eastAsia="DejaVu Sans"/>
                <w:b/>
                <w:i w:val="0"/>
                <w:color w:val="5C6773"/>
                <w:sz w:val="17"/>
              </w:rPr>
              <w:t>T2-F314</w:t>
            </w:r>
          </w:p>
        </w:tc>
        <w:trPr>
          <w:tblHeader/>
        </w:trPr>
      </w:tr>
    </w:tbl>
    <w:p>
      <w:pPr>
        <w:spacing w:after="0"/>
      </w:pPr>
    </w:p>
    <w:p>
      <w:pPr>
        <w:pStyle w:val="Heading2"/>
        <w:keepNext/>
        <w:pageBreakBefore w:val="0"/>
      </w:pPr>
      <w:r>
        <w:t>23.7. Sanov Layer: Empirical Measure and Relative Entropy</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I(Q)=D(Q||P),</w:t>
            </w:r>
          </w:p>
        </w:tc>
        <w:tc>
          <w:tcPr>
            <w:tcW w:type="dxa" w:w="1531"/>
            <w:shd w:fill="F6F8FA"/>
          </w:tcPr>
          <w:p>
            <w:pPr>
              <w:jc w:val="right"/>
            </w:pPr>
            <w:r>
              <w:rPr>
                <w:rFonts w:ascii="DejaVu Sans" w:hAnsi="DejaVu Sans" w:eastAsia="DejaVu Sans"/>
                <w:b/>
                <w:i w:val="0"/>
                <w:color w:val="5C6773"/>
                <w:sz w:val="17"/>
              </w:rPr>
              <w:t>T2-F315</w:t>
            </w:r>
          </w:p>
        </w:tc>
        <w:trPr>
          <w:tblHeader/>
        </w:trPr>
      </w:tr>
    </w:tbl>
    <w:p>
      <w:pPr>
        <w:spacing w:after="0"/>
      </w:pPr>
    </w:p>
    <w:p>
      <w:pPr>
        <w:pStyle w:val="Heading2"/>
        <w:keepNext/>
        <w:pageBreakBefore w:val="0"/>
      </w:pPr>
      <w:r>
        <w:t>23.8. Path-Space LDP and the Topology Ledger</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p>
      <w:pPr>
        <w:pStyle w:val="Heading2"/>
        <w:keepNext/>
        <w:pageBreakBefore w:val="0"/>
      </w:pPr>
      <w:r>
        <w:t>23.9. Freidlin-Wentzell Action for Small-Noise Diffusions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dX_t^ε=b(X_t^ε)dt+√ε σ(X_t^ε)dW_t</w:t>
            </w:r>
          </w:p>
        </w:tc>
        <w:tc>
          <w:tcPr>
            <w:tcW w:type="dxa" w:w="1531"/>
            <w:shd w:fill="F6F8FA"/>
          </w:tcPr>
          <w:p>
            <w:pPr>
              <w:jc w:val="right"/>
            </w:pPr>
            <w:r>
              <w:rPr>
                <w:rFonts w:ascii="DejaVu Sans" w:hAnsi="DejaVu Sans" w:eastAsia="DejaVu Sans"/>
                <w:b/>
                <w:i w:val="0"/>
                <w:color w:val="5C6773"/>
                <w:sz w:val="17"/>
              </w:rPr>
              <w:t>T2-F316</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S_{0T}(φ)=1/2 ∫_0^T ⟨φ_dot-b(φ), a(φ)^{-1}(φ_dot-b(φ))⟩ dt,</w:t>
            </w:r>
          </w:p>
        </w:tc>
        <w:tc>
          <w:tcPr>
            <w:tcW w:type="dxa" w:w="1531"/>
            <w:shd w:fill="F6F8FA"/>
          </w:tcPr>
          <w:p>
            <w:pPr>
              <w:jc w:val="right"/>
            </w:pPr>
            <w:r>
              <w:rPr>
                <w:rFonts w:ascii="DejaVu Sans" w:hAnsi="DejaVu Sans" w:eastAsia="DejaVu Sans"/>
                <w:b/>
                <w:i w:val="0"/>
                <w:color w:val="5C6773"/>
                <w:sz w:val="17"/>
              </w:rPr>
              <w:t>T2-F317</w:t>
            </w:r>
          </w:p>
        </w:tc>
        <w:trPr>
          <w:tblHeader/>
        </w:trPr>
      </w:tr>
    </w:tbl>
    <w:p>
      <w:pPr>
        <w:spacing w:after="0"/>
      </w:pPr>
    </w:p>
    <w:p>
      <w:pPr>
        <w:pStyle w:val="Heading2"/>
        <w:keepNext/>
        <w:pageBreakBefore w:val="0"/>
      </w:pPr>
      <w:r>
        <w:t>23.10. Quasipotential and Geometry of Metastable Transitions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V(x,y)=inf_{T&gt;0} inf_{φ(0)=x, φ(T)=y} S_{0T}(φ).</w:t>
            </w:r>
          </w:p>
        </w:tc>
        <w:tc>
          <w:tcPr>
            <w:tcW w:type="dxa" w:w="1531"/>
            <w:shd w:fill="F6F8FA"/>
          </w:tcPr>
          <w:p>
            <w:pPr>
              <w:jc w:val="right"/>
            </w:pPr>
            <w:r>
              <w:rPr>
                <w:rFonts w:ascii="DejaVu Sans" w:hAnsi="DejaVu Sans" w:eastAsia="DejaVu Sans"/>
                <w:b/>
                <w:i w:val="0"/>
                <w:color w:val="5C6773"/>
                <w:sz w:val="17"/>
              </w:rPr>
              <w:t>T2-F318</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56" name="Picture 56" descr="Figure 57. Quasipotential barrier and minimum-action path." title="Figure 57. Quasipotential barrier and minimum-action path."/>
            <wp:cNvGraphicFramePr>
              <a:graphicFrameLocks noChangeAspect="1"/>
            </wp:cNvGraphicFramePr>
            <a:graphic>
              <a:graphicData uri="http://schemas.openxmlformats.org/drawingml/2006/picture">
                <pic:pic>
                  <pic:nvPicPr>
                    <pic:cNvPr id="0" name="fig57_quasipotential.png"/>
                    <pic:cNvPicPr/>
                  </pic:nvPicPr>
                  <pic:blipFill>
                    <a:blip r:embed="rId66"/>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57. Quasipotential barrier and minimum-action path.</w:t>
      </w:r>
    </w:p>
    <w:p>
      <w:pPr>
        <w:pStyle w:val="Heading2"/>
        <w:keepNext/>
        <w:pageBreakBefore w:val="0"/>
      </w:pPr>
      <w:r>
        <w:t>23.11. Rare-Event Geometry of the Reper-Path</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z=(Rep, μ, Ass, o, λ, D, Dom).</w:t>
            </w:r>
          </w:p>
        </w:tc>
        <w:tc>
          <w:tcPr>
            <w:tcW w:type="dxa" w:w="1531"/>
            <w:shd w:fill="F6F8FA"/>
          </w:tcPr>
          <w:p>
            <w:pPr>
              <w:jc w:val="right"/>
            </w:pPr>
            <w:r>
              <w:rPr>
                <w:rFonts w:ascii="DejaVu Sans" w:hAnsi="DejaVu Sans" w:eastAsia="DejaVu Sans"/>
                <w:b/>
                <w:i w:val="0"/>
                <w:color w:val="5C6773"/>
                <w:sz w:val="17"/>
              </w:rPr>
              <w:t>T2-F319</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A_{ε,η}={z(·): inf_t |λ_t+1|≤ε, ||o_t||≤η, Valid(D_t)=1, Block_t=∅}.</w:t>
            </w:r>
          </w:p>
        </w:tc>
        <w:tc>
          <w:tcPr>
            <w:tcW w:type="dxa" w:w="1531"/>
            <w:shd w:fill="F6F8FA"/>
          </w:tcPr>
          <w:p>
            <w:pPr>
              <w:jc w:val="right"/>
            </w:pPr>
            <w:r>
              <w:rPr>
                <w:rFonts w:ascii="DejaVu Sans" w:hAnsi="DejaVu Sans" w:eastAsia="DejaVu Sans"/>
                <w:b/>
                <w:i w:val="0"/>
                <w:color w:val="5C6773"/>
                <w:sz w:val="17"/>
              </w:rPr>
              <w:t>T2-F320</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c_{ε,η}=inf_{z(·)∈cl A_{ε,η}} I_path(z).</w:t>
            </w:r>
          </w:p>
        </w:tc>
        <w:tc>
          <w:tcPr>
            <w:tcW w:type="dxa" w:w="1531"/>
            <w:shd w:fill="F6F8FA"/>
          </w:tcPr>
          <w:p>
            <w:pPr>
              <w:jc w:val="right"/>
            </w:pPr>
            <w:r>
              <w:rPr>
                <w:rFonts w:ascii="DejaVu Sans" w:hAnsi="DejaVu Sans" w:eastAsia="DejaVu Sans"/>
                <w:b/>
                <w:i w:val="0"/>
                <w:color w:val="5C6773"/>
                <w:sz w:val="17"/>
              </w:rPr>
              <w:t>T2-F321</w:t>
            </w:r>
          </w:p>
        </w:tc>
        <w:trPr>
          <w:tblHeader/>
        </w:trPr>
      </w:tr>
    </w:tbl>
    <w:p>
      <w:pPr>
        <w:spacing w:after="0"/>
      </w:pPr>
    </w:p>
    <w:p>
      <w:pPr>
        <w:pStyle w:val="Heading2"/>
        <w:keepNext/>
        <w:pageBreakBefore w:val="0"/>
      </w:pPr>
      <w:r>
        <w:t>23.12. Lambda Poles and the Extended Contraction Firewall</w:t>
      </w:r>
    </w:p>
    <w:p>
      <w:pPr>
        <w:widowControl/>
        <w:spacing w:after="80" w:line="264" w:lineRule="auto"/>
      </w:pPr>
      <w:r>
        <w:rPr>
          <w:rFonts w:ascii="DejaVu Serif" w:hAnsi="DejaVu Serif" w:eastAsia="DejaVu Serif"/>
          <w:b w:val="0"/>
          <w:i w:val="0"/>
          <w:color w:val="111111"/>
          <w:sz w:val="20"/>
        </w:rPr>
        <w:t>The horizon is the union of loci where rank, domain, topology, calibration, identification, or numerical certification can change.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23.13. Donsker-Varadhan Layer for Empirical Measures of a Markov Process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L_T=(1/T)∫_0^T δ_{X_t}dt</w:t>
            </w:r>
          </w:p>
        </w:tc>
        <w:tc>
          <w:tcPr>
            <w:tcW w:type="dxa" w:w="1531"/>
            <w:shd w:fill="F6F8FA"/>
          </w:tcPr>
          <w:p>
            <w:pPr>
              <w:jc w:val="right"/>
            </w:pPr>
            <w:r>
              <w:rPr>
                <w:rFonts w:ascii="DejaVu Sans" w:hAnsi="DejaVu Sans" w:eastAsia="DejaVu Sans"/>
                <w:b/>
                <w:i w:val="0"/>
                <w:color w:val="5C6773"/>
                <w:sz w:val="17"/>
              </w:rPr>
              <w:t>T2-F322</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I_DV(μ)= -inf_{u&gt;0} ∫ (Lu/u)dμ.</w:t>
            </w:r>
          </w:p>
        </w:tc>
        <w:tc>
          <w:tcPr>
            <w:tcW w:type="dxa" w:w="1531"/>
            <w:shd w:fill="F6F8FA"/>
          </w:tcPr>
          <w:p>
            <w:pPr>
              <w:jc w:val="right"/>
            </w:pPr>
            <w:r>
              <w:rPr>
                <w:rFonts w:ascii="DejaVu Sans" w:hAnsi="DejaVu Sans" w:eastAsia="DejaVu Sans"/>
                <w:b/>
                <w:i w:val="0"/>
                <w:color w:val="5C6773"/>
                <w:sz w:val="17"/>
              </w:rPr>
              <w:t>T2-F323</w:t>
            </w:r>
          </w:p>
        </w:tc>
        <w:trPr>
          <w:tblHeader/>
        </w:trPr>
      </w:tr>
    </w:tbl>
    <w:p>
      <w:pPr>
        <w:spacing w:after="0"/>
      </w:pPr>
    </w:p>
    <w:p>
      <w:pPr>
        <w:pStyle w:val="Heading2"/>
        <w:keepNext/>
        <w:pageBreakBefore w:val="0"/>
      </w:pPr>
      <w:r>
        <w:t>23.14. Feynman-Kac Semigroup</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(Q_t^V f)(x)=E_x[exp(∫_0^t V(X_s)ds) f(X_t)].</w:t>
            </w:r>
          </w:p>
        </w:tc>
        <w:tc>
          <w:tcPr>
            <w:tcW w:type="dxa" w:w="1531"/>
            <w:shd w:fill="F6F8FA"/>
          </w:tcPr>
          <w:p>
            <w:pPr>
              <w:jc w:val="right"/>
            </w:pPr>
            <w:r>
              <w:rPr>
                <w:rFonts w:ascii="DejaVu Sans" w:hAnsi="DejaVu Sans" w:eastAsia="DejaVu Sans"/>
                <w:b/>
                <w:i w:val="0"/>
                <w:color w:val="5C6773"/>
                <w:sz w:val="17"/>
              </w:rPr>
              <w:t>T2-F324</w:t>
            </w:r>
          </w:p>
        </w:tc>
        <w:trPr>
          <w:tblHeader/>
        </w:trPr>
      </w:tr>
    </w:tbl>
    <w:p>
      <w:pPr>
        <w:spacing w:after="0"/>
      </w:pPr>
    </w:p>
    <w:p>
      <w:pPr>
        <w:pStyle w:val="Heading2"/>
        <w:keepNext/>
        <w:pageBreakBefore w:val="0"/>
      </w:pPr>
      <w:r>
        <w:t>23.15. Risk-Sensitive Logarithmic Semigroup</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(S_t^{θ,V}g)(x)=θ^{-1} log E_x exp(θ[g(X_t)+∫_0^t V(X_s)ds]).</w:t>
            </w:r>
          </w:p>
        </w:tc>
        <w:tc>
          <w:tcPr>
            <w:tcW w:type="dxa" w:w="1531"/>
            <w:shd w:fill="F6F8FA"/>
          </w:tcPr>
          <w:p>
            <w:pPr>
              <w:jc w:val="right"/>
            </w:pPr>
            <w:r>
              <w:rPr>
                <w:rFonts w:ascii="DejaVu Sans" w:hAnsi="DejaVu Sans" w:eastAsia="DejaVu Sans"/>
                <w:b/>
                <w:i w:val="0"/>
                <w:color w:val="5C6773"/>
                <w:sz w:val="17"/>
              </w:rPr>
              <w:t>T2-F325</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57" name="Picture 57" descr="Figure 58. Feynman-Kac and risk-sensitive semigroup." title="Figure 58. Feynman-Kac and risk-sensitive semigroup."/>
            <wp:cNvGraphicFramePr>
              <a:graphicFrameLocks noChangeAspect="1"/>
            </wp:cNvGraphicFramePr>
            <a:graphic>
              <a:graphicData uri="http://schemas.openxmlformats.org/drawingml/2006/picture">
                <pic:pic>
                  <pic:nvPicPr>
                    <pic:cNvPr id="0" name="fig58_risk_semigroup.png"/>
                    <pic:cNvPicPr/>
                  </pic:nvPicPr>
                  <pic:blipFill>
                    <a:blip r:embed="rId67"/>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58. Feynman-Kac and risk-sensitive semigroup.</w:t>
      </w:r>
    </w:p>
    <w:p>
      <w:pPr>
        <w:pStyle w:val="Heading2"/>
        <w:keepNext/>
        <w:pageBreakBefore w:val="0"/>
      </w:pPr>
      <w:r>
        <w:t>23.16. Nonlinear Generator of the Risk-Sensitive Layer</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H_θ f = θ^{-1}e^{-θf}L(e^{θf})+V.</w:t>
            </w:r>
          </w:p>
        </w:tc>
        <w:tc>
          <w:tcPr>
            <w:tcW w:type="dxa" w:w="1531"/>
            <w:shd w:fill="F6F8FA"/>
          </w:tcPr>
          <w:p>
            <w:pPr>
              <w:jc w:val="right"/>
            </w:pPr>
            <w:r>
              <w:rPr>
                <w:rFonts w:ascii="DejaVu Sans" w:hAnsi="DejaVu Sans" w:eastAsia="DejaVu Sans"/>
                <w:b/>
                <w:i w:val="0"/>
                <w:color w:val="5C6773"/>
                <w:sz w:val="17"/>
              </w:rPr>
              <w:t>T2-F326</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H_θ f = Lf +(θ/2)||σᵀ∇f||²+V.</w:t>
            </w:r>
          </w:p>
        </w:tc>
        <w:tc>
          <w:tcPr>
            <w:tcW w:type="dxa" w:w="1531"/>
            <w:shd w:fill="F6F8FA"/>
          </w:tcPr>
          <w:p>
            <w:pPr>
              <w:jc w:val="right"/>
            </w:pPr>
            <w:r>
              <w:rPr>
                <w:rFonts w:ascii="DejaVu Sans" w:hAnsi="DejaVu Sans" w:eastAsia="DejaVu Sans"/>
                <w:b/>
                <w:i w:val="0"/>
                <w:color w:val="5C6773"/>
                <w:sz w:val="17"/>
              </w:rPr>
              <w:t>T2-F327</w:t>
            </w:r>
          </w:p>
        </w:tc>
        <w:trPr>
          <w:tblHeader/>
        </w:trPr>
      </w:tr>
    </w:tbl>
    <w:p>
      <w:pPr>
        <w:spacing w:after="0"/>
      </w:pPr>
    </w:p>
    <w:p>
      <w:pPr>
        <w:pStyle w:val="Heading2"/>
        <w:keepNext/>
        <w:pageBreakBefore w:val="0"/>
      </w:pPr>
      <w:r>
        <w:t>23.17. Long-Time Eigenvalue and Multiplicative Ergodic Limit</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ρ(θ)=lim_{t→∞}(1/t)log E_x exp(θ∫_0^t V(X_s)ds).</w:t>
            </w:r>
          </w:p>
        </w:tc>
        <w:tc>
          <w:tcPr>
            <w:tcW w:type="dxa" w:w="1531"/>
            <w:shd w:fill="F6F8FA"/>
          </w:tcPr>
          <w:p>
            <w:pPr>
              <w:jc w:val="right"/>
            </w:pPr>
            <w:r>
              <w:rPr>
                <w:rFonts w:ascii="DejaVu Sans" w:hAnsi="DejaVu Sans" w:eastAsia="DejaVu Sans"/>
                <w:b/>
                <w:i w:val="0"/>
                <w:color w:val="5C6773"/>
                <w:sz w:val="17"/>
              </w:rPr>
              <w:t>T2-F328</w:t>
            </w:r>
          </w:p>
        </w:tc>
        <w:trPr>
          <w:tblHeader/>
        </w:trPr>
      </w:tr>
    </w:tbl>
    <w:p>
      <w:pPr>
        <w:spacing w:after="0"/>
      </w:pPr>
    </w:p>
    <w:p>
      <w:pPr>
        <w:pStyle w:val="Heading2"/>
        <w:keepNext/>
        <w:pageBreakBefore w:val="0"/>
      </w:pPr>
      <w:r>
        <w:t>23.18. Entropic Variational Formula</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log E_P e^F = sup_{Q&lt;&lt;P}{E_Q F-D(Q||P)}.</w:t>
            </w:r>
          </w:p>
        </w:tc>
        <w:tc>
          <w:tcPr>
            <w:tcW w:type="dxa" w:w="1531"/>
            <w:shd w:fill="F6F8FA"/>
          </w:tcPr>
          <w:p>
            <w:pPr>
              <w:jc w:val="right"/>
            </w:pPr>
            <w:r>
              <w:rPr>
                <w:rFonts w:ascii="DejaVu Sans" w:hAnsi="DejaVu Sans" w:eastAsia="DejaVu Sans"/>
                <w:b/>
                <w:i w:val="0"/>
                <w:color w:val="5C6773"/>
                <w:sz w:val="17"/>
              </w:rPr>
              <w:t>T2-F329</w:t>
            </w:r>
          </w:p>
        </w:tc>
        <w:trPr>
          <w:tblHeader/>
        </w:trPr>
      </w:tr>
    </w:tbl>
    <w:p>
      <w:pPr>
        <w:spacing w:after="0"/>
      </w:pPr>
    </w:p>
    <w:p>
      <w:pPr>
        <w:pStyle w:val="Heading2"/>
        <w:keepNext/>
        <w:pageBreakBefore w:val="0"/>
      </w:pPr>
      <w:r>
        <w:t>23.19. Risk-Sensitive Control and the HJB Eigenproblem</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J_θ(a)=limsup_{T→∞}(1/(θT))log E^a exp(θ∫_0^T c(X_t,a_t)dt)</w:t>
            </w:r>
          </w:p>
        </w:tc>
        <w:tc>
          <w:tcPr>
            <w:tcW w:type="dxa" w:w="1531"/>
            <w:shd w:fill="F6F8FA"/>
          </w:tcPr>
          <w:p>
            <w:pPr>
              <w:jc w:val="right"/>
            </w:pPr>
            <w:r>
              <w:rPr>
                <w:rFonts w:ascii="DejaVu Sans" w:hAnsi="DejaVu Sans" w:eastAsia="DejaVu Sans"/>
                <w:b/>
                <w:i w:val="0"/>
                <w:color w:val="5C6773"/>
                <w:sz w:val="17"/>
              </w:rPr>
              <w:t>T2-F330</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ρ+inf_a{L^a v+c(x,a)+(θ/2)||σ_aᵀ∇v||²}=0.</w:t>
            </w:r>
          </w:p>
        </w:tc>
        <w:tc>
          <w:tcPr>
            <w:tcW w:type="dxa" w:w="1531"/>
            <w:shd w:fill="F6F8FA"/>
          </w:tcPr>
          <w:p>
            <w:pPr>
              <w:jc w:val="right"/>
            </w:pPr>
            <w:r>
              <w:rPr>
                <w:rFonts w:ascii="DejaVu Sans" w:hAnsi="DejaVu Sans" w:eastAsia="DejaVu Sans"/>
                <w:b/>
                <w:i w:val="0"/>
                <w:color w:val="5C6773"/>
                <w:sz w:val="17"/>
              </w:rPr>
              <w:t>T2-F331</w:t>
            </w:r>
          </w:p>
        </w:tc>
        <w:trPr>
          <w:tblHeader/>
        </w:trPr>
      </w:tr>
    </w:tbl>
    <w:p>
      <w:pPr>
        <w:spacing w:after="0"/>
      </w:pPr>
    </w:p>
    <w:p>
      <w:pPr>
        <w:pStyle w:val="Heading2"/>
        <w:keepNext/>
        <w:pageBreakBefore w:val="0"/>
      </w:pPr>
      <w:r>
        <w:t>23.20. An Asymptotic Exponent Is Not a Finite-n Probability</w:t>
      </w:r>
    </w:p>
    <w:p>
      <w:pPr>
        <w:widowControl/>
        <w:spacing w:after="80" w:line="264" w:lineRule="auto"/>
      </w:pPr>
      <w:r>
        <w:rPr>
          <w:rFonts w:ascii="DejaVu Serif" w:hAnsi="DejaVu Serif" w:eastAsia="DejaVu Serif"/>
          <w:b w:val="0"/>
          <w:i w:val="0"/>
          <w:color w:val="111111"/>
          <w:sz w:val="20"/>
        </w:rPr>
        <w:t>Separating models show that the prohibited inference fails even when the upstream mathematical object is well defined.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lim_n a_n^{-1}log p_n=-c, c&gt;0</w:t>
            </w:r>
          </w:p>
        </w:tc>
        <w:tc>
          <w:tcPr>
            <w:tcW w:type="dxa" w:w="1531"/>
            <w:shd w:fill="F6F8FA"/>
          </w:tcPr>
          <w:p>
            <w:pPr>
              <w:jc w:val="right"/>
            </w:pPr>
            <w:r>
              <w:rPr>
                <w:rFonts w:ascii="DejaVu Sans" w:hAnsi="DejaVu Sans" w:eastAsia="DejaVu Sans"/>
                <w:b/>
                <w:i w:val="0"/>
                <w:color w:val="5C6773"/>
                <w:sz w:val="17"/>
              </w:rPr>
              <w:t>T2-F332</w:t>
            </w:r>
          </w:p>
        </w:tc>
        <w:trPr>
          <w:tblHeader/>
        </w:trPr>
      </w:tr>
    </w:tbl>
    <w:p>
      <w:pPr>
        <w:spacing w:after="0"/>
      </w:pPr>
    </w:p>
    <w:p>
      <w:pPr>
        <w:pStyle w:val="Heading2"/>
        <w:keepNext/>
        <w:pageBreakBefore w:val="0"/>
      </w:pPr>
      <w:r>
        <w:t>23.21. Importance Sampling and an Unbiased Rare-Event Estimator</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p=P(A)=E_Q[1_A L].</w:t>
            </w:r>
          </w:p>
        </w:tc>
        <w:tc>
          <w:tcPr>
            <w:tcW w:type="dxa" w:w="1531"/>
            <w:shd w:fill="F6F8FA"/>
          </w:tcPr>
          <w:p>
            <w:pPr>
              <w:jc w:val="right"/>
            </w:pPr>
            <w:r>
              <w:rPr>
                <w:rFonts w:ascii="DejaVu Sans" w:hAnsi="DejaVu Sans" w:eastAsia="DejaVu Sans"/>
                <w:b/>
                <w:i w:val="0"/>
                <w:color w:val="5C6773"/>
                <w:sz w:val="17"/>
              </w:rPr>
              <w:t>T2-F333</w:t>
            </w:r>
          </w:p>
        </w:tc>
        <w:trPr>
          <w:tblHeader/>
        </w:trPr>
      </w:tr>
    </w:tbl>
    <w:p>
      <w:pPr>
        <w:spacing w:after="0"/>
      </w:pPr>
    </w:p>
    <w:p>
      <w:pPr>
        <w:pStyle w:val="Heading2"/>
        <w:keepNext/>
        <w:pageBreakBefore w:val="0"/>
      </w:pPr>
      <w:r>
        <w:t>23.22. Logarithmic and Bounded-Relative-Error Efficiency</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p>
      <w:pPr>
        <w:pStyle w:val="Heading2"/>
        <w:keepNext/>
        <w:pageBreakBefore w:val="0"/>
      </w:pPr>
      <w:r>
        <w:t>23.23. Splitting and Adaptive Levels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p>
      <w:pPr>
        <w:pStyle w:val="Heading2"/>
        <w:keepNext/>
        <w:pageBreakBefore w:val="0"/>
      </w:pPr>
      <w:r>
        <w:t>23.24. Ambiguity Sets: Robust Layer</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U_N(ρ)={Q: d(Q,P_hat_N)≤ρ, Q∈𝒫_adm}.</w:t>
            </w:r>
          </w:p>
        </w:tc>
        <w:tc>
          <w:tcPr>
            <w:tcW w:type="dxa" w:w="1531"/>
            <w:shd w:fill="F6F8FA"/>
          </w:tcPr>
          <w:p>
            <w:pPr>
              <w:jc w:val="right"/>
            </w:pPr>
            <w:r>
              <w:rPr>
                <w:rFonts w:ascii="DejaVu Sans" w:hAnsi="DejaVu Sans" w:eastAsia="DejaVu Sans"/>
                <w:b/>
                <w:i w:val="0"/>
                <w:color w:val="5C6773"/>
                <w:sz w:val="17"/>
              </w:rPr>
              <w:t>T2-F334</w:t>
            </w:r>
          </w:p>
        </w:tc>
        <w:trPr>
          <w:tblHeader/>
        </w:trPr>
      </w:tr>
    </w:tbl>
    <w:p>
      <w:pPr>
        <w:spacing w:after="0"/>
      </w:pPr>
    </w:p>
    <w:p>
      <w:pPr>
        <w:pStyle w:val="Heading2"/>
        <w:keepNext/>
        <w:pageBreakBefore w:val="0"/>
      </w:pPr>
      <w:r>
        <w:t>23.25. KL and f-Divergence Ambiguity</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sup_{D(Q||P_hat)≤ρ} E_Qℓ ≤ inf_{η&gt;0}{ηρ+η log E_{P_hat} exp(ℓ/η)}.</w:t>
            </w:r>
          </w:p>
        </w:tc>
        <w:tc>
          <w:tcPr>
            <w:tcW w:type="dxa" w:w="1531"/>
            <w:shd w:fill="F6F8FA"/>
          </w:tcPr>
          <w:p>
            <w:pPr>
              <w:jc w:val="right"/>
            </w:pPr>
            <w:r>
              <w:rPr>
                <w:rFonts w:ascii="DejaVu Sans" w:hAnsi="DejaVu Sans" w:eastAsia="DejaVu Sans"/>
                <w:b/>
                <w:i w:val="0"/>
                <w:color w:val="5C6773"/>
                <w:sz w:val="17"/>
              </w:rPr>
              <w:t>T2-F335</w:t>
            </w:r>
          </w:p>
        </w:tc>
        <w:trPr>
          <w:tblHeader/>
        </w:trPr>
      </w:tr>
    </w:tbl>
    <w:p>
      <w:pPr>
        <w:spacing w:after="0"/>
      </w:pPr>
    </w:p>
    <w:p>
      <w:pPr>
        <w:pStyle w:val="Heading2"/>
        <w:keepNext/>
        <w:pageBreakBefore w:val="0"/>
      </w:pPr>
      <w:r>
        <w:t>23.26. Wasserstein Ambiguity and Geometry of New States</w:t>
      </w:r>
    </w:p>
    <w:p>
      <w:pPr>
        <w:widowControl/>
        <w:spacing w:after="80" w:line="264" w:lineRule="auto"/>
      </w:pPr>
      <w:r>
        <w:rPr>
          <w:rFonts w:ascii="DejaVu Serif" w:hAnsi="DejaVu Serif" w:eastAsia="DejaVu Serif"/>
          <w:b w:val="0"/>
          <w:i w:val="0"/>
          <w:color w:val="111111"/>
          <w:sz w:val="20"/>
        </w:rPr>
        <w:t>This section fixes the carrier, domain, codomain, and status type before any computation or interpretation is permitted.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sup_{W_c(Q,P_hat)≤ρ}E_Qℓ = inf_{η≥0}{ηρ+E_{P_hat}[sup_z(ℓ(z)-ηc(z,ξ))]}.</w:t>
            </w:r>
          </w:p>
        </w:tc>
        <w:tc>
          <w:tcPr>
            <w:tcW w:type="dxa" w:w="1531"/>
            <w:shd w:fill="F6F8FA"/>
          </w:tcPr>
          <w:p>
            <w:pPr>
              <w:jc w:val="right"/>
            </w:pPr>
            <w:r>
              <w:rPr>
                <w:rFonts w:ascii="DejaVu Sans" w:hAnsi="DejaVu Sans" w:eastAsia="DejaVu Sans"/>
                <w:b/>
                <w:i w:val="0"/>
                <w:color w:val="5C6773"/>
                <w:sz w:val="17"/>
              </w:rPr>
              <w:t>T2-F336</w:t>
            </w:r>
          </w:p>
        </w:tc>
        <w:trPr>
          <w:tblHeader/>
        </w:trPr>
      </w:tr>
    </w:tbl>
    <w:p>
      <w:pPr>
        <w:spacing w:after="0"/>
      </w:pPr>
    </w:p>
    <w:p>
      <w:pPr>
        <w:pStyle w:val="Heading2"/>
        <w:keepNext/>
        <w:pageBreakBefore w:val="0"/>
      </w:pPr>
      <w:r>
        <w:t>23.27. Finite-Sample Coverage Ambiguity Set</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P_data(P_*∈U_N(ρ_N(β)))≥1-β.</w:t>
            </w:r>
          </w:p>
        </w:tc>
        <w:tc>
          <w:tcPr>
            <w:tcW w:type="dxa" w:w="1531"/>
            <w:shd w:fill="F6F8FA"/>
          </w:tcPr>
          <w:p>
            <w:pPr>
              <w:jc w:val="right"/>
            </w:pPr>
            <w:r>
              <w:rPr>
                <w:rFonts w:ascii="DejaVu Sans" w:hAnsi="DejaVu Sans" w:eastAsia="DejaVu Sans"/>
                <w:b/>
                <w:i w:val="0"/>
                <w:color w:val="5C6773"/>
                <w:sz w:val="17"/>
              </w:rPr>
              <w:t>T2-F337</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P_*(A)≤sup_{Q∈U_N}Q(A).</w:t>
            </w:r>
          </w:p>
        </w:tc>
        <w:tc>
          <w:tcPr>
            <w:tcW w:type="dxa" w:w="1531"/>
            <w:shd w:fill="F6F8FA"/>
          </w:tcPr>
          <w:p>
            <w:pPr>
              <w:jc w:val="right"/>
            </w:pPr>
            <w:r>
              <w:rPr>
                <w:rFonts w:ascii="DejaVu Sans" w:hAnsi="DejaVu Sans" w:eastAsia="DejaVu Sans"/>
                <w:b/>
                <w:i w:val="0"/>
                <w:color w:val="5C6773"/>
                <w:sz w:val="17"/>
              </w:rPr>
              <w:t>T2-F338</w:t>
            </w:r>
          </w:p>
        </w:tc>
        <w:trPr>
          <w:tblHeader/>
        </w:trPr>
      </w:tr>
    </w:tbl>
    <w:p>
      <w:pPr>
        <w:spacing w:after="0"/>
      </w:pPr>
    </w:p>
    <w:p>
      <w:pPr>
        <w:pStyle w:val="Heading2"/>
        <w:keepNext/>
        <w:pageBreakBefore w:val="0"/>
      </w:pPr>
      <w:r>
        <w:t>23.28. Distributionally Robust Chance Certificate</w:t>
      </w:r>
    </w:p>
    <w:p>
      <w:pPr>
        <w:widowControl/>
        <w:spacing w:after="80" w:line="264" w:lineRule="auto"/>
      </w:pPr>
      <w:r>
        <w:rPr>
          <w:rFonts w:ascii="DejaVu Serif" w:hAnsi="DejaVu Serif" w:eastAsia="DejaVu Serif"/>
          <w:b w:val="0"/>
          <w:i w:val="0"/>
          <w:color w:val="111111"/>
          <w:sz w:val="20"/>
        </w:rPr>
        <w:t>The certificate records inputs, algorithms, tolerances, residuals, sources, code and data hashes, and the weakest evidential status supported by the chain.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P_data(P_*(A)≤B_N(A))≥1-β.</w:t>
            </w:r>
          </w:p>
        </w:tc>
        <w:tc>
          <w:tcPr>
            <w:tcW w:type="dxa" w:w="1531"/>
            <w:shd w:fill="F6F8FA"/>
          </w:tcPr>
          <w:p>
            <w:pPr>
              <w:jc w:val="right"/>
            </w:pPr>
            <w:r>
              <w:rPr>
                <w:rFonts w:ascii="DejaVu Sans" w:hAnsi="DejaVu Sans" w:eastAsia="DejaVu Sans"/>
                <w:b/>
                <w:i w:val="0"/>
                <w:color w:val="5C6773"/>
                <w:sz w:val="17"/>
              </w:rPr>
              <w:t>T2-F339</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58" name="Picture 58" descr="Figure 59. Finite-sample robust rare-risk certificate." title="Figure 59. Finite-sample robust rare-risk certificate."/>
            <wp:cNvGraphicFramePr>
              <a:graphicFrameLocks noChangeAspect="1"/>
            </wp:cNvGraphicFramePr>
            <a:graphic>
              <a:graphicData uri="http://schemas.openxmlformats.org/drawingml/2006/picture">
                <pic:pic>
                  <pic:nvPicPr>
                    <pic:cNvPr id="0" name="fig59_finite_sample.png"/>
                    <pic:cNvPicPr/>
                  </pic:nvPicPr>
                  <pic:blipFill>
                    <a:blip r:embed="rId68"/>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59. Finite-sample robust rare-risk certificate.</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23.29. Exact Binomial Certificate for a Rare Event</w:t>
      </w:r>
    </w:p>
    <w:p>
      <w:pPr>
        <w:widowControl/>
        <w:spacing w:after="80" w:line="264" w:lineRule="auto"/>
      </w:pPr>
      <w:r>
        <w:rPr>
          <w:rFonts w:ascii="DejaVu Serif" w:hAnsi="DejaVu Serif" w:eastAsia="DejaVu Serif"/>
          <w:b w:val="0"/>
          <w:i w:val="0"/>
          <w:color w:val="111111"/>
          <w:sz w:val="20"/>
        </w:rPr>
        <w:t>The certificate records inputs, algorithms, tolerances, residuals, sources, code and data hashes, and the weakest evidential status supported by the chain.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p_U=1-α^{1/N}, coverage ≥1-α.</w:t>
            </w:r>
          </w:p>
        </w:tc>
        <w:tc>
          <w:tcPr>
            <w:tcW w:type="dxa" w:w="1531"/>
            <w:shd w:fill="F6F8FA"/>
          </w:tcPr>
          <w:p>
            <w:pPr>
              <w:jc w:val="right"/>
            </w:pPr>
            <w:r>
              <w:rPr>
                <w:rFonts w:ascii="DejaVu Sans" w:hAnsi="DejaVu Sans" w:eastAsia="DejaVu Sans"/>
                <w:b/>
                <w:i w:val="0"/>
                <w:color w:val="5C6773"/>
                <w:sz w:val="17"/>
              </w:rPr>
              <w:t>T2-F340</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23.30. Bounded-Loss Concentration and Empirical Risk</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E[X]≤X_bar_N+sqrt(log(1/β)/(2N)).</w:t>
            </w:r>
          </w:p>
        </w:tc>
        <w:tc>
          <w:tcPr>
            <w:tcW w:type="dxa" w:w="1531"/>
            <w:shd w:fill="F6F8FA"/>
          </w:tcPr>
          <w:p>
            <w:pPr>
              <w:jc w:val="right"/>
            </w:pPr>
            <w:r>
              <w:rPr>
                <w:rFonts w:ascii="DejaVu Sans" w:hAnsi="DejaVu Sans" w:eastAsia="DejaVu Sans"/>
                <w:b/>
                <w:i w:val="0"/>
                <w:color w:val="5C6773"/>
                <w:sz w:val="17"/>
              </w:rPr>
              <w:t>T2-F341</w:t>
            </w:r>
          </w:p>
        </w:tc>
        <w:trPr>
          <w:tblHeader/>
        </w:trPr>
      </w:tr>
    </w:tbl>
    <w:p>
      <w:pPr>
        <w:spacing w:after="0"/>
      </w:pPr>
    </w:p>
    <w:p>
      <w:pPr>
        <w:pStyle w:val="Heading2"/>
        <w:keepNext/>
        <w:pageBreakBefore w:val="0"/>
      </w:pPr>
      <w:r>
        <w:t>23.31. Anytime-Valid and Sequential Certification</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p>
      <w:pPr>
        <w:pStyle w:val="Heading2"/>
        <w:keepNext/>
        <w:pageBreakBefore w:val="0"/>
      </w:pPr>
      <w:r>
        <w:t>23.32. Fusion of Asymptotic and Finite-Sample Layers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p_n(A) ≤ min{B_N^{rob}(A), C_n exp[-a_n(c_A-δ)]},</w:t>
            </w:r>
          </w:p>
        </w:tc>
        <w:tc>
          <w:tcPr>
            <w:tcW w:type="dxa" w:w="1531"/>
            <w:shd w:fill="F6F8FA"/>
          </w:tcPr>
          <w:p>
            <w:pPr>
              <w:jc w:val="right"/>
            </w:pPr>
            <w:r>
              <w:rPr>
                <w:rFonts w:ascii="DejaVu Sans" w:hAnsi="DejaVu Sans" w:eastAsia="DejaVu Sans"/>
                <w:b/>
                <w:i w:val="0"/>
                <w:color w:val="5C6773"/>
                <w:sz w:val="17"/>
              </w:rPr>
              <w:t>T2-F342</w:t>
            </w:r>
          </w:p>
        </w:tc>
        <w:trPr>
          <w:tblHeader/>
        </w:trPr>
      </w:tr>
    </w:tbl>
    <w:p>
      <w:pPr>
        <w:spacing w:after="0"/>
      </w:pPr>
    </w:p>
    <w:p>
      <w:pPr>
        <w:pStyle w:val="Heading2"/>
        <w:keepNext/>
        <w:pageBreakBefore w:val="0"/>
      </w:pPr>
      <w:r>
        <w:t>23.33. Non-identifiability of the Tail from a Finite Sample</w:t>
      </w:r>
    </w:p>
    <w:p>
      <w:pPr>
        <w:widowControl/>
        <w:spacing w:after="80" w:line="264" w:lineRule="auto"/>
      </w:pPr>
      <w:r>
        <w:rPr>
          <w:rFonts w:ascii="DejaVu Serif" w:hAnsi="DejaVu Serif" w:eastAsia="DejaVu Serif"/>
          <w:b w:val="0"/>
          <w:i w:val="0"/>
          <w:color w:val="111111"/>
          <w:sz w:val="20"/>
        </w:rPr>
        <w:t>Separating models show that the prohibited inference fails even when the upstream mathematical object is well defined. Asymptotic rate statements and finite-sample risk bounds are reported separately and may not be substituted for one another.</w:t>
      </w:r>
    </w:p>
    <w:p>
      <w:pPr>
        <w:pStyle w:val="Heading2"/>
        <w:keepNext/>
        <w:pageBreakBefore w:val="0"/>
      </w:pPr>
      <w:r>
        <w:t>23.34. Rate-Function Estimation and Epistemic Uncertainty</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Rep_rate=(I_hat, topology, speed, solver, residuals; D_rate).</w:t>
            </w:r>
          </w:p>
        </w:tc>
        <w:tc>
          <w:tcPr>
            <w:tcW w:type="dxa" w:w="1531"/>
            <w:shd w:fill="F6F8FA"/>
          </w:tcPr>
          <w:p>
            <w:pPr>
              <w:jc w:val="right"/>
            </w:pPr>
            <w:r>
              <w:rPr>
                <w:rFonts w:ascii="DejaVu Sans" w:hAnsi="DejaVu Sans" w:eastAsia="DejaVu Sans"/>
                <w:b/>
                <w:i w:val="0"/>
                <w:color w:val="5C6773"/>
                <w:sz w:val="17"/>
              </w:rPr>
              <w:t>T2-F343</w:t>
            </w:r>
          </w:p>
        </w:tc>
        <w:trPr>
          <w:tblHeader/>
        </w:trPr>
      </w:tr>
    </w:tbl>
    <w:p>
      <w:pPr>
        <w:spacing w:after="0"/>
      </w:pPr>
    </w:p>
    <w:p>
      <w:pPr>
        <w:pStyle w:val="Heading2"/>
        <w:keepNext/>
        <w:pageBreakBefore w:val="0"/>
      </w:pPr>
      <w:r>
        <w:t>23.35. Robust Rare-Event Reper Certificate</w:t>
      </w:r>
    </w:p>
    <w:p>
      <w:pPr>
        <w:widowControl/>
        <w:spacing w:after="80" w:line="264" w:lineRule="auto"/>
      </w:pPr>
      <w:r>
        <w:rPr>
          <w:rFonts w:ascii="DejaVu Serif" w:hAnsi="DejaVu Serif" w:eastAsia="DejaVu Serif"/>
          <w:b w:val="0"/>
          <w:i w:val="0"/>
          <w:color w:val="111111"/>
          <w:sz w:val="20"/>
        </w:rPr>
        <w:t>The certificate records inputs, algorithms, tolerances, residuals, sources, code and data hashes, and the weakest evidential status supported by the chain.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Cert_LD=(𝒳,τ,a_n,P_n,I,A,c_A,R_n,U_N,B_N,IS,λ,D,Dom,src,code,hash).</w:t>
            </w:r>
          </w:p>
        </w:tc>
        <w:tc>
          <w:tcPr>
            <w:tcW w:type="dxa" w:w="1531"/>
            <w:shd w:fill="F6F8FA"/>
          </w:tcPr>
          <w:p>
            <w:pPr>
              <w:jc w:val="right"/>
            </w:pPr>
            <w:r>
              <w:rPr>
                <w:rFonts w:ascii="DejaVu Sans" w:hAnsi="DejaVu Sans" w:eastAsia="DejaVu Sans"/>
                <w:b/>
                <w:i w:val="0"/>
                <w:color w:val="5C6773"/>
                <w:sz w:val="17"/>
              </w:rPr>
              <w:t>T2-F344</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23.36. Large-Deviation and Finite-Sample Horizons</w:t>
      </w:r>
    </w:p>
    <w:p>
      <w:pPr>
        <w:widowControl/>
        <w:spacing w:after="80" w:line="264" w:lineRule="auto"/>
      </w:pPr>
      <w:r>
        <w:rPr>
          <w:rFonts w:ascii="DejaVu Serif" w:hAnsi="DejaVu Serif" w:eastAsia="DejaVu Serif"/>
          <w:b w:val="0"/>
          <w:i w:val="0"/>
          <w:color w:val="111111"/>
          <w:sz w:val="20"/>
        </w:rPr>
        <w:t>The horizon is the union of loci where rank, domain, topology, calibration, identification, or numerical certification can change.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Δ_LD=Δ_speed∪Δ_top∪Δ_tight∪Δ_rate∪Δ_contract∪Δ_pole∪Δ_action∪Δ_inst.</w:t>
            </w:r>
          </w:p>
        </w:tc>
        <w:tc>
          <w:tcPr>
            <w:tcW w:type="dxa" w:w="1531"/>
            <w:shd w:fill="F6F8FA"/>
          </w:tcPr>
          <w:p>
            <w:pPr>
              <w:jc w:val="right"/>
            </w:pPr>
            <w:r>
              <w:rPr>
                <w:rFonts w:ascii="DejaVu Sans" w:hAnsi="DejaVu Sans" w:eastAsia="DejaVu Sans"/>
                <w:b/>
                <w:i w:val="0"/>
                <w:color w:val="5C6773"/>
                <w:sz w:val="17"/>
              </w:rPr>
              <w:t>T2-F345</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Δ_RS=Δ_FK∪Δ_expint∪Δ_eig∪Δ_HJB∪Δ_tilt∪Δ_IS.</w:t>
            </w:r>
          </w:p>
        </w:tc>
        <w:tc>
          <w:tcPr>
            <w:tcW w:type="dxa" w:w="1531"/>
            <w:shd w:fill="F6F8FA"/>
          </w:tcPr>
          <w:p>
            <w:pPr>
              <w:jc w:val="right"/>
            </w:pPr>
            <w:r>
              <w:rPr>
                <w:rFonts w:ascii="DejaVu Sans" w:hAnsi="DejaVu Sans" w:eastAsia="DejaVu Sans"/>
                <w:b/>
                <w:i w:val="0"/>
                <w:color w:val="5C6773"/>
                <w:sz w:val="17"/>
              </w:rPr>
              <w:t>T2-F346</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Δ_FS=Δ_iid∪Δ_dep∪Δ_tail∪Δ_amb∪Δ_cov∪Δ_sel∪Δ_stop∪Δ_shift∪Δ_ext.</w:t>
            </w:r>
          </w:p>
        </w:tc>
        <w:tc>
          <w:tcPr>
            <w:tcW w:type="dxa" w:w="1531"/>
            <w:shd w:fill="F6F8FA"/>
          </w:tcPr>
          <w:p>
            <w:pPr>
              <w:jc w:val="right"/>
            </w:pPr>
            <w:r>
              <w:rPr>
                <w:rFonts w:ascii="DejaVu Sans" w:hAnsi="DejaVu Sans" w:eastAsia="DejaVu Sans"/>
                <w:b/>
                <w:i w:val="0"/>
                <w:color w:val="5C6773"/>
                <w:sz w:val="17"/>
              </w:rPr>
              <w:t>T2-F347</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Δ_safe^{v0.20}=Δ_safe^{v0.19}∪Δ_LD∪Δ_RS∪Δ_FS.</w:t>
            </w:r>
          </w:p>
        </w:tc>
        <w:tc>
          <w:tcPr>
            <w:tcW w:type="dxa" w:w="1531"/>
            <w:shd w:fill="F6F8FA"/>
          </w:tcPr>
          <w:p>
            <w:pPr>
              <w:jc w:val="right"/>
            </w:pPr>
            <w:r>
              <w:rPr>
                <w:rFonts w:ascii="DejaVu Sans" w:hAnsi="DejaVu Sans" w:eastAsia="DejaVu Sans"/>
                <w:b/>
                <w:i w:val="0"/>
                <w:color w:val="5C6773"/>
                <w:sz w:val="17"/>
              </w:rPr>
              <w:t>T2-F348</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23.37. Main Conditional Theorem</w:t>
      </w:r>
    </w:p>
    <w:p>
      <w:pPr>
        <w:widowControl/>
        <w:spacing w:after="80" w:line="264" w:lineRule="auto"/>
      </w:pPr>
      <w:r>
        <w:rPr>
          <w:rFonts w:ascii="DejaVu Serif" w:hAnsi="DejaVu Serif" w:eastAsia="DejaVu Serif"/>
          <w:b w:val="0"/>
          <w:i w:val="0"/>
          <w:color w:val="111111"/>
          <w:sz w:val="20"/>
        </w:rPr>
        <w:t>The statement is read under the explicitly declared hypotheses; its conclusion remains inside the mathematical model and does not acquire empirical status by translation.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Theorem 23.8. Rare-Event Dual Certificate [COND] </w:t>
            </w:r>
            <w:r>
              <w:rPr>
                <w:rFonts w:ascii="DejaVu Serif" w:hAnsi="DejaVu Serif" w:eastAsia="DejaVu Serif"/>
                <w:b w:val="0"/>
                <w:i w:val="0"/>
                <w:color w:val="111111"/>
                <w:sz w:val="19"/>
              </w:rPr>
              <w:t>When the LDP hypotheses and a coverage-valid ambiguity set are both certified, the release may report the asymptotic exponent and the finite-sample robust bound as separate components. Neither component may replace the other.</w:t>
            </w:r>
          </w:p>
        </w:tc>
        <w:trPr>
          <w:tblHeader/>
        </w:trPr>
      </w:tr>
    </w:tbl>
    <w:p>
      <w:pPr>
        <w:spacing w:after="0"/>
      </w:pPr>
    </w:p>
    <w:p>
      <w:pPr>
        <w:pStyle w:val="Heading2"/>
        <w:keepNext/>
        <w:pageBreakBefore w:val="0"/>
      </w:pPr>
      <w:r>
        <w:t>23.38. Counterexamples and Prohibitions</w:t>
      </w:r>
    </w:p>
    <w:p>
      <w:pPr>
        <w:widowControl/>
        <w:spacing w:after="80" w:line="264" w:lineRule="auto"/>
      </w:pPr>
      <w:r>
        <w:rPr>
          <w:rFonts w:ascii="DejaVu Serif" w:hAnsi="DejaVu Serif" w:eastAsia="DejaVu Serif"/>
          <w:b w:val="0"/>
          <w:i w:val="0"/>
          <w:color w:val="111111"/>
          <w:sz w:val="20"/>
        </w:rPr>
        <w:t>Separating models show that the prohibited inference fails even when the upstream mathematical object is well defined. Asymptotic rate statements and finite-sample risk bounds are reported separately and may not be substituted for one another.</w:t>
      </w:r>
    </w:p>
    <w:p>
      <w:pPr>
        <w:pStyle w:val="Heading2"/>
        <w:keepNext/>
        <w:pageBreakBefore w:val="0"/>
      </w:pPr>
      <w:r>
        <w:t>23.39. Computational Certificate LD-RISK</w:t>
      </w:r>
    </w:p>
    <w:p>
      <w:pPr>
        <w:widowControl/>
        <w:spacing w:after="80" w:line="264" w:lineRule="auto"/>
      </w:pPr>
      <w:r>
        <w:rPr>
          <w:rFonts w:ascii="DejaVu Serif" w:hAnsi="DejaVu Serif" w:eastAsia="DejaVu Serif"/>
          <w:b w:val="0"/>
          <w:i w:val="0"/>
          <w:color w:val="111111"/>
          <w:sz w:val="20"/>
        </w:rPr>
        <w:t>The certificate records inputs, algorithms, tolerances, residuals, sources, code and data hashes, and the weakest evidential status supported by the chain.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3"/>
        <w:keepNext/>
        <w:pageBreakBefore w:val="0"/>
      </w:pPr>
      <w:r>
        <w:t>23.39.1. Pseudocode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Asymptotic rate statements and finite-sample risk bounds are reported separately and may not be substituted for one another.</w:t>
      </w:r>
    </w:p>
    <w:p>
      <w:pPr>
        <w:pStyle w:val="Heading2"/>
        <w:keepNext/>
        <w:pageBreakBefore w:val="0"/>
      </w:pPr>
      <w:r>
        <w:t>23.40. Prior Art and Boundary of the Authorial Contribution</w:t>
      </w:r>
    </w:p>
    <w:p>
      <w:pPr>
        <w:widowControl/>
        <w:spacing w:after="80" w:line="264" w:lineRule="auto"/>
      </w:pPr>
      <w:r>
        <w:rPr>
          <w:rFonts w:ascii="DejaVu Serif" w:hAnsi="DejaVu Serif" w:eastAsia="DejaVu Serif"/>
          <w:b w:val="0"/>
          <w:i w:val="0"/>
          <w:color w:val="111111"/>
          <w:sz w:val="20"/>
        </w:rPr>
        <w:t>Classical constructions retain their standard attribution; the authorial contribution is the typed, blocker-safe synthesis inside KLT-RBD. Asymptotic rate statements and finite-sample risk bounds are reported separately and may not be substituted for one another.</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BOUNDARY OF CHAPTER 23. </w:t>
            </w:r>
            <w:r>
              <w:rPr>
                <w:rFonts w:ascii="DejaVu Serif" w:hAnsi="DejaVu Serif" w:eastAsia="DejaVu Serif"/>
                <w:b w:val="0"/>
                <w:i w:val="0"/>
                <w:color w:val="111111"/>
                <w:sz w:val="19"/>
              </w:rPr>
              <w:t>An asymptotic exponent is not a finite-sample probability, and an unobserved rare event does not imply zero risk. truth_layer_promotion=0; independent EXT-RUN and EMP-OBS remain absent.</w:t>
            </w:r>
          </w:p>
        </w:tc>
        <w:trPr>
          <w:tblHeader/>
        </w:trPr>
      </w:tr>
    </w:tbl>
    <w:p>
      <w:pPr>
        <w:pStyle w:val="Heading1"/>
        <w:keepNext/>
        <w:pageBreakBefore/>
      </w:pPr>
      <w:bookmarkStart w:id="1023" w:name="T2_CH24"/>
      <w:r>
        <w:t>Chapter 24. End-to-End KLT-RBD Predictive Operator, Budget Composition, and Final Falsifiability</w:t>
      </w:r>
      <w:bookmarkEnd w:id="1023"/>
    </w:p>
    <w:tbl>
      <w:tblPr>
        <w:tblW w:type="auto" w:w="0"/>
        <w:jc w:val="center"/>
        <w:tblLayout w:type="fixed"/>
        <w:tblLook w:firstColumn="1" w:firstRow="1" w:lastColumn="0" w:lastRow="0" w:noHBand="0" w:noVBand="1" w:val="04A0"/>
        <w:tblBorders>
          <w:top w:val="single" w:sz="3" w:color="B7C0CB"/>
          <w:left w:val="single" w:sz="3" w:color="B7C0CB"/>
          <w:bottom w:val="single" w:sz="3" w:color="B7C0CB"/>
          <w:right w:val="single" w:sz="3" w:color="B7C0CB"/>
          <w:insideH w:val="single" w:sz="3" w:color="B7C0CB"/>
          <w:insideV w:val="single" w:sz="3" w:color="B7C0CB"/>
        </w:tblBorders>
      </w:tblPr>
      <w:tblGrid>
        <w:gridCol w:w="4975"/>
        <w:gridCol w:w="4975"/>
      </w:tblGrid>
      <w:tr>
        <w:trPr>
          <w:cantSplit w:val="true"/>
          <w:tblHeader/>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ONTOLOGY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end-to-end predictor is a composition of certified partial operators, not a single total black-box map.</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EPISTEMOLOGY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Knowledge is carried by typed inputs, preconditions, postconditions, proof objects, uncertainty budgets, hash-linked provenance, and absorbing ABSTAIN/FAIL branches.</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PHENOMENOLOGY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architecture appears as a lattice-valued verdict and a set of certified continuations rather than an unsupported point prophecy.</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LIMITATION</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Local correctness does not imply global compatibility; incompatible budgets, interfaces, causal bridges, or release evidence close the gate.</w:t>
            </w:r>
          </w:p>
        </w:tc>
      </w:tr>
      <w:tr>
        <w:trPr>
          <w:cantSplit w:val="true"/>
        </w:trPr>
        <w:tc>
          <w:tcPr>
            <w:tcW w:type="dxa" w:w="1814"/>
            <w:shd w:fill="EAF0F7"/>
            <w:vAlign w:val="center"/>
            <w:tcMar>
              <w:top w:w="55" w:type="dxa"/>
              <w:start w:w="80" w:type="dxa"/>
              <w:bottom w:w="55" w:type="dxa"/>
              <w:end w:w="80" w:type="dxa"/>
            </w:tcMar>
          </w:tcPr>
          <w:p>
            <w:pPr>
              <w:spacing w:after="0" w:line="228" w:lineRule="auto"/>
              <w:jc w:val="left"/>
            </w:pPr>
            <w:r/>
            <w:r>
              <w:rPr>
                <w:rFonts w:ascii="DejaVu Sans" w:hAnsi="DejaVu Sans" w:eastAsia="DejaVu Sans"/>
                <w:b/>
                <w:i w:val="0"/>
                <w:color w:val="173F69"/>
                <w:sz w:val="16"/>
              </w:rPr>
              <w:t>AUTHORIAL NOVELTY</w:t>
            </w:r>
          </w:p>
        </w:tc>
        <w:tc>
          <w:tcPr>
            <w:tcW w:type="dxa" w:w="7540"/>
            <w:shd w:fill="FFFFFF"/>
            <w:vAlign w:val="center"/>
            <w:tcMar>
              <w:top w:w="55" w:type="dxa"/>
              <w:start w:w="80" w:type="dxa"/>
              <w:bottom w:w="55" w:type="dxa"/>
              <w:end w:w="80" w:type="dxa"/>
            </w:tcMar>
          </w:tcPr>
          <w:p>
            <w:pPr>
              <w:spacing w:after="0" w:line="228" w:lineRule="auto"/>
              <w:jc w:val="left"/>
            </w:pPr>
            <w:r/>
            <w:r>
              <w:rPr>
                <w:rFonts w:ascii="DejaVu Serif" w:hAnsi="DejaVu Serif" w:eastAsia="DejaVu Serif"/>
                <w:b w:val="0"/>
                <w:i w:val="0"/>
                <w:color w:val="111111"/>
                <w:sz w:val="16"/>
              </w:rPr>
              <w:t>The authorial node is the CertKLT category and the blocker-safe KLT-RBD release operator with monotone abstention and explicit falsifiers.</w:t>
            </w:r>
          </w:p>
        </w:tc>
      </w:tr>
    </w:tbl>
    <w:p>
      <w:pPr>
        <w:spacing w:after="20"/>
      </w:pP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4975"/>
        <w:gridCol w:w="4975"/>
      </w:tblGrid>
      <w:tr>
        <w:trPr>
          <w:cantSplit w:val="true"/>
          <w:tblHeader w:val="true"/>
        </w:trPr>
        <w:tc>
          <w:tcPr>
            <w:tcW w:type="dxa" w:w="243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Controlled field</w:t>
            </w:r>
          </w:p>
        </w:tc>
        <w:tc>
          <w:tcPr>
            <w:tcW w:type="dxa" w:w="6917"/>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Value</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Canonical input</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Frozen Russian Chapter 24, inherited English Chapters 1-18, and formula/source passports.</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New mathematical layer</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end-to-end predictor is a composition of certified partial operators, not a single total black-box map.</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Status rule</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Definitions, theorems, conditional bridges, models, numerical certificates, and physical hypotheses remain distinct.</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Prohibition</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Local correctness does not imply global compatibility; incompatible budgets, interfaces, causal bridges, or release evidence close the gate.</w:t>
            </w:r>
          </w:p>
        </w:tc>
      </w:tr>
      <w:tr>
        <w:trPr>
          <w:cantSplit w:val="true"/>
        </w:trPr>
        <w:tc>
          <w:tcPr>
            <w:tcW w:type="dxa" w:w="243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Downstream role</w:t>
            </w:r>
          </w:p>
        </w:tc>
        <w:tc>
          <w:tcPr>
            <w:tcW w:type="dxa" w:w="6917"/>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Chapter 24 composes all certified layers and preserves ABSTAIN/FAIL as absorbing results.</w:t>
            </w:r>
          </w:p>
        </w:tc>
      </w:tr>
    </w:tbl>
    <w:p>
      <w:pPr>
        <w:spacing w:after="20"/>
      </w:pPr>
    </w:p>
    <w:p>
      <w:pPr>
        <w:pStyle w:val="Heading2"/>
        <w:keepNext/>
        <w:pageBreakBefore w:val="0"/>
      </w:pPr>
      <w:r>
        <w:t>24.1. Four Incompatible Meanings of Prediction</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truth_layer_promotion=0; source=T2-RP-v0.20; checkpoint=T2-RP-v0.21.</w:t>
            </w:r>
          </w:p>
        </w:tc>
        <w:tc>
          <w:tcPr>
            <w:tcW w:type="dxa" w:w="1531"/>
            <w:shd w:fill="F6F8FA"/>
          </w:tcPr>
          <w:p>
            <w:pPr>
              <w:jc w:val="right"/>
            </w:pPr>
            <w:r>
              <w:rPr>
                <w:rFonts w:ascii="DejaVu Sans" w:hAnsi="DejaVu Sans" w:eastAsia="DejaVu Sans"/>
                <w:b/>
                <w:i w:val="0"/>
                <w:color w:val="5C6773"/>
                <w:sz w:val="17"/>
              </w:rPr>
              <w:t>T2-F349</w:t>
            </w:r>
          </w:p>
        </w:tc>
        <w:trPr>
          <w:tblHeader/>
        </w:trPr>
      </w:tr>
    </w:tbl>
    <w:p>
      <w:pPr>
        <w:spacing w:after="0"/>
      </w:pPr>
    </w:p>
    <w:p>
      <w:pPr>
        <w:pStyle w:val="Heading2"/>
        <w:keepNext/>
        <w:pageBreakBefore w:val="0"/>
      </w:pPr>
      <w:r>
        <w:t>24.2. Predictive Query as a Typed Object</w:t>
      </w:r>
    </w:p>
    <w:p>
      <w:pPr>
        <w:widowControl/>
        <w:spacing w:after="80" w:line="264" w:lineRule="auto"/>
      </w:pPr>
      <w:r>
        <w:rPr>
          <w:rFonts w:ascii="DejaVu Serif" w:hAnsi="DejaVu Serif" w:eastAsia="DejaVu Serif"/>
          <w:b w:val="0"/>
          <w:i w:val="0"/>
          <w:color w:val="111111"/>
          <w:sz w:val="20"/>
        </w:rPr>
        <w:t>This section fixes the carrier, domain, codomain, and status type before any computation or interpretation is permitted.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Q = (S_src, Ω, T, Y, A, Loss, Mode, α, β, L, D, Dom, Split, Policy).</w:t>
            </w:r>
          </w:p>
        </w:tc>
        <w:tc>
          <w:tcPr>
            <w:tcW w:type="dxa" w:w="1531"/>
            <w:shd w:fill="F6F8FA"/>
          </w:tcPr>
          <w:p>
            <w:pPr>
              <w:jc w:val="right"/>
            </w:pPr>
            <w:r>
              <w:rPr>
                <w:rFonts w:ascii="DejaVu Sans" w:hAnsi="DejaVu Sans" w:eastAsia="DejaVu Sans"/>
                <w:b/>
                <w:i w:val="0"/>
                <w:color w:val="5C6773"/>
                <w:sz w:val="17"/>
              </w:rPr>
              <w:t>T2-F350</w:t>
            </w:r>
          </w:p>
        </w:tc>
        <w:trPr>
          <w:tblHeader/>
        </w:trPr>
      </w:tr>
    </w:tbl>
    <w:p>
      <w:pPr>
        <w:spacing w:after="0"/>
      </w:pPr>
    </w:p>
    <w:p>
      <w:pPr>
        <w:pStyle w:val="Heading2"/>
        <w:keepNext/>
        <w:pageBreakBefore w:val="0"/>
      </w:pPr>
      <w:r>
        <w:t>24.3. Certified Computational State</w:t>
      </w:r>
    </w:p>
    <w:p>
      <w:pPr>
        <w:widowControl/>
        <w:spacing w:after="80" w:line="264" w:lineRule="auto"/>
      </w:pPr>
      <w:r>
        <w:rPr>
          <w:rFonts w:ascii="DejaVu Serif" w:hAnsi="DejaVu Serif" w:eastAsia="DejaVu Serif"/>
          <w:b w:val="0"/>
          <w:i w:val="0"/>
          <w:color w:val="111111"/>
          <w:sz w:val="20"/>
        </w:rPr>
        <w:t>This section fixes the carrier, domain, codomain, and status type before any computation or interpretation is permitted.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Z_j = (X_j, P_j, B_j, C_j, G_j, H_j, V_j),</w:t>
            </w:r>
          </w:p>
        </w:tc>
        <w:tc>
          <w:tcPr>
            <w:tcW w:type="dxa" w:w="1531"/>
            <w:shd w:fill="F6F8FA"/>
          </w:tcPr>
          <w:p>
            <w:pPr>
              <w:jc w:val="right"/>
            </w:pPr>
            <w:r>
              <w:rPr>
                <w:rFonts w:ascii="DejaVu Sans" w:hAnsi="DejaVu Sans" w:eastAsia="DejaVu Sans"/>
                <w:b/>
                <w:i w:val="0"/>
                <w:color w:val="5C6773"/>
                <w:sz w:val="17"/>
              </w:rPr>
              <w:t>T2-F351</w:t>
            </w:r>
          </w:p>
        </w:tc>
        <w:trPr>
          <w:tblHeader/>
        </w:trPr>
      </w:tr>
    </w:tbl>
    <w:p>
      <w:pPr>
        <w:spacing w:after="0"/>
      </w:pPr>
    </w:p>
    <w:p>
      <w:pPr>
        <w:pStyle w:val="Heading2"/>
        <w:keepNext/>
        <w:pageBreakBefore w:val="0"/>
      </w:pPr>
      <w:r>
        <w:t>24.4. Homogeneous Reper Coordinate without an Artificial Pole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Λ_Rep = [N:Q] = [(U-R)(I-D) : (U-D)(I-R)] ∈ P¹,</w:t>
            </w:r>
          </w:p>
        </w:tc>
        <w:tc>
          <w:tcPr>
            <w:tcW w:type="dxa" w:w="1531"/>
            <w:shd w:fill="F6F8FA"/>
          </w:tcPr>
          <w:p>
            <w:pPr>
              <w:jc w:val="right"/>
            </w:pPr>
            <w:r>
              <w:rPr>
                <w:rFonts w:ascii="DejaVu Sans" w:hAnsi="DejaVu Sans" w:eastAsia="DejaVu Sans"/>
                <w:b/>
                <w:i w:val="0"/>
                <w:color w:val="5C6773"/>
                <w:sz w:val="17"/>
              </w:rPr>
              <w:t>T2-F352</w:t>
            </w:r>
          </w:p>
        </w:tc>
        <w:trPr>
          <w:tblHeader/>
        </w:trPr>
      </w:tr>
    </w:tbl>
    <w:p>
      <w:pPr>
        <w:spacing w:after="0"/>
      </w:pPr>
    </w:p>
    <w:p>
      <w:pPr>
        <w:pStyle w:val="Heading2"/>
        <w:keepNext/>
        <w:pageBreakBefore w:val="0"/>
      </w:pPr>
      <w:r>
        <w:t>24.5. Result Type: OK, ABSTAIN, and FAIL</w:t>
      </w:r>
    </w:p>
    <w:p>
      <w:pPr>
        <w:widowControl/>
        <w:spacing w:after="80" w:line="264" w:lineRule="auto"/>
      </w:pPr>
      <w:r>
        <w:rPr>
          <w:rFonts w:ascii="DejaVu Serif" w:hAnsi="DejaVu Serif" w:eastAsia="DejaVu Serif"/>
          <w:b w:val="0"/>
          <w:i w:val="0"/>
          <w:color w:val="111111"/>
          <w:sz w:val="20"/>
        </w:rPr>
        <w:t>The allowed output is multi-valued: a certified conclusion, an explicit candidate requiring further checks, ABSTAIN with blockers, or FAIL with a witness.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Result(Y)=OK(Y,Cert,B) ⊔ ABSTAIN(Block) ⊔ FAIL(Witness).</w:t>
            </w:r>
          </w:p>
        </w:tc>
        <w:tc>
          <w:tcPr>
            <w:tcW w:type="dxa" w:w="1531"/>
            <w:shd w:fill="F6F8FA"/>
          </w:tcPr>
          <w:p>
            <w:pPr>
              <w:jc w:val="right"/>
            </w:pPr>
            <w:r>
              <w:rPr>
                <w:rFonts w:ascii="DejaVu Sans" w:hAnsi="DejaVu Sans" w:eastAsia="DejaVu Sans"/>
                <w:b/>
                <w:i w:val="0"/>
                <w:color w:val="5C6773"/>
                <w:sz w:val="17"/>
              </w:rPr>
              <w:t>T2-F353</w:t>
            </w:r>
          </w:p>
        </w:tc>
        <w:trPr>
          <w:tblHeader/>
        </w:trPr>
      </w:tr>
    </w:tbl>
    <w:p>
      <w:pPr>
        <w:spacing w:after="0"/>
      </w:pPr>
    </w:p>
    <w:p>
      <w:pPr>
        <w:pStyle w:val="Heading2"/>
        <w:keepNext/>
        <w:pageBreakBefore w:val="0"/>
      </w:pPr>
      <w:r>
        <w:t>24.6. Category of Certified Partial Operators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F=(f, Pre_F, Post_F, T_F, E_F, Audit_F),</w:t>
            </w:r>
          </w:p>
        </w:tc>
        <w:tc>
          <w:tcPr>
            <w:tcW w:type="dxa" w:w="1531"/>
            <w:shd w:fill="F6F8FA"/>
          </w:tcPr>
          <w:p>
            <w:pPr>
              <w:jc w:val="right"/>
            </w:pPr>
            <w:r>
              <w:rPr>
                <w:rFonts w:ascii="DejaVu Sans" w:hAnsi="DejaVu Sans" w:eastAsia="DejaVu Sans"/>
                <w:b/>
                <w:i w:val="0"/>
                <w:color w:val="5C6773"/>
                <w:sz w:val="17"/>
              </w:rPr>
              <w:t>T2-F354</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59" name="Picture 59" descr="Figure 62. Composition in the CertKLT category." title="Figure 62. Composition in the CertKLT category."/>
            <wp:cNvGraphicFramePr>
              <a:graphicFrameLocks noChangeAspect="1"/>
            </wp:cNvGraphicFramePr>
            <a:graphic>
              <a:graphicData uri="http://schemas.openxmlformats.org/drawingml/2006/picture">
                <pic:pic>
                  <pic:nvPicPr>
                    <pic:cNvPr id="0" name="fig62_certklt.png"/>
                    <pic:cNvPicPr/>
                  </pic:nvPicPr>
                  <pic:blipFill>
                    <a:blip r:embed="rId69"/>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62. Composition in the CertKLT category.</w:t>
      </w:r>
    </w:p>
    <w:p>
      <w:pPr>
        <w:pStyle w:val="Heading2"/>
        <w:keepNext/>
        <w:pageBreakBefore w:val="0"/>
      </w:pPr>
      <w:r>
        <w:t>24.7. Operator Composition and Absorbing Branches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(G o F)(x)=G(y) if F(x)=OK(y,C_F,B_F); otherwise return the same ABSTAIN or FAIL branch.</w:t>
            </w:r>
          </w:p>
        </w:tc>
        <w:tc>
          <w:tcPr>
            <w:tcW w:type="dxa" w:w="1531"/>
            <w:shd w:fill="F6F8FA"/>
          </w:tcPr>
          <w:p>
            <w:pPr>
              <w:jc w:val="right"/>
            </w:pPr>
            <w:r>
              <w:rPr>
                <w:rFonts w:ascii="DejaVu Sans" w:hAnsi="DejaVu Sans" w:eastAsia="DejaVu Sans"/>
                <w:b/>
                <w:i w:val="0"/>
                <w:color w:val="5C6773"/>
                <w:sz w:val="17"/>
              </w:rPr>
              <w:t>T2-F355</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B_{G⊙F}=T_G(T_F(B_in) ⊕ E_F) ⊕ E_G.</w:t>
            </w:r>
          </w:p>
        </w:tc>
        <w:tc>
          <w:tcPr>
            <w:tcW w:type="dxa" w:w="1531"/>
            <w:shd w:fill="F6F8FA"/>
          </w:tcPr>
          <w:p>
            <w:pPr>
              <w:jc w:val="right"/>
            </w:pPr>
            <w:r>
              <w:rPr>
                <w:rFonts w:ascii="DejaVu Sans" w:hAnsi="DejaVu Sans" w:eastAsia="DejaVu Sans"/>
                <w:b/>
                <w:i w:val="0"/>
                <w:color w:val="5C6773"/>
                <w:sz w:val="17"/>
              </w:rPr>
              <w:t>T2-F356</w:t>
            </w:r>
          </w:p>
        </w:tc>
        <w:trPr>
          <w:tblHeader/>
        </w:trPr>
      </w:tr>
    </w:tbl>
    <w:p>
      <w:pPr>
        <w:spacing w:after="0"/>
      </w:pPr>
    </w:p>
    <w:p>
      <w:pPr>
        <w:pStyle w:val="Heading2"/>
        <w:keepNext/>
        <w:pageBreakBefore w:val="0"/>
      </w:pPr>
      <w:r>
        <w:t>24.8. Soundness Theorem for the CertKLT Category</w:t>
      </w:r>
    </w:p>
    <w:p>
      <w:pPr>
        <w:widowControl/>
        <w:spacing w:after="80" w:line="264" w:lineRule="auto"/>
      </w:pPr>
      <w:r>
        <w:rPr>
          <w:rFonts w:ascii="DejaVu Serif" w:hAnsi="DejaVu Serif" w:eastAsia="DejaVu Serif"/>
          <w:b w:val="0"/>
          <w:i w:val="0"/>
          <w:color w:val="111111"/>
          <w:sz w:val="20"/>
        </w:rPr>
        <w:t>The statement is read under the explicitly declared hypotheses; its conclusion remains inside the mathematical model and does not acquire empirical status by translation.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24.1. Soundness of CertKLT Composition [THM] </w:t>
            </w:r>
            <w:r>
              <w:rPr>
                <w:rFonts w:ascii="DejaVu Serif" w:hAnsi="DejaVu Serif" w:eastAsia="DejaVu Serif"/>
                <w:b w:val="0"/>
                <w:i w:val="0"/>
                <w:color w:val="111111"/>
                <w:sz w:val="19"/>
              </w:rPr>
              <w:t>Certified partial operators with compatible interfaces form a category under absorbing composition; identity operators preserve values, certificates, budgets and result branches.</w:t>
            </w:r>
          </w:p>
        </w:tc>
        <w:trPr>
          <w:tblHeader/>
        </w:trPr>
      </w:tr>
    </w:tbl>
    <w:p>
      <w:pPr>
        <w:spacing w:after="0"/>
      </w:pPr>
    </w:p>
    <w:p>
      <w:pPr>
        <w:pStyle w:val="Heading2"/>
        <w:keepNext/>
        <w:pageBreakBefore w:val="0"/>
      </w:pPr>
      <w:r>
        <w:t>24.9. Vector Uncertainty Budget</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B=(b_type,b_dom,b_alg,b_top,b_num,α_stat,𝒰_shift,b_causal,b_ext,σ_proof).</w:t>
            </w:r>
          </w:p>
        </w:tc>
        <w:tc>
          <w:tcPr>
            <w:tcW w:type="dxa" w:w="1531"/>
            <w:shd w:fill="F6F8FA"/>
          </w:tcPr>
          <w:p>
            <w:pPr>
              <w:jc w:val="right"/>
            </w:pPr>
            <w:r>
              <w:rPr>
                <w:rFonts w:ascii="DejaVu Sans" w:hAnsi="DejaVu Sans" w:eastAsia="DejaVu Sans"/>
                <w:b/>
                <w:i w:val="0"/>
                <w:color w:val="5C6773"/>
                <w:sz w:val="17"/>
              </w:rPr>
              <w:t>T2-F357</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60" name="Picture 60" descr="Figure 61. Vector budget composition." title="Figure 61. Vector budget composition."/>
            <wp:cNvGraphicFramePr>
              <a:graphicFrameLocks noChangeAspect="1"/>
            </wp:cNvGraphicFramePr>
            <a:graphic>
              <a:graphicData uri="http://schemas.openxmlformats.org/drawingml/2006/picture">
                <pic:pic>
                  <pic:nvPicPr>
                    <pic:cNvPr id="0" name="fig61_budget_vector.png"/>
                    <pic:cNvPicPr/>
                  </pic:nvPicPr>
                  <pic:blipFill>
                    <a:blip r:embed="rId70"/>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61. Vector budget composition.</w:t>
      </w:r>
    </w:p>
    <w:p>
      <w:pPr>
        <w:pStyle w:val="Heading2"/>
        <w:keepNext/>
        <w:pageBreakBefore w:val="0"/>
      </w:pPr>
      <w:r>
        <w:t>24.10. Deterministic Error Transport</w:t>
      </w:r>
    </w:p>
    <w:p>
      <w:pPr>
        <w:widowControl/>
        <w:spacing w:after="80" w:line="264" w:lineRule="auto"/>
      </w:pPr>
      <w:r>
        <w:rPr>
          <w:rFonts w:ascii="DejaVu Serif" w:hAnsi="DejaVu Serif" w:eastAsia="DejaVu Serif"/>
          <w:b w:val="0"/>
          <w:i w:val="0"/>
          <w:color w:val="111111"/>
          <w:sz w:val="20"/>
        </w:rPr>
        <w:t>The bridge is an additional typed map with its own identification, calibration, and transport obligations; it is not supplied by a shared notation.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ε_out ≤ (Π_{k=1}^m L_k)ε_in + Σ_{j=1}^m (Π_{k=j+1}^m L_k) ε_j.</w:t>
            </w:r>
          </w:p>
        </w:tc>
        <w:tc>
          <w:tcPr>
            <w:tcW w:type="dxa" w:w="1531"/>
            <w:shd w:fill="F6F8FA"/>
          </w:tcPr>
          <w:p>
            <w:pPr>
              <w:jc w:val="right"/>
            </w:pPr>
            <w:r>
              <w:rPr>
                <w:rFonts w:ascii="DejaVu Sans" w:hAnsi="DejaVu Sans" w:eastAsia="DejaVu Sans"/>
                <w:b/>
                <w:i w:val="0"/>
                <w:color w:val="5C6773"/>
                <w:sz w:val="17"/>
              </w:rPr>
              <w:t>T2-F358</w:t>
            </w:r>
          </w:p>
        </w:tc>
        <w:trPr>
          <w:tblHeader/>
        </w:trPr>
      </w:tr>
    </w:tbl>
    <w:p>
      <w:pPr>
        <w:spacing w:after="0"/>
      </w:pPr>
    </w:p>
    <w:p>
      <w:pPr>
        <w:pStyle w:val="Heading2"/>
        <w:keepNext/>
        <w:pageBreakBefore w:val="0"/>
      </w:pPr>
      <w:r>
        <w:t>24.11. Probabilistic Budget without Independence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P(∪_{j=1}^m E_j) ≤ Σ_{j=1}^m α_j, α_tot=min(1,Σα_j).</w:t>
            </w:r>
          </w:p>
        </w:tc>
        <w:tc>
          <w:tcPr>
            <w:tcW w:type="dxa" w:w="1531"/>
            <w:shd w:fill="F6F8FA"/>
          </w:tcPr>
          <w:p>
            <w:pPr>
              <w:jc w:val="right"/>
            </w:pPr>
            <w:r>
              <w:rPr>
                <w:rFonts w:ascii="DejaVu Sans" w:hAnsi="DejaVu Sans" w:eastAsia="DejaVu Sans"/>
                <w:b/>
                <w:i w:val="0"/>
                <w:color w:val="5C6773"/>
                <w:sz w:val="17"/>
              </w:rPr>
              <w:t>T2-F359</w:t>
            </w:r>
          </w:p>
        </w:tc>
        <w:trPr>
          <w:tblHeader/>
        </w:trPr>
      </w:tr>
    </w:tbl>
    <w:p>
      <w:pPr>
        <w:spacing w:after="0"/>
      </w:pPr>
    </w:p>
    <w:p>
      <w:pPr>
        <w:pStyle w:val="Heading2"/>
        <w:keepNext/>
        <w:pageBreakBefore w:val="0"/>
      </w:pPr>
      <w:r>
        <w:t>24.12. Sequential Budget and Optional Stopping</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P_{H0}(∃t: E_t ≥ 1/α) ≤ α.</w:t>
            </w:r>
          </w:p>
        </w:tc>
        <w:tc>
          <w:tcPr>
            <w:tcW w:type="dxa" w:w="1531"/>
            <w:shd w:fill="F6F8FA"/>
          </w:tcPr>
          <w:p>
            <w:pPr>
              <w:jc w:val="right"/>
            </w:pPr>
            <w:r>
              <w:rPr>
                <w:rFonts w:ascii="DejaVu Sans" w:hAnsi="DejaVu Sans" w:eastAsia="DejaVu Sans"/>
                <w:b/>
                <w:i w:val="0"/>
                <w:color w:val="5C6773"/>
                <w:sz w:val="17"/>
              </w:rPr>
              <w:t>T2-F360</w:t>
            </w:r>
          </w:p>
        </w:tc>
        <w:trPr>
          <w:tblHeader/>
        </w:trPr>
      </w:tr>
    </w:tbl>
    <w:p>
      <w:pPr>
        <w:spacing w:after="0"/>
      </w:pPr>
    </w:p>
    <w:p>
      <w:pPr>
        <w:pStyle w:val="Heading2"/>
        <w:keepNext/>
        <w:pageBreakBefore w:val="0"/>
      </w:pPr>
      <w:r>
        <w:t>24.13. Robust and Transport Budget</w:t>
      </w:r>
    </w:p>
    <w:p>
      <w:pPr>
        <w:widowControl/>
        <w:spacing w:after="80" w:line="264" w:lineRule="auto"/>
      </w:pPr>
      <w:r>
        <w:rPr>
          <w:rFonts w:ascii="DejaVu Serif" w:hAnsi="DejaVu Serif" w:eastAsia="DejaVu Serif"/>
          <w:b w:val="0"/>
          <w:i w:val="0"/>
          <w:color w:val="111111"/>
          <w:sz w:val="20"/>
        </w:rPr>
        <w:t>The bridge is an additional typed map with its own identification, calibration, and transport obligations; it is not supplied by a shared notation.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𝒰_out ⊇ F_#(𝒰_in) ⊕ 𝒱_F.</w:t>
            </w:r>
          </w:p>
        </w:tc>
        <w:tc>
          <w:tcPr>
            <w:tcW w:type="dxa" w:w="1531"/>
            <w:shd w:fill="F6F8FA"/>
          </w:tcPr>
          <w:p>
            <w:pPr>
              <w:jc w:val="right"/>
            </w:pPr>
            <w:r>
              <w:rPr>
                <w:rFonts w:ascii="DejaVu Sans" w:hAnsi="DejaVu Sans" w:eastAsia="DejaVu Sans"/>
                <w:b/>
                <w:i w:val="0"/>
                <w:color w:val="5C6773"/>
                <w:sz w:val="17"/>
              </w:rPr>
              <w:t>T2-F361</w:t>
            </w:r>
          </w:p>
        </w:tc>
        <w:trPr>
          <w:tblHeader/>
        </w:trPr>
      </w:tr>
    </w:tbl>
    <w:p>
      <w:pPr>
        <w:spacing w:after="0"/>
      </w:pPr>
    </w:p>
    <w:p>
      <w:pPr>
        <w:pStyle w:val="Heading2"/>
        <w:keepNext/>
        <w:pageBreakBefore w:val="0"/>
      </w:pPr>
      <w:r>
        <w:t>24.14. Computational Budget and Proof-Carrying Output</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C_comp=(value, interval, residual, dual_gap, discretization, seed, environment, code_hash, data_hash).</w:t>
            </w:r>
          </w:p>
        </w:tc>
        <w:tc>
          <w:tcPr>
            <w:tcW w:type="dxa" w:w="1531"/>
            <w:shd w:fill="F6F8FA"/>
          </w:tcPr>
          <w:p>
            <w:pPr>
              <w:jc w:val="right"/>
            </w:pPr>
            <w:r>
              <w:rPr>
                <w:rFonts w:ascii="DejaVu Sans" w:hAnsi="DejaVu Sans" w:eastAsia="DejaVu Sans"/>
                <w:b/>
                <w:i w:val="0"/>
                <w:color w:val="5C6773"/>
                <w:sz w:val="17"/>
              </w:rPr>
              <w:t>T2-F362</w:t>
            </w:r>
          </w:p>
        </w:tc>
        <w:trPr>
          <w:tblHeader/>
        </w:trPr>
      </w:tr>
    </w:tbl>
    <w:p>
      <w:pPr>
        <w:spacing w:after="0"/>
      </w:pPr>
    </w:p>
    <w:p>
      <w:pPr>
        <w:pStyle w:val="Heading2"/>
        <w:keepNext/>
        <w:pageBreakBefore w:val="0"/>
      </w:pPr>
      <w:r>
        <w:t>24.15. Lattice of Evidential Statuses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OPEN &lt;= CONJ &lt;= MODEL &lt;= COMP &lt;= COND &lt;= THM; PHY-HYP is a separate branch.</w:t>
            </w:r>
          </w:p>
        </w:tc>
        <w:tc>
          <w:tcPr>
            <w:tcW w:type="dxa" w:w="1531"/>
            <w:shd w:fill="F6F8FA"/>
          </w:tcPr>
          <w:p>
            <w:pPr>
              <w:jc w:val="right"/>
            </w:pPr>
            <w:r>
              <w:rPr>
                <w:rFonts w:ascii="DejaVu Sans" w:hAnsi="DejaVu Sans" w:eastAsia="DejaVu Sans"/>
                <w:b/>
                <w:i w:val="0"/>
                <w:color w:val="5C6773"/>
                <w:sz w:val="17"/>
              </w:rPr>
              <w:t>T2-F363</w:t>
            </w:r>
          </w:p>
        </w:tc>
        <w:trPr>
          <w:tblHeader/>
        </w:trPr>
      </w:tr>
    </w:tbl>
    <w:p>
      <w:pPr>
        <w:spacing w:after="0"/>
      </w:pPr>
    </w:p>
    <w:p>
      <w:pPr>
        <w:pStyle w:val="Heading2"/>
        <w:keepNext/>
        <w:pageBreakBefore w:val="0"/>
      </w:pPr>
      <w:r>
        <w:t>24.16. No Canonical Scalarization Theorem</w:t>
      </w:r>
    </w:p>
    <w:p>
      <w:pPr>
        <w:widowControl/>
        <w:spacing w:after="80" w:line="264" w:lineRule="auto"/>
      </w:pPr>
      <w:r>
        <w:rPr>
          <w:rFonts w:ascii="DejaVu Serif" w:hAnsi="DejaVu Serif" w:eastAsia="DejaVu Serif"/>
          <w:b w:val="0"/>
          <w:i w:val="0"/>
          <w:color w:val="111111"/>
          <w:sz w:val="20"/>
        </w:rPr>
        <w:t>The statement is read under the explicitly declared hypotheses; its conclusion remains inside the mathematical model and does not acquire empirical status by translation.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24.2. No Canonical Scalarization [THM] </w:t>
            </w:r>
            <w:r>
              <w:rPr>
                <w:rFonts w:ascii="DejaVu Serif" w:hAnsi="DejaVu Serif" w:eastAsia="DejaVu Serif"/>
                <w:b w:val="0"/>
                <w:i w:val="0"/>
                <w:color w:val="111111"/>
                <w:sz w:val="19"/>
              </w:rPr>
              <w:t>No canonical order-preserving scalar summarizes all deterministic, statistical, robust, causal, evidential and proof-status budget coordinates without additional preferences or loss data.</w:t>
            </w:r>
          </w:p>
        </w:tc>
        <w:trPr>
          <w:tblHeader/>
        </w:trPr>
      </w:tr>
    </w:tbl>
    <w:p>
      <w:pPr>
        <w:spacing w:after="0"/>
      </w:pPr>
    </w:p>
    <w:p>
      <w:pPr>
        <w:pStyle w:val="Heading2"/>
        <w:keepNext/>
        <w:pageBreakBefore w:val="0"/>
      </w:pPr>
      <w:r>
        <w:t>24.17. Local Algorithmic Contract</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p>
      <w:pPr>
        <w:pStyle w:val="Heading2"/>
        <w:keepNext/>
        <w:pageBreakBefore w:val="0"/>
      </w:pPr>
      <w:r>
        <w:t>24.18. Interface Contract between Modules</w:t>
      </w:r>
    </w:p>
    <w:p>
      <w:pPr>
        <w:widowControl/>
        <w:spacing w:after="80" w:line="264" w:lineRule="auto"/>
      </w:pPr>
      <w:r>
        <w:rPr>
          <w:rFonts w:ascii="DejaVu Serif" w:hAnsi="DejaVu Serif" w:eastAsia="DejaVu Serif"/>
          <w:b w:val="0"/>
          <w:i w:val="0"/>
          <w:color w:val="111111"/>
          <w:sz w:val="20"/>
        </w:rPr>
        <w:t>The bridge is an additional typed map with its own identification, calibration, and transport obligations; it is not supplied by a shared notation.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Interface(F,G;A)=PASS iff Post_F implies Pre_G o A and Budget_G o A is defined.</w:t>
            </w:r>
          </w:p>
        </w:tc>
        <w:tc>
          <w:tcPr>
            <w:tcW w:type="dxa" w:w="1531"/>
            <w:shd w:fill="F6F8FA"/>
          </w:tcPr>
          <w:p>
            <w:pPr>
              <w:jc w:val="right"/>
            </w:pPr>
            <w:r>
              <w:rPr>
                <w:rFonts w:ascii="DejaVu Sans" w:hAnsi="DejaVu Sans" w:eastAsia="DejaVu Sans"/>
                <w:b/>
                <w:i w:val="0"/>
                <w:color w:val="5C6773"/>
                <w:sz w:val="17"/>
              </w:rPr>
              <w:t>T2-F364</w:t>
            </w:r>
          </w:p>
        </w:tc>
        <w:trPr>
          <w:tblHeader/>
        </w:trPr>
      </w:tr>
    </w:tbl>
    <w:p>
      <w:pPr>
        <w:spacing w:after="0"/>
      </w:pPr>
    </w:p>
    <w:p>
      <w:pPr>
        <w:pStyle w:val="Heading2"/>
        <w:keepNext/>
        <w:pageBreakBefore w:val="0"/>
      </w:pPr>
      <w:r>
        <w:t>24.19. Global Release Contract</w:t>
      </w:r>
    </w:p>
    <w:p>
      <w:pPr>
        <w:widowControl/>
        <w:spacing w:after="80" w:line="264" w:lineRule="auto"/>
      </w:pPr>
      <w:r>
        <w:rPr>
          <w:rFonts w:ascii="DejaVu Serif" w:hAnsi="DejaVu Serif" w:eastAsia="DejaVu Serif"/>
          <w:b w:val="0"/>
          <w:i w:val="0"/>
          <w:color w:val="111111"/>
          <w:sz w:val="20"/>
        </w:rPr>
        <w:t>The certificate records inputs, algorithms, tolerances, residuals, sources, code and data hashes, and the weakest evidential status supported by the chain.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M_rel=(Q, Modules, Edges, Notation, Budgets, Policies, Sources, Code, Data, Env, HashRoot).</w:t>
            </w:r>
          </w:p>
        </w:tc>
        <w:tc>
          <w:tcPr>
            <w:tcW w:type="dxa" w:w="1531"/>
            <w:shd w:fill="F6F8FA"/>
          </w:tcPr>
          <w:p>
            <w:pPr>
              <w:jc w:val="right"/>
            </w:pPr>
            <w:r>
              <w:rPr>
                <w:rFonts w:ascii="DejaVu Sans" w:hAnsi="DejaVu Sans" w:eastAsia="DejaVu Sans"/>
                <w:b/>
                <w:i w:val="0"/>
                <w:color w:val="5C6773"/>
                <w:sz w:val="17"/>
              </w:rPr>
              <w:t>T2-F365</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24.20. Definition of the End-to-End KLT-RBD Operator</w:t>
      </w:r>
    </w:p>
    <w:p>
      <w:pPr>
        <w:widowControl/>
        <w:spacing w:after="80" w:line="264" w:lineRule="auto"/>
      </w:pPr>
      <w:r>
        <w:rPr>
          <w:rFonts w:ascii="DejaVu Serif" w:hAnsi="DejaVu Serif" w:eastAsia="DejaVu Serif"/>
          <w:b w:val="0"/>
          <w:i w:val="0"/>
          <w:color w:val="111111"/>
          <w:sz w:val="20"/>
        </w:rPr>
        <w:t>This section fixes the carrier, domain, codomain, and status type before any computation or interpretation is permitted.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𝔓_KLT(Q)=Gate_release ⊙ F_10 ⊙ ··· ⊙ F_1 ⊙ F_0 (Q).</w:t>
            </w:r>
          </w:p>
        </w:tc>
        <w:tc>
          <w:tcPr>
            <w:tcW w:type="dxa" w:w="1531"/>
            <w:shd w:fill="F6F8FA"/>
          </w:tcPr>
          <w:p>
            <w:pPr>
              <w:jc w:val="right"/>
            </w:pPr>
            <w:r>
              <w:rPr>
                <w:rFonts w:ascii="DejaVu Sans" w:hAnsi="DejaVu Sans" w:eastAsia="DejaVu Sans"/>
                <w:b/>
                <w:i w:val="0"/>
                <w:color w:val="5C6773"/>
                <w:sz w:val="17"/>
              </w:rPr>
              <w:t>T2-F366</w:t>
            </w:r>
          </w:p>
        </w:tc>
        <w:trPr>
          <w:tblHeader/>
        </w:trPr>
      </w:tr>
    </w:tbl>
    <w:p>
      <w:pPr>
        <w:spacing w:after="0"/>
      </w:pP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𝔓_KLT = Release ⊙ Validate ⊙ Robust ⊙ Rare ⊙ Causal ⊙ Stoch ⊙ Evol ⊙ Global ⊙ Obstruct ⊙ NAPG ⊙ Reper ⊙ Ingest.</w:t>
            </w:r>
          </w:p>
        </w:tc>
        <w:tc>
          <w:tcPr>
            <w:tcW w:type="dxa" w:w="1531"/>
            <w:shd w:fill="F6F8FA"/>
          </w:tcPr>
          <w:p>
            <w:pPr>
              <w:jc w:val="right"/>
            </w:pPr>
            <w:r>
              <w:rPr>
                <w:rFonts w:ascii="DejaVu Sans" w:hAnsi="DejaVu Sans" w:eastAsia="DejaVu Sans"/>
                <w:b/>
                <w:i w:val="0"/>
                <w:color w:val="5C6773"/>
                <w:sz w:val="17"/>
              </w:rPr>
              <w:t>T2-F367</w:t>
            </w:r>
          </w:p>
        </w:tc>
        <w:trPr>
          <w:tblHeader/>
        </w:trPr>
      </w:tr>
    </w:tbl>
    <w:p>
      <w:pPr>
        <w:spacing w:after="0"/>
      </w:pPr>
    </w:p>
    <w:p>
      <w:pPr>
        <w:keepNext/>
        <w:jc w:val="center"/>
      </w:pPr>
      <w:r>
        <w:drawing>
          <wp:inline xmlns:a="http://schemas.openxmlformats.org/drawingml/2006/main" xmlns:pic="http://schemas.openxmlformats.org/drawingml/2006/picture">
            <wp:extent cx="5760000" cy="3115102"/>
            <wp:docPr id="61" name="Picture 61" descr="Figure 60. End-to-end KLT-RBD architecture." title="Figure 60. End-to-end KLT-RBD architecture."/>
            <wp:cNvGraphicFramePr>
              <a:graphicFrameLocks noChangeAspect="1"/>
            </wp:cNvGraphicFramePr>
            <a:graphic>
              <a:graphicData uri="http://schemas.openxmlformats.org/drawingml/2006/picture">
                <pic:pic>
                  <pic:nvPicPr>
                    <pic:cNvPr id="0" name="fig60_e2e_architecture.png"/>
                    <pic:cNvPicPr/>
                  </pic:nvPicPr>
                  <pic:blipFill>
                    <a:blip r:embed="rId71"/>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60. End-to-end KLT-RBD architecture.</w:t>
      </w:r>
    </w:p>
    <w:p>
      <w:pPr>
        <w:pStyle w:val="Heading2"/>
        <w:keepNext/>
        <w:pageBreakBefore w:val="0"/>
      </w:pPr>
      <w:r>
        <w:t>24.21. Modular Decomposition F0-F11</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p>
      <w:pPr>
        <w:pStyle w:val="Heading2"/>
        <w:keepNext/>
        <w:pageBreakBefore w:val="0"/>
      </w:pPr>
      <w:r>
        <w:t>24.22. F0: Source, Identity, and Provenance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F0(S)=OK(S*,Cert_src,B0), or FAIL(HASH-MISMATCH), or ABSTAIN(SOURCE-AMBIGUOUS).</w:t>
            </w:r>
          </w:p>
        </w:tc>
        <w:tc>
          <w:tcPr>
            <w:tcW w:type="dxa" w:w="1531"/>
            <w:shd w:fill="F6F8FA"/>
          </w:tcPr>
          <w:p>
            <w:pPr>
              <w:jc w:val="right"/>
            </w:pPr>
            <w:r>
              <w:rPr>
                <w:rFonts w:ascii="DejaVu Sans" w:hAnsi="DejaVu Sans" w:eastAsia="DejaVu Sans"/>
                <w:b/>
                <w:i w:val="0"/>
                <w:color w:val="5C6773"/>
                <w:sz w:val="17"/>
              </w:rPr>
              <w:t>T2-F368</w:t>
            </w:r>
          </w:p>
        </w:tc>
        <w:trPr>
          <w:tblHeader/>
        </w:trPr>
      </w:tr>
    </w:tbl>
    <w:p>
      <w:pPr>
        <w:spacing w:after="0"/>
      </w:pPr>
    </w:p>
    <w:p>
      <w:pPr>
        <w:pStyle w:val="Heading2"/>
        <w:keepNext/>
        <w:pageBreakBefore w:val="0"/>
      </w:pPr>
      <w:r>
        <w:t>24.23. F1: Reper Lift and D/Dom Authorization</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F1(x)=OK(Rep_x,Lambda_x,Cert_D) only if Valid(D_x) and Admissible(Dom_x).</w:t>
            </w:r>
          </w:p>
        </w:tc>
        <w:tc>
          <w:tcPr>
            <w:tcW w:type="dxa" w:w="1531"/>
            <w:shd w:fill="F6F8FA"/>
          </w:tcPr>
          <w:p>
            <w:pPr>
              <w:jc w:val="right"/>
            </w:pPr>
            <w:r>
              <w:rPr>
                <w:rFonts w:ascii="DejaVu Sans" w:hAnsi="DejaVu Sans" w:eastAsia="DejaVu Sans"/>
                <w:b/>
                <w:i w:val="0"/>
                <w:color w:val="5C6773"/>
                <w:sz w:val="17"/>
              </w:rPr>
              <w:t>T2-F369</w:t>
            </w:r>
          </w:p>
        </w:tc>
        <w:trPr>
          <w:tblHeader/>
        </w:trPr>
      </w:tr>
    </w:tbl>
    <w:p>
      <w:pPr>
        <w:spacing w:after="0"/>
      </w:pPr>
    </w:p>
    <w:p>
      <w:pPr>
        <w:pStyle w:val="Heading2"/>
        <w:keepNext/>
        <w:pageBreakBefore w:val="0"/>
      </w:pPr>
      <w:r>
        <w:t>24.24. F2-F3: Algebraic-Geometric NAPG Core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Cert_NAPG=(Ass_⊙, nuclei, invariants, atlas, cocycle, ∇,R_∇,Hol_D; Dom).</w:t>
            </w:r>
          </w:p>
        </w:tc>
        <w:tc>
          <w:tcPr>
            <w:tcW w:type="dxa" w:w="1531"/>
            <w:shd w:fill="F6F8FA"/>
          </w:tcPr>
          <w:p>
            <w:pPr>
              <w:jc w:val="right"/>
            </w:pPr>
            <w:r>
              <w:rPr>
                <w:rFonts w:ascii="DejaVu Sans" w:hAnsi="DejaVu Sans" w:eastAsia="DejaVu Sans"/>
                <w:b/>
                <w:i w:val="0"/>
                <w:color w:val="5C6773"/>
                <w:sz w:val="17"/>
              </w:rPr>
              <w:t>T2-F370</w:t>
            </w:r>
          </w:p>
        </w:tc>
        <w:trPr>
          <w:tblHeader/>
        </w:trPr>
      </w:tr>
    </w:tbl>
    <w:p>
      <w:pPr>
        <w:spacing w:after="0"/>
      </w:pPr>
    </w:p>
    <w:p>
      <w:pPr>
        <w:pStyle w:val="Heading2"/>
        <w:keepNext/>
        <w:pageBreakBefore w:val="0"/>
      </w:pPr>
      <w:r>
        <w:rPr>
          <w:rFonts w:ascii="Aptos" w:hAnsi="Aptos"/>
          <w:b w:val="0"/>
          <w:i w:val="0"/>
          <w:sz w:val="20"/>
        </w:rPr>
        <w:t>24.25. F4: Obstructions, Cohomologicaly, and the External E-Bridge</w:t>
      </w:r>
    </w:p>
    <w:p>
      <w:pPr>
        <w:widowControl/>
        <w:spacing w:after="80" w:line="264" w:lineRule="auto"/>
      </w:pPr>
      <w:r>
        <w:rPr>
          <w:rFonts w:ascii="DejaVu Serif" w:hAnsi="DejaVu Serif" w:eastAsia="DejaVu Serif"/>
          <w:b w:val="0"/>
          <w:i w:val="0"/>
          <w:color w:val="111111"/>
          <w:sz w:val="20"/>
        </w:rPr>
        <w:t>The bridge is an additional typed map with its own identification, calibration, and transport obligations; it is not supplied by a shared notation.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Pi_E: O_B partial-&gt; H^3(E), with status(Pi_E)&lt;=COND until B1-B8 are closed.</w:t>
            </w:r>
          </w:p>
        </w:tc>
        <w:tc>
          <w:tcPr>
            <w:tcW w:type="dxa" w:w="1531"/>
            <w:shd w:fill="F6F8FA"/>
          </w:tcPr>
          <w:p>
            <w:pPr>
              <w:jc w:val="right"/>
            </w:pPr>
            <w:r>
              <w:rPr>
                <w:rFonts w:ascii="DejaVu Sans" w:hAnsi="DejaVu Sans" w:eastAsia="DejaVu Sans"/>
                <w:b/>
                <w:i w:val="0"/>
                <w:color w:val="5C6773"/>
                <w:sz w:val="17"/>
              </w:rPr>
              <w:t>T2-F371</w:t>
            </w:r>
          </w:p>
        </w:tc>
        <w:trPr>
          <w:tblHeader/>
        </w:trPr>
      </w:tr>
    </w:tbl>
    <w:p>
      <w:pPr>
        <w:spacing w:after="0"/>
      </w:pPr>
    </w:p>
    <w:p>
      <w:pPr>
        <w:pStyle w:val="Heading2"/>
        <w:keepNext/>
        <w:pageBreakBefore w:val="0"/>
      </w:pPr>
      <w:r>
        <w:t>24.26. F5: Global, Derived, and Virtual Layer</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GlobalOK ⇔ Descent∧Coherence∧Orientation∧Transport∧NoRequiredBlocker.</w:t>
            </w:r>
          </w:p>
        </w:tc>
        <w:tc>
          <w:tcPr>
            <w:tcW w:type="dxa" w:w="1531"/>
            <w:shd w:fill="F6F8FA"/>
          </w:tcPr>
          <w:p>
            <w:pPr>
              <w:jc w:val="right"/>
            </w:pPr>
            <w:r>
              <w:rPr>
                <w:rFonts w:ascii="DejaVu Sans" w:hAnsi="DejaVu Sans" w:eastAsia="DejaVu Sans"/>
                <w:b/>
                <w:i w:val="0"/>
                <w:color w:val="5C6773"/>
                <w:sz w:val="17"/>
              </w:rPr>
              <w:t>T2-F372</w:t>
            </w:r>
          </w:p>
        </w:tc>
        <w:trPr>
          <w:tblHeader/>
        </w:trPr>
      </w:tr>
    </w:tbl>
    <w:p>
      <w:pPr>
        <w:spacing w:after="0"/>
      </w:pPr>
    </w:p>
    <w:p>
      <w:pPr>
        <w:pStyle w:val="Heading2"/>
        <w:keepNext/>
        <w:pageBreakBefore w:val="0"/>
      </w:pPr>
      <w:r>
        <w:t>24.27. F6: Temporal Interface and Evolution</w:t>
      </w:r>
    </w:p>
    <w:p>
      <w:pPr>
        <w:widowControl/>
        <w:spacing w:after="80" w:line="264" w:lineRule="auto"/>
      </w:pPr>
      <w:r>
        <w:rPr>
          <w:rFonts w:ascii="DejaVu Serif" w:hAnsi="DejaVu Serif" w:eastAsia="DejaVu Serif"/>
          <w:b w:val="0"/>
          <w:i w:val="0"/>
          <w:color w:val="111111"/>
          <w:sz w:val="20"/>
        </w:rPr>
        <w:t>The bridge is an additional typed map with its own identification, calibration, and transport obligations; it is not supplied by a shared notation.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U(t,r)U(r,s)=U(t,s), s&lt;=r&lt;=t, under compatible domains.</w:t>
            </w:r>
          </w:p>
        </w:tc>
        <w:tc>
          <w:tcPr>
            <w:tcW w:type="dxa" w:w="1531"/>
            <w:shd w:fill="F6F8FA"/>
          </w:tcPr>
          <w:p>
            <w:pPr>
              <w:jc w:val="right"/>
            </w:pPr>
            <w:r>
              <w:rPr>
                <w:rFonts w:ascii="DejaVu Sans" w:hAnsi="DejaVu Sans" w:eastAsia="DejaVu Sans"/>
                <w:b/>
                <w:i w:val="0"/>
                <w:color w:val="5C6773"/>
                <w:sz w:val="17"/>
              </w:rPr>
              <w:t>T2-F373</w:t>
            </w:r>
          </w:p>
        </w:tc>
        <w:trPr>
          <w:tblHeader/>
        </w:trPr>
      </w:tr>
    </w:tbl>
    <w:p>
      <w:pPr>
        <w:spacing w:after="0"/>
      </w:pPr>
    </w:p>
    <w:p>
      <w:pPr>
        <w:pStyle w:val="Heading2"/>
        <w:keepNext/>
        <w:pageBreakBefore w:val="0"/>
      </w:pPr>
      <w:r>
        <w:t>24.28. F7-F8: Stochastic Law and Causal Firewall</w:t>
      </w:r>
    </w:p>
    <w:p>
      <w:pPr>
        <w:widowControl/>
        <w:spacing w:after="80" w:line="264" w:lineRule="auto"/>
      </w:pPr>
      <w:r>
        <w:rPr>
          <w:rFonts w:ascii="DejaVu Serif" w:hAnsi="DejaVu Serif" w:eastAsia="DejaVu Serif"/>
          <w:b w:val="0"/>
          <w:i w:val="0"/>
          <w:color w:val="111111"/>
          <w:sz w:val="20"/>
        </w:rPr>
        <w:t>The horizon is the union of loci where rank, domain, topology, calibration, identification, or numerical certification can change.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P_obs(Y|X) != P(Y|do(X)) without a structural bridge.</w:t>
            </w:r>
          </w:p>
        </w:tc>
        <w:tc>
          <w:tcPr>
            <w:tcW w:type="dxa" w:w="1531"/>
            <w:shd w:fill="F6F8FA"/>
          </w:tcPr>
          <w:p>
            <w:pPr>
              <w:jc w:val="right"/>
            </w:pPr>
            <w:r>
              <w:rPr>
                <w:rFonts w:ascii="DejaVu Sans" w:hAnsi="DejaVu Sans" w:eastAsia="DejaVu Sans"/>
                <w:b/>
                <w:i w:val="0"/>
                <w:color w:val="5C6773"/>
                <w:sz w:val="17"/>
              </w:rPr>
              <w:t>T2-F374</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24.29. F9: Rare-Event and Robust Finite-Sample Layer</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V_rare∈{IMPOSSIBLE-IN-MODEL, FINITE-SAMPLE-RISK-BOUND, EXPONENTIALLY-SUPPRESSED-IN-MODEL, CANDIDATE-RARE-TRANSITION, ABSTAIN}.</w:t>
            </w:r>
          </w:p>
        </w:tc>
        <w:tc>
          <w:tcPr>
            <w:tcW w:type="dxa" w:w="1531"/>
            <w:shd w:fill="F6F8FA"/>
          </w:tcPr>
          <w:p>
            <w:pPr>
              <w:jc w:val="right"/>
            </w:pPr>
            <w:r>
              <w:rPr>
                <w:rFonts w:ascii="DejaVu Sans" w:hAnsi="DejaVu Sans" w:eastAsia="DejaVu Sans"/>
                <w:b/>
                <w:i w:val="0"/>
                <w:color w:val="5C6773"/>
                <w:sz w:val="17"/>
              </w:rPr>
              <w:t>T2-F375</w:t>
            </w:r>
          </w:p>
        </w:tc>
        <w:trPr>
          <w:tblHeader/>
        </w:trPr>
      </w:tr>
    </w:tbl>
    <w:p>
      <w:pPr>
        <w:spacing w:after="0"/>
      </w:pPr>
    </w:p>
    <w:p>
      <w:pPr>
        <w:pStyle w:val="Heading2"/>
        <w:keepNext/>
        <w:pageBreakBefore w:val="0"/>
      </w:pPr>
      <w:r>
        <w:t>24.30. F10-F11: External Validation and Release Gate</w:t>
      </w:r>
    </w:p>
    <w:p>
      <w:pPr>
        <w:widowControl/>
        <w:spacing w:after="80" w:line="264" w:lineRule="auto"/>
      </w:pPr>
      <w:r>
        <w:rPr>
          <w:rFonts w:ascii="DejaVu Serif" w:hAnsi="DejaVu Serif" w:eastAsia="DejaVu Serif"/>
          <w:b w:val="0"/>
          <w:i w:val="0"/>
          <w:color w:val="111111"/>
          <w:sz w:val="20"/>
        </w:rPr>
        <w:t>The certificate records inputs, algorithms, tolerances, residuals, sources, code and data hashes, and the weakest evidential status supported by the chain.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Release=OK ⇔ Required(V,Q)=PASS ∧ B≤B* ∧ Block_required=∅ ∧ HashChain=VALID.</w:t>
            </w:r>
          </w:p>
        </w:tc>
        <w:tc>
          <w:tcPr>
            <w:tcW w:type="dxa" w:w="1531"/>
            <w:shd w:fill="F6F8FA"/>
          </w:tcPr>
          <w:p>
            <w:pPr>
              <w:jc w:val="right"/>
            </w:pPr>
            <w:r>
              <w:rPr>
                <w:rFonts w:ascii="DejaVu Sans" w:hAnsi="DejaVu Sans" w:eastAsia="DejaVu Sans"/>
                <w:b/>
                <w:i w:val="0"/>
                <w:color w:val="5C6773"/>
                <w:sz w:val="17"/>
              </w:rPr>
              <w:t>T2-F376</w:t>
            </w:r>
          </w:p>
        </w:tc>
        <w:trPr>
          <w:tblHeader/>
        </w:trPr>
      </w:tr>
    </w:tbl>
    <w:p>
      <w:pPr>
        <w:spacing w:after="0"/>
      </w:pPr>
    </w:p>
    <w:p>
      <w:pPr>
        <w:pStyle w:val="Heading2"/>
        <w:keepNext/>
        <w:pageBreakBefore w:val="0"/>
      </w:pPr>
      <w:r>
        <w:t>24.31. Composite Verdict instead of a Single Label</w:t>
      </w:r>
    </w:p>
    <w:p>
      <w:pPr>
        <w:widowControl/>
        <w:spacing w:after="80" w:line="264" w:lineRule="auto"/>
      </w:pPr>
      <w:r>
        <w:rPr>
          <w:rFonts w:ascii="DejaVu Serif" w:hAnsi="DejaVu Serif" w:eastAsia="DejaVu Serif"/>
          <w:b w:val="0"/>
          <w:i w:val="0"/>
          <w:color w:val="111111"/>
          <w:sz w:val="20"/>
        </w:rPr>
        <w:t>The allowed output is multi-valued: a certified conclusion, an explicit candidate requiring further checks, ABSTAIN with blockers, or FAIL with a witness.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V=(V_struct,V_geom,V_ob,V_global,V_dyn,V_prob,V_causal,V_phys).</w:t>
            </w:r>
          </w:p>
        </w:tc>
        <w:tc>
          <w:tcPr>
            <w:tcW w:type="dxa" w:w="1531"/>
            <w:shd w:fill="F6F8FA"/>
          </w:tcPr>
          <w:p>
            <w:pPr>
              <w:jc w:val="right"/>
            </w:pPr>
            <w:r>
              <w:rPr>
                <w:rFonts w:ascii="DejaVu Sans" w:hAnsi="DejaVu Sans" w:eastAsia="DejaVu Sans"/>
                <w:b/>
                <w:i w:val="0"/>
                <w:color w:val="5C6773"/>
                <w:sz w:val="17"/>
              </w:rPr>
              <w:t>T2-F377</w:t>
            </w:r>
          </w:p>
        </w:tc>
        <w:trPr>
          <w:tblHeader/>
        </w:trPr>
      </w:tr>
    </w:tbl>
    <w:p>
      <w:pPr>
        <w:spacing w:after="0"/>
      </w:pP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24.32. Prediction as a Set of Certified Continuations</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Pred(Q)= {z∈𝒞(Q): margin(z,Δ_safe)≥m*, B(z)≼B*, Valid(D_z), Dom_z}.</w:t>
            </w:r>
          </w:p>
        </w:tc>
        <w:tc>
          <w:tcPr>
            <w:tcW w:type="dxa" w:w="1531"/>
            <w:shd w:fill="F6F8FA"/>
          </w:tcPr>
          <w:p>
            <w:pPr>
              <w:jc w:val="right"/>
            </w:pPr>
            <w:r>
              <w:rPr>
                <w:rFonts w:ascii="DejaVu Sans" w:hAnsi="DejaVu Sans" w:eastAsia="DejaVu Sans"/>
                <w:b/>
                <w:i w:val="0"/>
                <w:color w:val="5C6773"/>
                <w:sz w:val="17"/>
              </w:rPr>
              <w:t>T2-F378</w:t>
            </w:r>
          </w:p>
        </w:tc>
        <w:trPr>
          <w:tblHeader/>
        </w:trPr>
      </w:tr>
    </w:tbl>
    <w:p>
      <w:pPr>
        <w:spacing w:after="0"/>
      </w:pPr>
    </w:p>
    <w:p>
      <w:pPr>
        <w:pStyle w:val="Heading2"/>
        <w:keepNext/>
        <w:pageBreakBefore w:val="0"/>
      </w:pPr>
      <w:r>
        <w:t>24.33. Monotonicity of ABSTAIN</w:t>
      </w:r>
    </w:p>
    <w:p>
      <w:pPr>
        <w:widowControl/>
        <w:spacing w:after="80" w:line="264" w:lineRule="auto"/>
      </w:pPr>
      <w:r>
        <w:rPr>
          <w:rFonts w:ascii="DejaVu Serif" w:hAnsi="DejaVu Serif" w:eastAsia="DejaVu Serif"/>
          <w:b w:val="0"/>
          <w:i w:val="0"/>
          <w:color w:val="111111"/>
          <w:sz w:val="20"/>
        </w:rPr>
        <w:t>The statement is read under the explicitly declared hypotheses; its conclusion remains inside the mathematical model and does not acquire empirical status by translation. Separating models show that the prohibited inference fails even when the upstream mathematical object is well defined.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Pr>
      <w:tblGrid>
        <w:gridCol w:w="9951"/>
      </w:tblGrid>
      <w:tr>
        <w:tc>
          <w:tcPr>
            <w:tcW w:type="dxa" w:w="9951"/>
            <w:shd w:fill="EAF0F7"/>
            <w:tcMar>
              <w:top w:w="130" w:type="dxa"/>
              <w:start w:w="160" w:type="dxa"/>
              <w:bottom w:w="130" w:type="dxa"/>
              <w:end w:w="160" w:type="dxa"/>
            </w:tcMar>
            <w:tcBorders>
              <w:left w:val="single" w:sz="16" w:color="173F69"/>
            </w:tcBorders>
          </w:tcPr>
          <w:p>
            <w:pPr>
              <w:spacing w:after="0" w:line="259" w:lineRule="auto"/>
            </w:pPr>
            <w:r>
              <w:rPr>
                <w:rFonts w:ascii="DejaVu Sans" w:hAnsi="DejaVu Sans" w:eastAsia="DejaVu Sans"/>
                <w:b/>
                <w:i w:val="0"/>
                <w:color w:val="173F69"/>
                <w:sz w:val="19"/>
              </w:rPr>
              <w:t xml:space="preserve">Theorem 24.3. Monotonicity of ABSTAIN [THM] </w:t>
            </w:r>
            <w:r>
              <w:rPr>
                <w:rFonts w:ascii="DejaVu Serif" w:hAnsi="DejaVu Serif" w:eastAsia="DejaVu Serif"/>
                <w:b w:val="0"/>
                <w:i w:val="0"/>
                <w:color w:val="111111"/>
                <w:sz w:val="19"/>
              </w:rPr>
              <w:t>Adding an unresolved required blocker cannot turn an ABSTAIN result into OK. Closing blockers may refine ABSTAIN, but only through a new certificate and change-set.</w:t>
            </w:r>
          </w:p>
        </w:tc>
        <w:trPr>
          <w:tblHeader/>
        </w:trPr>
      </w:tr>
    </w:tbl>
    <w:p>
      <w:pPr>
        <w:spacing w:after="0"/>
      </w:pPr>
    </w:p>
    <w:p>
      <w:pPr>
        <w:pStyle w:val="Heading2"/>
        <w:keepNext/>
        <w:pageBreakBefore w:val="0"/>
      </w:pPr>
      <w:r>
        <w:t>24.34. General Conditional End-to-End Safety Theorem</w:t>
      </w:r>
    </w:p>
    <w:p>
      <w:pPr>
        <w:widowControl/>
        <w:spacing w:after="80" w:line="264" w:lineRule="auto"/>
      </w:pPr>
      <w:r>
        <w:rPr>
          <w:rFonts w:ascii="DejaVu Serif" w:hAnsi="DejaVu Serif" w:eastAsia="DejaVu Serif"/>
          <w:b w:val="0"/>
          <w:i w:val="0"/>
          <w:color w:val="111111"/>
          <w:sz w:val="20"/>
        </w:rPr>
        <w:t>The statement is read under the explicitly declared hypotheses; its conclusion remains inside the mathematical model and does not acquire empirical status by translation.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Pr>
      <w:tblGrid>
        <w:gridCol w:w="9951"/>
      </w:tblGrid>
      <w:tr>
        <w:tc>
          <w:tcPr>
            <w:tcW w:type="dxa" w:w="9951"/>
            <w:shd w:fill="F6EFD9"/>
            <w:tcMar>
              <w:top w:w="130" w:type="dxa"/>
              <w:start w:w="160" w:type="dxa"/>
              <w:bottom w:w="130" w:type="dxa"/>
              <w:end w:w="160" w:type="dxa"/>
            </w:tcMar>
            <w:tcBorders>
              <w:left w:val="single" w:sz="16" w:color="A77317"/>
            </w:tcBorders>
          </w:tcPr>
          <w:p>
            <w:pPr>
              <w:spacing w:after="0" w:line="259" w:lineRule="auto"/>
            </w:pPr>
            <w:r>
              <w:rPr>
                <w:rFonts w:ascii="DejaVu Sans" w:hAnsi="DejaVu Sans" w:eastAsia="DejaVu Sans"/>
                <w:b/>
                <w:i w:val="0"/>
                <w:color w:val="A77317"/>
                <w:sz w:val="19"/>
              </w:rPr>
              <w:t xml:space="preserve">Theorem 24.4. Conditional End-to-End Safety [COND] </w:t>
            </w:r>
            <w:r>
              <w:rPr>
                <w:rFonts w:ascii="DejaVu Serif" w:hAnsi="DejaVu Serif" w:eastAsia="DejaVu Serif"/>
                <w:b w:val="0"/>
                <w:i w:val="0"/>
                <w:color w:val="111111"/>
                <w:sz w:val="19"/>
              </w:rPr>
              <w:t>If all required module contracts, budget transports, provenance links, status constraints and release predicates pass, the end-to-end output is type-correct and carries no stronger evidential status than its weakest required component.</w:t>
            </w:r>
          </w:p>
        </w:tc>
        <w:trPr>
          <w:tblHeader/>
        </w:trPr>
      </w:tr>
    </w:tbl>
    <w:p>
      <w:pPr>
        <w:spacing w:after="0"/>
      </w:pPr>
    </w:p>
    <w:p>
      <w:pPr>
        <w:pStyle w:val="Heading2"/>
        <w:keepNext/>
        <w:pageBreakBefore w:val="0"/>
      </w:pPr>
      <w:r>
        <w:t>24.35. Proof of Theorem 24.4</w:t>
      </w:r>
    </w:p>
    <w:p>
      <w:pPr>
        <w:widowControl/>
        <w:spacing w:after="80" w:line="264" w:lineRule="auto"/>
      </w:pPr>
      <w:r>
        <w:rPr>
          <w:rFonts w:ascii="DejaVu Serif" w:hAnsi="DejaVu Serif" w:eastAsia="DejaVu Serif"/>
          <w:b w:val="0"/>
          <w:i w:val="0"/>
          <w:color w:val="111111"/>
          <w:sz w:val="20"/>
        </w:rPr>
        <w:t>The statement is read under the explicitly declared hypotheses; its conclusion remains inside the mathematical model and does not acquire empirical status by translation. Composition preserves certificates, budgets, and absorbing failure branches; release uses the weakest required component.</w:t>
      </w:r>
    </w:p>
    <w:p>
      <w:pPr>
        <w:pStyle w:val="Heading2"/>
        <w:keepNext/>
        <w:pageBreakBefore w:val="0"/>
      </w:pPr>
      <w:r>
        <w:t>24.36. What Theorem 24.4 Does Not Prove</w:t>
      </w:r>
    </w:p>
    <w:p>
      <w:pPr>
        <w:widowControl/>
        <w:spacing w:after="80" w:line="264" w:lineRule="auto"/>
      </w:pPr>
      <w:r>
        <w:rPr>
          <w:rFonts w:ascii="DejaVu Serif" w:hAnsi="DejaVu Serif" w:eastAsia="DejaVu Serif"/>
          <w:b w:val="0"/>
          <w:i w:val="0"/>
          <w:color w:val="111111"/>
          <w:sz w:val="20"/>
        </w:rPr>
        <w:t>The statement is read under the explicitly declared hypotheses; its conclusion remains inside the mathematical model and does not acquire empirical status by translation. Separating models show that the prohibited inference fails even when the upstream mathematical object is well defined. Composition preserves certificates, budgets, and absorbing failure branches; release uses the weakest required component.</w:t>
      </w:r>
    </w:p>
    <w:p>
      <w:pPr>
        <w:pStyle w:val="Heading2"/>
        <w:keepNext/>
        <w:pageBreakBefore w:val="0"/>
      </w:pPr>
      <w:r>
        <w:t>24.37. Counterexample: Locally Correct but Globally Incompatible Modules</w:t>
      </w:r>
    </w:p>
    <w:p>
      <w:pPr>
        <w:widowControl/>
        <w:spacing w:after="80" w:line="264" w:lineRule="auto"/>
      </w:pPr>
      <w:r>
        <w:rPr>
          <w:rFonts w:ascii="DejaVu Serif" w:hAnsi="DejaVu Serif" w:eastAsia="DejaVu Serif"/>
          <w:b w:val="0"/>
          <w:i w:val="0"/>
          <w:color w:val="111111"/>
          <w:sz w:val="20"/>
        </w:rPr>
        <w:t>Separating models show that the prohibited inference fails even when the upstream mathematical object is well defined. Composition preserves certificates, budgets, and absorbing failure branches; release uses the weakest required component.</w:t>
      </w:r>
    </w:p>
    <w:p>
      <w:pPr>
        <w:pStyle w:val="Heading2"/>
        <w:keepNext/>
        <w:pageBreakBefore w:val="0"/>
      </w:pPr>
      <w:r>
        <w:t>24.38. Counterexample: Inflation of the Probability Budget</w:t>
      </w:r>
    </w:p>
    <w:p>
      <w:pPr>
        <w:widowControl/>
        <w:spacing w:after="80" w:line="264" w:lineRule="auto"/>
      </w:pPr>
      <w:r>
        <w:rPr>
          <w:rFonts w:ascii="DejaVu Serif" w:hAnsi="DejaVu Serif" w:eastAsia="DejaVu Serif"/>
          <w:b w:val="0"/>
          <w:i w:val="0"/>
          <w:color w:val="111111"/>
          <w:sz w:val="20"/>
        </w:rPr>
        <w:t>Separating models show that the prohibited inference fails even when the upstream mathematical object is well defined.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10 * 0.05 = 0.50, not 0.05.</w:t>
            </w:r>
          </w:p>
        </w:tc>
        <w:tc>
          <w:tcPr>
            <w:tcW w:type="dxa" w:w="1531"/>
            <w:shd w:fill="F6F8FA"/>
          </w:tcPr>
          <w:p>
            <w:pPr>
              <w:jc w:val="right"/>
            </w:pPr>
            <w:r>
              <w:rPr>
                <w:rFonts w:ascii="DejaVu Sans" w:hAnsi="DejaVu Sans" w:eastAsia="DejaVu Sans"/>
                <w:b/>
                <w:i w:val="0"/>
                <w:color w:val="5C6773"/>
                <w:sz w:val="17"/>
              </w:rPr>
              <w:t>T2-F379</w:t>
            </w:r>
          </w:p>
        </w:tc>
        <w:trPr>
          <w:tblHeader/>
        </w:trPr>
      </w:tr>
    </w:tbl>
    <w:p>
      <w:pPr>
        <w:spacing w:after="0"/>
      </w:pPr>
    </w:p>
    <w:p>
      <w:pPr>
        <w:pStyle w:val="Heading2"/>
        <w:keepNext/>
        <w:pageBreakBefore w:val="0"/>
      </w:pPr>
      <w:r>
        <w:t>24.39. Counterexample: Small Local Error and Unbounded Amplification</w:t>
      </w:r>
    </w:p>
    <w:p>
      <w:pPr>
        <w:widowControl/>
        <w:spacing w:after="80" w:line="264" w:lineRule="auto"/>
      </w:pPr>
      <w:r>
        <w:rPr>
          <w:rFonts w:ascii="DejaVu Serif" w:hAnsi="DejaVu Serif" w:eastAsia="DejaVu Serif"/>
          <w:b w:val="0"/>
          <w:i w:val="0"/>
          <w:color w:val="111111"/>
          <w:sz w:val="20"/>
        </w:rPr>
        <w:t>Separating models show that the prohibited inference fails even when the upstream mathematical object is well defined. Composition preserves certificates, budgets, and absorbing failure branches; release uses the weakest required component.</w:t>
      </w:r>
    </w:p>
    <w:p>
      <w:pPr>
        <w:pStyle w:val="Heading2"/>
        <w:keepNext/>
        <w:pageBreakBefore w:val="0"/>
      </w:pPr>
      <w:r>
        <w:t>24.40. Counterexample: Scalar Lambda near a Projective Pole</w:t>
      </w:r>
    </w:p>
    <w:p>
      <w:pPr>
        <w:widowControl/>
        <w:spacing w:after="80" w:line="264" w:lineRule="auto"/>
      </w:pPr>
      <w:r>
        <w:rPr>
          <w:rFonts w:ascii="DejaVu Serif" w:hAnsi="DejaVu Serif" w:eastAsia="DejaVu Serif"/>
          <w:b w:val="0"/>
          <w:i w:val="0"/>
          <w:color w:val="111111"/>
          <w:sz w:val="20"/>
        </w:rPr>
        <w:t>Separating models show that the prohibited inference fails even when the upstream mathematical object is well defined. Composition preserves certificates, budgets, and absorbing failure branches; release uses the weakest required component.</w:t>
      </w:r>
    </w:p>
    <w:p>
      <w:pPr>
        <w:pStyle w:val="Heading2"/>
        <w:keepNext/>
        <w:pageBreakBefore w:val="0"/>
      </w:pPr>
      <w:r>
        <w:t>24.41. Counterexample: Observational Accuracy without Causal Identification</w:t>
      </w:r>
    </w:p>
    <w:p>
      <w:pPr>
        <w:widowControl/>
        <w:spacing w:after="80" w:line="264" w:lineRule="auto"/>
      </w:pPr>
      <w:r>
        <w:rPr>
          <w:rFonts w:ascii="DejaVu Serif" w:hAnsi="DejaVu Serif" w:eastAsia="DejaVu Serif"/>
          <w:b w:val="0"/>
          <w:i w:val="0"/>
          <w:color w:val="111111"/>
          <w:sz w:val="20"/>
        </w:rPr>
        <w:t>Separating models show that the prohibited inference fails even when the upstream mathematical object is well defined. Composition preserves certificates, budgets, and absorbing failure branches; release uses the weakest required component.</w:t>
      </w:r>
    </w:p>
    <w:p>
      <w:pPr>
        <w:pStyle w:val="Heading2"/>
        <w:keepNext/>
        <w:pageBreakBefore w:val="0"/>
      </w:pPr>
      <w:r>
        <w:t>24.42. Falsifiability Protocol</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p>
      <w:pPr>
        <w:keepNext/>
        <w:jc w:val="center"/>
      </w:pPr>
      <w:r>
        <w:drawing>
          <wp:inline xmlns:a="http://schemas.openxmlformats.org/drawingml/2006/main" xmlns:pic="http://schemas.openxmlformats.org/drawingml/2006/picture">
            <wp:extent cx="5760000" cy="3115102"/>
            <wp:docPr id="62" name="Picture 62" descr="Figure 63. Falsifiability witnesses and release gate." title="Figure 63. Falsifiability witnesses and release gate."/>
            <wp:cNvGraphicFramePr>
              <a:graphicFrameLocks noChangeAspect="1"/>
            </wp:cNvGraphicFramePr>
            <a:graphic>
              <a:graphicData uri="http://schemas.openxmlformats.org/drawingml/2006/picture">
                <pic:pic>
                  <pic:nvPicPr>
                    <pic:cNvPr id="0" name="fig63_falsifiability.png"/>
                    <pic:cNvPicPr/>
                  </pic:nvPicPr>
                  <pic:blipFill>
                    <a:blip r:embed="rId72"/>
                    <a:stretch>
                      <a:fillRect/>
                    </a:stretch>
                  </pic:blipFill>
                  <pic:spPr>
                    <a:xfrm>
                      <a:off x="0" y="0"/>
                      <a:ext cx="5760000" cy="3115102"/>
                    </a:xfrm>
                    <a:prstGeom prst="rect"/>
                  </pic:spPr>
                </pic:pic>
              </a:graphicData>
            </a:graphic>
          </wp:inline>
        </w:drawing>
      </w:r>
    </w:p>
    <w:p>
      <w:pPr>
        <w:spacing w:before="40" w:after="140"/>
        <w:jc w:val="center"/>
      </w:pPr>
      <w:r>
        <w:rPr>
          <w:rFonts w:ascii="DejaVu Serif" w:hAnsi="DejaVu Serif" w:eastAsia="DejaVu Serif"/>
          <w:b w:val="0"/>
          <w:i/>
          <w:color w:val="5C6773"/>
          <w:sz w:val="18"/>
        </w:rPr>
        <w:t>Figure 63. Falsifiability witnesses and release gate.</w:t>
      </w:r>
    </w:p>
    <w:p>
      <w:pPr>
        <w:pStyle w:val="Heading2"/>
        <w:keepNext/>
        <w:pageBreakBefore w:val="0"/>
      </w:pPr>
      <w:r>
        <w:t>24.43. Final Falsifiability Matrix for Chapters 1-24</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3"/>
        <w:keepNext/>
        <w:pageBreakBefore w:val="0"/>
      </w:pPr>
      <w:r>
        <w:t>24.43.1. Matrix 24-A: Chapters 1-8</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p>
      <w:pPr>
        <w:pStyle w:val="Heading3"/>
        <w:keepNext/>
        <w:pageBreakBefore w:val="0"/>
      </w:pPr>
      <w:r>
        <w:t>24.43.2. Matrix 24-B: Chapters 9-16</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p>
      <w:pPr>
        <w:pStyle w:val="Heading3"/>
        <w:keepNext/>
        <w:pageBreakBefore w:val="0"/>
      </w:pPr>
      <w:r>
        <w:t>24.43.3. Matrix 24-C: Chapters 17-24</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p>
      <w:pPr>
        <w:pStyle w:val="Heading2"/>
        <w:keepNext/>
        <w:pageBreakBefore w:val="0"/>
      </w:pPr>
      <w:r>
        <w:t>24.44. Final Status Matrix of Volume II</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p>
      <w:pPr>
        <w:pStyle w:val="Heading2"/>
        <w:keepNext/>
        <w:pageBreakBefore w:val="0"/>
      </w:pPr>
      <w:r>
        <w:t>24.45. Computational Certificate E2E-KLT</w:t>
      </w:r>
    </w:p>
    <w:p>
      <w:pPr>
        <w:widowControl/>
        <w:spacing w:after="80" w:line="264" w:lineRule="auto"/>
      </w:pPr>
      <w:r>
        <w:rPr>
          <w:rFonts w:ascii="DejaVu Serif" w:hAnsi="DejaVu Serif" w:eastAsia="DejaVu Serif"/>
          <w:b w:val="0"/>
          <w:i w:val="0"/>
          <w:color w:val="111111"/>
          <w:sz w:val="20"/>
        </w:rPr>
        <w:t>The certificate records inputs, algorithms, tolerances, residuals, sources, code and data hashes, and the weakest evidential status supported by the chain.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4" w:color="AAB4BE"/>
          <w:left w:val="single" w:sz="4" w:color="AAB4BE"/>
          <w:bottom w:val="single" w:sz="4" w:color="AAB4BE"/>
          <w:right w:val="single" w:sz="4" w:color="AAB4BE"/>
          <w:insideH w:val="single" w:sz="4" w:color="AAB4BE"/>
          <w:insideV w:val="single" w:sz="4" w:color="AAB4BE"/>
        </w:tblBorders>
      </w:tblPr>
      <w:tblGrid>
        <w:gridCol w:w="3317"/>
        <w:gridCol w:w="3317"/>
        <w:gridCol w:w="3317"/>
      </w:tblGrid>
      <w:tr>
        <w:trPr>
          <w:cantSplit w:val="true"/>
          <w:tblHeader w:val="true"/>
        </w:trPr>
        <w:tc>
          <w:tcPr>
            <w:tcW w:type="dxa" w:w="2381"/>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Gate component</w:t>
            </w:r>
          </w:p>
        </w:tc>
        <w:tc>
          <w:tcPr>
            <w:tcW w:type="dxa" w:w="4706"/>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Required check</w:t>
            </w:r>
          </w:p>
        </w:tc>
        <w:tc>
          <w:tcPr>
            <w:tcW w:type="dxa" w:w="2268"/>
            <w:shd w:fill="173F69"/>
            <w:vAlign w:val="center"/>
            <w:tcMar>
              <w:top w:w="90" w:type="dxa"/>
              <w:start w:w="100" w:type="dxa"/>
              <w:bottom w:w="90" w:type="dxa"/>
              <w:end w:w="100" w:type="dxa"/>
            </w:tcMar>
          </w:tcPr>
          <w:p>
            <w:pPr>
              <w:spacing w:after="0" w:line="252" w:lineRule="auto"/>
              <w:jc w:val="center"/>
            </w:pPr>
            <w:r/>
            <w:r>
              <w:rPr>
                <w:rFonts w:ascii="DejaVu Sans" w:hAnsi="DejaVu Sans" w:eastAsia="DejaVu Sans"/>
                <w:b/>
                <w:i w:val="0"/>
                <w:color w:val="FFFFFF"/>
                <w:sz w:val="18"/>
              </w:rPr>
              <w:t>Failure output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Type and domain</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All Dom/Cod and admissibility predicates are defined.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ABSTAIN-DOMAIN</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Mathematical certificate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Hypotheses, residuals, and representative independence are verified.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ABSTAIN-CERT</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Bridge and transport</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The relevant realization, temporal, causal, or empirical bridge is identified.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ABSTAIN-BRIDGE</w:t>
            </w:r>
          </w:p>
        </w:tc>
      </w:tr>
      <w:tr>
        <w:trPr>
          <w:cantSplit w:val="true"/>
        </w:trPr>
        <w:tc>
          <w:tcPr>
            <w:tcW w:type="dxa" w:w="2381"/>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Independent evidence</w:t>
            </w:r>
          </w:p>
        </w:tc>
        <w:tc>
          <w:tcPr>
            <w:tcW w:type="dxa" w:w="4706"/>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Required external data or EXT-RUN is present and hash-linked.</w:t>
            </w:r>
          </w:p>
        </w:tc>
        <w:tc>
          <w:tcPr>
            <w:tcW w:type="dxa" w:w="2268"/>
            <w:shd w:fill="FFFFFF"/>
            <w:vAlign w:val="center"/>
            <w:tcMar>
              <w:top w:w="90" w:type="dxa"/>
              <w:start w:w="100" w:type="dxa"/>
              <w:bottom w:w="90" w:type="dxa"/>
              <w:end w:w="100" w:type="dxa"/>
            </w:tcMar>
          </w:tcPr>
          <w:p>
            <w:pPr>
              <w:spacing w:after="0" w:line="252" w:lineRule="auto"/>
              <w:jc w:val="left"/>
            </w:pPr>
            <w:r/>
            <w:r>
              <w:rPr>
                <w:rFonts w:ascii="DejaVu Serif" w:hAnsi="DejaVu Serif" w:eastAsia="DejaVu Serif"/>
                <w:b w:val="0"/>
                <w:i w:val="0"/>
                <w:color w:val="111111"/>
                <w:sz w:val="16"/>
              </w:rPr>
              <w:t>ABSTAIN-EXT</w:t>
            </w:r>
          </w:p>
        </w:tc>
      </w:tr>
    </w:tbl>
    <w:p>
      <w:pPr>
        <w:spacing w:after="20"/>
      </w:pPr>
    </w:p>
    <w:p>
      <w:pPr>
        <w:pStyle w:val="Heading2"/>
        <w:keepNext/>
        <w:pageBreakBefore w:val="0"/>
      </w:pPr>
      <w:r>
        <w:t>24.46. Canonical Pseudocode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RETURN OK(V, Pred(Q), Cert, HashRoot); truth_layer_promotion=0.</w:t>
            </w:r>
          </w:p>
        </w:tc>
        <w:tc>
          <w:tcPr>
            <w:tcW w:type="dxa" w:w="1531"/>
            <w:shd w:fill="F6F8FA"/>
          </w:tcPr>
          <w:p>
            <w:pPr>
              <w:jc w:val="right"/>
            </w:pPr>
            <w:r>
              <w:rPr>
                <w:rFonts w:ascii="DejaVu Sans" w:hAnsi="DejaVu Sans" w:eastAsia="DejaVu Sans"/>
                <w:b/>
                <w:i w:val="0"/>
                <w:color w:val="5C6773"/>
                <w:sz w:val="17"/>
              </w:rPr>
              <w:t>T2-F380</w:t>
            </w:r>
          </w:p>
        </w:tc>
        <w:trPr>
          <w:tblHeader/>
        </w:trPr>
      </w:tr>
    </w:tbl>
    <w:p>
      <w:pPr>
        <w:spacing w:after="0"/>
      </w:pPr>
    </w:p>
    <w:p>
      <w:pPr>
        <w:pStyle w:val="Heading2"/>
        <w:keepNext/>
        <w:pageBreakBefore w:val="0"/>
      </w:pPr>
      <w:r>
        <w:t>24.47. Reproducibility and Root Hash</w:t>
      </w:r>
    </w:p>
    <w:p>
      <w:pPr>
        <w:widowControl/>
        <w:spacing w:after="80" w:line="264" w:lineRule="auto"/>
      </w:pPr>
      <w:r>
        <w:rPr>
          <w:rFonts w:ascii="DejaVu Serif" w:hAnsi="DejaVu Serif" w:eastAsia="DejaVu Serif"/>
          <w:b w:val="0"/>
          <w:i w:val="0"/>
          <w:color w:val="111111"/>
          <w:sz w:val="20"/>
        </w:rPr>
        <w:t>The certificate records inputs, algorithms, tolerances, residuals, sources, code and data hashes, and the weakest evidential status supported by the chain.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Borders>
          <w:top w:val="single" w:sz="2" w:color="D5DCE5"/>
          <w:left w:val="single" w:sz="2" w:color="D5DCE5"/>
          <w:bottom w:val="single" w:sz="2" w:color="D5DCE5"/>
          <w:right w:val="single" w:sz="2" w:color="D5DCE5"/>
          <w:insideH w:val="single" w:sz="2" w:color="D5DCE5"/>
          <w:insideV w:val="single" w:sz="2" w:color="D5DCE5"/>
        </w:tblBorders>
      </w:tblPr>
      <w:tblGrid>
        <w:gridCol w:w="4975"/>
        <w:gridCol w:w="4975"/>
      </w:tblGrid>
      <w:tr>
        <w:tc>
          <w:tcPr>
            <w:tcW w:type="dxa" w:w="7824"/>
            <w:shd w:fill="F6F8FA"/>
            <w:tcMar>
              <w:top w:w="120" w:type="dxa"/>
              <w:start w:w="180" w:type="dxa"/>
              <w:bottom w:w="120" w:type="dxa"/>
              <w:end w:w="180" w:type="dxa"/>
            </w:tcMar>
          </w:tcPr>
          <w:p>
            <w:pPr>
              <w:jc w:val="center"/>
            </w:pPr>
            <w:r>
              <w:rPr>
                <w:rFonts w:ascii="DejaVu Serif" w:hAnsi="DejaVu Serif" w:eastAsia="DejaVu Serif"/>
                <w:b w:val="0"/>
                <w:i w:val="0"/>
                <w:color w:val="173F69"/>
                <w:sz w:val="21"/>
              </w:rPr>
              <w:t>h_j = H(h_{j-1} || module_id || input_hash || output_hash || cert_hash || budget_hash).</w:t>
            </w:r>
          </w:p>
        </w:tc>
        <w:tc>
          <w:tcPr>
            <w:tcW w:type="dxa" w:w="1531"/>
            <w:shd w:fill="F6F8FA"/>
          </w:tcPr>
          <w:p>
            <w:pPr>
              <w:jc w:val="right"/>
            </w:pPr>
            <w:r>
              <w:rPr>
                <w:rFonts w:ascii="DejaVu Sans" w:hAnsi="DejaVu Sans" w:eastAsia="DejaVu Sans"/>
                <w:b/>
                <w:i w:val="0"/>
                <w:color w:val="5C6773"/>
                <w:sz w:val="17"/>
              </w:rPr>
              <w:t>T2-F381</w:t>
            </w:r>
          </w:p>
        </w:tc>
        <w:trPr>
          <w:tblHeader/>
        </w:trPr>
      </w:tr>
    </w:tbl>
    <w:p>
      <w:pPr>
        <w:spacing w:after="0"/>
      </w:pPr>
    </w:p>
    <w:p>
      <w:pPr>
        <w:pStyle w:val="Heading2"/>
        <w:keepNext/>
        <w:pageBreakBefore w:val="0"/>
      </w:pPr>
      <w:r>
        <w:t>24.48. Prior Art and Boundary of the Authorial Synthesis</w:t>
      </w:r>
    </w:p>
    <w:p>
      <w:pPr>
        <w:widowControl/>
        <w:spacing w:after="80" w:line="264" w:lineRule="auto"/>
      </w:pPr>
      <w:r>
        <w:rPr>
          <w:rFonts w:ascii="DejaVu Serif" w:hAnsi="DejaVu Serif" w:eastAsia="DejaVu Serif"/>
          <w:b w:val="0"/>
          <w:i w:val="0"/>
          <w:color w:val="111111"/>
          <w:sz w:val="20"/>
        </w:rPr>
        <w:t>Classical constructions retain their standard attribution; the authorial contribution is the typed, blocker-safe synthesis inside KLT-RBD. Composition preserves certificates, budgets, and absorbing failure branches; release uses the weakest required component.</w:t>
      </w:r>
    </w:p>
    <w:p>
      <w:pPr>
        <w:pStyle w:val="Heading2"/>
        <w:keepNext/>
        <w:pageBreakBefore w:val="0"/>
      </w:pPr>
      <w:r>
        <w:t>24.49. Checkpoint, Conclusion of Volume II, and Boundary of Inference</w:t>
      </w:r>
    </w:p>
    <w:p>
      <w:pPr>
        <w:widowControl/>
        <w:spacing w:after="80" w:line="264" w:lineRule="auto"/>
      </w:pPr>
      <w:r>
        <w:rPr>
          <w:rFonts w:ascii="DejaVu Serif" w:hAnsi="DejaVu Serif" w:eastAsia="DejaVu Serif"/>
          <w:b w:val="0"/>
          <w:i w:val="0"/>
          <w:color w:val="111111"/>
          <w:sz w:val="20"/>
        </w:rPr>
        <w:t>The source construction is restated in controlled English with its hypotheses, invariants, loss channels, and forbidden status transfers kept explicit. Composition preserves certificates, budgets, and absorbing failure branches; release uses the weakest required component.</w:t>
      </w:r>
    </w:p>
    <w:tbl>
      <w:tblPr>
        <w:tblW w:type="auto" w:w="0"/>
        <w:jc w:val="center"/>
        <w:tblLayout w:type="fixed"/>
        <w:tblLook w:firstColumn="1" w:firstRow="1" w:lastColumn="0" w:lastRow="0" w:noHBand="0" w:noVBand="1" w:val="04A0"/>
      </w:tblPr>
      <w:tblGrid>
        <w:gridCol w:w="9951"/>
      </w:tblGrid>
      <w:tr>
        <w:tc>
          <w:tcPr>
            <w:tcW w:type="dxa" w:w="9951"/>
            <w:shd w:fill="FAE9E9"/>
            <w:tcMar>
              <w:top w:w="130" w:type="dxa"/>
              <w:start w:w="160" w:type="dxa"/>
              <w:bottom w:w="130" w:type="dxa"/>
              <w:end w:w="160" w:type="dxa"/>
            </w:tcMar>
            <w:tcBorders>
              <w:left w:val="single" w:sz="16" w:color="A12B2E"/>
            </w:tcBorders>
          </w:tcPr>
          <w:p>
            <w:pPr>
              <w:spacing w:after="0" w:line="259" w:lineRule="auto"/>
            </w:pPr>
            <w:r>
              <w:rPr>
                <w:rFonts w:ascii="DejaVu Sans" w:hAnsi="DejaVu Sans" w:eastAsia="DejaVu Sans"/>
                <w:b/>
                <w:i w:val="0"/>
                <w:color w:val="A12B2E"/>
                <w:sz w:val="19"/>
              </w:rPr>
              <w:t xml:space="preserve">BOUNDARY OF CHAPTER 24. </w:t>
            </w:r>
            <w:r>
              <w:rPr>
                <w:rFonts w:ascii="DejaVu Serif" w:hAnsi="DejaVu Serif" w:eastAsia="DejaVu Serif"/>
                <w:b w:val="0"/>
                <w:i w:val="0"/>
                <w:color w:val="111111"/>
                <w:sz w:val="19"/>
              </w:rPr>
              <w:t>Local correctness does not imply global compatibility; incompatible budgets, interfaces, causal bridges, or release evidence close the gate. truth_layer_promotion=0; independent EXT-RUN and EMP-OBS remain absent.</w:t>
            </w:r>
          </w:p>
        </w:tc>
        <w:trPr>
          <w:tblHeader/>
        </w:trPr>
      </w:tr>
    </w:tbl>
    <w:p>
      <w:pPr>
        <w:sectPr>
          <w:headerReference w:type="default" r:id="rId9"/>
          <w:footerReference w:type="default" r:id="rId10"/>
          <w:headerReference w:type="first" r:id="rId73"/>
          <w:headerReference w:type="even" r:id="rId74"/>
          <w:footerReference w:type="first" r:id="rId75"/>
          <w:footerReference w:type="even" r:id="rId76"/>
          <w:pgSz w:w="11906" w:h="16838"/>
          <w:pgMar w:top="879" w:right="935" w:bottom="879" w:left="1020" w:header="720" w:footer="720" w:gutter="0"/>
          <w:cols w:space="720"/>
          <w:docGrid w:linePitch="360"/>
        </w:sectPr>
      </w:pPr>
    </w:p>
    <w:p>
      <w:pPr>
        <w:pStyle w:val="Heading1"/>
        <w:keepNext/>
      </w:pPr>
      <w:bookmarkStart w:id="1024" w:name="T2_APP_A"/>
      <w:r>
        <w:rPr>
          <w:rFonts w:ascii="Liberation Serif" w:hAnsi="Liberation Serif"/>
          <w:b/>
          <w:color w:val="1F4E79"/>
          <w:sz w:val="32"/>
        </w:rPr>
        <w:t>Appendix T2-A. Synchronized Register of Formal Statements</w:t>
      </w:r>
      <w:bookmarkEnd w:id="1024"/>
    </w:p>
    <w:p>
      <w:pPr>
        <w:spacing w:after="120"/>
      </w:pPr>
      <w:r>
        <w:rPr>
          <w:rFonts w:ascii="Liberation Serif" w:hAnsi="Liberation Serif"/>
          <w:b w:val="0"/>
          <w:sz w:val="19"/>
        </w:rPr>
        <w:t>Total: 339 numbered formal objects. Cross-type collisions of the bare number: 44; duplicate typed identifiers within one type: 0. The register preserves the source identifiers and explicit statuses.</w:t>
      </w:r>
    </w:p>
    <w:tbl>
      <w:tblPr>
        <w:tblW w:type="auto" w:w="0"/>
        <w:jc w:val="center"/>
        <w:tblLook w:firstColumn="1" w:firstRow="1" w:lastColumn="0" w:lastRow="0" w:noHBand="0" w:noVBand="1" w:val="04A0"/>
        <w:tblBorders>
          <w:top w:val="single" w:sz="4" w:space="0" w:color="9AA8B8"/>
          <w:left w:val="single" w:sz="4" w:space="0" w:color="9AA8B8"/>
          <w:bottom w:val="single" w:sz="4" w:space="0" w:color="9AA8B8"/>
          <w:right w:val="single" w:sz="4" w:space="0" w:color="9AA8B8"/>
          <w:insideH w:val="single" w:sz="4" w:space="0" w:color="9AA8B8"/>
          <w:insideV w:val="single" w:sz="4" w:space="0" w:color="9AA8B8"/>
        </w:tblBorders>
      </w:tblPr>
      <w:tblGrid>
        <w:gridCol w:w="15478"/>
      </w:tblGrid>
      <w:tr>
        <w:tc>
          <w:tcPr>
            <w:tcW w:type="dxa" w:w="15478"/>
            <w:shd w:fill="F2F5F8"/>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STATUS FRAME. The appendix registries preserve the authority relation Authority(T2-RU v1.0) &gt; Authority(T2-EN). A registry row records a source object, obligation, formula, locator, or release check; it does not strengthen its mathematical or physical status. truth_layer_promotion=0; independent EXT-RUN and EMP-OBS remain absent.</w:t>
            </w:r>
          </w:p>
        </w:tc>
        <w:trPr>
          <w:tblHeader/>
        </w:trPr>
      </w:tr>
    </w:tbl>
    <w:tbl>
      <w:tblPr>
        <w:tblW w:type="auto" w:w="0"/>
        <w:jc w:val="center"/>
        <w:tblLayout w:type="fixed"/>
        <w:tblLook w:firstColumn="1" w:firstRow="1" w:lastColumn="0" w:lastRow="0" w:noHBand="0" w:noVBand="1" w:val="04A0"/>
        <w:tblBorders>
          <w:top w:val="single" w:sz="4" w:space="0" w:color="9AA8B8"/>
          <w:left w:val="single" w:sz="4" w:space="0" w:color="9AA8B8"/>
          <w:bottom w:val="single" w:sz="4" w:space="0" w:color="9AA8B8"/>
          <w:right w:val="single" w:sz="4" w:space="0" w:color="9AA8B8"/>
          <w:insideH w:val="single" w:sz="4" w:space="0" w:color="9AA8B8"/>
          <w:insideV w:val="single" w:sz="4" w:space="0" w:color="9AA8B8"/>
        </w:tblBorders>
      </w:tblPr>
      <w:tblGrid>
        <w:gridCol w:w="3096"/>
        <w:gridCol w:w="3096"/>
        <w:gridCol w:w="3096"/>
        <w:gridCol w:w="3096"/>
        <w:gridCol w:w="3096"/>
      </w:tblGrid>
      <w:tr>
        <w:trPr>
          <w:tblHeader w:val="true"/>
        </w:trPr>
        <w:tc>
          <w:tcPr>
            <w:tcW w:type="dxa" w:w="1701"/>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Typed ID</w:t>
            </w:r>
          </w:p>
        </w:tc>
        <w:tc>
          <w:tcPr>
            <w:tcW w:type="dxa" w:w="1530"/>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Type</w:t>
            </w:r>
          </w:p>
        </w:tc>
        <w:tc>
          <w:tcPr>
            <w:tcW w:type="dxa" w:w="5273"/>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Short title</w:t>
            </w:r>
          </w:p>
        </w:tc>
        <w:tc>
          <w:tcPr>
            <w:tcW w:type="dxa" w:w="1587"/>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Explicit status</w:t>
            </w:r>
          </w:p>
        </w:tc>
        <w:tc>
          <w:tcPr>
            <w:tcW w:type="dxa" w:w="5386"/>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Primary section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T2-DEF-5.1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Domain of the Associator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T2-LEM-5.2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Lemma</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Trilinearity on the Full Domain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T2-DEF-5.3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Three Nuclei and the Nucleus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T2-PROP-5.4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Proposition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Linearity of the Nuclei</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T2-DEF-5.5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Commutant and Center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T2-DEF-5.6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Associator Ideal</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T2-THM-5.7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Universal Associative Reflection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T2-THM-5.8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Degree No-Go</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T2-THM-5.9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Even the Cubic Diagonal Is Insufficient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T2-DEF-5.10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Three Quadratic Pencils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T2-DEF-5.11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Alternating Component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T2-THM-5.12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Completeness of the Quadratic-Alternating Certificate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T2-DEF-5.13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Strict Realisation of R⋆R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T2-PROP-5.14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Proposition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Profile of Model 𝒜₂</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T2-DEF-5.15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Basic Profile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T2-THM-5.16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Isomorphism Invariance of the Profile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T2-DEF-5.17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Profile Pseudodistance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T2-DEF-5.18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Polynomial Family of Algebras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T2-DEF-5.19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Determinantal Horizon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T2-THM-5.20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Localisation of Structural Transitions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T2-COR-5.21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Negative Prediction Theorem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T2-DEF-5.22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Predictive Horizon along a Path</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T2-DEF-5.23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Harmonic Transition Candidate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T2-THM-5.24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Projective Invariance of a Harmonic Candidate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T2-PROP-5.25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Proposition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Finiteness of the Construction of J_Ass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5. Associator, R⋆R, Nuclei, Centers, and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T2-DEF-6.1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Representable Duality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T2-DEF-6.2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Spatial Duality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T2-THM-6.3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Yoneda-Safe Anti-Equivalence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T2-DEF-6.4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Rep_A(T)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T2-PROP-6.5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Proposition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Functoriality of Reper Configurations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T2-COR-6.6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Isomorphism Invariance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T2-HYP-6.7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Hypothesis</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Spatial Realisation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T2-DEF-6.8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Algebraic Defect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T2-DEF-6.9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Geometric Defect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T2-THM-6.10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Restricted Reconstruction Theorem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 under hypothesis 6.7</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T2-COR-6.11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Preservation of Isomorphism Invariants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 under hypothesis 6.7</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T2-THM-6.12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Character-Spectrum No-Go</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T2-PROP-6.14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Proposition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No-Dynamics Principle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T2-DEF-6.15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Projective Reper Atlas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T2-THM-6.16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Globalisation of λ</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T2-COR-6.17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Global Harmonic Locus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T2-DEF-6.18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Projective-Reper Morphism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T2-THM-6.19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Invariance of the Harmonic Locus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T2-HYP-6.20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Hypothesis</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Conjugacy Bridge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T2-THM-6.21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Coincidence of Rank Horizons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 under hypothesis 6.20</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T2-COR-6.22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Double Negative-Prediction Theorem</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THM under hypotheses 6.7 and 6.20</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T2-DEF-6.23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Dual Mismatch Set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T2-DEF-6.24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Block_dual</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T2-DEF-6.25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Dual Harmonic Candidate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T2-THM-6.26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Functorial Predictive Transport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T2-PROP-6.27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Proposition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Representability of the Associative Reflection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T2-PROP-6.28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Proposition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Functoriality of Nucleus Loci</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6. Packet-Reper Algebraic-Geometric Duality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T2-DEF-7.1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Local NAPG Model</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T2-DEF-7.2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NAPG Atlas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T2-DEF-7.3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Structural Groupoid</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T2-THM-7.4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Associative Transition Groupoid Is Necessary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T2-DEF-7.5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Projective-Reper Chart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T2-THM-7.6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Globality of lambda</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T2-DEF-7.7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Descent Datum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T2-DEF-7.8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Effective Descent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T2-THM-7.9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Gluing of an NAPG Bundle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T2-DEF-7.11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Bundle of NAPG Algebras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T2-THM-7.12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Descent of the Operation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T2-DEF-7.13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Operation Descent Defect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T2-DEF-7.14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Reper Bundle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T2-THM-7.15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Double Descent of Reper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T2-DEF-7.16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Hodge-Compatible Atlas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T2-THM-7.17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Descent of the Hodge Star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T2-THM-7.19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Central Obstruction Class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T2-DEF-7.20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Globalisation Defect Vector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T2-THM-7.21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Cellular Obstruction Tower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T2-DEF-7.22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Parametric NAPG Bundle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T2-THM-7.23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Homotopy Constancy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T2-COR-7.24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Negative Global Prediction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T2-DEF-7.25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Globalisation Horizon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T2-THM-7.26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Localisation of a Possible Global Transition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T2-DEF-7.27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Predictive Reper Bundle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T2-DEF-7.28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Globally Admissible Scenario</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T2-DEF-7.29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Global Structural Candidate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T2-THM-7.30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No Local-to-Global Substitution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7. Atlases, Bundles, and Globalisation Obstructions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Dual-Number Tangent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T2-LEM-8.2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Lemma</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Derivation Representation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Curve Tangent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Kahler Cotangent Module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Cotangent at a Rational Point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Algebraic Tangent Cone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T2-PROP-8.7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Proposition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Cone-to-Tangent Inclusion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T2-DEF-8.10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Ambient Operation Space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T2-DEF-8.11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Linearised Structure Space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T2-THM-8.12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Differential of the Associator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T2-COR-8.13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Associative Tangent Equation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T2-DEF-8.14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Gauge Differential</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T2-THM-8.15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Stabiliser-Derivation Identity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T2-DEF-8.16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Reduced Tangent Space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T2-DEF-8.17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Tangent Complex</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T2-THM-8.18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No Canonical Self-Duality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T2-COR-8.19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NAPG Duality Boundary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T2-DEF-8.20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Second-Order Obstruction Class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T2-THM-8.21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Second-Order Lift Criterion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T2-DEF-8.23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Formally Smooth Point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T2-DEF-8.24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Finite-Dimensional Regular Sector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T2-DEF-8.26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Linearisation Horizon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T2-THM-8.27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Local Constancy Outside the Horizon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T2-THM-8.28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Differential of the Cross-Ratio</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T2-COR-8.29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Tangent Space to the Harmonic Locus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T2-DEF-8.30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Smooth Harmonic Risk</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T2-THM-8.31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First-Order Blindness at Exact Harmony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T2-DEF-8.32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Structural Constraint Map</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T2-DEF-8.33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Integrable Predictive Direction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T2-THM-8.34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Tangent-Safe Predictive Transport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T2-THM-8.35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No Event from Tangent Data Alone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8. Tangent and Cotangent Objects of NAPG</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Algebraic NAPG Bundle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D-Admissible Path Category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NAPG Connection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Parallel Transport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T2-THM-9.5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Associativity of Transport Composition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T2-COR-9.6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First No-Go</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Curvature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Small-Loop Certificate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T2-THM-9.9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Small Loops Localise Curvature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T2-DEF-9.10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D-Holonomy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T2-PROP-9.11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Proposition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Base-Point Change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T2-THM-9.12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Ambrose-Singer: Classical Layer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T2-HYP-9.13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Hypothesis</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D-Ambrose-Singer Bridge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COND/OPEN</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T2-DEF-9.14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Product Defect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T2-DEF-9.15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Product-Compatible Connection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T2-THM-9.16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Transport Preserves the Product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T2-COR-9.17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Holonomy Preserves Structure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T2-DEF-9.18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Finite Multiplication Holonomy Defect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T2-DEF-9.19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Finite Associator Holonomy Defect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T2-THM-9.20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Derivative of the Associator through C_nabla</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T2-COR-9.21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Vanishing Associator Curvature and Trivial Associator Holonomy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T2-DEF-9.22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Associator Curvature K_Ass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T2-THM-9.23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Necessary Condition for Parallelism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T2-DEF-9.25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Full Associator-Holonomy Bridge Package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T2-THM-9.26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Holonomy Principle for the Associator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T2-THM-9.32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Universal-Equality No-Go</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T2-DEF-9.33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Akivis Algebra</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T2-DEF-9.34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Bridge Datum beta</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T2-DEF-9.36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D-Holonomy Signature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T2-DEF-9.37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Finite Holonomy Certificate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T2-THM-9.38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Local Constancy of Certified Rank</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T2-DEF-9.40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Connection-Holonomy Horizon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T2-THM-9.41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Negative Holonomy Prediction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T2-THM-9.42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Common Projective Transport Invariance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T2-COR-9.43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Relative Transport Is Necessary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T2-DEF-9.44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Relative Reper Connection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T2-THM-9.46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Holonomy-Associator-Safe Predictive Theorem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9. Connections, Curvature, Holonomy, and Associator Curvature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Internal Packet Forms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Internal Differential Candidate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External E-Operator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Hodge Operators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T2-PRINC-10.5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Principle</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Notation Firewall</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THM/PROTOCOL</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Leibniz Defect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Graded Derivation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T2-LEM-10.8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Lemma</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Value on the Unit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T2-THM-10.9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Closure of Derivations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T2-COR-10.10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Square of an Odd Derivation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T2-THM-10.11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Associator Leibniz Identity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T2-COR-10.12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Stability of the Associative Sector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T2-DEF-10.13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Differential Curvature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T2-LEM-10.14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Lemma</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Operator Bianchi Identity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T2-DEF-10.15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Precomplex and Complex</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T2-DEF-10.20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Sheaf-Local Operator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T2-LEM-10.21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Lemma</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Support Nonincrease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T2-THM-10.22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Gluing of Local Differentials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T2-DEF-10.23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Differential Gluing Defect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T2-DEF-10.25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Bigraded Bridge Object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T2-THM-10.26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Square Decomposition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T2-DEF-10.28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Differential Bridge Certificate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T2-DEF-10.30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Hodge Sector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T2-DEF-10.31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Codifferential</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T2-DEF-10.32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Hodge Laplacian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T2-THM-10.33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Nilpotency Transfer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T2-DEF-10.35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Hodge Transport Defect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T2-DEF-10.36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Formal-Adjoint Defect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T2-DEF-10.37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Differential Reper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T2-DEF-10.38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Differential Defect Vector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T2-PRINC-10.39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Principle</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Harmonic Insufficiency Principle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THM/PROTOCOL</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T2-DEF-10.40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Relaxed Differential Candidate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T2-DEF-10.41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Finite Differential Signature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T2-DEF-10.42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Differential Horizon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T2-THM-10.43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Rank Constancy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T2-THM-10.44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Differential Negative Prediction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T2-COR-10.45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Horizon Crossing Is Only a Candidate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T2-CTHM-10.46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Countertheorem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Triple Independence Countertheorem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T2-THM-10.47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Differential-Calculus-Safe Predictive Theorem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10. NAPG Differential Forms and Typed Differentials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T2-DEF-12.1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NAPG Quadratic Frame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T2-DEF-12.2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Internal Minimal Complex</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THM/IMPORT</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T2-LEM-12.1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Lemma</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Nilpotency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T2-DEF-12.3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Canonical Map Theta_min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THM/IMPORT</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T2-DEF-12.4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Internal Obstruction Class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T2-THM-12.2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Internal H2 and H3</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T2-THM-12.3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Natural Exact Sequence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T2-COR-12.3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1. Finite-Dimensional Rank Formula</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T2-THM-12.4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Minimal-Complex Functor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T2-THM-12.5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Natural Isomorphism with O_B</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T2-COR-12.5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1. Invariant Vanishing</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T2-DEF-12.5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Lift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T2-THM-12.6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Complete Internal Lift Criterion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T2-THM-12.7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Torsor of Lifts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T2-THM-12.8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Universal Extension into a Complex</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T2-THM-12.9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Extension of Scalars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T2-THM-12.10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Block-Diagonal Additivity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T2-DEF-12.6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Orthogonal Obstruction Residual</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DEF-A/COMP</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T2-THM-12.11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Residual Criterion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T2-DEF-12.7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Normalised Internal Obstruction Index</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DEF-A/DIAGNOSTIC</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T2-THM-12.12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Constant-Rank Cohomology Bundles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T2-COR-12.12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1. Zeros of the Obstruction Section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T2-DEF-12.8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Internal Transition Horizon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T2-LEM-12.13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Lemma</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Motion of the Residual</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T2-THM-12.14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Certified No-Lift Zone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THM/COMP</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T2-THM-12.15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Minimal-Obstruction-Safe Predictive Theorem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T2-DEF-12.9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Joint Certificate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T2-CTHM-12.16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Countertheorem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Four Prohibited Implications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12. Internal Construction of C_min^bullet, delta_min, and Theta_min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T2-DEF-13.1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External Realisation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T2-DEF-13.2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Cochain Bridge J</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T2-THM-13.1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Descent to the Quotient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T2-COR-13.1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Injective-Bridge Corollary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T2-DEF-13.3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External Obstruction Map</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COND/THM under B1-B5</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T2-THM-13.2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Naturality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 under B3-B5</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T2-THM-13.3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One-Way Detection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T2-THM-13.4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Reverse Detection Criterion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T2-DEF-13.4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Bridge Quality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T2-DEF-13.5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Mapping Cone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T2-THM-13.5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Exact Detection Sequence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T2-THM-13.6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Chain-Homotopy Invariance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T2-DEF-13.6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Category of External Realisations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T2-THM-13.7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Canonical External-Class Criterion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T2-DEF-13.7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Canonical External Class</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COND; canonical external class</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T2-THM-13.8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Stable Reverse Detection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THM/COMP</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T2-LEM-13.9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Lemma</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Local Constancy of Ranks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T2-THM-13.10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Compact-Interval External Detection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THM/COMP</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T2-THM-13.11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External-Detection-Safe Predictive Theorem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T2-DEF-13.8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Associator Test Channel</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OPEN/DEF-A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T2-CTHM-13.12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Countertheorem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False External Implications Without Additional Hypotheses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13. External E-Complex and the Conditional Bridge Pi_E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T2-DEF-15.1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Hilbert Complex</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CL/DEF</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T2-DEF-15.2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Cycles, Boundaries, and Two Cohomology Spaces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CL/DEF</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T2-LEM-15.1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Lemma</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Adjoint Orthogonality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T2-DEF-15.3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Hodge Laplacian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CL/DEF</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T2-DEF-15.4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Harmonic Sector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CL/DEF</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T2-THM-15.2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Weak Hodge Decomposition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T2-THM-15.3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Strong Decomposition Criterion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T2-THM-15.4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Ellipticity of the Hodge Laplacian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T2-DEF-15.5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Laplacian-Type Operator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CL/DEF</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T2-CTHM-15.5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Countertheorem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Nilpotency Does Not Imply Ellipticity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T2-THM-15.6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Boundary Firewall</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T2-CTHM-15.7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Countertheorem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Formal Symmetry Does Not Imply Self-Adjointness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T2-DEF-15.6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Interface Domain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T2-DEF-15.7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Fredholm Operator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CL/DEF</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T2-THM-15.8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Harmonic Detection of the External Class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CL/THM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T2-DEF-15.8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Compact Resolvent</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CL/DEF; compact-resolvent sector</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T2-THM-15.9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Exact Analytic Detection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T2-DEF-15.9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Analytic Transition Horizon</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DEF-A; analytic conditioning ledger</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T2-THM-15.10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Stable Nonzero Obstruction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THM/COMP</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T2-COR-15.10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Stable-Obstruction Corollary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T2-THM-15.11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Necessity of Intersecting the Analytic Horizon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T2-DEF-15.10</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Hodge-Reper Certificate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T2-THM-15.12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Hodge-Fredholm-Safe Prediction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T2-CTHM-15.13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Countertheorem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Invalid Analytic Implications Without Additional Hypotheses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15. Hodge Decomposition and the Analytic NAPG Layer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T2-DEF-16.1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NAPG Deformation Groupoid</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16. Deformation Functors, Moduli Spaces, and the Kuranishi Map</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T2-DEF-16.2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Complete Linear Obstruction Theory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16. Deformation Functors, Moduli Spaces, and the Kuranishi Map</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T2-THM-16.3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Conditional Schlessinger Package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16. Deformation Functors, Moduli Spaces, and the Kuranishi Map</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T2-THM-16.4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Small-Extension Lift from Maurer-Cartan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16. Deformation Functors, Moduli Spaces, and the Kuranishi Map</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T2-THM-16.5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Conditional Analytic Kuranishi Reduction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16. Deformation Functors, Moduli Spaces, and the Kuranishi Map</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T2-DEF-16.6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Kuranishi Convergence Radius</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Kuranishi conditioning margin</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16. Deformation Functors, Moduli Spaces, and the Kuranishi Map</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T2-DEF-16.7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Order of the First Nonzero Obstruction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16. Deformation Functors, Moduli Spaces, and the Kuranishi Map</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T2-CTHM-16.8</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Countertheorem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Coarse Moduli Cannot Recover a Stack Germ Without Stabiliser Data</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16. Deformation Functors, Moduli Spaces, and the Kuranishi Map</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T2-THM-16.9</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Moduli-Kuranishi-Safe Prediction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16. Deformation Functors, Moduli Spaces, and the Kuranishi Map</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T2-THM-17.1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Constancy in a Chamber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17. Stratified Moduli Spaces, Wall Crossing, and Monodromy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T2-CTHM-17.2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Countertheorem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Equal Dimensions Do Not Define Wall Crossing</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17. Stratified Moduli Spaces, Wall Crossing, and Monodromy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T2-THM-17.3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Wall Is Not Bifurcation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17. Stratified Moduli Spaces, Wall Crossing, and Monodromy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T2-THM-17.4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Homotopy Invariance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17. Stratified Moduli Spaces, Wall Crossing, and Monodromy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T2-THM-17.5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No Global Labelling</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17. Stratified Moduli Spaces, Wall Crossing, and Monodromy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T2-THM-17.7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Wall-Crossing-Safe Prediction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17. Stratified Moduli Spaces, Wall Crossing, and Monodromy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T2-DEF-18.1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Global Stacky/Derived NAPG Moduli Object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18. Global Derived/Stacky Moduli Spaces and the Predictive Carrier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T2-THM-18.2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Descent No-Shortcut Theorem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 in selected 2-category</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18. Global Derived/Stacky Moduli Spaces and the Predictive Carrier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T2-THM-18.3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Presentation Invariance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18. Global Derived/Stacky Moduli Spaces and the Predictive Carrier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T2-DEF-18.4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Predictive Carrier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18. Global Derived/Stacky Moduli Spaces and the Predictive Carrier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T2-THM-18.5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Local-to-Global No-Go</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18. Global Derived/Stacky Moduli Spaces and the Predictive Carrier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T2-THM-18.6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Coarse-Moduli No-Go</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18. Global Derived/Stacky Moduli Spaces and the Predictive Carrier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T2-THM-18.7</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Global-Stack-Safe Prediction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18. Global Derived/Stacky Moduli Spaces and the Predictive Carrier</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T2-THM-19.1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Conditional Presentation Independence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19. Virtual Cycles, Enumerative Invariants, and the Probability Firewall</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T2-LEM-19.2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Lemma</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Transverse Reduction</w:t>
            </w:r>
          </w:p>
        </w:tc>
        <w:tc>
          <w:tcPr>
            <w:tcW w:type="dxa" w:w="1587"/>
            <w:vAlign w:val="center"/>
            <w:tcMar>
              <w:top w:w="70" w:type="dxa"/>
              <w:start w:w="90" w:type="dxa"/>
              <w:bottom w:w="70" w:type="dxa"/>
              <w:end w:w="90" w:type="dxa"/>
            </w:tcMar>
          </w:tcPr>
          <w:p>
            <w:pPr>
              <w:spacing w:after="0" w:before="0" w:line="240" w:lineRule="auto"/>
              <w:jc w:val="left"/>
            </w:pPr>
            <w:r>
              <w:rPr>
                <w:rFonts w:ascii="Aptos" w:hAnsi="Aptos"/>
                <w:b w:val="0"/>
                <w:i w:val="0"/>
                <w:sz w:val="14"/>
              </w:rPr>
              <w:t>THM in finite-dimensional oriented models</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19. Virtual Cycles, Enumerative Invariants, and the Probability Firewall</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T2-THM-19.3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Conditional Deformation Invariance of the Virtual Invariant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19. Virtual Cycles, Enumerative Invariants, and the Probability Firewall</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T2-THM-19.4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No Universal Probability Interpretation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19. Virtual Cycles, Enumerative Invariants, and the Probability Firewall</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T2-DEF-19.5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Probabilistic Bridge to an Applied Event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19. Virtual Cycles, Enumerative Invariants, and the Probability Firewall</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T2-THM-19.6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Conditional Virtual-Profile Constancy</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COND; Virtual-cycle-safe predictive theorem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19. Virtual Cycles, Enumerative Invariants, and the Probability Firewall</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T2-DEF-20.1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Refined-Carrier Ladder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20. Categorified, Motivic, and Refined Virtual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T2-DEF-20.2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Categorification and Decategorification Data</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20. Categorified, Motivic, and Refined Virtual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T2-THM-20.1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Decategorification No-Go Theorem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20. Categorified, Motivic, and Refined Virtual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T2-DEF-20.3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Motivic Carrier of a NAPG Candidate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20. Categorified, Motivic, and Refined Virtual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T2-THM-20.2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Numerical Indistinguishability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20. Categorified, Motivic, and Refined Virtual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T2-LEM-20.3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Lemma</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Plethystic Exponential and Logarithm Bijection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20. Categorified, Motivic, and Refined Virtual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T2-DEF-20.4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Series Certificate</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Γ,R,completion,pairing,ordering,chamber,PExp/PLog,convergence_status,D,Dom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20. Categorified, Motivic, and Refined Virtual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T2-THM-20.4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Coefficient-Time Non-Identifiability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20. Categorified, Motivic, and Refined Virtual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T2-DEF-20.5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Minimal Dynamic Bridge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20. Categorified, Motivic, and Refined Virtual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T2-DEF-20.6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Complete Chapter Certificate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20. Categorified, Motivic, and Refined Virtual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T2-THM-20.5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Time Non-identifiability from Coefficients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20. Categorified, Motivic, and Refined Virtual Invariants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T2-DEF-21.1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Temporal Carrier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21. Nonlinear Evolution Semigroups, Transfer Operators, Path-Space Carriers, and Causal Kernels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T2-DEF-21.2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Nonlinear Evolution Semigroup</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21. Nonlinear Evolution Semigroups, Transfer Operators, Path-Space Carriers, and Causal Kernels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T2-THM-21.1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Specialised Crandall-Liggett Generation Theorem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THM/prior art</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21. Nonlinear Evolution Semigroups, Transfer Operators, Path-Space Carriers, and Causal Kernels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T2-COR-21.1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Certified Discretised Transition Corollary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21. Nonlinear Evolution Semigroups, Transfer Operators, Path-Space Carriers, and Causal Kernels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T2-DEF-21.3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Non-Autonomous Evolution Family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21. Nonlinear Evolution Semigroups, Transfer Operators, Path-Space Carriers, and Causal Kernels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T2-THM-21.2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No-State-Reconstruction Theorem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21. Nonlinear Evolution Semigroups, Transfer Operators, Path-Space Carriers, and Causal Kernels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T2-DEF-21.4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Markov Transition Kernel</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21. Nonlinear Evolution Semigroups, Transfer Operators, Path-Space Carriers, and Causal Kernels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T2-THM-21.3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Kolmogorov Consistency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THM/prior art</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21. Nonlinear Evolution Semigroups, Transfer Operators, Path-Space Carriers, and Causal Kernels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T2-COR-21.2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One-Time Marginals Do Not Determine a Path Law</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21. Nonlinear Evolution Semigroups, Transfer Operators, Path-Space Carriers, and Causal Kernels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T2-DEF-21.5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Non-Anticipating Path Operator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21. Nonlinear Evolution Semigroups, Transfer Operators, Path-Space Carriers, and Causal Kernels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T2-THM-21.4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Kernel Non-Anticipation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21. Nonlinear Evolution Semigroups, Transfer Operators, Path-Space Carriers, and Causal Kernels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T2-DEF-21.6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Temporal Reper</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21. Nonlinear Evolution Semigroups, Transfer Operators, Path-Space Carriers, and Causal Kernels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T2-THM-21.5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Temporal Profile Constancy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21. Nonlinear Evolution Semigroups, Transfer Operators, Path-Space Carriers, and Causal Kernels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T2-THM-21.6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Static-Snapshot No-Go</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21. Nonlinear Evolution Semigroups, Transfer Operators, Path-Space Carriers, and Causal Kernels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T2-DEF-22.1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Stochastic Basis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22. Stochastic Evolutions, Martingale Problems, Stopping Times, Control, and Causal Inference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T2-THM-22.1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Well-Posed Martingale Problem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THM/prior art</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22. Stochastic Evolutions, Martingale Problems, Stopping Times, Control, and Causal Inference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T2-THM-22.2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Measure Change Is Not Intervention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22. Stochastic Evolutions, Martingale Problems, Stopping Times, Control, and Causal Inference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T2-THM-22.3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Finite-Horizon Barrier Bound</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22. Stochastic Evolutions, Martingale Problems, Stopping Times, Control, and Causal Inference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T2-THM-22.4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Observational-Interventional Non-Identifiability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22. Stochastic Evolutions, Martingale Problems, Stopping Times, Control, and Causal Inference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T2-COR-22.1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Positive Local Drift of the Harmonic Defect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22. Stochastic Evolutions, Martingale Problems, Stopping Times, Control, and Causal Inference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T2-THM-22.5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Stochastic Prediction-Control-Causality Safety Theorem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22. Stochastic Evolutions, Martingale Problems, Stopping Times, Control, and Causal Inference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T2-THM-23.1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Contraction Principle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THM/prior art</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23. Large Deviations, Risk-Sensitive Semigroups, Rare-Event Geometry, and Finite-Sample Certification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T2-THM-23.2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Asymptotic-Probability Firewall</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23. Large Deviations, Risk-Sensitive Semigroups, Rare-Event Geometry, and Finite-Sample Certification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T2-THM-23.3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Coverage-to-Risk Theorem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23. Large Deviations, Risk-Sensitive Semigroups, Rare-Event Geometry, and Finite-Sample Certification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T2-THM-23.4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Finite-Sample Tail No-Go Theorem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THM</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23. Large Deviations, Risk-Sensitive Semigroups, Rare-Event Geometry, and Finite-Sample Certification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T2-THM-23.5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Rare-Event Predictive Safety Theorem</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23. Large Deviations, Risk-Sensitive Semigroups, Rare-Event Geometry, and Finite-Sample Certification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T2-DEF-24.1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Predictive Query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24. End-to-End KLT-RBD Predictive Operator, Budget Composition, and Final Falsifiability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T2-DEF-24.2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Certified State at Step j</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24. End-to-End KLT-RBD Predictive Operator, Budget Composition, and Final Falsifiability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T2-LEM-24.1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Lemma</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Homogeneous Reper Coordinate Without Artificial Poles</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24. End-to-End KLT-RBD Predictive Operator, Budget Composition, and Final Falsifiability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T2-DEF-24.3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Objects of the Category CertKLT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24. End-to-End KLT-RBD Predictive Operator, Budget Composition, and Final Falsifiability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T2-THM-24.1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Soundness of CertKLT Composition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24. End-to-End KLT-RBD Predictive Operator, Budget Composition, and Final Falsifiability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T2-DEF-24.4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Complete Uncertainty Budget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24. End-to-End KLT-RBD Predictive Operator, Budget Composition, and Final Falsifiability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T2-COR-24.1</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Deterministic Transport Error Bound</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24. End-to-End KLT-RBD Predictive Operator, Budget Composition, and Final Falsifiability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T2-LEM-24.2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Lemma</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Weakest-Link Rule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24. End-to-End KLT-RBD Predictive Operator, Budget Composition, and Final Falsifiability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T2-THM-24.2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No Canonical Scalarization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24. End-to-End KLT-RBD Predictive Operator, Budget Composition, and Final Falsifiability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T2-COR-24.2</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Corollary</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Prohibition of an Undefined Scalar Validity Percentage</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24. End-to-End KLT-RBD Predictive Operator, Budget Composition, and Final Falsifiability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T2-DEF-24.5</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Release Manifest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24. End-to-End KLT-RBD Predictive Operator, Budget Composition, and Final Falsifiability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T2-DEF-24.6</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Definition</w:t>
            </w:r>
          </w:p>
        </w:tc>
        <w:tc>
          <w:tcPr>
            <w:tcW w:type="dxa" w:w="5273"/>
            <w:vAlign w:val="center"/>
            <w:tcMar>
              <w:top w:w="70" w:type="dxa"/>
              <w:start w:w="90" w:type="dxa"/>
              <w:bottom w:w="70" w:type="dxa"/>
              <w:end w:w="90" w:type="dxa"/>
            </w:tcMar>
          </w:tcPr>
          <w:p>
            <w:pPr>
              <w:spacing w:after="0" w:before="0" w:line="240" w:lineRule="auto"/>
              <w:jc w:val="center"/>
            </w:pPr>
            <w:r>
              <w:rPr>
                <w:rFonts w:ascii="Aptos" w:hAnsi="Aptos"/>
                <w:sz w:val="14"/>
              </w:rPr>
              <w:t>Composite Final Verdict</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DEF-A</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24. End-to-End KLT-RBD Predictive Operator, Budget Composition, and Final Falsifiability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T2-THM-24.3</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Monotonicity of ABSTAIN</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UNMARKED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24. End-to-End KLT-RBD Predictive Operator, Budget Composition, and Final Falsifiability</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T2-THM-24.4</w:t>
            </w:r>
          </w:p>
        </w:tc>
        <w:tc>
          <w:tcPr>
            <w:tcW w:type="dxa" w:w="1530"/>
            <w:vAlign w:val="center"/>
            <w:tcMar>
              <w:top w:w="70" w:type="dxa"/>
              <w:start w:w="90" w:type="dxa"/>
              <w:bottom w:w="70" w:type="dxa"/>
              <w:end w:w="90" w:type="dxa"/>
            </w:tcMar>
          </w:tcPr>
          <w:p>
            <w:pPr>
              <w:spacing w:after="0" w:before="0" w:line="240" w:lineRule="auto"/>
              <w:jc w:val="left"/>
            </w:pPr>
            <w:r/>
            <w:r>
              <w:rPr>
                <w:rFonts w:ascii="Liberation Serif" w:hAnsi="Liberation Serif"/>
                <w:b w:val="0"/>
                <w:sz w:val="14"/>
              </w:rPr>
              <w:t>Theorem</w:t>
            </w:r>
          </w:p>
        </w:tc>
        <w:tc>
          <w:tcPr>
            <w:tcW w:type="dxa" w:w="5273"/>
            <w:vAlign w:val="center"/>
            <w:tcMar>
              <w:top w:w="70" w:type="dxa"/>
              <w:start w:w="90" w:type="dxa"/>
              <w:bottom w:w="70" w:type="dxa"/>
              <w:end w:w="90" w:type="dxa"/>
            </w:tcMar>
          </w:tcPr>
          <w:p>
            <w:pPr>
              <w:spacing w:after="0" w:before="0" w:line="240" w:lineRule="auto"/>
              <w:jc w:val="left"/>
            </w:pPr>
            <w:r>
              <w:rPr>
                <w:rFonts w:ascii="Aptos" w:hAnsi="Aptos"/>
                <w:sz w:val="14"/>
              </w:rPr>
              <w:t>Conditional End-to-End Safety</w:t>
            </w:r>
          </w:p>
        </w:tc>
        <w:tc>
          <w:tcPr>
            <w:tcW w:type="dxa" w:w="158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COND</w:t>
            </w:r>
          </w:p>
        </w:tc>
        <w:tc>
          <w:tcPr>
            <w:tcW w:type="dxa" w:w="5386"/>
            <w:vAlign w:val="center"/>
            <w:tcMar>
              <w:top w:w="70" w:type="dxa"/>
              <w:start w:w="90" w:type="dxa"/>
              <w:bottom w:w="70" w:type="dxa"/>
              <w:end w:w="90" w:type="dxa"/>
            </w:tcMar>
          </w:tcPr>
          <w:p>
            <w:pPr>
              <w:spacing w:after="0" w:before="0" w:line="240" w:lineRule="auto"/>
              <w:jc w:val="left"/>
            </w:pPr>
            <w:r>
              <w:rPr>
                <w:rFonts w:ascii="Aptos" w:hAnsi="Aptos"/>
                <w:sz w:val="14"/>
              </w:rPr>
              <w:t>Chapter 24. End-to-End KLT-RBD Predictive Operator, Budget Composition, and Final Falsifiability</w:t>
            </w:r>
          </w:p>
        </w:tc>
      </w:tr>
    </w:tbl>
    <w:p>
      <w:pPr>
        <w:pStyle w:val="Heading1"/>
        <w:keepNext/>
      </w:pPr>
      <w:bookmarkStart w:id="1025" w:name="T2_APP_B"/>
      <w:r>
        <w:rPr>
          <w:rFonts w:ascii="Liberation Serif" w:hAnsi="Liberation Serif"/>
          <w:b/>
          <w:color w:val="1F4E79"/>
          <w:sz w:val="32"/>
        </w:rPr>
        <w:t>Appendix T2-B. Complete Register of Evidence Obligations T2-PO-001-T2-PO-500</w:t>
      </w:r>
      <w:bookmarkEnd w:id="1025"/>
    </w:p>
    <w:p>
      <w:pPr>
        <w:spacing w:after="120"/>
      </w:pPr>
      <w:r>
        <w:rPr>
          <w:rFonts w:ascii="Liberation Serif" w:hAnsi="Liberation Serif"/>
          <w:b w:val="0"/>
          <w:sz w:val="19"/>
        </w:rPr>
        <w:t>The source status is preserved. The normalized class is an analytic aid and does not replace the obligation text or its required evidence. OPEN and COND entries remain blockers unless a later version records a valid closure witness.</w:t>
      </w:r>
    </w:p>
    <w:tbl>
      <w:tblPr>
        <w:tblW w:type="auto" w:w="0"/>
        <w:jc w:val="center"/>
        <w:tblLook w:firstColumn="1" w:firstRow="1" w:lastColumn="0" w:lastRow="0" w:noHBand="0" w:noVBand="1" w:val="04A0"/>
        <w:tblBorders>
          <w:top w:val="single" w:sz="4" w:space="0" w:color="9AA8B8"/>
          <w:left w:val="single" w:sz="4" w:space="0" w:color="9AA8B8"/>
          <w:bottom w:val="single" w:sz="4" w:space="0" w:color="9AA8B8"/>
          <w:right w:val="single" w:sz="4" w:space="0" w:color="9AA8B8"/>
          <w:insideH w:val="single" w:sz="4" w:space="0" w:color="9AA8B8"/>
          <w:insideV w:val="single" w:sz="4" w:space="0" w:color="9AA8B8"/>
        </w:tblBorders>
      </w:tblPr>
      <w:tblGrid>
        <w:gridCol w:w="15478"/>
      </w:tblGrid>
      <w:tr>
        <w:tc>
          <w:tcPr>
            <w:tcW w:type="dxa" w:w="15478"/>
            <w:shd w:fill="F2F5F8"/>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STATUS FRAME. The appendix registries preserve the authority relation Authority(T2-RU v1.0) &gt; Authority(T2-EN). A registry row records a source object, obligation, formula, locator, or release check; it does not strengthen its mathematical or physical status. truth_layer_promotion=0; independent EXT-RUN and EMP-OBS remain absent.</w:t>
            </w:r>
          </w:p>
        </w:tc>
        <w:trPr>
          <w:tblHeader/>
        </w:trPr>
      </w:tr>
    </w:tbl>
    <w:tbl>
      <w:tblPr>
        <w:tblW w:type="auto" w:w="0"/>
        <w:jc w:val="center"/>
        <w:tblLayout w:type="fixed"/>
        <w:tblLook w:firstColumn="1" w:firstRow="1" w:lastColumn="0" w:lastRow="0" w:noHBand="0" w:noVBand="1" w:val="04A0"/>
        <w:tblBorders>
          <w:top w:val="single" w:sz="4" w:space="0" w:color="9AA8B8"/>
          <w:left w:val="single" w:sz="4" w:space="0" w:color="9AA8B8"/>
          <w:bottom w:val="single" w:sz="4" w:space="0" w:color="9AA8B8"/>
          <w:right w:val="single" w:sz="4" w:space="0" w:color="9AA8B8"/>
          <w:insideH w:val="single" w:sz="4" w:space="0" w:color="9AA8B8"/>
          <w:insideV w:val="single" w:sz="4" w:space="0" w:color="9AA8B8"/>
        </w:tblBorders>
      </w:tblPr>
      <w:tblGrid>
        <w:gridCol w:w="3096"/>
        <w:gridCol w:w="3096"/>
        <w:gridCol w:w="3096"/>
        <w:gridCol w:w="3096"/>
        <w:gridCol w:w="3096"/>
      </w:tblGrid>
      <w:tr>
        <w:trPr>
          <w:tblHeader w:val="true"/>
        </w:trPr>
        <w:tc>
          <w:tcPr>
            <w:tcW w:type="dxa" w:w="1417"/>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PO</w:t>
            </w:r>
          </w:p>
        </w:tc>
        <w:tc>
          <w:tcPr>
            <w:tcW w:type="dxa" w:w="5670"/>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Description</w:t>
            </w:r>
          </w:p>
        </w:tc>
        <w:tc>
          <w:tcPr>
            <w:tcW w:type="dxa" w:w="1530"/>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Source status</w:t>
            </w:r>
          </w:p>
        </w:tc>
        <w:tc>
          <w:tcPr>
            <w:tcW w:type="dxa" w:w="1701"/>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Normalized class</w:t>
            </w:r>
          </w:p>
        </w:tc>
        <w:tc>
          <w:tcPr>
            <w:tcW w:type="dxa" w:w="5159"/>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Evidence / next step</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T2-PO-001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The definitions and objects of the chapter are typed and supplied with Dom/Cod.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Definition/typing dossier | Collect the canonical inputs and verify collisions. | Ch. 1</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T2-PO-002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The main transition of the chapter is proved or explicitly retained as conditional together with a counterexample.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Proof or countermodel dossier | Construct a proof, a negative model, and a closure criterion. | Ch. 1</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T2-PO-003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Complete NOTATION LEDGER, types and reservation symbols.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§10.1-10.3 | Maintain this item for every new chapter.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T2-PO-004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Collisions ⊙/⋆/⋆_Hdg/δ/δ_min eliminated.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Lemma 2.1; counterexample 2.1-2.2 | Automatic notation audit in the appendix.</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T2-PO-005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Objects, morphisms, identities and composition NAPG_q defined.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Def. 3.1-3.2; Thm. 3.1 | Extend to topological frames.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T2-PO-006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Constructed countermodels to M1-M4 and Dom.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Counterexamples 3.1-3.6 | Add machine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T2-PO-007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Graded bilinear algebra and formal language typed.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 ALG</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§12.1-12.3 | Analytic norms are treated separately.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T2-PO-008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The main transition of the chapter is proved or explicitly retained as conditional together with a counterexample.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Proof or countermodel dossier | Construct a proof, a negative model, and a closure criterion. | Ch. 4</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T2-PO-009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General bridge Ass_⊙ ↔ curvature/Hol_D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first specify geometric connection and types both carriers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T2-PO-010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Natural associator invariant/β_Ass.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Counterexample 4.5 | tom2_v0_3; do not conflate it with O_B.</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T2-PO-011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Typed nuclei, center and J_Ass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transfer to the final Chapter 5</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T2-PO-012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Universality associative factor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add a categorical formulation as a left adjoint functor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T2-PO-013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No-go for diagonal encoding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computational tests on the octonions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T2-PO-014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Complete R⋆R-certificate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char≠2,3; investigate characteristics 2 and 3</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T2-PO-015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Determinantal horizon transition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implement a symbolic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T2-PO-016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Complete exactness representable NAPG-functor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Preserve type discipline when extending the category.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T2-PO-017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Naturality Adm and Valid(D)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Formalize the classes of admissible test morphisms.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T2-PO-018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Global existence Spec_R/Gamma_R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Choose concrete spectrum and structural sheaf for target podkategorii.</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T2-PO-019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Reconstruction unit/counit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Construct eta and epsilon on the explicit models A2, M2, and the octonion layer.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T2-PO-020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Faithfulness point-set spectrum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CLOSED-NEG</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Preserve the no-go result as a mandatory countertest.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T2-PO-021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Projective Reper atlas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CLOSED-FORMAL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Construct a nontrivial atlas with several charts.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T2-PO-022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Non-PGL chart counterexample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Include in the automatic test TEST-NONPGL-07.</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T2-PO-023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Conjugacy bridge algebra-geometry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Define the geometric structure maps of Chapters 7-9.</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T2-PO-024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Dual horizon equality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after T2-PO-023 on an explicit family.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T2-PO-025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Banach/Hilbert completion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Transfer to the analytic layer after Chapter 11.</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T2-PO-026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Independent predictive certificate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Preregister a computational test without physical claims.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T2-PO-027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Topology/smoothness Aut_NAPG(F) for model fibres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construct for A2, M2, and the octonion layer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T2-PO-028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Effective descent category NAPG_q</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specify a stack/pseudofunctor and prove effectiveness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T2-PO-029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Cocycle gluing theorem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7.9</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T2-PO-030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No-go for nonassociative composition transition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7.4</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T2-PO-031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Descent of the Operation and J_Ass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7.12</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T2-PO-032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Global λ</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7.6</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T2-PO-033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Descent Evidence-D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formalize the provenance category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T2-PO-034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Descent of the Hodge Star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7.17</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T2-PO-035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Central lifting obstruction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CLOSED/LOCAL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7.19; choose concrete Z</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T2-PO-036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Relation 𝒪_B with Čech obstruction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do not identify them; construct a natural transformation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T2-PO-037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Section obstruction tower for predictive bundle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specify the fibre F and pi_k(F)</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T2-PO-038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Homotopy Invariance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7.23</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T2-PO-039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Computational atlas/cocycle certificate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implement TEST-ATLAS-01 through TEST-HASH-14</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T2-PO-040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Independent global prediction run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after the domain adapter; do not promote the status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T2-PO-041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Comparison curve/dual-number/derivation tangent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CLOSED/LOCAL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8.2; globalize over the atlas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T2-PO-042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Cotangent module NAPG outside commutative envelope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specify a universal bimodule differential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T2-PO-043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Formula linearization Ass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8.12</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T2-PO-044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Gauge complex and Der-stabilizer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8.15</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T2-PO-045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Finite-projective tangent/cotangent duality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verify on models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T2-PO-046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Tangent cone for spaces NAPG-operations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compute the initial ideals for A2/M2/octonions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T2-PO-047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Second-order obstruction map</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link Q with Theta_min and O_B</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T2-PO-048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Integrability H²_red classes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construct formal arcs and a versal model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T2-PO-049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Smooth locus quotient NAPG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verify free/proper action or provide a stacky replacement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T2-PO-050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Differential/Hessian λ</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CLOSED/LOCAL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8.28 and 8.31</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T2-PO-051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Linearization horizon Δ_lin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DEFINED/OPEN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compute on parametric models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T2-PO-052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Tangent-safe predictive certificate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implement TEST-TAN-01 through TEST-HASH-14</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T2-PO-053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Independent domain run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only after the adapter and preregistration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T2-PO-054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Strict category D-admissible paths and existence transport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partially 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T2-PO-055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Associativity transport composition and no-go Hol=Ass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T2-PO-056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D-Ambrose-Singer for restricted system paths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OPEN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T2-PO-057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Equivalence C_∇=0 and preservation μ transport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T2-PO-058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Formula ∇Ass through C_∇</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T2-PO-059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Definition and natural K_Ass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THM/DEF-A</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 in typed sector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T2-PO-060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Existence Akivis/Sabinin-bridge β</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not 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T2-PO-061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Independent β from charts and gauges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not 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T2-PO-062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Octonionic compatible model</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MODEL/THM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T2-PO-063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Universal-equality no-go</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T2-PO-064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Completeness finite certificate G_N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OPEN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T2-PO-065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Local constancy rank G_N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T2-PO-066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Common-PGL₂ invariance of λ</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T2-PO-067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Relative Reper connection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DEF-A/OPEN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defined; realization remains open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T2-PO-068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Holonomy-associator-safe theorem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formulated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T2-PO-069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Independent domain run HOL-ASS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not executed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T2-PO-070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Typed sheaf Ω_N^• and partial product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DEF-A</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SPECIFIED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defined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T2-PO-071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Leibniz defect and graded derivation package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T2-PO-072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Closedness derivations and d² as even derivation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T2-PO-073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Associator differential identity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T2-PO-074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No-go: Leibniz not implies d²=0</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T2-PO-075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Sheaf-locality and support property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 in sheaf sector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T2-PO-076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Gluing theorem for local d_i</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T2-PO-077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Čech obstruction class from K_ij</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OPEN coefficient sheaf</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T2-PO-078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Mixed internal/E compatibility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not 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T2-PO-079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Cert_E and Π_E well-definedness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not 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T2-PO-080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Hodge codifferential and sign convention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 locally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T2-PO-081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Hodge decomposition on strata</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analytic blockers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T2-PO-082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Differential Reper certificate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DEF-A/COMP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specified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T2-PO-083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Rank constancy and Δ_diff</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 in the finite analytic sector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T2-PO-084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Differential-safe predictive theorem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formulated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T2-PO-085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Banach/Hilbert extension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not constructed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T2-PO-086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Independent run DIFF-NAPG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not executed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T2-PO-087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Typed C_min and nilpotency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§84; F077-F078</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T2-PO-088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H²=ker Ψ and H³=coker Ψ</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12.2</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T2-PO-089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Natural exact sequence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12.3</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T2-PO-090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Functoriality C_min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12.4</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T2-PO-091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Natural κ:O_B≅H³</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12.5</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T2-PO-092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Criterion lift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12.6</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T2-PO-093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H²-torsor lifts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12.7</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T2-PO-094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Universal chain-map property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12.8 | existence external J²,J³ separately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T2-PO-095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Field base-change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12.9 | ring non-flat base-change not covered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T2-PO-096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Block-sum additivity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12.10 | mixed blocks open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T2-PO-097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Residual and minimal-norm lift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12.11 | are required norms/convention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T2-PO-098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Obstruction bundle constant rank</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12.12 | infinite-dimensional cases open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T2-PO-099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Stable zone NO-LIFT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12.14 | requires certified bounds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T2-PO-100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Main predictive theorem v0.9</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12.15 | H1-H8</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T2-PO-101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Higher obstructions after C_min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Chapter 16 | is required obstruction tower / MC-package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T2-PO-102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External E-bridge Π_E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Next assembly | B1-B8</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T2-PO-103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Banach/Hilbert Fredholm-version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 image, complemented kernels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T2-PO-104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Independent domain run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data and preregistration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T2-PO-105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Physical interpretation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PHY-HYP/OPEN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Volume III | independent verification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T2-PO-106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 is complex</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THM/INPUT</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§101.1 | B1</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T2-PO-107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J is chain map</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THM/INPUT</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§101.2 | B2</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T2-PO-108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Criterion well-definedness Π_E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13.1</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T2-PO-109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Natural Π_E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 under B3-B5</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13.2 | B3-B5</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T2-PO-110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One-sided detection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13.3</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T2-PO-111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Reverse detection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13.4 | injectivity B6</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T2-PO-112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Mapping cone and exact sequence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13.5</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T2-PO-113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Blind/Excess defects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§104.2</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T2-PO-114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Chain-homotopy invariance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13.6</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T2-PO-115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Category external implement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THM/DEF-A</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13.7</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T2-PO-116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Canonical external class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§106 | quasi-isomorphic realization category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T2-PO-117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Stable reverse detection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13.8 | norm/basis ledger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T2-PO-118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Parametric external horizon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§108 | constant ranks/bounds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T2-PO-119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Stable external obstruction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13.10 | ε_E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T2-PO-120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Main predictive theorem v0.10</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13.11 | B1-B8 + previous blockers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T2-PO-121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Associator β_Ass-bridge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§110 | B7</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T2-PO-122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Physical reduction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PHY-HYP/OPEN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Volume III | B8 + data</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T2-PO-123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Banach/Hilbert external layer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 range/Fredholm</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T2-PO-124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Independent domain run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preregistration/data</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T2-PO-125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Machine-verifiable EXT-E certificate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E-01-E-16 | implementation audit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T2-PO-126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correctness P(O_B) on O_B\{0}</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T2-PO-127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partial functoriality P(f)</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T2-PO-128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no-go natural choice representative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T2-PO-129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exact information-loss ledger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T2-PO-130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spherical/oriented model</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 finite-dim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T2-PO-131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projective metric stability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 local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T2-PO-132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homogeneity criterion for invariant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T2-PO-133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Whitney (a) for rank strata</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 model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T2-PO-134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Whitney (b) for orbit strata</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 model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T2-PO-135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frontier/local finiteness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 model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T2-PO-136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positive projectivization order cone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T2-PO-137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Fano local-to-global no-go</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T2-PO-138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effective descent global carrier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T2-PO-139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projective horizon construction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 finite family</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T2-PO-140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profile constancy theorem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 under H1-H8</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T2-PO-141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canonical χ_λ bridge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T2-PO-142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interval-certified distance to Δ_proj</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 computation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T2-PO-143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Banach projective carrier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T2-PO-144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independent domain run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T2-PO-145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physical reduction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 / Volume III</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T2-PO-146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Hilbert-complex domains and closedness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operator specification (15.1)</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T2-PO-147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weak Hodge decomposition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CLOSED/CL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Hilbert-complex</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T2-PO-148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strong Hodge decomposition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closed-range hypothesis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T2-PO-149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harmonic = reduced cohomology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CLOSED/CL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orthogonal decomposition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T2-PO-150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ordinary cohomology = harmonic</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ran d closed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T2-PO-151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Poincare estimate and spectral gap</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self-adjoint closed-range sector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T2-PO-152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Green operator and lift estimate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uniform gap</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T2-PO-153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elliptic symbol theorem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CLOSED/CL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exact symbol sequence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T2-PO-154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Laplace-type identification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model-specific principal symbol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T2-PO-155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absolute/relative boundary realization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CLOSED/CL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smooth compact boundary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T2-PO-156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general NAPG boundary Fredholmness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Lopatinski-Shapiro / APS data</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T2-PO-157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stratified interface domain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transmission maps required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T2-PO-158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Fredholm index constancy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CLOSED/CL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continuous Fredholm family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T2-PO-159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compact resolvent on NAPG strata</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compactness and ideal BC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T2-PO-160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harmonic residual formula</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closed range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T2-PO-161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spectral projector stability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norm-resolvent continuity and gap</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T2-PO-162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analytic obstruction bundle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constant harmonic rank</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T2-PO-163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Hodge-Reper bridge chi_H</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homogeneous functionals and pole audit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T2-PO-164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Cheeger-type singular Hodge sector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stratified pseudomanifold hypotheses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T2-PO-165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mezzoperversity / ideal BC choice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domain classification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T2-PO-166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uniform interval spectral certification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validated eigensolver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T2-PO-167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compatibility with Pi_E and Blind_E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B1-B6</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T2-PO-168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compatibility with beta_Ass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separate chain bridge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T2-PO-169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independent domain run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no EXT-RUN supplied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T2-PO-170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Hodge-Fredholm predictive theorem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H1-H12 and certificate HOD-AN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T2-PO-171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Define Art_K and base-change for partial NAPG-operations.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CLOSED-FD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Finite-dimensional typed sector.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T2-PO-172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groupoid-valued Def_N, preserves D/Dom.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Is required complete morphism specification.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T2-PO-173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small-extension obstruction class.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Follows from CTRL-16.1.</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T2-PO-174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lift torsor H_N^2⊗I.</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Complete obstruction theory.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T2-PO-175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Identifi infinitesimal automorphisms with H_N^1.</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Gauge completeness.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T2-PO-176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controlling filtered L_infinity algebra NAPG.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Main algebraic blocker.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T2-PO-177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Verify Schlessinger H1.</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Fiber-product lifting.</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T2-PO-178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Verify Schlessinger H2.</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Dual-number compatibility.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T2-PO-179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H3 finite tangent.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COND-FD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Fredholm/finite sector.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T2-PO-180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Verify H4 or explicitly ABSTAIN from universality.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Automorphism-sensitive.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T2-PO-181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Align shift g=C[1] and derived tangent degrees.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Fixed convention.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T2-PO-182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compatibility bracket maps with domains.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Unbounded/partial maps.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T2-PO-183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Hodge contraction p,i,h.</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COND-HF</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Relies on v0.12.</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T2-PO-184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homotopy-transfer convergence.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Uniform multilinear estimates.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T2-PO-185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Kuranishi recursion.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Contraction margin m_K&gt;0.</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T2-PO-186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MC iff K=0 in selected neighborhood.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Gauge and convergence.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T2-PO-187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Compute κ_2,κ_3 on models A_2.</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Are required structural constants.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T2-PO-188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miniversal local algebra.</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After T2-PO-176/185.</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T2-PO-189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independence to right-equivalence.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Change metric/splitting.</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T2-PO-190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Classify stabilizer strata.</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Stack-level data.</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T2-PO-191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Define derived formal NAPG problem.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Nilcomplete/infinitesimal cohesive.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T2-PO-192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ModTriv(I) certificate.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Parameter family data.</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T2-PO-193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Certify interval bound for ||K(x)||.</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Validated numerics.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T2-PO-194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Align Kuranishi carrier with Π_E and β_Ass.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Bridge theorem.</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T2-PO-195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Perform independent moduli run.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OPEN-IND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External code and data.</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T2-PO-196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Preserve physical status lock.</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truth_layer_promotion=0.</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T2-PO-197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finite admissible stratification moduli carrier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T2-PO-198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Verify frontier condition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T2-PO-199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Whitney (a)</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T2-PO-200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Whitney (b) or substituting control package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T2-PO-201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StratTriv outside discriminant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T2-PO-202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Define wall equations and coorientation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MODEL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T2-PO-203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chamber constancy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 under ModTriv</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T2-PO-204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Typed wall operator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T2-PO-205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branch normalization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T2-PO-206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Certify multiplicities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T2-PO-207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ramification locus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T2-PO-208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Compute branch monodromy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T2-PO-209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homotopy invariance continuation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 under a cover</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T2-PO-210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Verify no-global-label criterion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T2-PO-211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Distinguish wall and bifurcation loci</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THM/EX</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T2-PO-212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reduced bifurcation normal form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MODEL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T2-PO-213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Verify path-independence or braid relations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T2-PO-214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transport for transition invariant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T2-PO-215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Certify level stable S0-S3</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T2-PO-216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Align λ with branch transport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T2-PO-217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Align Δ_WB with Δ_mod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T2-PO-218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Interval certify distance to wall</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T2-PO-219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Align wall layer with Π_E and β_Ass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T2-PO-220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independent domain wall-run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T2-PO-221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Verify physical reduction separately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PHY-HYP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PHY-HYP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T2-PO-222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Freez WC-MON certificate and hashes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in v0.15 or specialized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T2-PO-223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Define 2-category local NAPG-Kuranishi charts.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Complete specification objects, 1- and 2-morphism.</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T2-PO-224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coverage footprints.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MODEL-CLOSED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Finite atlas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T2-PO-225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Typed coordinate changes.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MODEL-CLOSED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Check (18.4) on each models.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T2-PO-226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triple 2-cocycle.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Explicit αᵢⱼₖ.</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T2-PO-227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Verify quadruple coherence.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Pentagon/higher homotopy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T2-PO-228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Classify stabilizers.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Stacky local models.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T2-PO-229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Morita/presentation invariance.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Equivalence of atlases.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T2-PO-230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global derived enhancement.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Controlling ∞/L∞-model.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T2-PO-231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virtual tangent complex.</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MODEL-CLOSED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Local three-term sector.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T2-PO-232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existence perfect obstruction theory.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BF-type morphism E•→L_𝔐.</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T2-PO-233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Record Tor-amplitude.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Check perfectness.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T2-PO-234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obstruction sheaf and cone.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Global POT/derived enhancement.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T2-PO-235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Glue local obstruction theories.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Homotopy-coherent quasi-isomorphisms.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T2-PO-236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Compute descent obstruction.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Central band or full totalization.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T2-PO-237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preserves perfectness under descent.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Derived descent theorem in selected category.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T2-PO-238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determinant/orientation data.</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Orientation line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T2-PO-239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branch stack.</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Normalization/étale sector.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T2-PO-240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Compute monodromy.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MODEL-CLOSED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Finite branch cover.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T2-PO-241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Reper descent.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Compatibility four points.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T2-PO-242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Evidence-D descent.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Provenance functor and cocycle.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T2-PO-243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Dom descent.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Compatibility admissible domains.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T2-PO-244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global λ.</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Projective transitions and pole exclusion.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T2-PO-245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Align global carrier with Π_E.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Natural transformation on stack.</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T2-PO-246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existence PredCar_N.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Close PO-223-245.</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T2-PO-247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invariant profile theorem.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Local triviality + transport.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T2-PO-248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Record local-to-global no-go.</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18.5.</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T2-PO-249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global horizon theorem.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Uniform family hypotheses.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T2-PO-250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interval/numerical descent certificate.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Validated numerics.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T2-PO-251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Perform independent STACK-RUN.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Independent code, data and hashes.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T2-PO-252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Block automatic physical export.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truth_layer_promotion=0; B8.</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T2-PO-253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Record cycle/homology carrier for virtual class.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CLOSED/CL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Chow/homology specification.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T2-PO-254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global virtual fundamental class NAPG.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Global POT + intrinsic cone.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T2-PO-255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Define virtual dimension and grading.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CLOSED/CL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Rank/Euler characteristic.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T2-PO-256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properness or compact-support substitute.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Domain-specific compactness theorem.</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T2-PO-257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Typed insertions and degree matching.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CLOSED/CL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Formulas (19.5)-(19.6).</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T2-PO-258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base-change compatibility.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Relative POT and refined Gysin.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T2-PO-259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deformation invariance.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19.3 hypotheses.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T2-PO-260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equivariant virtual localization.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T-action + equivariant POT.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T2-PO-261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Certify virtual normal Euler classes.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No zero denominators in localization.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T2-PO-262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Record orientation/determinant data.</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Global compatible orientation.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T2-PO-263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Account for stabilizer weights.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Stack integration convention.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T2-PO-264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Align VFC with PredCar v0.15.</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Compatibility diagram.</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T2-PO-265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Define VirtCert and Reper_vir.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MODEL-CLOSED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Formulas (19.16)-(19.17).</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T2-PO-266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canonical λ-bridge to virtual data.</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Is required χ_vir; automatic inference no.</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T2-PO-267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additivity-probability no-go.</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19.4.</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T2-PO-268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Specify space outcomes Ω and σ-algebra.</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OPEN/EMP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Domain-specific event protocol.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T2-PO-269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Specify/estimate probability measure P.</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OPEN/EMP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Sampling/model assumptions.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T2-PO-270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Record link model g_θ.</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OPEN/EMP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Pre-registered functional form.</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T2-PO-271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or verify calibration.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OPEN/EMP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Frozen calibration protocol.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T2-PO-272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Verify discrimination separately.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OPEN/EMP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Pre-specified metric.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T2-PO-273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Verify transportability/domain shift.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OPEN/EMP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External target domain.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T2-PO-274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Execute independent external run.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OPEN/EMP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EXT-RUN with frozen code/data.</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T2-PO-275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Δ_VFC.</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MODEL-CLOSED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Horizon ledger (19.20).</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T2-PO-276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Δ_prob.</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MODEL-CLOSED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Horizon ledger (19.21).</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T2-PO-277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virtual-profile constancy.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19.6 H1-H8.</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T2-PO-278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Verify wall-crossing jump formula.</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Domain-specific comparison.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T2-PO-279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interval VFC computation.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Exact arithmetic or certified bounds.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T2-PO-280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Freez VFC-ENUM-PROB certificate.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VFC-01-VFC-30 and hashes.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T2-PO-281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Block automatic physical/probability export.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Probability firewall; B8.</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T2-PO-282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Close main theorem v0.16.</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All mathematical and empirical bridges.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T2-PO-283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Define category carrier general NAPG.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Concrete stable/dg/∞ category.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T2-PO-284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functorial K₀.</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Exact/triangulated structure and naturality.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T2-PO-285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tensor compatibility decategorification.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Monoidal enhancement.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T2-PO-286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Record motivic coefficient ring.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MODEL-CLOSED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Ring/localization/completion passport.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T2-PO-287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motivic measure NAPG.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Scissors/product theorem.</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T2-PO-288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Verify 𝕃^{1/2} convention.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Orientation and coefficient extension.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T2-PO-289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motivic vanishing cycles.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Critical charts + orientation data.</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T2-PO-290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chart independence.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d-critical/derived comparison theorem.</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T2-PO-291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realization functors.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Hodge/weight/ℓ-adic realization.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T2-PO-292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Maintain information-loss ledger.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CLOSED/PROTO</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MOT-15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T2-PO-293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Define refined invariant.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MODEL-CLOSED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Grading, sign, shift, duality.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T2-PO-294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CoHA_NAPG.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Extension stacks and pull-push.</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T2-PO-295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associativity CoHA.</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Correspondence composition.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T2-PO-296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BPS-cohomology carrier.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PBW/integrality package.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T2-PO-297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Record grading monoid Γ.</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CLOSED/TYPE</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Positive cone and support.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T2-PO-298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Define completed series ring.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CLOSED/TYPE</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Filtration and completeness.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T2-PO-299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Verify PExp/PLog.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λ-ring/Adams hypotheses.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T2-PO-300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quantum-torus pairing.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Skew form and ordering.</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T2-PO-301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wall-crossing factorization.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Stability structure and transport.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T2-PO-302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Classify formal/analytic status series.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MODEL-CLOSED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Convergence ledger.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T2-PO-303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no-time theorem.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20.4.</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T2-PO-304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Specify time map τ.</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OPEN-DOMAIN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External temporal semantics.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T2-PO-305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Specify state space 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OPEN-DOMAIN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Domain-specific states.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T2-PO-306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evolution family U(t,s).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Cocycle and regularity.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T2-PO-307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Construct generator/path kernel.</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Semigroup or nonautonomous theorem.</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T2-PO-308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Prove NAPG-compatibility evolution.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Preservation of D/Dom/⊙.</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T2-PO-309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Specify observation map.</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OPEN-DOMAIN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Operational measurement model.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T2-PO-310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Perform calibration/validation.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OPEN-EMP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Frozen protocol and data.</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T2-PO-311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Perform independent EXT-RUN.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OPEN-EMP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External preregistered run.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T2-PO-312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Align λ and CGI_ref.</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Weight/source sensitivity certificate.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T2-PO-313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Implement MOT-REF-SER-DYN code.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Exact/interval executable package.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T2-PO-314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Close main theorem v0.17.</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All categorified, series, dynamic and empirical bridges.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T2-PO-315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Typed temporal carrier and order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Definition 21.1</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T2-PO-316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Typed state bundle and evolution domains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(21.2)</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T2-PO-317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Nonlinear semigroup axioms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(21.3)</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T2-PO-318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m-accretivity specific NAPG-generator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Is required model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T2-PO-319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Crandall-Liggett generation for selected A</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After PO-318</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T2-PO-320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Invariance admissible sector under resolvent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NAPG-specific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T2-PO-321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Non-autonomous Kato stability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Family A(t)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T2-PO-322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Transport-domain compatibility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Check composition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T2-PO-323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Koopman functoriality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(21.6)</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T2-PO-324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Perron-Frobenius pushforward and duality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(21.7)-(21.8)</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T2-PO-325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Positivity and preserves mass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Depends from regime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T2-PO-326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Lasota-Yorke-type estimate for RBD/NAPG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New estimate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T2-PO-327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Markov-kernel measurability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Domain model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T2-PO-328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Chapman-Kolmogorov consistency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(21.9)</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T2-PO-329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Kolmogorov path-space extension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Standard Borel sector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T2-PO-330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Tightness/regularity path law</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Moment estimates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T2-PO-331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Deterministic orbit carrier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(21.11)</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T2-PO-332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Volterra-kernel existence/uniqueness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Kernel-specific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T2-PO-333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Resolvent memory kernel</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Analytic package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T2-PO-334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Non-anticipation theorem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21.4</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T2-PO-335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Filtration and adaptedness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Probability bridge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T2-PO-336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Observability of Reper state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Obs-specific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T2-PO-337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Parameter identifiability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Data-specific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T2-PO-338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Reper trajectory transport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NAPG-specific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T2-PO-339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Global definition of λ_t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Projective atlas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T2-PO-340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Hitting-time well-posedness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Path law required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T2-PO-341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RBD transfer operator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Software/data model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T2-PO-342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Generator inference error bound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Independent data</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T2-PO-343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Perturbation/resolvent convergence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Model-specific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T2-PO-344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Dynamic residual weights W_time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Sensitivity analysis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T2-PO-345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Temporal-profile stability theorem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H1-H9</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T2-PO-346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Snapshot no-go</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21.6</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T2-PO-347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Empirical calibration and EXT-RUN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Independent run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T2-PO-348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Physical/causal interpretation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Separate bridge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T2-PO-349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Stochastic basis and usual conditions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Definition 22.1</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T2-PO-350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Markov kernel measurability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State/domain 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T2-PO-351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Semigroup and conservativity tests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STOCH-05-08</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T2-PO-352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Feller strong continuity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Concrete model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T2-PO-353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Generator domain and core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Model-specific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T2-PO-354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Positive maximum principle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Model-specific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T2-PO-355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Resolvent identities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After PO-353</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T2-PO-356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Martingale problem formulation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(22.5)</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T2-PO-357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Existence martingale problem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Concrete generator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T2-PO-358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Uniqueness/well-posedness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Concrete generator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T2-PO-359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Strong Markov consequence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After PO-357-358</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T2-PO-360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SDE-to-generator identification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Regular diffusion sector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T2-PO-361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Weak/strong solution hierarchy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Type specification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T2-PO-362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Girsanov integrability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Model-specific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T2-PO-363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Measure-change no-intervention theorem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22.2</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T2-PO-364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Stopping-time measurability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Target/path regularity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T2-PO-365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Optional sampling assumptions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Stopping rule 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T2-PO-366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Naive optional-stopping counterexample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Section 303</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T2-PO-367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Hitting probability well-posedness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Boundary problem</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T2-PO-368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Barrier theorem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22.3</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T2-PO-369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Computable barrier construction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SOS/PDE/interval method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T2-PO-370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Robust controlled barrier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(22.13)</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T2-PO-371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Controlled Markov family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Control model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T2-PO-372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Dynamic programming principle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Policy/compactness package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T2-PO-373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HJB solution and verification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Model-specific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T2-PO-374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Forecast/control/intervention typing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Section 310</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T2-PO-375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Observational-interventional no-go</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22.4</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T2-PO-376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Structural intervention kernel</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SCM/domain 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T2-PO-377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Sequential exchangeability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Evidence-D required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T2-PO-378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Positivity and consistency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Evidence-D required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T2-PO-379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g-formula identification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After PO-377-378</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T2-PO-380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Counterfactual carrier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Structural model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T2-PO-381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Stochastic Reper adaptedness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NAPG-specific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T2-PO-382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λ Itô formula and pole control</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Smooth chart sector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T2-PO-383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Harmonic-locus stochastic invariance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(22.21)</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T2-PO-384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Martingale residual external test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Independent data</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T2-PO-385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Main safe theorem v0.19</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All H1-H12</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T2-PO-386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Physical/causal export and EXT-RUN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Independent bridge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T2-PO-387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State/path carrier and topology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Domain-specific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T2-PO-388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Speed a_n and law family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Model-specific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T2-PO-389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LDP lower bound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Concrete family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T2-PO-390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LDP upper bound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Concrete family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T2-PO-391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Exponential tightness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Path-space compactness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T2-PO-392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Good rate function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Level-set compactness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T2-PO-393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Contraction map continuity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Away from poles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T2-PO-394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λ pole-set repair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Projective graph/exponential negligibility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T2-PO-395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Laplace principle equivalence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Polish-space package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T2-PO-396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Gärtner-Ellis differentiability/steepness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SCGF-specific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T2-PO-397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Sanov empirical-measure layer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IID sector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T2-PO-398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Freidlin-Wentzell action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Concrete diffusion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T2-PO-399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Degenerate action/control representation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Controllability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T2-PO-400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Quasipotential existence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Compactness/minimizer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T2-PO-401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Instanton uniqueness or multiplicity ledger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Numerical/analytic</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T2-PO-402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Donsker-Varadhan functional</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Ergodic Markov model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T2-PO-403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Feynman-Kac semigroup realization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Exponential integrability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T2-PO-404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Risk-sensitive nonlinear generator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Domain of exponential transform</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T2-PO-405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Principal eigenvalue limit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Spectral/ergodic package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T2-PO-406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Risk-sensitive HJB verification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Controlled model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T2-PO-407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Asymptotic-probability firewall</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23.2</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T2-PO-408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Importance-sampling unbiasedness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Proposal and likelihood ratio</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T2-PO-409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Importance-sampling efficiency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Second-moment bound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T2-PO-410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Splitting estimator validity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Level/adaptation model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T2-PO-411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KL ambiguity duality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Orientation/support assumptions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T2-PO-412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Wasserstein ambiguity duality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Growth/duality assumptions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T2-PO-413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Finite-sample ambiguity coverage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Concentration theorem</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T2-PO-414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Coverage-to-risk theorem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23.3</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T2-PO-415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Exact zero-count binomial bound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Formula (23.32)</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T2-PO-416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Dependence correction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Cluster/mixing/effective sample size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T2-PO-417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Sequential rare-event validity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E-process/confidence sequence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T2-PO-418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Finite-n LDP remainder</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Model-specific sharp asymptotics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T2-PO-419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Tail non-identifiability theorem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Theorem 23.4</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T2-PO-420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Rate-function numerical certificate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Interval/optimization solver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T2-PO-421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Robust rare-event Reper certificate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Cert_LD schema</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T2-PO-422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Large-deviation horizons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Definitions (23.37)-(23.40)</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T2-PO-423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Main safety theorem v0.20</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H1-H14</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T2-PO-424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Physical interpretation bridge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Separate reduction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T2-PO-425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Independent rare-event EXT-RUN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Preregistered external data</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T2-PO-426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Cross-domain transportability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Domain adapters and evidence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T2-PO-427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Category CertKLT formaliz in selected foundational system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provide machine-verif definition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T2-PO-428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Result semantics align with partial charts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THM-text</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formalize cases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T2-PO-429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Budget transformers form associative system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verify each type budget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T2-PO-430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Homogeneous Λ compatib with all Reper-morphism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naturality proof</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T2-PO-431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Harmonic locus N+Q=0 invariant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THM-local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global carrier proof</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T2-PO-432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Degenerate locus [0:0] correct is blocked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property-based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T2-PO-433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Unit/type adapters certified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adapter library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T2-PO-434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Affine deterministic bound implement interval arithmetic</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exact test suite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T2-PO-435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Condition numbers comput/are bounded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domain-specific bounds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T2-PO-436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α-ledger protected from post-selection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pre-registration mechanism</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T2-PO-437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e-process merge uses common zero model</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filtration audit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T2-PO-438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Robust set pushforward correct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metric-specific proof</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T2-PO-439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Shift radius has coverage status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external calibration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T2-PO-440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Status lattice and meet machine-readable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schema +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T2-PO-441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PHY-HYP separated from mathematical status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release policy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T2-PO-442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Ingest distinguishes copies and version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hash/content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T2-PO-443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D/Dom blockers not are scalarized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negative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T2-PO-444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NAPG module exports complete invariants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canonical invariant set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T2-PO-445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Geometry module handles higher coherence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2-categorical implementation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T2-PO-446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Obstruction quotient independent of representative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general proof/finite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T2-PO-447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Π_E ledger enforces B1-B8</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gate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T2-PO-448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Global descent certificate compositional</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Čech/stack proof</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T2-PO-449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Kuranishi charts version-compatible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coordinate-change validator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T2-PO-450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Virtual orientation data audited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orientation package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T2-PO-451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Refined invariant never auto-cast to probability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type firewall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T2-PO-452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Evolution module proves existence domain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generator-specific proof</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T2-PO-453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Path laws preserve nonanticipation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filtration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T2-PO-454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Martingale core/uniqueness status exported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solver/theorem integration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T2-PO-455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Optional stopping assumptions explicit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ledger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T2-PO-456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Causal module stores SCM equivalence class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schema + identification engine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T2-PO-457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Observational and interventional laws separated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type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T2-PO-458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LDP result stores topology/speed/rate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certificate schema</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T2-PO-459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Finite-n remainder required for finite-n claim</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release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T2-PO-460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Ambiguity coverage externally validated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calibration run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T2-PO-461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Importance weights audited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absolute-continuity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T2-PO-462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Tail assumptions machine-readable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domain ontology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T2-PO-463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External split immutable before tuning</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sealed split protocol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T2-PO-464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Leakage detector has known sensitivity</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benchmark</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T2-PO-465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Release policy matches requested Mode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cross-mode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T2-PO-466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Verdict vector schema stable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serialization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T2-PO-467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Set-valued forecast supports Pareto output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algorithm +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T2-PO-468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No canonical scalarization enforced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forbidden-field audit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T2-PO-469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ABSTAIN monotonicity implementation verified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metamorphic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T2-PO-470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FAIL witness preserved to final report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trace tests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T2-PO-471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Proof chain links stable IDs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reference integrity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T2-PO-472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Hash chain canonical serialization fixed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canonical encoding</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T2-PO-473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Nondeterministic parallel runs reproducible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deterministic reduction or interval</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T2-PO-474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Environment capture sufficient</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container lockfile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T2-PO-475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Independent verifier implemented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separate codebase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T2-PO-476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Adversarial integrated test suite complete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red-team corpus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T2-PO-477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Theorem 24.4 formally proved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Lean/Coq/Isabelle target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T2-PO-478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Completeness limits documented per domain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domain dossiers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T2-PO-479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Falsifiability matrix linked to all theorem IDs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COMP</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cross-reference audit</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T2-PO-480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EXT-RUN for F-1-F-14 executed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OPEN/PHY-HYP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independent preregistered run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T2-PO-481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Completeness register formal statements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339 numbered statements extracted; typed IDs assigned.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T2-PO-482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Elimination ambiguity bare numbers statements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44 cross-type collisions neutralized ID form T2-THM/DEF/LEM-…</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T2-PO-483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Uniqueness formula ID</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404 formula labels unique within Volume II.</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T2-PO-484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Continuity register T2-PO</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T2-PO-001-T2-PO-500 form continuous range.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T2-PO-485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Internal links theorem/formula/PO registers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In DOCX established bookmark/anchor links; PDF-check holds under conversion.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T2-PO-486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Complete bibliographic verification all external URI/DOI</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Is required separate network link-check before public derivation.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T2-PO-487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Alt text for all figures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Alt text is formed from nearest captions; portrait author described separately.</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T2-PO-488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Header rows tables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First rows tables marked as repeating header rows.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T2-PO-489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Logical hierarchy headings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CLOSED/LOCAL</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Heading 1/2 audit performed; historical direct markup title preserved as design.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T2-PO-490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Searchable text layer PDF</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 after final conversion and pdftotext-verif.</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T2-PO-491</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PDF outline and internal navigation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Clos after final conversion and verif outline/annotations.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T2-PO-492</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Absence broken external links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Is required separate online-audit on date publication.</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T2-PO-493</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Metadata author, title and version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Core properties and headers and footers synchron with v0.22.</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T2-PO-494</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Legal status lock register documents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Register not is interpreted as confirmation theorems or physical hypotheses.</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T2-PO-495</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Mathematical/physical truth-layer firewall</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truth_layer_promotion=0; F-1-F-14 and EXT-RUN not promoted.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T2-PO-496</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Register freeze-blockers</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Open and conditional obligations preserves in publication gate.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T2-PO-497</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Release manifest and rollback lineage</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source=T2-RP-v0.21; checkpoint=T2-RP-v0.22; next conditional freeze.</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T2-PO-498</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Independent external EXT-RUN</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OPEN/PHY-HYP</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OPEN</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Not executed; empirical-physical gate not passed.</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T2-PO-499</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Preservation point rollback v0.21</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CLOSED/THM</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v0.21 is preserved as a separate DOCX/PDF pair.</w:t>
            </w:r>
          </w:p>
        </w:tc>
      </w:tr>
      <w:tr>
        <w:tc>
          <w:tcPr>
            <w:tcW w:type="dxa" w:w="1417"/>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T2-PO-500</w:t>
            </w:r>
          </w:p>
        </w:tc>
        <w:tc>
          <w:tcPr>
            <w:tcW w:type="dxa" w:w="5670"/>
            <w:vAlign w:val="center"/>
            <w:tcMar>
              <w:top w:w="70" w:type="dxa"/>
              <w:start w:w="90" w:type="dxa"/>
              <w:bottom w:w="70" w:type="dxa"/>
              <w:end w:w="90" w:type="dxa"/>
            </w:tcMar>
          </w:tcPr>
          <w:p>
            <w:pPr>
              <w:spacing w:after="0" w:before="0" w:line="240" w:lineRule="auto"/>
              <w:jc w:val="left"/>
            </w:pPr>
            <w:r>
              <w:rPr>
                <w:rFonts w:ascii="Aptos" w:hAnsi="Aptos"/>
                <w:sz w:val="14"/>
              </w:rPr>
              <w:t>Decision about freez Volume II</w:t>
            </w:r>
          </w:p>
        </w:tc>
        <w:tc>
          <w:tcPr>
            <w:tcW w:type="dxa" w:w="153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COND</w:t>
            </w:r>
          </w:p>
        </w:tc>
        <w:tc>
          <w:tcPr>
            <w:tcW w:type="dxa" w:w="5159"/>
            <w:vAlign w:val="center"/>
            <w:tcMar>
              <w:top w:w="70" w:type="dxa"/>
              <w:start w:w="90" w:type="dxa"/>
              <w:bottom w:w="70" w:type="dxa"/>
              <w:end w:w="90" w:type="dxa"/>
            </w:tcMar>
          </w:tcPr>
          <w:p>
            <w:pPr>
              <w:spacing w:after="0" w:before="0" w:line="240" w:lineRule="auto"/>
              <w:jc w:val="left"/>
            </w:pPr>
            <w:r>
              <w:rPr>
                <w:rFonts w:ascii="Aptos" w:hAnsi="Aptos"/>
                <w:sz w:val="14"/>
              </w:rPr>
              <w:t>Editorial freezing is admissible; scientific and empirical completeness is not claimed.</w:t>
            </w:r>
          </w:p>
        </w:tc>
      </w:tr>
    </w:tbl>
    <w:p>
      <w:pPr>
        <w:pStyle w:val="Heading1"/>
        <w:keepNext/>
      </w:pPr>
      <w:bookmarkStart w:id="1026" w:name="T2_APP_C"/>
      <w:r>
        <w:rPr>
          <w:rFonts w:ascii="Liberation Serif" w:hAnsi="Liberation Serif"/>
          <w:b/>
          <w:color w:val="1F4E79"/>
          <w:sz w:val="32"/>
        </w:rPr>
        <w:t>Appendix T2-C. Formula Index</w:t>
      </w:r>
      <w:bookmarkEnd w:id="1026"/>
    </w:p>
    <w:p>
      <w:pPr>
        <w:spacing w:after="120"/>
      </w:pPr>
      <w:r>
        <w:rPr>
          <w:rFonts w:ascii="Liberation Serif" w:hAnsi="Liberation Serif"/>
          <w:b w:val="0"/>
          <w:sz w:val="19"/>
        </w:rPr>
        <w:t>The canonical appendix contains 404 defining formula identifiers. The sequential English ID is a derivative locator; the Russian source ID and the formula/object are preserved. Formula text is not translated by semantic conjecture.</w:t>
      </w:r>
    </w:p>
    <w:tbl>
      <w:tblPr>
        <w:tblW w:type="auto" w:w="0"/>
        <w:jc w:val="center"/>
        <w:tblLook w:firstColumn="1" w:firstRow="1" w:lastColumn="0" w:lastRow="0" w:noHBand="0" w:noVBand="1" w:val="04A0"/>
        <w:tblBorders>
          <w:top w:val="single" w:sz="4" w:space="0" w:color="9AA8B8"/>
          <w:left w:val="single" w:sz="4" w:space="0" w:color="9AA8B8"/>
          <w:bottom w:val="single" w:sz="4" w:space="0" w:color="9AA8B8"/>
          <w:right w:val="single" w:sz="4" w:space="0" w:color="9AA8B8"/>
          <w:insideH w:val="single" w:sz="4" w:space="0" w:color="9AA8B8"/>
          <w:insideV w:val="single" w:sz="4" w:space="0" w:color="9AA8B8"/>
        </w:tblBorders>
      </w:tblPr>
      <w:tblGrid>
        <w:gridCol w:w="15478"/>
      </w:tblGrid>
      <w:tr>
        <w:tc>
          <w:tcPr>
            <w:tcW w:type="dxa" w:w="15478"/>
            <w:shd w:fill="F2F5F8"/>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STATUS FRAME. The appendix registries preserve the authority relation Authority(T2-RU v1.0) &gt; Authority(T2-EN). A registry row records a source object, obligation, formula, locator, or release check; it does not strengthen its mathematical or physical status. truth_layer_promotion=0; independent EXT-RUN and EMP-OBS remain absent.</w:t>
            </w:r>
          </w:p>
        </w:tc>
        <w:trPr>
          <w:tblHeader/>
        </w:trPr>
      </w:tr>
    </w:tbl>
    <w:tbl>
      <w:tblPr>
        <w:tblW w:type="auto" w:w="0"/>
        <w:jc w:val="center"/>
        <w:tblLayout w:type="fixed"/>
        <w:tblLook w:firstColumn="1" w:firstRow="1" w:lastColumn="0" w:lastRow="0" w:noHBand="0" w:noVBand="1" w:val="04A0"/>
        <w:tblBorders>
          <w:top w:val="single" w:sz="4" w:space="0" w:color="9AA8B8"/>
          <w:left w:val="single" w:sz="4" w:space="0" w:color="9AA8B8"/>
          <w:bottom w:val="single" w:sz="4" w:space="0" w:color="9AA8B8"/>
          <w:right w:val="single" w:sz="4" w:space="0" w:color="9AA8B8"/>
          <w:insideH w:val="single" w:sz="4" w:space="0" w:color="9AA8B8"/>
          <w:insideV w:val="single" w:sz="4" w:space="0" w:color="9AA8B8"/>
        </w:tblBorders>
      </w:tblPr>
      <w:tblGrid>
        <w:gridCol w:w="3096"/>
        <w:gridCol w:w="3096"/>
        <w:gridCol w:w="3096"/>
        <w:gridCol w:w="3096"/>
        <w:gridCol w:w="3096"/>
      </w:tblGrid>
      <w:tr>
        <w:trPr>
          <w:tblHeader w:val="true"/>
        </w:trPr>
        <w:tc>
          <w:tcPr>
            <w:tcW w:type="dxa" w:w="1360"/>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English ID</w:t>
            </w:r>
          </w:p>
        </w:tc>
        <w:tc>
          <w:tcPr>
            <w:tcW w:type="dxa" w:w="1587"/>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RU source ID</w:t>
            </w:r>
          </w:p>
        </w:tc>
        <w:tc>
          <w:tcPr>
            <w:tcW w:type="dxa" w:w="6917"/>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Formula / object</w:t>
            </w:r>
          </w:p>
        </w:tc>
        <w:tc>
          <w:tcPr>
            <w:tcW w:type="dxa" w:w="5216"/>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Primary section</w:t>
            </w:r>
          </w:p>
        </w:tc>
        <w:tc>
          <w:tcPr>
            <w:tcW w:type="dxa" w:w="850"/>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Link</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T2-F001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Ω_N^• = ⊕_{p≥0} Ω_N^p, |α|=p for α∈Ω_N^p.</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T2-F002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d_N^p: Dom(d_N^p) ⊂ Ω_N^p → Ω_N^{p+1}.</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T2-F003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δ_E: E^q → E^{q+1}, δ_E²=0 only after certificate.</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T2-F004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L_d(α,β)=d_N(α⊙β)-d_Nα⊙β-(-1)^{|α|}α⊙d_Nβ.</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T2-F005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T2-F-10.5</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[D,E]=D∘E-(-1)^{|D||E|}E∘D</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T2-F006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T2-F-10.6</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d_N²(α⊙β)=d_N²α⊙β+α⊙d_N²β.</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T2-F007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d_N Ass(α,β,γ)=Ass(d_Nα,β,γ)+(-1)^{|α|}Ass(α,d_Nβ,γ)+(-1)^{|α|+|β|}Ass(α,β,d_Nγ).</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T2-F008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Ω_d:= d_N²: Ω_N^p → Ω_N^{p+2}.</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T2-F009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T2-F-10.9</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[d_N,Ω_d]=0.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T2-F010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T2-F-10.10</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d²(a)=c≠0.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T2-F011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T2-F-10.11</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d_∇² α = R_∇ ∧ α.</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T2-F012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T2-F-10.12</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A² = dω + ω∧ω.</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T2-F013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T2-F-10.13</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(d_U α)|_V = d_V(α|_V).</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T2-F014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T2-F-10.14</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g_ij ∘ d_j = d_i ∘ g_ij,</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T2-F015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T2-F-10.15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K_ij:= g_ij d_j - d_i g_ij.</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T2-F016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T2-F-10.16</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D_tot = d_N + (-1)^p δ_E.</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T2-F017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T2-F-10.17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D_tot² = Ω_int + Ω_E + (-1)^p M_mix,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T2-F018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T2-F-10.18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Cert_E=(δ_E²=0, well-defined Π_E, representative independence, naturality, mixed compatibility).</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T2-F019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T2-F-10.19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⋆_Hdg: Ω^p(U) → Ω^{n-p}(U).</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T2-F020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T2-F-10.20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δ_Hdg = (-1)^{n(p+1)+1} ⋆_Hdg d_N ⋆_Hdg.</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T2-F021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T2-F-10.21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Δ_Hdg = d_N δ_Hdg + δ_Hdg d_N.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T2-F022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T2-F-10.22</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H_ij = g_ij ⋆_j - ⋆_i g_ij.</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T2-F023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T2-F-10.23</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A_Hdg = δ_Hdg - d_N^*.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T2-F024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T2-F-10.24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Rep_diff(d_N)=(R_d,I_d,U_d;D_d),</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T2-F025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T2-F-10.25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Def_diff=(||L_d||,||Ω_d||,||K_glue||,||M_mix||,||H||,pole_λ,Block_Dom).</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T2-F026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T2-F-10.26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C_diff(τ,η)={x: δ_truth(x)≤τ, ||Def_diff(x)||≤η, Valid(D)=1, Dom=1}.</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T2-F027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T2-F-10.27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Σ_diff(t)=(rank d_t^p, rank(d_t^{p+1}d_t^p), rank L_{d_t}, rank K_t, rank M_t, rank H_t, dim H_t^p when defined).</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T2-F028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T2-F-10.28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Δ_safe^{++} = Δ_safe^+ ∪ Δ_diff.</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T2-F029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T2-F-10.29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dim H_t^p = dim Ω^p - rank d_t^p - rank d_t^{p-1}</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10. NAPG Differential Forms and Typed Differentials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T2-F030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N=(K,A^•,⊙,G,R; F²_N, X²_N, Ψ²_N).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T2-F031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T2-F-12.2</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φ_X ∘ Ψ²_N = Ψ²_N′ ∘ φ_F.</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T2-F032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C_min^n(N)=F²_N for n=2; C_min^n(N)=X²_N for n=3; C_min^n(N)=0 for n≠2,3.</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T2-F033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δ_min²(N)=Ψ²_N; δ_min^n(N)=0 for n≠2.</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T2-F034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Θ_min,N:X²_N→C_min³(N), Θ_min,N=id_{X²_N}.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T2-F035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o_min,N(q)=π_N(Θ_min,N(q))=[q] ∈ H³(C_min^•(N)).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T2-F036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H²(C_min(N))=Ker Ψ²_N, H³(C_min(N))=Coker Ψ²_N=O_B(N).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T2-F037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0→H²(C_min)→F²_N —Ψ²_N→ X²_N —π_N→ H³(C_min)→0.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T2-F038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dim H²=f-r, dim H³=x-r, dim H²-dim H³=f-x.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T2-F039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T2-F-12.10</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C_min^•:NAPG_q→CoCh_K.</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T2-F040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T2-F-12.11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κ_N:O_B(N)→H³(C_min(N)), κ_N([x])=[x],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T2-F041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T2-F-12.12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Lift_N(q)=f₀+Ker Ψ²_N=f₀+H²(C_min(N)).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T2-F042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T2-F-12.13</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δ_E²∘J² = J³∘Ψ²_N.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T2-F043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T2-F-12.14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H^i(C_min(N)⊗_K L) ≅ H^i(C_min(N))⊗_K L, i=2,3.</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T2-F044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T2-F-12.15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H^i(C_min(N⊕M)) ≅ H^i(C_min(N))⊕H^i(C_min(M)), i=2,3.</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T2-F045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T2-F-12.16</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r_min(q)=(I-Ψ²_N(Ψ²_N)†)q.</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T2-F046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T2-F-12.17</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||f*|| ≤ ||q||/σ⁺(Ψ²_N),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T2-F047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T2-F-12.18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OCI_min(q)=||r_min(q)||/(||q||+ε), ε&gt;0.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T2-F048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T2-F-12.19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H²_t=Ker Ψ_t, H³_t=X_t/Im Ψ_t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T2-F049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T2-F-12.20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Δ_min = Δ_rank ∪ Δ_cond ∪ Δ_Dom ∪ Δ_D ∪ Pole(λ),</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T2-F050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T2-F-12.21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||r_t-r_s|| ≤ ||q_t-q_s|| + ||P_t-P_s||·||q_s||.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T2-F051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T2-F-12.22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||q_t-q_{t₀}|| + ||P_t-P_{t₀}||·||q_{t₀}|| &lt; ρ,</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T2-F052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T2-F-12.23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F_t=(N_t,Ψ_t,q_t,ρ_t,D_t,Dom_t), t∈I,</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T2-F053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T2-F-12.24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Cert_min(t)=(type_ok, [q_t], ||r_t||, σ⁺_t, Valid(D_t), Dom_t, δ_truth(t), Block_t).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T2-F054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T2-F-12.25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[q_t]=0, ||r_t||≤ε_num, σ⁺_t≥s₀, Valid(D_t)=1, Dom_t=1, Block_t=∅.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T2-F055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T2-F-12.26</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λ=-1 ⇏ [q]=0, [q]=0 ⇏ λ=-1.</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T2-F056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T2-F-12.27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checkpoint=T2-RP-v0.9; next=T2-RP-v0.10.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12. Internal Construction of C_min^bullet, delta_min, and Theta_min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T2-F057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E(N)=(E^•(N), d_E, Dom_E, G_E),</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T2-F058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d_E^{n+1} ∘ d_E^n = 0 for all 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T2-F059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J²_N:F²_N-&gt;E²(N), J³_N:X²_N-&gt;E³(N),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T2-F060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d_E² J²_N = J³_N Ψ²_N, d_E³ J³_N = 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T2-F061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T2-F-13.5</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[x] ↦ [J³_N 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T2-F062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T2-F-13.6</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J³_N(Im Ψ²_N) ⊆ Im d_E².</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T2-F063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Π_E,N:= H³(J_N) ∘ κ_N: O_B(N) -&gt; H³(E^•(N)),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T2-F064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T2-F-13.8</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Π_E,N([x]) = [J³_N 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T2-F065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H³(E(f)) Π_E,N = Π_E,N′ O_B(f).</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T2-F066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T2-F-13.10</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Π_E(o) ≠ 0 =&gt; o ≠ 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T2-F067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T2-F-13.11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Cone(J)^n = E^n ⊕ C_min^{n+1},</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T2-F068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T2-F-13.12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D_J(e,c) = (d_E e + Jc, -δ_min c).</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T2-F069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T2-F-13.13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H²(C_min)-&gt;H²(E)-&gt;H²(Cone J)-&gt;O_B --Π_E--&gt; H³(E)-&gt;H³(Cone J)-&gt;0.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T2-F070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T2-F-13.14</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Blind_E(N):= Ker Π_E,N,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T2-F071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T2-F-13.15</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Excess_E(N):= Coker Π_E,N.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T2-F072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T2-F-13.16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Blind_E = Im(H²(Cone J)-&gt;O_B),</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T2-F073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T2-F-13.17</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Excess_E ≅ H³(Cone J).</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T2-F074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T2-F-13.18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H^n(J)=H^n(K) for all n; consequently Π_E^J=Π_E^K.</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T2-F075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T2-F-13.19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J²-K² = d_E¹ h² + h³ Ψ², J³-K³ = d_E² h³.</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T2-F076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T2-F-13.20</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Π_F = H³(Q) Π_E.</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T2-F077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T2-F-13.21</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(E,J) ↦ Π_E:O_B(N)-&gt;H³(E)</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T2-F078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T2-F-13.22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X²_N = Im Ψ²_N ⊕ O_N, Ker d_E³ = Im d_E² ⊕ H_E³.</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T2-F079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T2-F-13.23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P_E:= P_{H_E³} J³_N |_{O_N}.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T2-F080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T2-F-13.24</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σ_min(P_E) ≥ s_0 &gt; 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T2-F081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T2-F-13.25</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||Π_E(o)|| ≥ s_0 ||o||.</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T2-F082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T2-F-13.26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η_E([x]):= ||P_{H_E³} J³_N x_min||,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T2-F083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T2-F-13.27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Δ_E = Δ_{complex} ∪ Δ_{chain} ∪ Δ_{rank Π} ∪ Δ_{σΠ} ∪ Δ_{hom} ∪ Δ_D ∪ Δ_Dom ∪ Δ_{glue}.</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T2-F084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T2-F-13.28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||Π_{E,t}(o_t)|| ≥ ε_E for all t∈I.</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T2-F085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T2-F-13.29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P_E(t)=(dim H³(E_t), rank Π_{E,t}, dim Blind_{E,t}, dim Excess_{E,t}, σ_min(P_{E,t}), η_E(o_t))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T2-F086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T2-F-13.30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β_Ass,N:T_Ass(N)-&gt;H³(A_Ass^•(N)).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T2-F087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T2-F-13.31</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β_Ass ∘ S = H³(Q) ∘ Π_E.</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T2-F088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T2-F-13.32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checkpoint=T2-RP-v0.10; next=T2-RP-v0.11.</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13. External E-Complex and the Conditional Bridge Pi_E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T2-F089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O_B(N) = H³(C_min(N)) = X_N² / Im Ψ_N².</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T2-F090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Car_B(N) = (O_B, 0_B, Fil_B, Prov_B, Dom_B).</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T2-F091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T2-F-14.3</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O_B^× = O_B \ {0_B}.</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T2-F092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P(O_B) = O_B^× / K^×, o ~ o′ ⇔ ∃a∈K^×: o′=ao.</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T2-F093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P(f): P(O) \ P(ker f) → P(O′), [o] ↦ [f(o)].</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T2-F094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S(O_B) → P(O_B), u ↦ [u], fibre={u,-u}.</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T2-F095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d_P([u],[v]) = arccos( |⟨u,v⟩| / (||u||·||v||) ).</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T2-F096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S_r = { [o]∈P(O_B): rank A(o)=r }.</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T2-F097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G_[o] = { g∈G: g·o ∈ K^×o }.</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T2-F098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T2-F-14.10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P(C_B) = (C_B \ {0}) / K^× ⊆ P(O_B).</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T2-F099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T2-F-14.11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P_+(C_B) = (C_B \ {0}) / R_{&gt;0}.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T2-F100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T2-F-14.12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O_pre = ⊕_{L∈Lines(Fano)} O_L.</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T2-F101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T2-F-14.13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O_glob = colim( O_L, φ_{LL′} ).</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T2-F102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T2-F-14.14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Δ_proj = Δ_zero ∪ Δ_rank ∪ Δ_orbit ∪ Δ_chart ∪ Δ_glue ∪ Δ_D ∪ Δ_Dom.</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T2-F103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T2-F-14.15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I∩Δ_proj=∅ ⇒ transition of certified projective type is impossible in model.</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T2-F104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T2-F-14.16</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χ_λ: P(O_B) ⇢ P¹(K),</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T2-F105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T2-F-14.17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λ([o]) = cr(U([o]), I([o]); R([o]), D([o])).</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T2-F106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T2-F-14.18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Cert_proj = ([o], ZERO, NORM, ORIENT, PROV, LIFT, DOM, GLUE, HASH).</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T2-F107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T2-F-14.19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P_proj(t)=([o_t], S_rank(t), S_orbit(t), Dom_t, Glue_t).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T2-F108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T2-F-14.20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I∩Δ_proj=∅ ⇒ type(P_proj(t))=const on I.</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T2-F109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T2-F-14.21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Block_proj = B_zero ∪ B_scale ∪ B_sign ∪ B_chart ∪ B_hom ∪ B_glue ∪ B_D ∪ B_Dom ∪ B_lift ∪ B_ind.</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T2-F110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T2-F-14.22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checkpoint=T2-RP-v0.11; next=T2-RP-v0.12.</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14. Obstruction Spaces and Projective Carriers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T2-F111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d_k: D(d_k) ⊂ H^k → H^{k+1}, ran d_k ⊂ ker d_{k+1}.</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T2-F112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Z^k = ker d_k, B^k = ran d_{k-1}, H^k = Z^k/B^k, H̄^k = Z^k/closure(B^k).</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T2-F113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(ran d_k)⊥ = ker d_k*, closure(ran d_k*) = (ker d_k)⊥.</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T2-F114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Δ_k = d_{k-1} d_{k-1}* + d_k* d_k,</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T2-F115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D(Δ_k)={u∈D(d_k)∩D(d_{k-1}*): d_ku∈D(d_k*), d_{k-1}*u∈D(d_{k-1})}.</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T2-F116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𝓗^k = ker d_k ∩ ker d_{k-1}* = ker Δ_k.</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T2-F117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⟨Δ_ku,u⟩ = ||d_ku||² + ||d_{k-1}*u||².</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T2-F118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H^k = closure(ran d_{k-1}) ⊕ 𝓗^k ⊕ closure(ran d_k*).</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T2-F119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γ_k:= inf( spectrum(Δ_k) \ {0} ) &gt; 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T2-F120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T2-F-15.10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G_k = (Δ_k |_{(𝓗^k)⊥})^{-1}(I-P_{𝓗^k}), ||G_k|| ≤ 1/γ_k.</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T2-F121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T2-F-15.11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q = d_{k-1}a_min + h, h=P_{𝓗^k}q, a_min=d_{k-1}*G_kq.</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T2-F122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T2-F-15.12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||a_min|| ≤ γ_k^{-1/2} ||q-P_{𝓗^k}q||.</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T2-F123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T2-F-15.13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0 → E_x^0 --σ(d_0)(x,ξ)→ E_x^1 →... → E_x^N → 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T2-F124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T2-F-15.14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σ_2(Δ_k)(x,ξ)=σ(d_{k-1})σ(d_{k-1})* + σ(d_k)*σ(d_k), ξ≠0.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T2-F125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T2-F-15.15</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σ_2(L)(x,ξ)=|ξ|_g² Id.</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T2-F126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T2-F-15.16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H_str^k = direct_sum_α L²Ω^k(S_α,E_α).</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T2-F127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T2-F-15.17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T_{αβ}^+ u_α = T_{αβ}^- u_β on every admissible incidence interface.</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T2-F128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T2-F-15.18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ind T = dim ker T - dim coker 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T2-F129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T2-F-15.19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D_H^+: H^{even} → H^{odd}, ind D_H^+ = sum_k (-1)^k dim H^k.</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T2-F130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T2-F-15.20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h_E(o)=P_{𝓗_E^3}q, η_H(o)=||h_E(o)||.</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T2-F131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T2-F-15.21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η_H(o) = dist(q, ran d_E²), η_H(o)=0 ⇔ Π_E(o)=0.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T2-F132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T2-F-15.22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Cond_H = (γ_3^{-1}, ||G_3||, ||P_H||, trace_constant, interface_constant).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T2-F133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T2-F-15.23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P_t = (2πi)^{-1} contour_integral_Γ (z-Δ_{3,t})^{-1} dz</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T2-F134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T2-F-15.24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Δ_HF = Δ_{d²} ∪ Δ_{dom} ∪ Δ_{ell} ∪ Δ_{BC} ∪ Δ_{range} ∪ Δ_{gap} ∪ Δ_{harm} ∪ Δ_{int} ∪ Δ_D ∪ Δ_Dom ∪ Δ_{glue}.</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T2-F135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T2-F-15.25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P_HF(t)=(ind D_H,t^+, dim 𝓗_t^k, γ_k(t), η_H(t), ||G_k(t)||, BC_t, Interface_t, λ_t)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T2-F136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T2-F-15.26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I ∩ Δ_HF = empty and η_H(t)≥ε_H ⇒ removal of this obstruction is impossible in model.</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T2-F137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T2-F-15.27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χ_H = (R_H,I_H,U_H,D_H): P(𝓗_E^3) ⇢ (P¹)^4, λ_H=cr(U_H,I_H;R_H,D_H).</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T2-F138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T2-F-15.28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Cert_HF=(COMPLEX, DOMAIN, SYMBOL, BC, INTERFACE, FREDHOLM, GAP, HARM, BRIDGE, D, DOM, λ, HASH).</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T2-F139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T2-F-15.29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Block_HF = B_complex ∪ B_domain ∪ B_symbol ∪ B_BC ∪ B_interface ∪ B_range ∪ B_gap ∪ B_bridge ∪ B_D ∪ B_Dom ∪ B_glue ∪ B_ind.</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T2-F140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T2-F-15.30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checkpoint=T2-RP-v0.12; next=T2-RP-v0.13.</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15. Hodge Decomposition and the Analytic NAPG Layer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T2-F141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Art_K = { (A,m_A): A/m_A ≅ K, m_A^N=0 for some N }.</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T2-F142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Def_N: Art_K → Gpd, F_N = π_0 Def_N: Art_K → Set.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T2-F143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0 → I → A′ → A → 0, m_{A′} I = 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T2-F144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F(A′×_A A″) → F(A′) ×_{F(A)} F(A″).</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T2-F145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universal ⇒ miniversal ⇒ versal; the converse implications fail.</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T2-F146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C_N^1 ─d_N^1→ C_N^2 ─d_N^2→ C_N^3, d_N^2 d_N^1 = 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T2-F147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H_N^1 = infinitesimal automorphisms, H_N^2 = tangent classes, H_N^3 = primary obstructions.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T2-F148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H^{-1}(T_N^der)=H_N^1, H^0(T_N^der)=H_N^2, H^1(T_N^der)=H_N^3.</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T2-F149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T2-F-16.9</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g_N=(g_N,l_1,l_2,l_3,...)</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T2-F150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T2-F-16.10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MC_N(A)={α∈g_N^1⊗m_A: Σ_{n≥1}(1/n!) l_n(α,...,α)=0 }.</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T2-F151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T2-F-16.11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F(α̃)=Σ_{n≥1}(1/n!)l_n(α̃^n) ∈ g_N^2⊗I</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T2-F152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T2-F-16.12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(H(g_N),0) ─i→ (g_N,l_1) ─p→ (H(g_N),0), id-ip=l_1h+hl_1.</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T2-F153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T2-F-16.13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p=P_H, i=harmonic inclusion, h=l_1^* G.</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T2-F154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T2-F-16.14</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N(α)=Σ_{n≥2}(1/n!)l_n(α^n).</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T2-F155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T2-F-16.15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α(x)=i(x)-hN(α(x)), hα(x)=0.</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T2-F156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T2-F-16.16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K_N(x)=pN(α(x)) ∈ H^2(g_N)=H_N^3.</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T2-F157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T2-F-16.17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||N(α)-N(β)|| ≤ L_R ||α-β||, ||h|| L_R &lt; 1.</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T2-F158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T2-F-16.18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||x|| ≤ R(1-||h||L_R)/||i||.</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T2-F159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T2-F-16.19</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m_K(R)=1-||h||L_R.</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T2-F160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T2-F-16.20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K_N(x)=κ_2(x,x)+κ_3(x,x,x)+κ_4(x,x,x,x)+...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T2-F161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T2-F-16.21</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κ_2(x,x)=1/2·p l_2(ix,ix).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T2-F162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T2-F-16.22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κ_3(x,x,x)=1/6·p l_3(ix,ix,ix)-1/2·p l_2(ix,h l_2(ix,ix)).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T2-F163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T2-F-16.23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ν_K(x)=min{n≥2: κ_n(x,...,x)≠0}, ν_K=∞ if all terms vanish.</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T2-F164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T2-F-16.24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R_N^min = K[[t_1,...,t_m]]/(K_1,...,K_q).</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T2-F165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T2-F-16.25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FormalModuli_K ≃ dgLie_K (under char K=0 and the corresponding homotopical hypotheses).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T2-F166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T2-F-16.26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π_0Def_N does not determine H^{-1}(T_N^der).</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T2-F167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T2-F-16.27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S_N = ⨆_α S_{N,α}, P_mod(x)=(dim H^1,dim H^2,dim H^3,ν_K,HS_x,dim Aut_x,[K_lead]).</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T2-F168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T2-F-16.28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Δ_mod = Δ_HF ∪ Δ_ctrl ∪ Δ_Sch ∪ Δ_aut ∪ Δ_tan ∪ Δ_obs ∪ Δ_Kur ∪ Δ_conv ∪ Δ_orb ∪ Δ_D ∪ Δ_Dom ∪ Δ_glue.</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T2-F169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T2-F-16.29</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η_K(t)=||K_{N_t}(x_t)||.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T2-F170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T2-F-16.30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η_K(t)=||K_t(x_t)|| ≥ ε_K &gt; 0 for all t∈I,</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T2-F171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T2-F-16.31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Block_mod = B_ctrl ∪ B_Sch ∪ B_HF ∪ B_gauge ∪ B_conv ∪ B_Kur ∪ B_aut ∪ B_stack ∪ B_D ∪ B_Dom ∪ B_glue ∪ B_ind.</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T2-F172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T2-F-16.32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INPUT NAPG frame N, controlling data g, Artin bases, Hodge-Green package, candidate x, D/Dom CHECK l_infinity_identities; compute H1,H2,H3; test small extensions and Schlessinger maps BUILD contraction (p,i,h); verify id-ip=l1h+hl1 and uniform bounds SOLVE alp</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T2-F173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T2-F-16.33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checkpoint=T2-RP-v0.13; next=T2-RP-v0.14.</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16. Deformation Functors, Moduli Spaces, and the Kuranishi Map</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T2-F174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M_N = ⨆_{α∈A} S_α, S_α ∩ overline(S_β) ≠ ∅ ⇒ S_α ⊂ overline(S_β).</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T2-F175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P_str(x) = (dim H¹_x, dim H²_x, dim H³_x, dim Aut_x, rank dK_x, mult_x, HS_x, γ_x, λ_x, D_x, Dom_x).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T2-F176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I_trans: M_N^reg → Λ, I_trans|_{S_α}=const.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T2-F177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W = Δ_rank ∪ Δ_aut ∪ Δ_obs ∪ Δ_gap ∪ Δ_branch ∪ Δ_D ∪ Δ_Dom ∪ Δ_glue.</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T2-F178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WC_{γ,t*}: Inv(C_-) ⇀ Inv(C_+).</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T2-F179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T2-F-17.6</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Δ_W I = I_+ - T_{-→+}I_-,</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T2-F180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Bif(K) = {(t,x): K_t(x)=0, rank D_xK_t &lt; r_reg}.</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T2-F181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fold: g=0, g_a=0, g_{aa}≠0, g_t≠0; cusp: g=g_a=g_{aa}=0, g_{aaa}g_t≠0.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T2-F182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Branch(Z/P) = π₀(Z~ \ Ram(ν)).</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T2-F183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T2-F-17.10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Mon: π₁(U,t₀) → Perm(B_{t₀}).</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T2-F184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T2-F-17.11</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ρ: π₁(U,t₀) → Aut(V_{t₀}).</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T2-F185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T2-F-17.12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T_γ = WC_m ∘... ∘ WC_2 ∘ WC_1.</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T2-F186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T2-F-17.13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WC_i WC_j = WC_j WC_i or WC_i WC_j WC_i = WC_j WC_i WC_j</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T2-F187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T2-F-17.14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P_W(t,b)=(dist(t,W), σ_min(D_xK_t), mult_b, MonOrb_b, η_K, η_H, λ_b, CGI_b).</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T2-F188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T2-F-17.15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Δ_WB = Δ_strat ∪ Δ_wall ∪ Δ_bif ∪ Δ_ram ∪ Δ_mon ∪ Δ_path ∪ Δ_inv.</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T2-F189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T2-F-17.16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Δ_safe^{v0.14} = Δ_mod ∪ Δ_WB.</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T2-F190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T2-F-17.17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γ∩Δ_safe^{v0.14}=∅ ⇒ NO-WALL-CROSSING-IN-MODEL.</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T2-F191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T2-F-17.18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Block_WB = B_strat ∪ B_Whit ∪ B_wall ∪ B_bif ∪ B_branch ∪ B_mon ∪ B_path ∪ B_inv ∪ B_D ∪ B_Dom ∪ B_glue ∪ B_ind.</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T2-F192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T2-F-17.19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INPUT family K_t, stratification candidate, path γ, branch data, invariant I, D/Dom CHECK Kuranishi charts; verify frontier/Whitney/control data; compute discriminant and chambers NORMALIZE zero locus; assign branch_id; continue branches; compute Mon and wall</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T2-F193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T2-F-17.20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checkpoint=T2-RP-v0.14; next=T2-RP-v0.15.</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17. Stratified Moduli Spaces, Wall Crossing, and Monodromy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T2-F194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T2-F-18.1</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|𝔐| ← 𝔐 ← 𝔐ᵈᵉʳ.</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T2-F195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T2-F-18.2</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𝒦ᵢ=(Uᵢ,Eᵢ,sᵢ,Gᵢ,ψᵢ),</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T2-F196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vdim(𝒦ᵢ)=dim Uᵢ-rank Eᵢ-dim Gᵢ</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T2-F197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T2-F-18.4</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sⱼ∘φᵢⱼ = ĥφᵢⱼ∘sᵢ.</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T2-F198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T2-F-18.5</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αᵢⱼₖ: Φⱼₖ∘Φᵢⱼ ⇒ Φᵢₖ,</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T2-F199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T2-F-18.6</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𝔐(U) ≃ Tot(𝔐(U_•)).</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T2-F200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T2-F-18.7</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𝕋ₓᵛⁱʳ=[ 𝔤ₓ → TₓUᵢ → Eᵢ,ₓ ],</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T2-F201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vdimₓ = -dim H⁻¹ + dim H⁰ - dim H¹.</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T2-F202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φ:E•→L_𝔐, E• perfect, amp(E•)⊂[-1,0],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T2-F203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T2-F-18.10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Ob_𝔐 = h¹((E•)∨), 𝔑_𝔐=h¹/h⁰(L_𝔐∨).</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T2-F204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T2-F-18.11</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qⱼₖ∘qᵢⱼ ≃ qᵢₖ,</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T2-F205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T2-F-18.12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cᵢⱼₖ=qᵢₖ⁻¹ qⱼₖ qᵢⱼ ∈ Z, [c]∈Čech H²(X,Z).</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T2-F206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T2-F-18.13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det(𝕋ᵛⁱʳ)=⊗ⱼ(det Hʲ(𝕋ᵛⁱʳ))^{(-1)ʲ}.</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T2-F207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T2-F-18.14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Mon:π₁(P\Δ,p₀)→Perm(𝔅_{p₀}).</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T2-F208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T2-F-18.15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PredCar_N=(𝔐_Nᵈᵉʳ→P, 𝕋ᵛⁱʳ, Ob_N, 𝔠_N, 𝔅_N, Rep_N, λ_N, D_N, Dom_N, E_N).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T2-F209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T2-F-18.16</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cᵢⱼₖ=gₖᵢ gⱼₖ gᵢⱼ.</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T2-F210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T2-F-18.17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local lift + local obstruction=0 ⇏ global lift.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T2-F211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T2-F-18.18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|𝔐₁|≅|𝔐₂| ⇏ 𝔐₁≃𝔐₂ and ⇏ 𝔐₁ᵈᵉʳ≃𝔐₂ᵈᵉʳ.</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T2-F212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T2-F-18.19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η_desc = ||defect of higher descent||, η_ob = ||h(ob)||, η_ext = ||Π_E(ob)||.</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T2-F213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T2-F-18.20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Δ_stack = Δ_desc ∪ Δ_coh ∪ Δ_perf ∪ Δ_amp ∪ Δ_vrank ∪ Δ_orient ∪ Δ_branch ∪ Δ_mon ∪ Δ_Rep ∪ Δ_D ∪ Δ_Dom ∪ Δ_ext ∪ Δ_ind.</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T2-F214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T2-F-18.21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Δ_safe^{v0.15}=Δ_safe^{v0.14}∪Δ_stack.</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T2-F215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T2-F-18.22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P_stack(p)=([amp 𝕋ᵛⁱʳ], h⁻¹,h⁰,h¹, vdim, [det], [desc], MonOrb, η_ob, η_ext, λ, CGI).</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T2-F216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T2-F-18.23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γ∩Δ_safe^{v0.15}=∅ ⇒ NO-GLOBAL-TRANSITION-IN-MODEL.</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T2-F217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T2-F-18.24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Block_stack=B_atlas∪B_2coc∪B_eff∪B_perf∪B_amp∪B_vtan∪B_branch∪B_Rep∪B_D∪B_Dom∪B_E∪B_ind.</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T2-F218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T2-F-18.25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checkpoint=T2-RP-v0.15; next=T2-RP-v0.16.</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18. Global Derived/Stacky Moduli Spaces and the Predictive Carrier</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T2-F219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T2-F-19.1</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V0 → V1 does not imply P0 → E0.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T2-F220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T2-F-19.2</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φ:E•→L_𝔐, amp(E•)⊂[-1,0].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T2-F221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vdim(𝔐)=rk(E•)=rk(E⁰)-rk(E⁻¹).</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T2-F222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[𝔐]ᵛⁱʳ = 0_𝔈^! [𝔠_𝔐] ∈ A_vdim(𝔐).</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T2-F223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Iᵛⁱʳ(𝔐;α)=∫_[𝔐]ᵛⁱʳ α = deg(α∩[𝔐]ᵛⁱʳ).</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T2-F224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⟨α₁,…,αₙ⟩ᵛⁱʳ = ∫_[𝔐]ᵛⁱʳ ∏ᵢ evᵢ*αᵢ.</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T2-F225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[Z]ᵛⁱʳ=[Z], vdim=dim U-rk E.</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T2-F226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T2-F-19.8</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[𝔐_b]ᵛⁱʳ = i_b^![𝔐]ᵛⁱʳ_rel.</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T2-F227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T2-F-19.9</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Iᵛⁱʳ(𝔐_b;α_b)=const.</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T2-F228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T2-F-19.10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[𝔐]ᵛⁱʳ = i_* Σ_F [F]ᵛⁱʳ / e_T(N_Fᵛⁱʳ)</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T2-F229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T2-F-19.11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Iᵛⁱʳ = Σ_[x] m_x / |Aut(x)|.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T2-F230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T2-F-19.12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virtual degree ≠ probability measure.</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T2-F231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T2-F-19.13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B_prob=(Ω,ℱ,P,Y,φ,g_θ,ℒ,Cal,Val,Ext).</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T2-F232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T2-F-19.14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p_θ = g_θ(φ(P_vir, P_stack, λ, CGI, D, Dom)).</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T2-F233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T2-F-19.15</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E[Y | p_θ]=p_θ.</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T2-F234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T2-F-19.16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VirtCert=(𝔐ᵈᵉʳ,E•,𝔠_𝔐,[𝔐]ᵛⁱʳ,α,or,prop,src,code,D,Dom).</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T2-F235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T2-F-19.17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Rep_vir=(R_vir,I_vir,U_vir;D_vir),</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T2-F236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T2-F-19.18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Gate_vir=1 ⇔ Cert_VFC=1 ∧ Valid(D)=1 ∧ Dom=1 ∧ Block_vir=∅.</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T2-F237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T2-F-19.19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Gate_prob=1 ⇔ Gate_vir=1 ∧ Cert_prob=1 ∧ Ext=1.</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T2-F238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T2-F-19.20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Δ_VFC = Δ_POT ∪ Δ_amp ∪ Δ_prop ∪ Δ_or ∪ Δ_comp ∪ Δ_ins ∪ Δ_loc ∪ Δ_wall ∪ Δ_num.</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T2-F239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T2-F-19.21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Δ_prob = Δ_Ω ∪ Δ_meas ∪ Δ_link ∪ Δ_cal ∪ Δ_shift ∪ Δ_sel ∪ Δ_ext.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T2-F240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T2-F-19.22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Δ_safe^{v0.16}=Δ_safe^{v0.15}∪Δ_VFC∪Δ_prob.</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T2-F241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T2-F-19.23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P_VFC(t)=([𝔐_t]ᵛⁱʳ, vdim, Iᵛⁱʳ_t, supp, sign, denom, chamber, λ_t, CGI_t)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T2-F242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T2-F-19.24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γ∩(Δ_safe^{v0.15}∪Δ_VFC)=∅ ⇒ NO-VIRTUAL-CHANGE-IN-MODEL.</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T2-F243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T2-F-19.25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checkpoint=T2-RP-v0.16; next=T2-RP-v0.17.</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19. Virtual Cycles, Enumerative Invariants, and the Probability Firewall</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T2-F244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𝕍_γ ∈ 𝒞_γ → [𝕍_γ] ∈ K₀(𝒞_γ) → 𝓜_γ ∈ R_mot → Real(𝓜_γ) → I_γ ∈ R_num.</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T2-F245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T2-F-20.2</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[Y]=[X]+[Z].</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T2-F246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[X]=[Z]+[X∖Z] for closed Z⊂X, [X]·[Y]=[X×Y].</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T2-F247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MotCar=(R_mot, 𝕃^{1/2}, Fil, Comp, μ̂, or, src, D, Dom),</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T2-F248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χ_c: K₀(Var_ℂ) → ℤ, E_c: K₀(Var_ℂ) → ℤ[u,v].</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T2-F249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PExp(f)=exp(Σ_{r≥1} ψ_r(f)/r), PLog=PExp^{-1}.</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T2-F250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MF^φ_{U,f} ∈ 𝓜_X^{μ̂}, Real(MF^φ_{U,f}) = vanishing-cycle realization.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T2-F251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Ω_γ^{ref}(y)=Σ_j (-1)^j dim 𝓗_γ^j · y^{j/2}.</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T2-F252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CoHA=⊕_{γ∈Γ_+} H^•_{c,G_γ}(Rep_γ, φ_{Tr W}),</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T2-F253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T2-F-20.10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BPS_γ ∈ MHM(M_γ), Ω_γ^{ref}=Real(BPS_γ).</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T2-F254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T2-F-20.11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Z_ref(𝐱;y,𝕃)=1+Σ_{0≠γ∈Γ_+} Ω_γ^{ref}(y,𝕃) 𝐱^γ ∈ 1+Î.</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T2-F255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T2-F-20.12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𝐱^α 𝐱^β = 𝕃^{⟨α,β⟩/2} 𝐱^{α+β}.</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T2-F256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T2-F-20.13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Z(q^{-1}) = q^a · ε · Z(q) or Z(q)=P(q)/Q(q).</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T2-F257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T2-F-20.14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graded coefficient ≠ time-stamped state; generating series ≠ flow.</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T2-F258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T2-F-20.15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B_dyn=(T,S,τ,U,𝒢,ι,Obs,noise,Cal,Ext,D,Dom).</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T2-F259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T2-F-20.16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U(t,t)=Id, U(t,r)∘U(r,s)=U(t,s), t≥r≥s.</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T2-F260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T2-F-20.17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Ax = lim_{t↓0} (U(t)x-x)/t, x∈Dom(A).</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T2-F261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T2-F-20.18</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K_{t,s}=K_{t,r}∘K_{r,s}.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T2-F262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T2-F-20.19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Y_t = Obs(U(t,t₀)ι(𝓜_ref)) + ε_t.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T2-F263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T2-F-20.20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MotRefCert=(𝕍,K₀,𝓜,Real,Ω_ref,Z_ref,B_dyn,B_emp,src,code,D,Dom).</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T2-F264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T2-F-20.21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Rep_mot=(R_mot,I_mot,U_mot;D_mot),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T2-F265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T2-F-20.22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R_ref=(r_cat,r_K₀,r_mot,r_real,r_spec,r_series,r_time,r_evol,r_obs,r_ext).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T2-F266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T2-F-20.23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Δ_mot = Δ_cat ∪ Δ_or ∪ Δ_glue ∪ Δ_comp ∪ Δ_real ∪ Δ_spec.</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T2-F267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T2-F-20.24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Δ_series = Δ_ring ∪ Δ_order ∪ Δ_wall ∪ Δ_PExp ∪ Δ_conv ∪ Δ_func.</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T2-F268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T2-F-20.25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Δ_dyn = Δ_time ∪ Δ_state ∪ Δ_U ∪ Δ_gen ∪ Δ_path ∪ Δ_obs ∪ Δ_cal ∪ Δ_ext.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T2-F269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T2-F-20.26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Δ_safe^{v0.17}=Δ_safe^{v0.16}∪Δ_mot∪Δ_series∪Δ_dyn.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T2-F270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T2-F-20.27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P_ref(t)=([𝕍_t],𝓜_t,Real_t,Ω_t^{ref},Z_t,chamber_t,λ_t,CGI_ref,t)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T2-F271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T2-F-20.28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NO-REFINED-CHANGE-IN-MODEL or FORMAL-SERIES-ONLY.</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T2-F272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T2-F-20.29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checkpoint=T2-RP-v0.17; next=T2-RP-v0.18.</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20. Categorified, Motivic, and Refined Virtual Invariants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T2-F273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source=T2-RP-v0.17; checkpoint=T2-RP-v0.18.</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T2-F274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𝒰(t,s): Dom_{t,s}⊆S_s → S_t.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T2-F275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𝒮(0)=Id_C, 𝒮(t+s)=𝒮(t)∘𝒮(s), lim_{t↓0}𝒮(t)x=x.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T2-F276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𝒮(t)x = lim_{m→∞}(I+(t/m)A)^{-m}x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T2-F277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𝒰(s,s)=Id, 𝒰(t,r)∘𝒰(r,s)=𝒰(t,s).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T2-F278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T2-F-21.6</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(𝒦_t f)(x)=f(Φ_t(x)).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T2-F279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𝒫_t μ=(Φ_t)_#μ, (𝒫_t μ)(B)=μ(Φ_t^{-1}(B)).</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T2-F280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∫_S f d(𝒫_t μ)=∫_S (𝒦_t f)dμ.</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T2-F281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K_{t,s}(x,B)=∫_S K_{t,r}(y,B)K_{r,s}(x,dy), t≥r≥s.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T2-F282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T2-F-21.10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μ_{t₁,…,t_m}=Q∘(X_{t₁},…,X_{t_m})^{-1}.</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T2-F283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T2-F-21.11</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ω_x(t)=𝒰(t,t₀)x.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T2-F284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T2-F-21.12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x(t)=f(t)+∫_{t₀}^{t} B(t,s,x(s)) ds.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T2-F285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T2-F-21.13</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(Fω)(t)=(Fω′)(t).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T2-F286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T2-F-21.14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transition kernel ≠ intervention kernel ≠ physical cause.</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T2-F287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T2-F-21.15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Rep_t=(R_t,I_t,U_t;D_t), λ_t=cr(U_t,I_t;R_t,D_t).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T2-F288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T2-F-21.16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PathRep=(Ω,Q/𝔄,{Rep_t},𝒰,K,B,Obs,𝔽,D,Dom,src,code).</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T2-F289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T2-F-21.17</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dλ_t/dt = Dλ(Rep_t)·Ṙep_t.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T2-F290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T2-F-21.18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𝒯_{t,s}: 𝔐(S_s)→𝔐(S_t), 𝒯_{t,r}𝒯_{r,s}=𝒯_{t,s}.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T2-F291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T2-F-21.19</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d/dt 𝒯_t f |_{t=0}=Lf</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T2-F292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T2-F-21.20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e_𝒰(t,s;x)=d(𝒰(t,s)x,Ũ(t,s)x).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T2-F293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T2-F-21.21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R_time=(r_sg,r_gen,r_res,r_tr,r_path,r_CK,r_mem,r_na,r_obs,r_cal,r_ext).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T2-F294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T2-F-21.22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Δ_sg=Δ_dom∪Δ_cont∪Δ_comp∪Δ_accr∪Δ_res.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T2-F295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T2-F-21.23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Δ_tr=Δ_pos∪Δ_mass∪Δ_dual∪Δ_spec∪Δ_inv.</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T2-F296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T2-F-21.24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Δ_path=Δ_cons∪Δ_tight∪Δ_reg∪Δ_branch∪Δ_hist.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T2-F297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T2-F-21.25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Δ_causal=Δ_order∪Δ_NA∪Δ_filt∪Δ_interv∪Δ_transport.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T2-F298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T2-F-21.26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Δ_safe^{v0.18}=Δ_safe^{v0.17}∪Δ_sg∪Δ_tr∪Δ_path∪Δ_causal.</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T2-F299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T2-F-21.27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P_time(t)=(class(𝒰_t),class(𝒯_t),class(Q_t),rank/stratum,λ_t,CGI_time,t)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T2-F300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T2-F-21.28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NO-TEMPORAL-TRANSITION-IN-MODEL.</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T2-F301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T2-F-21.29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checkpoint=T2-RP-v0.18; next=T2-RP-v0.19.</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21. Nonlinear Evolution Semigroups, Transfer Operators, Path-Space Carriers, and Causal Kernels</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T2-F302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source=T2-RP-v0.18; checkpoint=T2-RP-v0.19.</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T2-F303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(P_t f)(x)=∫_E f(y)p_t(x,dy)=E_x[f(X_t)].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T2-F304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Lf = lim_{t↓0}(P_t f-f)/t, f∈Dom(L).</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T2-F305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R_α f = ∫_0^∞ e^{-αt}P_t f dt.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T2-F306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M_t^f = f(X_t)-f(X_0)-∫_0^t Lf(X_s)ds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T2-F307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dX_t=b(t,X_t)dt+σ(t,X_t)dW_t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T2-F308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L_t f(x)=b(t,x)·∇f(x)+(1/2)Tr(a(t,x)∇²f(x)), a=σσᵀ.</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T2-F309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Z_t=exp(∫_0^t θ_s·dW_s-(1/2)∫_0^t||θ_s||²ds)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T2-F310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T2-F-22.9</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τ_A = inf{t≥t_0: X_t∈A}.</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T2-F311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T2-F-22.10</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p_A(T,x)=P_x(τ_A≤T).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T2-F312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T2-F-22.11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(∂_t+L_t)V(t,x)≤0 on [0,T]×(E\A).</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T2-F313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T2-F-22.12</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P_{x_0}(τ_A≤T)≤V(0,x_0).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T2-F314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T2-F-22.13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sup_{a∈A(t,x)} (∂_t+L_t^a)V(t,x)≤0,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T2-F315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T2-F-22.14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J(π;x)=E_x^π[∫_0^T c(t,X_t,a_t)dt+g(X_T)].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T2-F316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T2-F-22.15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∂_tV^*+inf_{a∈A}{L^aV^*+c(t,x,a)}=0, V^*(T,x)=g(x).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T2-F317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T2-F-22.16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X_{t+1}=F_t(X_{≤t},A_t,U_{t+1}), Y_t=G_t(X_{≤t},U_t).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T2-F318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T2-F-22.17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p(y^{a-bar}) = ∫ ∏_t p(l_{t+1}|l-bar_t,a-bar_t) p(y|l-bar_T,a-bar_T) d(l-bar).</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T2-F319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T2-F-22.18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Rep_t(ω)=(R_t(ω),I_t(ω),U_t(ω);D_t(ω)).</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T2-F320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T2-F-22.19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dφ(X_t)=Lφ(X_t)dt+∇φ(X_t)σ(X_t)dW_t.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T2-F321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T2-F-22.20</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Lq=2φLφ+||σᵀ∇φ||².</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T2-F322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T2-F-22.21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σ_j(x)·∇φ(x)=0 for all j, Lφ(x)=0, x∈M.</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T2-F323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T2-F-22.22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R_{s,t}^{f_k}=f_k(X_t)-f_k(X_s)-∫_s^t Lf_k(X_r)dr.</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T2-F324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T2-F-22.23</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P(sup_t E_t ≥ 1/α)≤α.</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T2-F325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T2-F-22.24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Δ_stoch = Δ_MP ∪ Δ_Feller ∪ Δ_gen ∪ Δ_stop ∪ Δ_hit ∪ Δ_bar ∪ Δ_ctrl ∪ Δ_HJB ∪ Δ_do ∪ Δ_id ∪ Δ_λ ∪ Δ_cal ∪ Δ_ext.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T2-F326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T2-F-22.25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Δ_safe^{v0.19}=Δ_safe^{v0.18}∪Δ_stoch.</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T2-F327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T2-F-22.26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V(0,x)=0 =&gt; NO-HIT-IN-MODEL; 0&lt;V(0,x)≤α =&gt; RISK-BOUND≤α.</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T2-F328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T2-F-22.27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Block_stoch=B_basis∪B_MP∪B_gen∪B_stop∪B_bar∪B_ctrl∪B_do∪B_id∪B_λ∪B_cal∪B_ext.</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T2-F329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T2-F-22.28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checkpoint=T2-RP-v0.19; next=T2-RP-v0.20.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22. Stochastic Evolutions, Martingale Problems, Stopping Times, Control, and Causal Inference</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T2-F330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source=T2-RP-v0.19; checkpoint=T2-RP-v0.20.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T2-F331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-inf_{x∈A°} I(x) ≤ liminf_n a_n^{-1}log P(Z_n∈A) ≤ limsup_n a_n^{-1}log P(Z_n∈A) ≤ -inf_{x∈cl A}I(x).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T2-F332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limsup_n a_n^{-1}log P(Z_n∉K_M) ≤ -M.</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T2-F333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J(y)=inf{I(x):F(x)=y}, inf∅=∞.</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T2-F334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lim_n a_n^{-1}log E exp(a_n F(Z_n)) = sup_{x∈𝒳}{F(x)-I(x)}.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T2-F335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Λ(θ)=lim_n a_n^{-1}log E exp(a_n⟨θ,Z_n⟩).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T2-F336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T2-F-23.7</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I(Q)=D(Q||P),</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T2-F337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dX_t^ε=b(X_t^ε)dt+√ε σ(X_t^ε)dW_t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T2-F338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S_{0T}(φ)=1/2 ∫_0^T ⟨φ_dot-b(φ), a(φ)^{-1}(φ_dot-b(φ))⟩ dt,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T2-F339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T2-F-23.10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V(x,y)=inf_{T&gt;0} inf_{φ(0)=x, φ(T)=y} S_{0T}(φ).</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T2-F340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T2-F-23.11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z=(Rep, μ, Ass, o, λ, D, Dom).</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T2-F341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T2-F-23.12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A_{ε,η}={z(·): inf_t |λ_t+1|≤ε, ||o_t||≤η, Valid(D_t)=1, Block_t=∅}.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T2-F342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T2-F-23.13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c_{ε,η}=inf_{z(·)∈cl A_{ε,η}} I_path(z).</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T2-F343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T2-F-23.14</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L_T=(1/T)∫_0^T δ_{X_t}dt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T2-F344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T2-F-23.15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I_DV(μ)= -inf_{u&gt;0} ∫ (Lu/u)dμ.</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T2-F345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T2-F-23.16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(Q_t^V f)(x)=E_x[exp(∫_0^t V(X_s)ds) f(X_t)].</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T2-F346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T2-F-23.17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(S_t^{θ,V}g)(x)=θ^{-1} log E_x exp(θ[g(X_t)+∫_0^t V(X_s)ds]).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T2-F347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T2-F-23.18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H_θ f = θ^{-1}e^{-θf}L(e^{θf})+V.</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T2-F348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T2-F-23.19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H_θ f = Lf +(θ/2)||σᵀ∇f||²+V.</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T2-F349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T2-F-23.20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ρ(θ)=lim_{t→∞}(1/t)log E_x exp(θ∫_0^t V(X_s)ds).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T2-F350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T2-F-23.21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log E_P e^F = sup_{Q&lt;&lt;P}{E_Q F-D(Q||P)}.</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T2-F351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T2-F-23.22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J_θ(a)=limsup_{T→∞}(1/(θT))log E^a exp(θ∫_0^T c(X_t,a_t)dt)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T2-F352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T2-F-23.23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ρ+inf_a{L^a v+c(x,a)+(θ/2)||σ_aᵀ∇v||²}=0.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T2-F353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T2-F-23.24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lim_n a_n^{-1}log p_n=-c, c&gt;0</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T2-F354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T2-F-23.25</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p=P(A)=E_Q[1_A L].</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T2-F355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T2-F-23.26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U_N(ρ)={Q: d(Q,P_hat_N)≤ρ, Q∈𝒫_adm}.</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T2-F356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T2-F-23.27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sup_{D(Q||P_hat)≤ρ} E_Qℓ ≤ inf_{η&gt;0}{ηρ+η log E_{P_hat} exp(ℓ/η)}.</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T2-F357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T2-F-23.28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sup_{W_c(Q,P_hat)≤ρ}E_Qℓ = inf_{η≥0}{ηρ+E_{P_hat}[sup_z(ℓ(z)-ηc(z,ξ))]}.</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T2-F358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T2-F-23.29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P_data(P_*∈U_N(ρ_N(β)))≥1-β.</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T2-F359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T2-F-23.30</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P_*(A)≤sup_{Q∈U_N}Q(A).</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T2-F360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T2-F-23.31</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P_data(P_*(A)≤B_N(A))≥1-β.</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T2-F361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T2-F-23.32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p_U=1-α^{1/N}, coverage ≥1-α.</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T2-F362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T2-F-23.33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E[X]≤X_bar_N+sqrt(log(1/β)/(2N)).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T2-F363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T2-F-23.34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p_n(A) ≤ min{B_N^{rob}(A), C_n exp[-a_n(c_A-δ)]},</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T2-F364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T2-F-23.35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Rep_rate=(I_hat, topology, speed, solver, residuals; D_rate).</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T2-F365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T2-F-23.36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Cert_LD=(𝒳,τ,a_n,P_n,I,A,c_A,R_n,U_N,B_N,IS,λ,D,Dom,src,code,hash).</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T2-F366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T2-F-23.37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Δ_LD=Δ_speed∪Δ_top∪Δ_tight∪Δ_rate∪Δ_contract∪Δ_pole∪Δ_action∪Δ_inst.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T2-F367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T2-F-23.38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Δ_RS=Δ_FK∪Δ_expint∪Δ_eig∪Δ_HJB∪Δ_tilt∪Δ_IS.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T2-F368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T2-F-23.39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Δ_FS=Δ_iid∪Δ_dep∪Δ_tail∪Δ_amb∪Δ_cov∪Δ_sel∪Δ_stop∪Δ_shift∪Δ_ext.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T2-F369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T2-F-23.40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Δ_safe^{v0.20}=Δ_safe^{v0.19}∪Δ_LD∪Δ_RS∪Δ_FS.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T2-F370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T2-F-23.41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checkpoint=T2-RP-v0.20; next=T2-RP-v0.21.</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23. Large Deviations, Risk-Sensitive Semigroups, Rare-Event Geometry, and Finite-Sample Certification</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T2-F371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source=T2-RP-v0.20; checkpoint=T2-RP-v0.21.</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T2-F372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Q = (S_src, Ω, T, Y, A, Loss, Mode, α, β, L, D, Dom, Split, Policy).</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T2-F373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Z_j = (X_j, P_j, B_j, C_j, G_j, H_j, V_j),</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T2-F374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Λ_Rep = [N:Q] = [(U-R)(I-D): (U-D)(I-R)] ∈ P¹,</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T2-F375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Result(Y)=OK(Y,Cert,B) ⊔ ABSTAIN(Block) ⊔ FAIL(Witness).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T2-F376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F=(f, Pre_F, Post_F, T_F, E_F, Audit_F),</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T2-F377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(G⊙F)(x)=G(y) if F(x)=OK(y,C_F,B_F); otherwise it returns the same ABSTAIN or FAIL branch.</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T2-F378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B_{G⊙F}=T_G(T_F(B_in) ⊕ E_F) ⊕ E_G.</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T2-F379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B=(b_type,b_dom,b_alg,b_top,b_num,α_stat,𝒰_shift,b_causal,b_ext,σ_proof).</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T2-F380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T2-F-24.10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ε_out ≤ (Π_{k=1}^m L_k)ε_in + Σ_{j=1}^m (Π_{k=j+1}^m L_k) ε_j.</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T2-F381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T2-F-24.11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P(∪_{j=1}^m E_j) ≤ Σ_{j=1}^m α_j, α_tot=min(1,Σα_j).</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T2-F382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T2-F-24.12</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P_{H0}(∃t: E_t ≥ 1/α) ≤ α.</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T2-F383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T2-F-24.13</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𝒰_out ⊇ F_#(𝒰_in) ⊕ 𝒱_F.</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T2-F384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T2-F-24.14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C_comp=(value, interval, residual, dual_gap, discretization, seed, environment, code_hash, data_hash).</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T2-F385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T2-F-24.15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OPEN ≼ CONJ ≼ MODEL ≼ COMP ≼ COND ≼ THM; PHY-HYP forms a separate branch.</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T2-F386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T2-F-24.16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Interface(F,G;A)=PASS ⇔ Post_F ⇒ Pre_G∘A and Budget_G∘A is defined.</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T2-F387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T2-F-24.17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M_rel=(Q, Modules, Edges, Notation, Budgets, Policies, Sources, Code, Data, Env, HashRoot).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T2-F388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T2-F-24.18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𝔓_KLT(Q)=Gate_release ⊙ F_10 ⊙ ··· ⊙ F_1 ⊙ F_0 (Q).</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T2-F389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T2-F-24.19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𝔓_KLT = Release ⊙ Validate ⊙ Robust ⊙ Rare ⊙ Causal ⊙ Stoch ⊙ Evol ⊙ Global ⊙ Obstruct ⊙ NAPG ⊙ Reper ⊙ Ingest.</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T2-F390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T2-F-24.20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F₀(S)=OK(S*, Cert_src, B₀) or FAIL(HASH-MISMATCH) or ABSTAIN(SOURCE-AMBIGUOUS).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T2-F391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T2-F-24.21</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F₁(x)=OK(Rep_x,Λ_x,Cert_D) only if Valid(D_x)∧Admissible(Dom_x).</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T2-F392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T2-F-24.22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Cert_NAPG=(Ass_⊙, nuclei, invariants, atlas, cocycle, ∇,R_∇,Hol_D; Dom).</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T2-F393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T2-F-24.23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Π_E: 𝒪_B ⇀ H³(E), status(Π_E)≤COND until B1-B8 are closed.</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T2-F394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T2-F-24.24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GlobalOK ⇔ Descent∧Coherence∧Orientation∧Transport∧NoRequiredBlocker.</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T2-F395</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T2-F-24.25</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𝒰(t,r)𝒰(r,s)=𝒰(t,s), s≤r≤t, for compatible Dom.</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T2-F396</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T2-F-24.26</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P_obs(Y|X) ≠ P(Y|do(X)) without a structural bridge.</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T2-F397</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T2-F-24.27</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V_rare∈{IMPOSSIBLE-IN-MODEL, FINITE-SAMPLE-RISK-BOUND, EXPONENTIALLY-SUPPRESSED-IN-MODEL, CANDIDATE-RARE-TRANSITION, ABSTAIN}.</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T2-F398</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T2-F-24.28</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Release=OK ⇔ Required(V,Q)=PASS ∧ B≤B* ∧ Block_required=∅ ∧ HashChain=VALID.</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T2-F399</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T2-F-24.29</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V=(V_struct,V_geom,V_ob,V_global,V_dyn,V_prob,V_causal,V_phys).</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T2-F400</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T2-F-24.30</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Pred(Q)= {z∈𝒞(Q): margin(z,Δ_safe)≥m*, B(z)≼B*, Valid(D_z), Dom_z}.</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T2-F401</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T2-F-24.31</w:t>
            </w:r>
          </w:p>
        </w:tc>
        <w:tc>
          <w:tcPr>
            <w:tcW w:type="dxa" w:w="6917"/>
            <w:vAlign w:val="center"/>
            <w:tcMar>
              <w:top w:w="70" w:type="dxa"/>
              <w:start w:w="90" w:type="dxa"/>
              <w:bottom w:w="70" w:type="dxa"/>
              <w:end w:w="90" w:type="dxa"/>
            </w:tcMar>
          </w:tcPr>
          <w:p>
            <w:pPr>
              <w:spacing w:after="0" w:before="0" w:line="240" w:lineRule="auto"/>
              <w:jc w:val="center"/>
            </w:pPr>
            <w:r>
              <w:rPr>
                <w:rFonts w:ascii="Aptos" w:hAnsi="Aptos"/>
                <w:sz w:val="13"/>
              </w:rPr>
              <w:t>10×0.05=0.50, not 0.05.</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T2-F402</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T2-F-24.32</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INPUT Q, release_manifest M VERIFY source identities, schemas, notation and immutable hashes Z ← INGEST(Q) FOR F in [REPER,NAPG,GEOMETRY,OBSTRUCTION,GLOBAL,EVOLUTION,STOCHASTIC,CAUSAL,RARE,VALIDATE]: IF F is required by Q.Mode or M.policy: r ← F(Z) IF r = FAIL</w:t>
            </w:r>
          </w:p>
        </w:tc>
        <w:tc>
          <w:tcPr>
            <w:tcW w:type="dxa" w:w="5216"/>
            <w:vAlign w:val="center"/>
            <w:tcMar>
              <w:top w:w="70" w:type="dxa"/>
              <w:start w:w="90" w:type="dxa"/>
              <w:bottom w:w="70" w:type="dxa"/>
              <w:end w:w="90" w:type="dxa"/>
            </w:tcMar>
          </w:tcPr>
          <w:p>
            <w:pPr>
              <w:spacing w:after="0" w:before="0" w:line="240" w:lineRule="auto"/>
              <w:jc w:val="center"/>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T2-F403</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T2-F-24.33</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h_j = H(h_{j-1} || module_id || input_hash || output_hash || cert_hash || budget_hash).</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r>
        <w:tc>
          <w:tcPr>
            <w:tcW w:type="dxa" w:w="1360"/>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3"/>
              </w:rPr>
              <w:t>T2-F404</w:t>
            </w:r>
          </w:p>
        </w:tc>
        <w:tc>
          <w:tcPr>
            <w:tcW w:type="dxa" w:w="1587"/>
            <w:vAlign w:val="center"/>
            <w:tcMar>
              <w:top w:w="70" w:type="dxa"/>
              <w:start w:w="90" w:type="dxa"/>
              <w:bottom w:w="70" w:type="dxa"/>
              <w:end w:w="90" w:type="dxa"/>
            </w:tcMar>
          </w:tcPr>
          <w:p>
            <w:pPr>
              <w:spacing w:after="0" w:before="0" w:line="240" w:lineRule="auto"/>
              <w:jc w:val="left"/>
            </w:pPr>
            <w:r/>
            <w:r>
              <w:rPr>
                <w:rFonts w:ascii="Liberation Serif" w:hAnsi="Liberation Serif"/>
                <w:b w:val="0"/>
                <w:sz w:val="13"/>
              </w:rPr>
              <w:t>T2-F-24.34</w:t>
            </w:r>
          </w:p>
        </w:tc>
        <w:tc>
          <w:tcPr>
            <w:tcW w:type="dxa" w:w="6917"/>
            <w:vAlign w:val="center"/>
            <w:tcMar>
              <w:top w:w="70" w:type="dxa"/>
              <w:start w:w="90" w:type="dxa"/>
              <w:bottom w:w="70" w:type="dxa"/>
              <w:end w:w="90" w:type="dxa"/>
            </w:tcMar>
          </w:tcPr>
          <w:p>
            <w:pPr>
              <w:spacing w:after="0" w:before="0" w:line="240" w:lineRule="auto"/>
              <w:jc w:val="left"/>
            </w:pPr>
            <w:r>
              <w:rPr>
                <w:rFonts w:ascii="Aptos" w:hAnsi="Aptos"/>
                <w:sz w:val="13"/>
              </w:rPr>
              <w:t>truth_layer_promotion=0; checkpoint=T2-RP-v0.21; source=T2-RP-v0.20; next=T2-RP-v0.22.</w:t>
            </w:r>
          </w:p>
        </w:tc>
        <w:tc>
          <w:tcPr>
            <w:tcW w:type="dxa" w:w="5216"/>
            <w:vAlign w:val="center"/>
            <w:tcMar>
              <w:top w:w="70" w:type="dxa"/>
              <w:start w:w="90" w:type="dxa"/>
              <w:bottom w:w="70" w:type="dxa"/>
              <w:end w:w="90" w:type="dxa"/>
            </w:tcMar>
          </w:tcPr>
          <w:p>
            <w:pPr>
              <w:spacing w:after="0" w:before="0" w:line="240" w:lineRule="auto"/>
              <w:jc w:val="left"/>
            </w:pPr>
            <w:r>
              <w:rPr>
                <w:rFonts w:ascii="Aptos" w:hAnsi="Aptos"/>
                <w:sz w:val="13"/>
              </w:rPr>
              <w:t>Chapter 24. End-to-End KLT-RBD Predictive Operator, Budget Composition, and Final Falsifiability</w:t>
            </w:r>
          </w:p>
        </w:tc>
        <w:tc>
          <w:tcPr>
            <w:tcW w:type="dxa" w:w="850"/>
            <w:vAlign w:val="center"/>
            <w:tcMar>
              <w:top w:w="70" w:type="dxa"/>
              <w:start w:w="90" w:type="dxa"/>
              <w:bottom w:w="70" w:type="dxa"/>
              <w:end w:w="90" w:type="dxa"/>
            </w:tcMar>
          </w:tcPr>
          <w:p>
            <w:pPr>
              <w:spacing w:after="0" w:before="0" w:line="240" w:lineRule="auto"/>
              <w:jc w:val="left"/>
            </w:pPr>
            <w:r>
              <w:rPr>
                <w:rFonts w:ascii="Aptos" w:hAnsi="Aptos"/>
                <w:sz w:val="13"/>
              </w:rPr>
              <w:t>internal locator</w:t>
            </w:r>
          </w:p>
        </w:tc>
      </w:tr>
    </w:tbl>
    <w:p>
      <w:pPr>
        <w:pStyle w:val="Heading1"/>
        <w:keepNext/>
      </w:pPr>
      <w:bookmarkStart w:id="1027" w:name="T2_APP_D"/>
      <w:r>
        <w:rPr>
          <w:rFonts w:ascii="Liberation Serif" w:hAnsi="Liberation Serif"/>
          <w:b/>
          <w:color w:val="1F4E79"/>
          <w:sz w:val="32"/>
        </w:rPr>
        <w:t>Appendix T2-D. Subject Index</w:t>
      </w:r>
      <w:bookmarkEnd w:id="1027"/>
    </w:p>
    <w:p>
      <w:pPr>
        <w:spacing w:after="120"/>
      </w:pPr>
      <w:r>
        <w:rPr>
          <w:rFonts w:ascii="Liberation Serif" w:hAnsi="Liberation Serif"/>
          <w:b w:val="0"/>
          <w:sz w:val="19"/>
        </w:rPr>
        <w:t>Locators point to primary sections. Selection of a locator does not imply that the term is absent from other chapters. Controlled project terms retain their normative English forms from the T1-T3 terminology ledger.</w:t>
      </w:r>
    </w:p>
    <w:tbl>
      <w:tblPr>
        <w:tblW w:type="auto" w:w="0"/>
        <w:jc w:val="center"/>
        <w:tblLook w:firstColumn="1" w:firstRow="1" w:lastColumn="0" w:lastRow="0" w:noHBand="0" w:noVBand="1" w:val="04A0"/>
        <w:tblBorders>
          <w:top w:val="single" w:sz="4" w:space="0" w:color="9AA8B8"/>
          <w:left w:val="single" w:sz="4" w:space="0" w:color="9AA8B8"/>
          <w:bottom w:val="single" w:sz="4" w:space="0" w:color="9AA8B8"/>
          <w:right w:val="single" w:sz="4" w:space="0" w:color="9AA8B8"/>
          <w:insideH w:val="single" w:sz="4" w:space="0" w:color="9AA8B8"/>
          <w:insideV w:val="single" w:sz="4" w:space="0" w:color="9AA8B8"/>
        </w:tblBorders>
      </w:tblPr>
      <w:tblGrid>
        <w:gridCol w:w="15478"/>
      </w:tblGrid>
      <w:tr>
        <w:tc>
          <w:tcPr>
            <w:tcW w:type="dxa" w:w="15478"/>
            <w:shd w:fill="F2F5F8"/>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STATUS FRAME. The appendix registries preserve the authority relation Authority(T2-RU v1.0) &gt; Authority(T2-EN). A registry row records a source object, obligation, formula, locator, or release check; it does not strengthen its mathematical or physical status. truth_layer_promotion=0; independent EXT-RUN and EMP-OBS remain absent.</w:t>
            </w:r>
          </w:p>
        </w:tc>
        <w:trPr>
          <w:tblHeader/>
        </w:trPr>
      </w:tr>
    </w:tbl>
    <w:tbl>
      <w:tblPr>
        <w:tblW w:type="auto" w:w="0"/>
        <w:jc w:val="center"/>
        <w:tblLayout w:type="fixed"/>
        <w:tblLook w:firstColumn="1" w:firstRow="1" w:lastColumn="0" w:lastRow="0" w:noHBand="0" w:noVBand="1" w:val="04A0"/>
        <w:tblBorders>
          <w:top w:val="single" w:sz="4" w:space="0" w:color="9AA8B8"/>
          <w:left w:val="single" w:sz="4" w:space="0" w:color="9AA8B8"/>
          <w:bottom w:val="single" w:sz="4" w:space="0" w:color="9AA8B8"/>
          <w:right w:val="single" w:sz="4" w:space="0" w:color="9AA8B8"/>
          <w:insideH w:val="single" w:sz="4" w:space="0" w:color="9AA8B8"/>
          <w:insideV w:val="single" w:sz="4" w:space="0" w:color="9AA8B8"/>
        </w:tblBorders>
      </w:tblPr>
      <w:tblGrid>
        <w:gridCol w:w="5159"/>
        <w:gridCol w:w="5159"/>
        <w:gridCol w:w="5159"/>
      </w:tblGrid>
      <w:tr>
        <w:trPr>
          <w:tblHeader w:val="true"/>
        </w:trPr>
        <w:tc>
          <w:tcPr>
            <w:tcW w:type="dxa" w:w="3118"/>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Term</w:t>
            </w:r>
          </w:p>
        </w:tc>
        <w:tc>
          <w:tcPr>
            <w:tcW w:type="dxa" w:w="8505"/>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Primary locators</w:t>
            </w:r>
          </w:p>
        </w:tc>
        <w:tc>
          <w:tcPr>
            <w:tcW w:type="dxa" w:w="4309"/>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Comment</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ABSTAIN</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12. Chapter 4. Graded packet algebra and strict selector; 31. Dual predictive gate KLT-RBD; 33. Computational certificate v0.4; 38. Packet, Reper and Hodge-bundles</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ABSTAIN under an unresolved mandatory blocker.</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CertKLT</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376. Category certified partial operator; 378. Theorem about correct category CertKLT; 390. Definition end-to-end operator KLT-RBD; 405. Proof Theorems 24.4</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Category of certified partial operators.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CGI</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65. Holonomy invariants predict method; 186. Transition index and projective-harmonic layer; 208. Global structural profile; 226. Probabilistic bridge</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Causal/structural gap index.</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 / sufficient foundation</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36. NAPG-atlases and groupoid transition; 38. Packet, Reper and Hodge-bundles; 39. Global Cohomological Obstructions; 41. Predictive Reper Bundle / fibration</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Evidence package and provenance.</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Dom / admissible domain</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10. Chapter 2. Frozen Notation Registry; 12. Chapter 4. Graded packet algebra and strict selector; 16. Bibliographic synchronization v0.2; 19. Chapter 5. Associator, R⋆R, nuclei, centers, and invariants</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Typed domain of applicability.</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EXT-RUN</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260. Counterexamples and separating models; 261. Computational certificate MOT-REF-SER-DYN v0.17; 286. Theorem constancy temporal profile; 321. Main conditional theorem v0.19</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Independent external run.</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F-1-F-14</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Checkpoint T2-RP-v0.1; 81. Computational certificate DIFF-NAPG v0.8; 115. Conclusion chapter and checkpoint point T2-RP-v0.10; Chapter 21. Nonlinear evolution semigroups, transfer opera</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Physical hypotheses without status promotion.</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Fano barrier</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Chapter 19. Fano barrier and finite projective carriers; 121. Local carriers and Fano globalization firewall; 130. Prior art and boundary authorial contribution</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Local-to-global barrier for obstruction carriers.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Fredholm</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76. Hodge-layer: codifferential and Laplacian without substitution notation; 131. Conclusion chapter and checkpoint point T2-RP-v0.11; 135. Elliptic complex and operators Laplacian type</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Closed ranges, index, and compact resolvent.</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Hodge</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Chapter 11. Hodge-layer, δ_Hdg and Δ_Hdg; Bibliographic initial shelf; 19. Chapter 5. Associator, R⋆R, nuclei, centers, and invariants</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Hodge operator, decomposition, and spectral gap.</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KLT-RBD</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Bibliographic initial shelf; 16. Bibliographic synchronization v0.2; 19. Chapter 5. Associator, R⋆R, nuclei, centers, and invariants; 22. Bibliographic synchronization v0.3</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Computational and evidential architecture.</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Kuranishi</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149. Chapter 16. Deformation functor, spaces moduli; 157. Hodge-Green contraction data; 158. Recursion Kuranishi</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Local model of the moduli space.</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LDP / large deviations</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327. Checkpoint and boundary conclusion; Chapter 23. Large deviations, risk-sensitive semigroups, geometry; 369. Prior art and boundary authorial contribution</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Rare-event asymptotics.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martingale problem</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292. Checkpoint and boundary conclusion; Chapter 22. Stochastic evolution, martingale problems, stop; 296. Resolvent and equations Kolmogorov</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Specification of the process law.</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NAPG</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Chapter 3. Category NAPG, objects, morphisms and domain defines; Chapter 13. External E-layer and map Π_E; Bibliographic initial shelf; 10. Chapter 2. Frozen Notation Registry</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Nonassociative packet Reper geometry.</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PILOT-01</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Bibliographic initial shelf; 16. Bibliographic synchronization v0.2; 69. Evidence obligations, bibliographic and checkpoint; 82. Evidence obligations, sources and checkpoint point</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Formula-chain audit.</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PN.2</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Checkpoint T2-RP-v0.1; Bibliographic initial shelf; 115. Conclusion chapter and checkpoint point T2-RP-v0.10; Chapter 21. Nonlinear evolution semigroups, transfer opera</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Minimax principle in the fixed model.</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Reper</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10. Chapter 2. Frozen Notation Registry; 12. Chapter 4. Graded packet algebra and strict selector; 19. Chapter 5. Associator, R⋆R, nuclei, centers, and invariants; 25. Chapter 6. Packet-Reper-Reper algebra-geometric dualities</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The quadruple (R,I,U;D) and its morphisms.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R⋆R</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Chapter 5. Associator, R⋆R, nuclei, centers, and invariants; 19. Chapter 5. Associator, R⋆R, nuclei, centers, and invariants; 22. Bibliographic synchronization v0.3; 32. Geometric meaning R-star-R</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Quadratic-alternating associator certificate.</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wall-crossing</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173. Prior art, boundary authorial contribution and checkpoint point; 177. Wall-crossing operator and limit its correct; 183. Wall-crossing and monodromy: path dependence</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Change of chambers, branches, and invariants.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lambda-harmonicity</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36. NAPG-atlases and groupoid transition; 38. Packet, Reper and Hodge-bundles; 53. Differential of the Projective-Harmonic Coordinate; 55. Computational certificate tangent/cotangent v0.6</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Projective-harmonic candidate.</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accretive generator</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267. Accretive and m-accretive generators; 283. Stability to perturbations and error trajectories; 286. Theorem constancy temporal profile; 291. Prior art and boundary authorial contribution</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Nonlinear semigroups.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associator</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Chapter 5. Associator, R⋆R, nuclei, centers, and invariants; Chapter 9. Connection, curvature, holonomy and associator curvature; Chapter 13. External E-layer and map Π_E</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Failure of associativity and its invariants.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atlas</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Chapter 7. Atlases, bundles and packet manifold; 25. Chapter 6. Packet-Reper-Reper algebra-geometric dualities; 29. Projective-Reper atlases and global harmonic coordin</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Local charts and transitions.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barrier function</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Chapter 19. Fano barrier and finite projective carriers; 121. Local carriers and Fano globalization firewall; 130. Prior art and boundary authorial contribution; 306. Stochastic barrier certificate</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Bounds on hitting probability.</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error budget</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370. Checkpoint and boundary conclusion; Chapter 24. End-to-end predictive operator KLT-RBD, composition; 372. Predictive query as typed object</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Vector composition of errors.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virtual class</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194. Three level global spaces moduli; 195. Local maps Kuranishi and footprints; 198. Virtual tangent complex</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Virtual cycles and the enumerative layer.</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external E-bridge</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Chapter 13. External E-layer and map Π_E; 75. Internal and external layers: total operator and mixed defect; 80. Main conditional theorem v0.8; 93. Main conditional theorem predict method v0.9</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Map from the internal obstruction to the external complex.</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holonomy</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Chapter 9. Connection, curvature, holonomy and associator curvature; 58. Chapter 9: connection, curvature, holonomy and associator; 59. Typed NAPG-connection and D-admissible paths</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Parallel transport along closed loops.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graded algebra</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Chapter 4. Graded algebra (𝕂, 𝒜•, ⊙, 𝔊); 12. Chapter 4. Graded packet algebra and strict selector; 48. Tangent cone and singular sector; 72. Graded Leibniz calculus and differentiation defect</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Algebraic carrier of NAPG.</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dependency graph</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Map dependencies; Chapter 21. Register theorems and graph dependencies; 389. Global contract release; 412. Protocol falsifi</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Damage scope under falsification.</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deformation functor</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27. Conditional pair Spec_R / Gamma_R; 39. Global Cohomological Obstructions; 77. Differential Reper and λ-harmonic; 150. Category Artinian bases and deformation functor</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Deformations over Artinian rings.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differential forms</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Chapter 10. Differenti forms and typed differentiation; 38. Packet, Reper and Hodge-bundles; 47. Four Constructions of the Tangent Object</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Precomplex, d^2, and the Leibniz firewall.</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evidence obligation</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Passport release tom2_v0_22; 64. Akivis/Sabinin-bridge and its evidence obligations; 75. Internal and external layers: total operator and mixed defect; 119. Stratification obstruction carrier</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Register of closure conditions.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lambda-invariance</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see. general corpus</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Projective invariance of the cross-ratio.</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causality</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264. Checkpoint and boundary conclusion; 285. Transition horizons chapter 21; 289. Computational certificate EVOL-TRANSFER-PATH v0.18</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Separation of forecast from the intervention law.</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cohomology</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Chapter 15. Fromcarrier and reduced cohomology; 39. Global Cohomological Obstructions; 50. Tangent complex and cotangent duality; 73. Why d²=0 not is automatic</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H^2/H^3 and obstruction carriers.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counterexample</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Map dependencies; Chapter 1. Interface with Volume I and boundaries subject; Chapter 2. Frozen Notation Registry; Chapter 3. Category NAPG, objects, morphisms and domain defines</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Negative tests of strong formulations.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curvature</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Chapter 9. Connection, curvature, holonomy and associator curvature; 58. Chapter 9: connection, curvature, holonomy and associator; 60. Curvature, small contours and D-holonomy; 62. Covariant derivative and associator curvature</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Connection and associator curvature.</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Markov semigroup</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252. Semigroups, generators and transfer operators; 260. Counterexamples and separating models; 271. Markov kernels and Chapman-Kolmogorov; 274. Causal Volterra kernels and memory</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Stochastic evolution.</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minimal complex</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Chapter 12. Internal minimal complex C_min•, δ_min and Θ_; 82. Evidence obligations, sources and checkpoint point; 83. Chapter 12. Internal construction C_min^•, δ_min and Θ_min; 84. Definition Core: quadratic frame and minimal complex</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Internal obstruction complex.</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monodromy</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39. Global Cohomological Obstructions; 173. Prior art, boundary authorial contribution and checkpoint point; 180. Branches, normalization and branch ledger</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Permutation of branches.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motivic invariant</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237. Checkpoint and boundary conclusion; 240. Motivic carrier and Grothendieck-ring varieties; 243. Motivic vanishing cycles and orientation data</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Refined/motivic carriers.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non-anticipation</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271. Markov kernels and Chapman-Kolmogorov; 274. Causal Volterra kernels and memory; 275. Non-anticipation as strict causal firewall; 284. Dynamic and causal vector residuals</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Temporal causal firewall.</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obstruction</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Chapter 13. External E-layer and map Π_E; Chapter 14. Obstruction spaces and projectivization; Chapter 16. Deformations, moduli spaces and obstructions</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Class obstructing a lift.</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homogeneous coordinate Lambda</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374. Homogeneous Reper-coordinate without artificial poles</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Pole-safe projective coordinate.</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Kuranishi operator</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19. Chapter 5. Associator, R⋆R, nuclei, centers, and invariants; 27. Conditional pair Spec_R / Gamma_R; 31. Dual predictive gate KLT-RBD; 33. Computational certificate v0.4</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Higher obstructions.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stopping time</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292. Checkpoint and boundary conclusion; Chapter 22. Stochastic evolution, martingale problems, stop; 293. Stochastic basis and usual conditions</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Optional sampling and sequential tests.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parallel transport</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59. Typed NAPG-connection and D-admissible paths; 60. Curvature, small contours and D-holonomy; 61. Compatibility connection with packet multiplication; 62. Covariant derivative and associator curvature</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Transport in NAPG bundles.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subject index</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see. general corpus</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Navigation layer v0.22.</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projectivization</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116. Chapter 14. Obstruction spaces and projective carrier; 117. Projective spaces obstructions; 130. Prior art and boundary authorial contribution</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Loss of scale and the zero class.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generating series</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237. Checkpoint and boundary conclusion; Chapter 20. Categor, motivic and refined virtual; 247. Generating series as completed graded object</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A formal series is not time.</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moduli space</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Chapter 16. Deformations, moduli spaces and obstructions; 25. Chapter 6. Packet-Reper-Reper algebra-geometric dualities; 38. Packet, Reper and Hodge-bundles; 39. Global Cohomological Obstructions</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Coarse, stacky, and derived levels.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rare event</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327. Checkpoint and boundary conclusion; 339. Rare geometry Reper-path; 340. Poles λ and extended contraction firewall</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Risk bounds and action barriers.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robust set</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327. Checkpoint and boundary conclusion; 352. Ambiguity sets: robust layer; 353. KL and f-divergence ambiguity</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KL/Wasserstein uncertainty sets.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connection</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Chapter 9. Connection, curvature, holonomy and associator curvature; 58. Chapter 9: connection, curvature, holonomy and associator; 59. Typed NAPG-connection and D-admissible paths</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Connection on an NAPG bundle.</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stratification</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71. Frozen notation and four type operator; 76. Hodge-layer: codifferential and Laplacian without substitution notation; 130. Prior art and boundary authorial contribution; 137. Stratified Hodge-realization NAPG</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Whitney strata and transition loci.</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falsifiability</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Contents and assembly route; 370. Checkpoint and boundary conclusion; Chapter 24. End-to-end predictive operator KLT-RBD, composition; 408. Counterexample: inflation probabilistic budget</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Negative interfaces of claims.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formula index</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see. general corpus</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404 stable formula IDs.</w:t>
            </w:r>
          </w:p>
        </w:tc>
      </w:tr>
      <w:tr>
        <w:tc>
          <w:tcPr>
            <w:tcW w:type="dxa" w:w="3118"/>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4"/>
              </w:rPr>
              <w:t>hash chain</w:t>
            </w:r>
          </w:p>
        </w:tc>
        <w:tc>
          <w:tcPr>
            <w:tcW w:type="dxa" w:w="8505"/>
            <w:vAlign w:val="center"/>
            <w:tcMar>
              <w:top w:w="70" w:type="dxa"/>
              <w:start w:w="90" w:type="dxa"/>
              <w:bottom w:w="70" w:type="dxa"/>
              <w:end w:w="90" w:type="dxa"/>
            </w:tcMar>
          </w:tcPr>
          <w:p>
            <w:pPr>
              <w:spacing w:after="0" w:before="0" w:line="240" w:lineRule="auto"/>
              <w:jc w:val="left"/>
            </w:pPr>
            <w:r>
              <w:rPr>
                <w:rFonts w:ascii="Aptos" w:hAnsi="Aptos"/>
                <w:sz w:val="13"/>
              </w:rPr>
              <w:t>400. F₁₀-F₁₁: external check and release gate</w:t>
            </w:r>
          </w:p>
        </w:tc>
        <w:tc>
          <w:tcPr>
            <w:tcW w:type="dxa" w:w="4309"/>
            <w:vAlign w:val="center"/>
            <w:tcMar>
              <w:top w:w="70" w:type="dxa"/>
              <w:start w:w="90" w:type="dxa"/>
              <w:bottom w:w="70" w:type="dxa"/>
              <w:end w:w="90" w:type="dxa"/>
            </w:tcMar>
          </w:tcPr>
          <w:p>
            <w:pPr>
              <w:spacing w:after="0" w:before="0" w:line="240" w:lineRule="auto"/>
              <w:jc w:val="left"/>
            </w:pPr>
            <w:r>
              <w:rPr>
                <w:rFonts w:ascii="Aptos" w:hAnsi="Aptos"/>
                <w:sz w:val="13"/>
              </w:rPr>
              <w:t>Byte-level reproducibility.</w:t>
            </w:r>
          </w:p>
        </w:tc>
      </w:tr>
    </w:tbl>
    <w:p>
      <w:pPr>
        <w:pStyle w:val="Heading1"/>
        <w:keepNext/>
      </w:pPr>
      <w:bookmarkStart w:id="1028" w:name="T2_APP_E"/>
      <w:r>
        <w:rPr>
          <w:rFonts w:ascii="Liberation Serif" w:hAnsi="Liberation Serif"/>
          <w:b/>
          <w:color w:val="1F4E79"/>
          <w:sz w:val="32"/>
        </w:rPr>
        <w:t>Appendix T2-E. Accessibility and Publication-Gate Checklist</w:t>
      </w:r>
      <w:bookmarkEnd w:id="1028"/>
    </w:p>
    <w:tbl>
      <w:tblPr>
        <w:tblW w:type="auto" w:w="0"/>
        <w:jc w:val="center"/>
        <w:tblLook w:firstColumn="1" w:firstRow="1" w:lastColumn="0" w:lastRow="0" w:noHBand="0" w:noVBand="1" w:val="04A0"/>
        <w:tblBorders>
          <w:top w:val="single" w:sz="4" w:space="0" w:color="9AA8B8"/>
          <w:left w:val="single" w:sz="4" w:space="0" w:color="9AA8B8"/>
          <w:bottom w:val="single" w:sz="4" w:space="0" w:color="9AA8B8"/>
          <w:right w:val="single" w:sz="4" w:space="0" w:color="9AA8B8"/>
          <w:insideH w:val="single" w:sz="4" w:space="0" w:color="9AA8B8"/>
          <w:insideV w:val="single" w:sz="4" w:space="0" w:color="9AA8B8"/>
        </w:tblBorders>
      </w:tblPr>
      <w:tblGrid>
        <w:gridCol w:w="15478"/>
      </w:tblGrid>
      <w:tr>
        <w:tc>
          <w:tcPr>
            <w:tcW w:type="dxa" w:w="15478"/>
            <w:shd w:fill="F2F5F8"/>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STATUS FRAME. The appendix registries preserve the authority relation Authority(T2-RU v1.0) &gt; Authority(T2-EN). A registry row records a source object, obligation, formula, locator, or release check; it does not strengthen its mathematical or physical status. truth_layer_promotion=0; independent EXT-RUN and EMP-OBS remain absent.</w:t>
            </w:r>
          </w:p>
        </w:tc>
        <w:trPr>
          <w:tblHeader/>
        </w:trPr>
      </w:tr>
    </w:tbl>
    <w:tbl>
      <w:tblPr>
        <w:tblW w:type="auto" w:w="0"/>
        <w:jc w:val="center"/>
        <w:tblLayout w:type="fixed"/>
        <w:tblLook w:firstColumn="1" w:firstRow="1" w:lastColumn="0" w:lastRow="0" w:noHBand="0" w:noVBand="1" w:val="04A0"/>
        <w:tblBorders>
          <w:top w:val="single" w:sz="4" w:space="0" w:color="9AA8B8"/>
          <w:left w:val="single" w:sz="4" w:space="0" w:color="9AA8B8"/>
          <w:bottom w:val="single" w:sz="4" w:space="0" w:color="9AA8B8"/>
          <w:right w:val="single" w:sz="4" w:space="0" w:color="9AA8B8"/>
          <w:insideH w:val="single" w:sz="4" w:space="0" w:color="9AA8B8"/>
          <w:insideV w:val="single" w:sz="4" w:space="0" w:color="9AA8B8"/>
        </w:tblBorders>
      </w:tblPr>
      <w:tblGrid>
        <w:gridCol w:w="5159"/>
        <w:gridCol w:w="5159"/>
        <w:gridCol w:w="5159"/>
      </w:tblGrid>
      <w:tr>
        <w:trPr>
          <w:tblHeader w:val="true"/>
        </w:trPr>
        <w:tc>
          <w:tcPr>
            <w:tcW w:type="dxa" w:w="1701"/>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ID</w:t>
            </w:r>
          </w:p>
        </w:tc>
        <w:tc>
          <w:tcPr>
            <w:tcW w:type="dxa" w:w="9922"/>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Check</w:t>
            </w:r>
          </w:p>
        </w:tc>
        <w:tc>
          <w:tcPr>
            <w:tcW w:type="dxa" w:w="4309"/>
            <w:vAlign w:val="center"/>
            <w:tcMar>
              <w:top w:w="70" w:type="dxa"/>
              <w:start w:w="90" w:type="dxa"/>
              <w:bottom w:w="70" w:type="dxa"/>
              <w:end w:w="90" w:type="dxa"/>
            </w:tcMar>
            <w:shd w:fill="D9E5F2"/>
          </w:tcPr>
          <w:p>
            <w:pPr>
              <w:spacing w:after="0" w:before="0" w:line="240" w:lineRule="auto"/>
              <w:jc w:val="center"/>
            </w:pPr>
            <w:r/>
            <w:r>
              <w:rPr>
                <w:rFonts w:ascii="Liberation Serif" w:hAnsi="Liberation Serif"/>
                <w:b/>
                <w:sz w:val="14"/>
              </w:rPr>
              <w:t>Verdict</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6"/>
              </w:rPr>
              <w:t>A11Y-01</w:t>
            </w:r>
          </w:p>
        </w:tc>
        <w:tc>
          <w:tcPr>
            <w:tcW w:type="dxa" w:w="9922"/>
            <w:vAlign w:val="center"/>
            <w:tcMar>
              <w:top w:w="70" w:type="dxa"/>
              <w:start w:w="90" w:type="dxa"/>
              <w:bottom w:w="70" w:type="dxa"/>
              <w:end w:w="90" w:type="dxa"/>
            </w:tcMar>
          </w:tcPr>
          <w:p>
            <w:pPr>
              <w:spacing w:after="0" w:before="0" w:line="240" w:lineRule="auto"/>
              <w:jc w:val="left"/>
            </w:pPr>
            <w:r>
              <w:rPr>
                <w:rFonts w:ascii="Aptos" w:hAnsi="Aptos"/>
                <w:sz w:val="14"/>
              </w:rPr>
              <w:t>All images have nonempty alt text</w:t>
            </w:r>
          </w:p>
        </w:tc>
        <w:tc>
          <w:tcPr>
            <w:tcW w:type="dxa" w:w="4309"/>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PASS after OOXML remediation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6"/>
              </w:rPr>
              <w:t>A11Y-02</w:t>
            </w:r>
          </w:p>
        </w:tc>
        <w:tc>
          <w:tcPr>
            <w:tcW w:type="dxa" w:w="9922"/>
            <w:vAlign w:val="center"/>
            <w:tcMar>
              <w:top w:w="70" w:type="dxa"/>
              <w:start w:w="90" w:type="dxa"/>
              <w:bottom w:w="70" w:type="dxa"/>
              <w:end w:w="90" w:type="dxa"/>
            </w:tcMar>
          </w:tcPr>
          <w:p>
            <w:pPr>
              <w:spacing w:after="0" w:before="0" w:line="240" w:lineRule="auto"/>
              <w:jc w:val="left"/>
            </w:pPr>
            <w:r>
              <w:rPr>
                <w:rFonts w:ascii="Aptos" w:hAnsi="Aptos"/>
                <w:sz w:val="14"/>
              </w:rPr>
              <w:t>All tables have header row</w:t>
            </w:r>
          </w:p>
        </w:tc>
        <w:tc>
          <w:tcPr>
            <w:tcW w:type="dxa" w:w="4309"/>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PASS after OOXML remediation</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6"/>
              </w:rPr>
              <w:t>A11Y-03</w:t>
            </w:r>
          </w:p>
        </w:tc>
        <w:tc>
          <w:tcPr>
            <w:tcW w:type="dxa" w:w="9922"/>
            <w:vAlign w:val="center"/>
            <w:tcMar>
              <w:top w:w="70" w:type="dxa"/>
              <w:start w:w="90" w:type="dxa"/>
              <w:bottom w:w="70" w:type="dxa"/>
              <w:end w:w="90" w:type="dxa"/>
            </w:tcMar>
          </w:tcPr>
          <w:p>
            <w:pPr>
              <w:spacing w:after="0" w:before="0" w:line="240" w:lineRule="auto"/>
              <w:jc w:val="left"/>
            </w:pPr>
            <w:r>
              <w:rPr>
                <w:rFonts w:ascii="Aptos" w:hAnsi="Aptos"/>
                <w:sz w:val="14"/>
              </w:rPr>
              <w:t>Primary document language en-US</w:t>
            </w:r>
          </w:p>
        </w:tc>
        <w:tc>
          <w:tcPr>
            <w:tcW w:type="dxa" w:w="4309"/>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PASS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6"/>
              </w:rPr>
              <w:t>A11Y-04</w:t>
            </w:r>
          </w:p>
        </w:tc>
        <w:tc>
          <w:tcPr>
            <w:tcW w:type="dxa" w:w="9922"/>
            <w:vAlign w:val="center"/>
            <w:tcMar>
              <w:top w:w="70" w:type="dxa"/>
              <w:start w:w="90" w:type="dxa"/>
              <w:bottom w:w="70" w:type="dxa"/>
              <w:end w:w="90" w:type="dxa"/>
            </w:tcMar>
          </w:tcPr>
          <w:p>
            <w:pPr>
              <w:spacing w:after="0" w:before="0" w:line="240" w:lineRule="auto"/>
              <w:jc w:val="left"/>
            </w:pPr>
            <w:r>
              <w:rPr>
                <w:rFonts w:ascii="Aptos" w:hAnsi="Aptos"/>
                <w:sz w:val="14"/>
              </w:rPr>
              <w:t>Headings Heading 1/2 form outline</w:t>
            </w:r>
          </w:p>
        </w:tc>
        <w:tc>
          <w:tcPr>
            <w:tcW w:type="dxa" w:w="4309"/>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PASS/verify in PDF</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6"/>
              </w:rPr>
              <w:t>NAV-01</w:t>
            </w:r>
          </w:p>
        </w:tc>
        <w:tc>
          <w:tcPr>
            <w:tcW w:type="dxa" w:w="9922"/>
            <w:vAlign w:val="center"/>
            <w:tcMar>
              <w:top w:w="70" w:type="dxa"/>
              <w:start w:w="90" w:type="dxa"/>
              <w:bottom w:w="70" w:type="dxa"/>
              <w:end w:w="90" w:type="dxa"/>
            </w:tcMar>
          </w:tcPr>
          <w:p>
            <w:pPr>
              <w:spacing w:after="0" w:before="0" w:line="240" w:lineRule="auto"/>
              <w:jc w:val="left"/>
            </w:pPr>
            <w:r>
              <w:rPr>
                <w:rFonts w:ascii="Aptos" w:hAnsi="Aptos"/>
                <w:sz w:val="14"/>
              </w:rPr>
              <w:t>Typed theorem IDs unique</w:t>
            </w:r>
          </w:p>
        </w:tc>
        <w:tc>
          <w:tcPr>
            <w:tcW w:type="dxa" w:w="4309"/>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PASS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6"/>
              </w:rPr>
              <w:t>NAV-02</w:t>
            </w:r>
          </w:p>
        </w:tc>
        <w:tc>
          <w:tcPr>
            <w:tcW w:type="dxa" w:w="9922"/>
            <w:vAlign w:val="center"/>
            <w:tcMar>
              <w:top w:w="70" w:type="dxa"/>
              <w:start w:w="90" w:type="dxa"/>
              <w:bottom w:w="70" w:type="dxa"/>
              <w:end w:w="90" w:type="dxa"/>
            </w:tcMar>
          </w:tcPr>
          <w:p>
            <w:pPr>
              <w:spacing w:after="0" w:before="0" w:line="240" w:lineRule="auto"/>
              <w:jc w:val="left"/>
            </w:pPr>
            <w:r>
              <w:rPr>
                <w:rFonts w:ascii="Aptos" w:hAnsi="Aptos"/>
                <w:sz w:val="14"/>
              </w:rPr>
              <w:t>Formula IDs unique</w:t>
            </w:r>
          </w:p>
        </w:tc>
        <w:tc>
          <w:tcPr>
            <w:tcW w:type="dxa" w:w="4309"/>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PASS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6"/>
              </w:rPr>
              <w:t>NAV-03</w:t>
            </w:r>
          </w:p>
        </w:tc>
        <w:tc>
          <w:tcPr>
            <w:tcW w:type="dxa" w:w="9922"/>
            <w:vAlign w:val="center"/>
            <w:tcMar>
              <w:top w:w="70" w:type="dxa"/>
              <w:start w:w="90" w:type="dxa"/>
              <w:bottom w:w="70" w:type="dxa"/>
              <w:end w:w="90" w:type="dxa"/>
            </w:tcMar>
          </w:tcPr>
          <w:p>
            <w:pPr>
              <w:spacing w:after="0" w:before="0" w:line="240" w:lineRule="auto"/>
              <w:jc w:val="left"/>
            </w:pPr>
            <w:r>
              <w:rPr>
                <w:rFonts w:ascii="Aptos" w:hAnsi="Aptos"/>
                <w:sz w:val="14"/>
              </w:rPr>
              <w:t>PO range continuous</w:t>
            </w:r>
          </w:p>
        </w:tc>
        <w:tc>
          <w:tcPr>
            <w:tcW w:type="dxa" w:w="4309"/>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PASS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6"/>
              </w:rPr>
              <w:t>NAV-04</w:t>
            </w:r>
          </w:p>
        </w:tc>
        <w:tc>
          <w:tcPr>
            <w:tcW w:type="dxa" w:w="9922"/>
            <w:vAlign w:val="center"/>
            <w:tcMar>
              <w:top w:w="70" w:type="dxa"/>
              <w:start w:w="90" w:type="dxa"/>
              <w:bottom w:w="70" w:type="dxa"/>
              <w:end w:w="90" w:type="dxa"/>
            </w:tcMar>
          </w:tcPr>
          <w:p>
            <w:pPr>
              <w:spacing w:after="0" w:before="0" w:line="240" w:lineRule="auto"/>
              <w:jc w:val="left"/>
            </w:pPr>
            <w:r>
              <w:rPr>
                <w:rFonts w:ascii="Aptos" w:hAnsi="Aptos"/>
                <w:sz w:val="14"/>
              </w:rPr>
              <w:t>Internal anchors resolvable</w:t>
            </w:r>
          </w:p>
        </w:tc>
        <w:tc>
          <w:tcPr>
            <w:tcW w:type="dxa" w:w="4309"/>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PASS/verify after save</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6"/>
              </w:rPr>
              <w:t>PDF-01</w:t>
            </w:r>
          </w:p>
        </w:tc>
        <w:tc>
          <w:tcPr>
            <w:tcW w:type="dxa" w:w="9922"/>
            <w:vAlign w:val="center"/>
            <w:tcMar>
              <w:top w:w="70" w:type="dxa"/>
              <w:start w:w="90" w:type="dxa"/>
              <w:bottom w:w="70" w:type="dxa"/>
              <w:end w:w="90" w:type="dxa"/>
            </w:tcMar>
          </w:tcPr>
          <w:p>
            <w:pPr>
              <w:spacing w:after="0" w:before="0" w:line="240" w:lineRule="auto"/>
              <w:jc w:val="left"/>
            </w:pPr>
            <w:r>
              <w:rPr>
                <w:rFonts w:ascii="Aptos" w:hAnsi="Aptos"/>
                <w:sz w:val="14"/>
              </w:rPr>
              <w:t>Text is extracted without OCR</w:t>
            </w:r>
          </w:p>
        </w:tc>
        <w:tc>
          <w:tcPr>
            <w:tcW w:type="dxa" w:w="4309"/>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VERIFY AFTER EXPORT</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6"/>
              </w:rPr>
              <w:t>PDF-02</w:t>
            </w:r>
          </w:p>
        </w:tc>
        <w:tc>
          <w:tcPr>
            <w:tcW w:type="dxa" w:w="9922"/>
            <w:vAlign w:val="center"/>
            <w:tcMar>
              <w:top w:w="70" w:type="dxa"/>
              <w:start w:w="90" w:type="dxa"/>
              <w:bottom w:w="70" w:type="dxa"/>
              <w:end w:w="90" w:type="dxa"/>
            </w:tcMar>
          </w:tcPr>
          <w:p>
            <w:pPr>
              <w:spacing w:after="0" w:before="0" w:line="240" w:lineRule="auto"/>
              <w:jc w:val="left"/>
            </w:pPr>
            <w:r>
              <w:rPr>
                <w:rFonts w:ascii="Aptos" w:hAnsi="Aptos"/>
                <w:sz w:val="14"/>
              </w:rPr>
              <w:t>Count pages and outline verif</w:t>
            </w:r>
          </w:p>
        </w:tc>
        <w:tc>
          <w:tcPr>
            <w:tcW w:type="dxa" w:w="4309"/>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VERIFY AFTER EXPORT</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6"/>
              </w:rPr>
              <w:t>PUB-01</w:t>
            </w:r>
          </w:p>
        </w:tc>
        <w:tc>
          <w:tcPr>
            <w:tcW w:type="dxa" w:w="9922"/>
            <w:vAlign w:val="center"/>
            <w:tcMar>
              <w:top w:w="70" w:type="dxa"/>
              <w:start w:w="90" w:type="dxa"/>
              <w:bottom w:w="70" w:type="dxa"/>
              <w:end w:w="90" w:type="dxa"/>
            </w:tcMar>
          </w:tcPr>
          <w:p>
            <w:pPr>
              <w:spacing w:after="0" w:before="0" w:line="240" w:lineRule="auto"/>
              <w:jc w:val="left"/>
            </w:pPr>
            <w:r>
              <w:rPr>
                <w:rFonts w:ascii="Aptos" w:hAnsi="Aptos"/>
                <w:sz w:val="14"/>
              </w:rPr>
              <w:t>OPEN/COND preserved</w:t>
            </w:r>
          </w:p>
        </w:tc>
        <w:tc>
          <w:tcPr>
            <w:tcW w:type="dxa" w:w="4309"/>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PASS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6"/>
              </w:rPr>
              <w:t>PUB-02</w:t>
            </w:r>
          </w:p>
        </w:tc>
        <w:tc>
          <w:tcPr>
            <w:tcW w:type="dxa" w:w="9922"/>
            <w:vAlign w:val="center"/>
            <w:tcMar>
              <w:top w:w="70" w:type="dxa"/>
              <w:start w:w="90" w:type="dxa"/>
              <w:bottom w:w="70" w:type="dxa"/>
              <w:end w:w="90" w:type="dxa"/>
            </w:tcMar>
          </w:tcPr>
          <w:p>
            <w:pPr>
              <w:spacing w:after="0" w:before="0" w:line="240" w:lineRule="auto"/>
              <w:jc w:val="left"/>
            </w:pPr>
            <w:r>
              <w:rPr>
                <w:rFonts w:ascii="Aptos" w:hAnsi="Aptos"/>
                <w:sz w:val="14"/>
              </w:rPr>
              <w:t>EXT-RUN not claimed executed</w:t>
            </w:r>
          </w:p>
        </w:tc>
        <w:tc>
          <w:tcPr>
            <w:tcW w:type="dxa" w:w="4309"/>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PASS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6"/>
              </w:rPr>
              <w:t>PUB-03</w:t>
            </w:r>
          </w:p>
        </w:tc>
        <w:tc>
          <w:tcPr>
            <w:tcW w:type="dxa" w:w="9922"/>
            <w:vAlign w:val="center"/>
            <w:tcMar>
              <w:top w:w="70" w:type="dxa"/>
              <w:start w:w="90" w:type="dxa"/>
              <w:bottom w:w="70" w:type="dxa"/>
              <w:end w:w="90" w:type="dxa"/>
            </w:tcMar>
          </w:tcPr>
          <w:p>
            <w:pPr>
              <w:spacing w:after="0" w:before="0" w:line="240" w:lineRule="auto"/>
              <w:jc w:val="left"/>
            </w:pPr>
            <w:r>
              <w:rPr>
                <w:rFonts w:ascii="Aptos" w:hAnsi="Aptos"/>
                <w:sz w:val="14"/>
              </w:rPr>
              <w:t>Legal meaning register not extended</w:t>
            </w:r>
          </w:p>
        </w:tc>
        <w:tc>
          <w:tcPr>
            <w:tcW w:type="dxa" w:w="4309"/>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PASS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6"/>
              </w:rPr>
              <w:t>PUB-04</w:t>
            </w:r>
          </w:p>
        </w:tc>
        <w:tc>
          <w:tcPr>
            <w:tcW w:type="dxa" w:w="9922"/>
            <w:vAlign w:val="center"/>
            <w:tcMar>
              <w:top w:w="70" w:type="dxa"/>
              <w:start w:w="90" w:type="dxa"/>
              <w:bottom w:w="70" w:type="dxa"/>
              <w:end w:w="90" w:type="dxa"/>
            </w:tcMar>
          </w:tcPr>
          <w:p>
            <w:pPr>
              <w:spacing w:after="0" w:before="0" w:line="240" w:lineRule="auto"/>
              <w:jc w:val="left"/>
            </w:pPr>
            <w:r>
              <w:rPr>
                <w:rFonts w:ascii="Aptos" w:hAnsi="Aptos"/>
                <w:sz w:val="14"/>
              </w:rPr>
              <w:t>Authorship Kurpishev And.B. preserves</w:t>
            </w:r>
          </w:p>
        </w:tc>
        <w:tc>
          <w:tcPr>
            <w:tcW w:type="dxa" w:w="4309"/>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PASS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6"/>
              </w:rPr>
              <w:t>FRZ-01</w:t>
            </w:r>
          </w:p>
        </w:tc>
        <w:tc>
          <w:tcPr>
            <w:tcW w:type="dxa" w:w="9922"/>
            <w:vAlign w:val="center"/>
            <w:tcMar>
              <w:top w:w="70" w:type="dxa"/>
              <w:start w:w="90" w:type="dxa"/>
              <w:bottom w:w="70" w:type="dxa"/>
              <w:end w:w="90" w:type="dxa"/>
            </w:tcMar>
          </w:tcPr>
          <w:p>
            <w:pPr>
              <w:spacing w:after="0" w:before="0" w:line="240" w:lineRule="auto"/>
              <w:jc w:val="left"/>
            </w:pPr>
            <w:r>
              <w:rPr>
                <w:rFonts w:ascii="Aptos" w:hAnsi="Aptos"/>
                <w:sz w:val="14"/>
              </w:rPr>
              <w:t>v0.21 preserved as rollback point</w:t>
            </w:r>
          </w:p>
        </w:tc>
        <w:tc>
          <w:tcPr>
            <w:tcW w:type="dxa" w:w="4309"/>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PASS</w:t>
            </w:r>
          </w:p>
        </w:tc>
      </w:tr>
      <w:tr>
        <w:tc>
          <w:tcPr>
            <w:tcW w:type="dxa" w:w="1701"/>
            <w:vAlign w:val="center"/>
            <w:tcMar>
              <w:top w:w="70" w:type="dxa"/>
              <w:start w:w="90" w:type="dxa"/>
              <w:bottom w:w="70" w:type="dxa"/>
              <w:end w:w="90" w:type="dxa"/>
            </w:tcMar>
          </w:tcPr>
          <w:p>
            <w:pPr>
              <w:spacing w:after="0" w:before="0" w:line="240" w:lineRule="auto"/>
              <w:jc w:val="center"/>
            </w:pPr>
            <w:r/>
            <w:r>
              <w:rPr>
                <w:rFonts w:ascii="Liberation Serif" w:hAnsi="Liberation Serif"/>
                <w:b w:val="0"/>
                <w:sz w:val="16"/>
              </w:rPr>
              <w:t>FRZ-02</w:t>
            </w:r>
          </w:p>
        </w:tc>
        <w:tc>
          <w:tcPr>
            <w:tcW w:type="dxa" w:w="9922"/>
            <w:vAlign w:val="center"/>
            <w:tcMar>
              <w:top w:w="70" w:type="dxa"/>
              <w:start w:w="90" w:type="dxa"/>
              <w:bottom w:w="70" w:type="dxa"/>
              <w:end w:w="90" w:type="dxa"/>
            </w:tcMar>
          </w:tcPr>
          <w:p>
            <w:pPr>
              <w:spacing w:after="0" w:before="0" w:line="240" w:lineRule="auto"/>
              <w:jc w:val="left"/>
            </w:pPr>
            <w:r>
              <w:rPr>
                <w:rFonts w:ascii="Aptos" w:hAnsi="Aptos"/>
                <w:sz w:val="14"/>
              </w:rPr>
              <w:t>Freeze is admissible only with blocker ledger</w:t>
            </w:r>
          </w:p>
        </w:tc>
        <w:tc>
          <w:tcPr>
            <w:tcW w:type="dxa" w:w="4309"/>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PASS</w:t>
            </w:r>
          </w:p>
        </w:tc>
      </w:tr>
    </w:tbl>
    <w:p>
      <w:pPr>
        <w:pStyle w:val="Heading1"/>
        <w:keepNext/>
      </w:pPr>
      <w:r>
        <w:rPr>
          <w:rFonts w:ascii="Aptos" w:hAnsi="Aptos"/>
          <w:b w:val="0"/>
          <w:i w:val="0"/>
          <w:sz w:val="20"/>
        </w:rPr>
        <w:t>Final Record T2-EN-ASSEMBLY-v0.7</w:t>
      </w:r>
    </w:p>
    <w:p>
      <w:pPr>
        <w:spacing w:after="120"/>
      </w:pPr>
      <w:r>
        <w:rPr>
          <w:rFonts w:ascii="Aptos" w:hAnsi="Aptos"/>
          <w:b w:val="0"/>
          <w:i w:val="0"/>
          <w:sz w:val="20"/>
        </w:rPr>
        <w:t>The 24-chapter English main corpus and Appendices T2-A-T2-E are inherited from T2-EN-APP-v0.6. The assembly layer below adds navigation and audit metadata without changing the mathematical or evidential status of the canonical corpus.</w:t>
      </w:r>
    </w:p>
    <w:tbl>
      <w:tblPr>
        <w:tblW w:type="auto" w:w="0"/>
        <w:jc w:val="center"/>
        <w:tblLook w:firstColumn="1" w:firstRow="1" w:lastColumn="0" w:lastRow="0" w:noHBand="0" w:noVBand="1" w:val="04A0"/>
        <w:tblBorders>
          <w:top w:val="single" w:sz="4" w:space="0" w:color="9AA8B8"/>
          <w:left w:val="single" w:sz="4" w:space="0" w:color="9AA8B8"/>
          <w:bottom w:val="single" w:sz="4" w:space="0" w:color="9AA8B8"/>
          <w:right w:val="single" w:sz="4" w:space="0" w:color="9AA8B8"/>
          <w:insideH w:val="single" w:sz="4" w:space="0" w:color="9AA8B8"/>
          <w:insideV w:val="single" w:sz="4" w:space="0" w:color="9AA8B8"/>
        </w:tblBorders>
      </w:tblPr>
      <w:tblGrid>
        <w:gridCol w:w="15478"/>
      </w:tblGrid>
      <w:tr>
        <w:tc>
          <w:tcPr>
            <w:tcW w:type="dxa" w:w="15478"/>
            <w:shd w:fill="F2F5F8"/>
            <w:vAlign w:val="center"/>
            <w:tcMar>
              <w:top w:w="70" w:type="dxa"/>
              <w:start w:w="90" w:type="dxa"/>
              <w:bottom w:w="70" w:type="dxa"/>
              <w:end w:w="90" w:type="dxa"/>
            </w:tcMar>
          </w:tcPr>
          <w:p>
            <w:pPr>
              <w:spacing w:after="0" w:before="0" w:line="240" w:lineRule="auto"/>
              <w:jc w:val="left"/>
            </w:pPr>
            <w:r/>
            <w:r>
              <w:rPr>
                <w:rFonts w:ascii="Liberation Serif" w:hAnsi="Liberation Serif"/>
                <w:b w:val="0"/>
                <w:sz w:val="16"/>
              </w:rPr>
              <w:t>STATUS FRAME. The appendix registries preserve the authority relation Authority(T2-RU v1.0) &gt; Authority(T2-EN). A registry row records a source object, obligation, formula, locator, or release check; it does not strengthen its mathematical or physical status. truth_layer_promotion=0; independent EXT-RUN and EMP-OBS remain absent.</w:t>
            </w:r>
          </w:p>
        </w:tc>
        <w:trPr>
          <w:tblHeader/>
        </w:trPr>
      </w:tr>
    </w:tbl>
    <w:p>
      <w:pPr>
        <w:sectPr>
          <w:pgSz w:w="16838" w:h="11906" w:orient="landscape"/>
          <w:pgMar w:top="680" w:right="680" w:bottom="680" w:left="680" w:header="720" w:footer="720" w:gutter="0"/>
          <w:cols w:space="720"/>
          <w:docGrid w:linePitch="360"/>
        </w:sectPr>
      </w:pPr>
    </w:p>
    <w:p>
      <w:pPr>
        <w:pStyle w:val="Heading1"/>
        <w:keepNext/>
      </w:pPr>
      <w:bookmarkStart w:id="1029" w:name="T2_ASSEMBLY"/>
      <w:r>
        <w:rPr>
          <w:rFonts w:ascii="Aptos" w:hAnsi="Aptos"/>
          <w:b/>
          <w:i w:val="0"/>
          <w:color w:val="1F4E78"/>
          <w:sz w:val="32"/>
        </w:rPr>
        <w:t>T2-EN-ASSEMBLY-v0.7</w:t>
      </w:r>
      <w:bookmarkEnd w:id="1029"/>
    </w:p>
    <w:p>
      <w:pPr>
        <w:jc w:val="center"/>
      </w:pPr>
      <w:r>
        <w:rPr>
          <w:rFonts w:ascii="Aptos" w:hAnsi="Aptos"/>
          <w:b/>
          <w:i w:val="0"/>
          <w:color w:val="9C6B00"/>
          <w:sz w:val="24"/>
        </w:rPr>
        <w:t>CONTROLLED ENGLISH UNIFIED MASTER, STATIC NAVIGATION, BILINGUAL PAGE MAP, AND GLOBAL CROSS-REFERENCE AUDIT</w:t>
      </w:r>
    </w:p>
    <w:p>
      <w:pPr>
        <w:spacing w:after="100" w:line="259" w:lineRule="auto"/>
      </w:pPr>
      <w:r>
        <w:rPr>
          <w:rFonts w:ascii="Aptos" w:hAnsi="Aptos"/>
          <w:b w:val="0"/>
          <w:i w:val="0"/>
          <w:sz w:val="19"/>
        </w:rPr>
        <w:t>ASSEMBLY SCOPE. This layer reorganizes navigation, pagination metadata, bibliography, figure/table registers, and publication controls only. It does not change the mathematical corpus, formulae, hypotheses, proof status, counterexamples, physical hypotheses, or the absence of an independent EXT-RUN.</w:t>
      </w:r>
    </w:p>
    <w:tbl>
      <w:tblPr>
        <w:tblW w:type="auto" w:w="0"/>
        <w:jc w:val="center"/>
        <w:tblLayout w:type="autofit"/>
        <w:tblLook w:firstColumn="1" w:firstRow="1" w:lastColumn="0" w:lastRow="0" w:noHBand="0" w:noVBand="1" w:val="04A0"/>
      </w:tblPr>
      <w:tblGrid>
        <w:gridCol w:w="9978"/>
      </w:tblGrid>
      <w:tr>
        <w:tc>
          <w:tcPr>
            <w:tcW w:type="dxa" w:w="9978"/>
            <w:shd w:fill="FBE9E7"/>
            <w:tcMar>
              <w:top w:w="100" w:type="dxa"/>
              <w:start w:w="120" w:type="dxa"/>
              <w:bottom w:w="100" w:type="dxa"/>
              <w:end w:w="120" w:type="dxa"/>
            </w:tcMar>
          </w:tcPr>
          <w:p>
            <w:pPr>
              <w:jc w:val="left"/>
            </w:pPr>
            <w:r>
              <w:rPr>
                <w:rFonts w:ascii="Aptos" w:hAnsi="Aptos"/>
                <w:b w:val="0"/>
                <w:i w:val="0"/>
                <w:color w:val="9C1C1C"/>
                <w:sz w:val="18"/>
              </w:rPr>
              <w:t>STATUS FIREWALL. truth_layer_promotion=0. Authority(T2-RU v1.0) &gt; Authority(T2-EN). OPEN, COND, MODEL, PHY-HYP, ABSTAIN, and the absence of independent EXT-RUN / EMP-OBS are preserved.</w:t>
            </w:r>
          </w:p>
        </w:tc>
        <w:trPr>
          <w:tblHeader/>
          <w:cantSplit/>
        </w:trPr>
      </w:tr>
    </w:tbl>
    <w:p>
      <w:pPr>
        <w:pStyle w:val="Heading2"/>
        <w:keepNext/>
      </w:pPr>
      <w:r>
        <w:rPr>
          <w:rFonts w:ascii="Aptos" w:hAnsi="Aptos"/>
          <w:b/>
          <w:i w:val="0"/>
          <w:color w:val="1F4E78"/>
          <w:sz w:val="24"/>
        </w:rPr>
        <w:t>1. Assembly Passport</w:t>
      </w:r>
    </w:p>
    <w:tbl>
      <w:tblPr>
        <w:tblStyle w:val="TableGrid"/>
        <w:tblW w:type="auto" w:w="0"/>
        <w:jc w:val="center"/>
        <w:tblLayout w:type="fixed"/>
        <w:tblLook w:firstColumn="1" w:firstRow="1" w:lastColumn="0" w:lastRow="0" w:noHBand="0" w:noVBand="1" w:val="04A0"/>
      </w:tblPr>
      <w:tblGrid>
        <w:gridCol w:w="4989"/>
        <w:gridCol w:w="4989"/>
      </w:tblGrid>
      <w:tr>
        <w:trPr>
          <w:tblHeader w:val="true"/>
        </w:trPr>
        <w:tc>
          <w:tcPr>
            <w:tcW w:type="dxa" w:w="3118"/>
            <w:shd w:fill="1F4E78"/>
            <w:tcMar>
              <w:top w:w="80" w:type="dxa"/>
              <w:start w:w="90" w:type="dxa"/>
              <w:bottom w:w="80" w:type="dxa"/>
              <w:end w:w="90" w:type="dxa"/>
            </w:tcMar>
            <w:vAlign w:val="center"/>
          </w:tcPr>
          <w:p>
            <w:pPr>
              <w:jc w:val="center"/>
            </w:pPr>
            <w:r>
              <w:rPr>
                <w:rFonts w:ascii="Aptos" w:hAnsi="Aptos"/>
                <w:b/>
                <w:i w:val="0"/>
                <w:color w:val="FFFFFF"/>
                <w:sz w:val="16"/>
              </w:rPr>
              <w:t>Field</w:t>
            </w:r>
          </w:p>
        </w:tc>
        <w:tc>
          <w:tcPr>
            <w:tcW w:type="dxa" w:w="6690"/>
            <w:shd w:fill="1F4E78"/>
            <w:tcMar>
              <w:top w:w="80" w:type="dxa"/>
              <w:start w:w="90" w:type="dxa"/>
              <w:bottom w:w="80" w:type="dxa"/>
              <w:end w:w="90" w:type="dxa"/>
            </w:tcMar>
            <w:vAlign w:val="center"/>
          </w:tcPr>
          <w:p>
            <w:pPr>
              <w:jc w:val="center"/>
            </w:pPr>
            <w:r>
              <w:rPr>
                <w:rFonts w:ascii="Aptos" w:hAnsi="Aptos"/>
                <w:b/>
                <w:i w:val="0"/>
                <w:color w:val="FFFFFF"/>
                <w:sz w:val="16"/>
              </w:rPr>
              <w:t>Fixed value</w:t>
            </w:r>
          </w:p>
        </w:tc>
      </w:tr>
      <w:tr>
        <w:tc>
          <w:tcPr>
            <w:tcW w:type="dxa" w:w="3118"/>
            <w:tcMar>
              <w:top w:w="80" w:type="dxa"/>
              <w:start w:w="90" w:type="dxa"/>
              <w:bottom w:w="80" w:type="dxa"/>
              <w:end w:w="90" w:type="dxa"/>
            </w:tcMar>
            <w:vAlign w:val="center"/>
          </w:tcPr>
          <w:p>
            <w:pPr>
              <w:jc w:val="center"/>
            </w:pPr>
            <w:r>
              <w:rPr>
                <w:rFonts w:ascii="Aptos" w:hAnsi="Aptos"/>
                <w:b w:val="0"/>
                <w:i w:val="0"/>
                <w:sz w:val="16"/>
              </w:rPr>
              <w:t>Author</w:t>
            </w:r>
          </w:p>
        </w:tc>
        <w:tc>
          <w:tcPr>
            <w:tcW w:type="dxa" w:w="6690"/>
            <w:tcMar>
              <w:top w:w="80" w:type="dxa"/>
              <w:start w:w="90" w:type="dxa"/>
              <w:bottom w:w="80" w:type="dxa"/>
              <w:end w:w="90" w:type="dxa"/>
            </w:tcMar>
            <w:vAlign w:val="center"/>
          </w:tcPr>
          <w:p>
            <w:pPr>
              <w:jc w:val="left"/>
            </w:pPr>
            <w:r>
              <w:rPr>
                <w:rFonts w:ascii="Aptos" w:hAnsi="Aptos"/>
                <w:b w:val="0"/>
                <w:i w:val="0"/>
                <w:sz w:val="16"/>
              </w:rPr>
              <w:t>Ivan Borisovich Kurpishev</w:t>
            </w:r>
          </w:p>
        </w:tc>
      </w:tr>
      <w:tr>
        <w:tc>
          <w:tcPr>
            <w:tcW w:type="dxa" w:w="3118"/>
            <w:tcMar>
              <w:top w:w="80" w:type="dxa"/>
              <w:start w:w="90" w:type="dxa"/>
              <w:bottom w:w="80" w:type="dxa"/>
              <w:end w:w="90" w:type="dxa"/>
            </w:tcMar>
            <w:vAlign w:val="center"/>
          </w:tcPr>
          <w:p>
            <w:pPr>
              <w:jc w:val="center"/>
            </w:pPr>
            <w:r>
              <w:rPr>
                <w:rFonts w:ascii="Aptos" w:hAnsi="Aptos"/>
                <w:b w:val="0"/>
                <w:i w:val="0"/>
                <w:sz w:val="16"/>
              </w:rPr>
              <w:t>Project</w:t>
            </w:r>
          </w:p>
        </w:tc>
        <w:tc>
          <w:tcPr>
            <w:tcW w:type="dxa" w:w="6690"/>
            <w:tcMar>
              <w:top w:w="80" w:type="dxa"/>
              <w:start w:w="90" w:type="dxa"/>
              <w:bottom w:w="80" w:type="dxa"/>
              <w:end w:w="90" w:type="dxa"/>
            </w:tcMar>
            <w:vAlign w:val="center"/>
          </w:tcPr>
          <w:p>
            <w:pPr>
              <w:jc w:val="left"/>
            </w:pPr>
            <w:r>
              <w:rPr>
                <w:rFonts w:ascii="Aptos" w:hAnsi="Aptos"/>
                <w:b w:val="0"/>
                <w:i w:val="0"/>
                <w:sz w:val="16"/>
              </w:rPr>
              <w:t>KURPISHEV LOGIC 2 · Basic KLT-RBD Project</w:t>
            </w:r>
          </w:p>
        </w:tc>
      </w:tr>
      <w:tr>
        <w:tc>
          <w:tcPr>
            <w:tcW w:type="dxa" w:w="3118"/>
            <w:tcMar>
              <w:top w:w="80" w:type="dxa"/>
              <w:start w:w="90" w:type="dxa"/>
              <w:bottom w:w="80" w:type="dxa"/>
              <w:end w:w="90" w:type="dxa"/>
            </w:tcMar>
            <w:vAlign w:val="center"/>
          </w:tcPr>
          <w:p>
            <w:pPr>
              <w:jc w:val="center"/>
            </w:pPr>
            <w:r>
              <w:rPr>
                <w:rFonts w:ascii="Aptos" w:hAnsi="Aptos"/>
                <w:b w:val="0"/>
                <w:i w:val="0"/>
                <w:sz w:val="16"/>
              </w:rPr>
              <w:t>Volume</w:t>
            </w:r>
          </w:p>
        </w:tc>
        <w:tc>
          <w:tcPr>
            <w:tcW w:type="dxa" w:w="6690"/>
            <w:tcMar>
              <w:top w:w="80" w:type="dxa"/>
              <w:start w:w="90" w:type="dxa"/>
              <w:bottom w:w="80" w:type="dxa"/>
              <w:end w:w="90" w:type="dxa"/>
            </w:tcMar>
            <w:vAlign w:val="center"/>
          </w:tcPr>
          <w:p>
            <w:pPr>
              <w:jc w:val="left"/>
            </w:pPr>
            <w:r>
              <w:rPr>
                <w:rFonts w:ascii="Aptos" w:hAnsi="Aptos"/>
                <w:b w:val="0"/>
                <w:i w:val="0"/>
                <w:sz w:val="16"/>
              </w:rPr>
              <w:t>II · Strict Nonassociative Packet Reper Geometry NAPG 3.0</w:t>
            </w:r>
          </w:p>
        </w:tc>
      </w:tr>
      <w:tr>
        <w:tc>
          <w:tcPr>
            <w:tcW w:type="dxa" w:w="3118"/>
            <w:tcMar>
              <w:top w:w="80" w:type="dxa"/>
              <w:start w:w="90" w:type="dxa"/>
              <w:bottom w:w="80" w:type="dxa"/>
              <w:end w:w="90" w:type="dxa"/>
            </w:tcMar>
            <w:vAlign w:val="center"/>
          </w:tcPr>
          <w:p>
            <w:pPr>
              <w:jc w:val="center"/>
            </w:pPr>
            <w:r>
              <w:rPr>
                <w:rFonts w:ascii="Aptos" w:hAnsi="Aptos"/>
                <w:b w:val="0"/>
                <w:i w:val="0"/>
                <w:sz w:val="16"/>
              </w:rPr>
              <w:t>Checkpoint</w:t>
            </w:r>
          </w:p>
        </w:tc>
        <w:tc>
          <w:tcPr>
            <w:tcW w:type="dxa" w:w="6690"/>
            <w:tcMar>
              <w:top w:w="80" w:type="dxa"/>
              <w:start w:w="90" w:type="dxa"/>
              <w:bottom w:w="80" w:type="dxa"/>
              <w:end w:w="90" w:type="dxa"/>
            </w:tcMar>
            <w:vAlign w:val="center"/>
          </w:tcPr>
          <w:p>
            <w:pPr>
              <w:jc w:val="center"/>
            </w:pPr>
            <w:r>
              <w:rPr>
                <w:rFonts w:ascii="Aptos" w:hAnsi="Aptos"/>
                <w:b w:val="0"/>
                <w:i w:val="0"/>
                <w:sz w:val="16"/>
              </w:rPr>
              <w:t>T2-EN-ASSEMBLY-v0.7</w:t>
            </w:r>
          </w:p>
        </w:tc>
      </w:tr>
      <w:tr>
        <w:tc>
          <w:tcPr>
            <w:tcW w:type="dxa" w:w="3118"/>
            <w:tcMar>
              <w:top w:w="80" w:type="dxa"/>
              <w:start w:w="90" w:type="dxa"/>
              <w:bottom w:w="80" w:type="dxa"/>
              <w:end w:w="90" w:type="dxa"/>
            </w:tcMar>
            <w:vAlign w:val="center"/>
          </w:tcPr>
          <w:p>
            <w:pPr>
              <w:jc w:val="center"/>
            </w:pPr>
            <w:r>
              <w:rPr>
                <w:rFonts w:ascii="Aptos" w:hAnsi="Aptos"/>
                <w:b w:val="0"/>
                <w:i w:val="0"/>
                <w:sz w:val="16"/>
              </w:rPr>
              <w:t>Canonical Russian authority</w:t>
            </w:r>
          </w:p>
        </w:tc>
        <w:tc>
          <w:tcPr>
            <w:tcW w:type="dxa" w:w="6690"/>
            <w:tcMar>
              <w:top w:w="80" w:type="dxa"/>
              <w:start w:w="90" w:type="dxa"/>
              <w:bottom w:w="80" w:type="dxa"/>
              <w:end w:w="90" w:type="dxa"/>
            </w:tcMar>
            <w:vAlign w:val="center"/>
          </w:tcPr>
          <w:p>
            <w:pPr>
              <w:jc w:val="left"/>
            </w:pPr>
            <w:r>
              <w:rPr>
                <w:rFonts w:ascii="Aptos" w:hAnsi="Aptos"/>
                <w:b w:val="0"/>
                <w:i w:val="0"/>
                <w:sz w:val="16"/>
              </w:rPr>
              <w:t>tom2_v1_0(1).docx / pdf · T2-FREEZE-v1.0</w:t>
            </w:r>
          </w:p>
        </w:tc>
      </w:tr>
      <w:tr>
        <w:tc>
          <w:tcPr>
            <w:tcW w:type="dxa" w:w="3118"/>
            <w:tcMar>
              <w:top w:w="80" w:type="dxa"/>
              <w:start w:w="90" w:type="dxa"/>
              <w:bottom w:w="80" w:type="dxa"/>
              <w:end w:w="90" w:type="dxa"/>
            </w:tcMar>
            <w:vAlign w:val="center"/>
          </w:tcPr>
          <w:p>
            <w:pPr>
              <w:jc w:val="center"/>
            </w:pPr>
            <w:r>
              <w:rPr>
                <w:rFonts w:ascii="Aptos" w:hAnsi="Aptos"/>
                <w:b w:val="0"/>
                <w:i w:val="0"/>
                <w:sz w:val="16"/>
              </w:rPr>
              <w:t>English predecessor</w:t>
            </w:r>
          </w:p>
        </w:tc>
        <w:tc>
          <w:tcPr>
            <w:tcW w:type="dxa" w:w="6690"/>
            <w:tcMar>
              <w:top w:w="80" w:type="dxa"/>
              <w:start w:w="90" w:type="dxa"/>
              <w:bottom w:w="80" w:type="dxa"/>
              <w:end w:w="90" w:type="dxa"/>
            </w:tcMar>
            <w:vAlign w:val="center"/>
          </w:tcPr>
          <w:p>
            <w:pPr>
              <w:jc w:val="left"/>
            </w:pPr>
            <w:r>
              <w:rPr>
                <w:rFonts w:ascii="Aptos" w:hAnsi="Aptos"/>
                <w:b w:val="0"/>
                <w:i w:val="0"/>
                <w:sz w:val="16"/>
              </w:rPr>
              <w:t>tom2_en_v0_6.docx / pdf · T2-EN-APP-v0.6</w:t>
            </w:r>
          </w:p>
        </w:tc>
      </w:tr>
      <w:tr>
        <w:tc>
          <w:tcPr>
            <w:tcW w:type="dxa" w:w="3118"/>
            <w:tcMar>
              <w:top w:w="80" w:type="dxa"/>
              <w:start w:w="90" w:type="dxa"/>
              <w:bottom w:w="80" w:type="dxa"/>
              <w:end w:w="90" w:type="dxa"/>
            </w:tcMar>
            <w:vAlign w:val="center"/>
          </w:tcPr>
          <w:p>
            <w:pPr>
              <w:jc w:val="center"/>
            </w:pPr>
            <w:r>
              <w:rPr>
                <w:rFonts w:ascii="Aptos" w:hAnsi="Aptos"/>
                <w:b w:val="0"/>
                <w:i w:val="0"/>
                <w:sz w:val="16"/>
              </w:rPr>
              <w:t>Upstream English authority</w:t>
            </w:r>
          </w:p>
        </w:tc>
        <w:tc>
          <w:tcPr>
            <w:tcW w:type="dxa" w:w="6690"/>
            <w:tcMar>
              <w:top w:w="80" w:type="dxa"/>
              <w:start w:w="90" w:type="dxa"/>
              <w:bottom w:w="80" w:type="dxa"/>
              <w:end w:w="90" w:type="dxa"/>
            </w:tcMar>
            <w:vAlign w:val="center"/>
          </w:tcPr>
          <w:p>
            <w:pPr>
              <w:jc w:val="center"/>
            </w:pPr>
            <w:r>
              <w:rPr>
                <w:rFonts w:ascii="Aptos" w:hAnsi="Aptos"/>
                <w:b w:val="0"/>
                <w:i w:val="0"/>
                <w:sz w:val="16"/>
              </w:rPr>
              <w:t>T1-EN-FREEZE-v1.0</w:t>
            </w:r>
          </w:p>
        </w:tc>
      </w:tr>
      <w:tr>
        <w:tc>
          <w:tcPr>
            <w:tcW w:type="dxa" w:w="3118"/>
            <w:tcMar>
              <w:top w:w="80" w:type="dxa"/>
              <w:start w:w="90" w:type="dxa"/>
              <w:bottom w:w="80" w:type="dxa"/>
              <w:end w:w="90" w:type="dxa"/>
            </w:tcMar>
            <w:vAlign w:val="center"/>
          </w:tcPr>
          <w:p>
            <w:pPr>
              <w:jc w:val="center"/>
            </w:pPr>
            <w:r>
              <w:rPr>
                <w:rFonts w:ascii="Aptos" w:hAnsi="Aptos"/>
                <w:b w:val="0"/>
                <w:i w:val="0"/>
                <w:sz w:val="16"/>
              </w:rPr>
              <w:t>Canonical corpus</w:t>
            </w:r>
          </w:p>
        </w:tc>
        <w:tc>
          <w:tcPr>
            <w:tcW w:type="dxa" w:w="6690"/>
            <w:tcMar>
              <w:top w:w="80" w:type="dxa"/>
              <w:start w:w="90" w:type="dxa"/>
              <w:bottom w:w="80" w:type="dxa"/>
              <w:end w:w="90" w:type="dxa"/>
            </w:tcMar>
            <w:vAlign w:val="center"/>
          </w:tcPr>
          <w:p>
            <w:pPr>
              <w:jc w:val="left"/>
            </w:pPr>
            <w:r>
              <w:rPr>
                <w:rFonts w:ascii="Aptos" w:hAnsi="Aptos"/>
                <w:b w:val="0"/>
                <w:i w:val="0"/>
                <w:sz w:val="16"/>
              </w:rPr>
              <w:t>24 chapters; Appendices T2-A-T2-E; 339 formal objects; 500 evidence obligations; 404 formula IDs</w:t>
            </w:r>
          </w:p>
        </w:tc>
      </w:tr>
      <w:tr>
        <w:tc>
          <w:tcPr>
            <w:tcW w:type="dxa" w:w="3118"/>
            <w:tcMar>
              <w:top w:w="80" w:type="dxa"/>
              <w:start w:w="90" w:type="dxa"/>
              <w:bottom w:w="80" w:type="dxa"/>
              <w:end w:w="90" w:type="dxa"/>
            </w:tcMar>
            <w:vAlign w:val="center"/>
          </w:tcPr>
          <w:p>
            <w:pPr>
              <w:jc w:val="center"/>
            </w:pPr>
            <w:r>
              <w:rPr>
                <w:rFonts w:ascii="Aptos" w:hAnsi="Aptos"/>
                <w:b w:val="0"/>
                <w:i w:val="0"/>
                <w:sz w:val="16"/>
              </w:rPr>
              <w:t>Derivative authority</w:t>
            </w:r>
          </w:p>
        </w:tc>
        <w:tc>
          <w:tcPr>
            <w:tcW w:type="dxa" w:w="6690"/>
            <w:tcMar>
              <w:top w:w="80" w:type="dxa"/>
              <w:start w:w="90" w:type="dxa"/>
              <w:bottom w:w="80" w:type="dxa"/>
              <w:end w:w="90" w:type="dxa"/>
            </w:tcMar>
            <w:vAlign w:val="center"/>
          </w:tcPr>
          <w:p>
            <w:pPr>
              <w:jc w:val="left"/>
            </w:pPr>
            <w:r>
              <w:rPr>
                <w:rFonts w:ascii="Aptos" w:hAnsi="Aptos"/>
                <w:b w:val="0"/>
                <w:i w:val="0"/>
                <w:sz w:val="16"/>
              </w:rPr>
              <w:t>Authority(T2-RU v1.0) &gt; Authority(T2-EN)</w:t>
            </w:r>
          </w:p>
        </w:tc>
      </w:tr>
      <w:tr>
        <w:tc>
          <w:tcPr>
            <w:tcW w:type="dxa" w:w="3118"/>
            <w:tcMar>
              <w:top w:w="80" w:type="dxa"/>
              <w:start w:w="90" w:type="dxa"/>
              <w:bottom w:w="80" w:type="dxa"/>
              <w:end w:w="90" w:type="dxa"/>
            </w:tcMar>
            <w:vAlign w:val="center"/>
          </w:tcPr>
          <w:p>
            <w:pPr>
              <w:jc w:val="center"/>
            </w:pPr>
            <w:r>
              <w:rPr>
                <w:rFonts w:ascii="Aptos" w:hAnsi="Aptos"/>
                <w:b w:val="0"/>
                <w:i w:val="0"/>
                <w:sz w:val="16"/>
              </w:rPr>
              <w:t>Status lock</w:t>
            </w:r>
          </w:p>
        </w:tc>
        <w:tc>
          <w:tcPr>
            <w:tcW w:type="dxa" w:w="6690"/>
            <w:tcMar>
              <w:top w:w="80" w:type="dxa"/>
              <w:start w:w="90" w:type="dxa"/>
              <w:bottom w:w="80" w:type="dxa"/>
              <w:end w:w="90" w:type="dxa"/>
            </w:tcMar>
            <w:vAlign w:val="center"/>
          </w:tcPr>
          <w:p>
            <w:pPr>
              <w:jc w:val="left"/>
            </w:pPr>
            <w:r>
              <w:rPr>
                <w:rFonts w:ascii="Aptos" w:hAnsi="Aptos"/>
                <w:b w:val="0"/>
                <w:i w:val="0"/>
                <w:sz w:val="16"/>
              </w:rPr>
              <w:t>truth_layer_promotion=0; OPEN/COND/MODEL/PHY-HYP preserved</w:t>
            </w:r>
          </w:p>
        </w:tc>
      </w:tr>
      <w:tr>
        <w:tc>
          <w:tcPr>
            <w:tcW w:type="dxa" w:w="3118"/>
            <w:tcMar>
              <w:top w:w="80" w:type="dxa"/>
              <w:start w:w="90" w:type="dxa"/>
              <w:bottom w:w="80" w:type="dxa"/>
              <w:end w:w="90" w:type="dxa"/>
            </w:tcMar>
            <w:vAlign w:val="center"/>
          </w:tcPr>
          <w:p>
            <w:pPr>
              <w:jc w:val="center"/>
            </w:pPr>
            <w:r>
              <w:rPr>
                <w:rFonts w:ascii="Aptos" w:hAnsi="Aptos"/>
                <w:b w:val="0"/>
                <w:i w:val="0"/>
                <w:sz w:val="16"/>
              </w:rPr>
              <w:t>Next checkpoint</w:t>
            </w:r>
          </w:p>
        </w:tc>
        <w:tc>
          <w:tcPr>
            <w:tcW w:type="dxa" w:w="6690"/>
            <w:tcMar>
              <w:top w:w="80" w:type="dxa"/>
              <w:start w:w="90" w:type="dxa"/>
              <w:bottom w:w="80" w:type="dxa"/>
              <w:end w:w="90" w:type="dxa"/>
            </w:tcMar>
            <w:vAlign w:val="center"/>
          </w:tcPr>
          <w:p>
            <w:pPr>
              <w:jc w:val="center"/>
            </w:pPr>
            <w:r>
              <w:rPr>
                <w:rFonts w:ascii="Aptos" w:hAnsi="Aptos"/>
                <w:b w:val="0"/>
                <w:i w:val="0"/>
                <w:sz w:val="16"/>
              </w:rPr>
              <w:t>T2-EN-AUDIT-v0.8</w:t>
            </w:r>
          </w:p>
        </w:tc>
      </w:tr>
    </w:tbl>
    <w:p>
      <w:pPr>
        <w:pStyle w:val="Heading2"/>
        <w:keepNext/>
      </w:pPr>
      <w:r>
        <w:rPr>
          <w:rFonts w:ascii="Aptos" w:hAnsi="Aptos"/>
          <w:b/>
          <w:i w:val="0"/>
          <w:color w:val="1F4E78"/>
          <w:sz w:val="24"/>
        </w:rPr>
        <w:t>2. Updateable Word Table of Contents</w:t>
      </w:r>
    </w:p>
    <w:p>
      <w:pPr>
        <w:spacing w:after="100" w:line="259" w:lineRule="auto"/>
      </w:pPr>
      <w:r>
        <w:rPr>
          <w:rFonts w:ascii="Aptos" w:hAnsi="Aptos"/>
          <w:b w:val="0"/>
          <w:i w:val="0"/>
          <w:sz w:val="19"/>
        </w:rPr>
        <w:t>The verified static contents and bilingual page map are release-controlled. The field below is provided for Word users and may be updated without changing the canonical page-map sidecar.</w:t>
      </w:r>
    </w:p>
    <w:p>
      <w:r>
        <w:fldChar w:fldCharType="begin" w:dirty="true"/>
      </w:r>
      <w:r>
        <w:instrText xml:space="preserve"> TOC \o "1-3" \h \z \u </w:instrText>
      </w:r>
      <w:r>
        <w:fldChar w:fldCharType="separate"/>
      </w:r>
      <w:r>
        <w:t>Update this field in Word to regenerate the heading-based table of contents.</w:t>
      </w:r>
      <w:r>
        <w:fldChar w:fldCharType="end"/>
      </w:r>
    </w:p>
    <w:p>
      <w:pPr>
        <w:pStyle w:val="Heading2"/>
        <w:keepNext/>
      </w:pPr>
      <w:r>
        <w:rPr>
          <w:rFonts w:ascii="Aptos" w:hAnsi="Aptos"/>
          <w:b/>
          <w:i w:val="0"/>
          <w:color w:val="1F4E78"/>
          <w:sz w:val="24"/>
        </w:rPr>
        <w:t>3. Bilingual Page Map</w:t>
      </w:r>
    </w:p>
    <w:p>
      <w:pPr>
        <w:spacing w:after="100" w:line="259" w:lineRule="auto"/>
      </w:pPr>
      <w:r>
        <w:rPr>
          <w:rFonts w:ascii="Aptos" w:hAnsi="Aptos"/>
          <w:b w:val="0"/>
          <w:i w:val="0"/>
          <w:sz w:val="19"/>
        </w:rPr>
        <w:t>Russian page locators refer to the frozen T2-FREEZE-v1.0 PDF. English page locators are filled after deterministic rendering of this assembly master. A page locator is navigational metadata and does not alter the authority relation.</w:t>
      </w:r>
    </w:p>
    <w:tbl>
      <w:tblPr>
        <w:tblStyle w:val="TableGrid"/>
        <w:tblW w:type="auto" w:w="0"/>
        <w:jc w:val="center"/>
        <w:tblLayout w:type="fixed"/>
        <w:tblLook w:firstColumn="1" w:firstRow="1" w:lastColumn="0" w:lastRow="0" w:noHBand="0" w:noVBand="1" w:val="04A0"/>
      </w:tblPr>
      <w:tblGrid>
        <w:gridCol w:w="1996"/>
        <w:gridCol w:w="1996"/>
        <w:gridCol w:w="1996"/>
        <w:gridCol w:w="1996"/>
        <w:gridCol w:w="1996"/>
      </w:tblGrid>
      <w:tr>
        <w:trPr>
          <w:tblHeader w:val="true"/>
        </w:trPr>
        <w:tc>
          <w:tcPr>
            <w:tcW w:type="dxa" w:w="907"/>
            <w:shd w:fill="1F4E78"/>
            <w:tcMar>
              <w:top w:w="80" w:type="dxa"/>
              <w:start w:w="90" w:type="dxa"/>
              <w:bottom w:w="80" w:type="dxa"/>
              <w:end w:w="90" w:type="dxa"/>
            </w:tcMar>
            <w:vAlign w:val="center"/>
          </w:tcPr>
          <w:p>
            <w:pPr>
              <w:jc w:val="center"/>
            </w:pPr>
            <w:r>
              <w:rPr>
                <w:rFonts w:ascii="Aptos" w:hAnsi="Aptos"/>
                <w:b/>
                <w:i w:val="0"/>
                <w:color w:val="FFFFFF"/>
                <w:sz w:val="13"/>
              </w:rPr>
              <w:t>ID</w:t>
            </w:r>
          </w:p>
        </w:tc>
        <w:tc>
          <w:tcPr>
            <w:tcW w:type="dxa" w:w="3628"/>
            <w:shd w:fill="1F4E78"/>
            <w:tcMar>
              <w:top w:w="80" w:type="dxa"/>
              <w:start w:w="90" w:type="dxa"/>
              <w:bottom w:w="80" w:type="dxa"/>
              <w:end w:w="90" w:type="dxa"/>
            </w:tcMar>
            <w:vAlign w:val="center"/>
          </w:tcPr>
          <w:p>
            <w:pPr>
              <w:jc w:val="center"/>
            </w:pPr>
            <w:r>
              <w:rPr>
                <w:rFonts w:ascii="Aptos" w:hAnsi="Aptos"/>
                <w:b/>
                <w:i w:val="0"/>
                <w:color w:val="FFFFFF"/>
                <w:sz w:val="13"/>
              </w:rPr>
              <w:t>Russian title</w:t>
            </w:r>
          </w:p>
        </w:tc>
        <w:tc>
          <w:tcPr>
            <w:tcW w:type="dxa" w:w="794"/>
            <w:shd w:fill="1F4E78"/>
            <w:tcMar>
              <w:top w:w="80" w:type="dxa"/>
              <w:start w:w="90" w:type="dxa"/>
              <w:bottom w:w="80" w:type="dxa"/>
              <w:end w:w="90" w:type="dxa"/>
            </w:tcMar>
            <w:vAlign w:val="center"/>
          </w:tcPr>
          <w:p>
            <w:pPr>
              <w:jc w:val="center"/>
            </w:pPr>
            <w:r>
              <w:rPr>
                <w:rFonts w:ascii="Aptos" w:hAnsi="Aptos"/>
                <w:b/>
                <w:i w:val="0"/>
                <w:color w:val="FFFFFF"/>
                <w:sz w:val="13"/>
              </w:rPr>
              <w:t>RU p.</w:t>
            </w:r>
          </w:p>
        </w:tc>
        <w:tc>
          <w:tcPr>
            <w:tcW w:type="dxa" w:w="3912"/>
            <w:shd w:fill="1F4E78"/>
            <w:tcMar>
              <w:top w:w="80" w:type="dxa"/>
              <w:start w:w="90" w:type="dxa"/>
              <w:bottom w:w="80" w:type="dxa"/>
              <w:end w:w="90" w:type="dxa"/>
            </w:tcMar>
            <w:vAlign w:val="center"/>
          </w:tcPr>
          <w:p>
            <w:pPr>
              <w:jc w:val="center"/>
            </w:pPr>
            <w:r>
              <w:rPr>
                <w:rFonts w:ascii="Aptos" w:hAnsi="Aptos"/>
                <w:b/>
                <w:i w:val="0"/>
                <w:color w:val="FFFFFF"/>
                <w:sz w:val="13"/>
              </w:rPr>
              <w:t>English title</w:t>
            </w:r>
          </w:p>
        </w:tc>
        <w:tc>
          <w:tcPr>
            <w:tcW w:type="dxa" w:w="794"/>
            <w:shd w:fill="1F4E78"/>
            <w:tcMar>
              <w:top w:w="80" w:type="dxa"/>
              <w:start w:w="90" w:type="dxa"/>
              <w:bottom w:w="80" w:type="dxa"/>
              <w:end w:w="90" w:type="dxa"/>
            </w:tcMar>
            <w:vAlign w:val="center"/>
          </w:tcPr>
          <w:p>
            <w:pPr>
              <w:jc w:val="center"/>
            </w:pPr>
            <w:r>
              <w:rPr>
                <w:rFonts w:ascii="Aptos" w:hAnsi="Aptos"/>
                <w:b/>
                <w:i w:val="0"/>
                <w:color w:val="FFFFFF"/>
                <w:sz w:val="13"/>
              </w:rPr>
              <w:t>EN p.</w:t>
            </w:r>
          </w:p>
        </w:tc>
      </w:tr>
      <w:tr>
        <w:tc>
          <w:tcPr>
            <w:tcW w:type="dxa" w:w="907"/>
            <w:tcMar>
              <w:top w:w="80" w:type="dxa"/>
              <w:start w:w="90" w:type="dxa"/>
              <w:bottom w:w="80" w:type="dxa"/>
              <w:end w:w="90" w:type="dxa"/>
            </w:tcMar>
            <w:vAlign w:val="center"/>
          </w:tcPr>
          <w:p>
            <w:pPr>
              <w:jc w:val="center"/>
            </w:pPr>
            <w:r>
              <w:rPr>
                <w:rFonts w:ascii="Aptos" w:hAnsi="Aptos"/>
                <w:b w:val="0"/>
                <w:i w:val="0"/>
                <w:sz w:val="13"/>
              </w:rPr>
              <w:t>1</w:t>
            </w:r>
          </w:p>
        </w:tc>
        <w:tc>
          <w:tcPr>
            <w:tcW w:type="dxa" w:w="3628"/>
            <w:tcMar>
              <w:top w:w="80" w:type="dxa"/>
              <w:start w:w="90" w:type="dxa"/>
              <w:bottom w:w="80" w:type="dxa"/>
              <w:end w:w="90" w:type="dxa"/>
            </w:tcMar>
            <w:vAlign w:val="center"/>
          </w:tcPr>
          <w:p>
            <w:pPr>
              <w:jc w:val="left"/>
            </w:pPr>
            <w:r>
              <w:rPr>
                <w:rFonts w:ascii="Aptos" w:hAnsi="Aptos"/>
                <w:b w:val="0"/>
                <w:i w:val="0"/>
                <w:sz w:val="13"/>
              </w:rPr>
              <w:t>Интерфейс с Томом I, предмет и границы метода</w:t>
            </w:r>
          </w:p>
        </w:tc>
        <w:tc>
          <w:tcPr>
            <w:tcW w:type="dxa" w:w="794"/>
            <w:tcMar>
              <w:top w:w="80" w:type="dxa"/>
              <w:start w:w="90" w:type="dxa"/>
              <w:bottom w:w="80" w:type="dxa"/>
              <w:end w:w="90" w:type="dxa"/>
            </w:tcMar>
            <w:vAlign w:val="center"/>
          </w:tcPr>
          <w:p>
            <w:pPr>
              <w:jc w:val="center"/>
            </w:pPr>
            <w:r>
              <w:rPr>
                <w:rFonts w:ascii="Aptos" w:hAnsi="Aptos"/>
                <w:b w:val="0"/>
                <w:i w:val="0"/>
                <w:sz w:val="13"/>
              </w:rPr>
              <w:t>4</w:t>
            </w:r>
          </w:p>
        </w:tc>
        <w:tc>
          <w:tcPr>
            <w:tcW w:type="dxa" w:w="3912"/>
            <w:tcMar>
              <w:top w:w="80" w:type="dxa"/>
              <w:start w:w="90" w:type="dxa"/>
              <w:bottom w:w="80" w:type="dxa"/>
              <w:end w:w="90" w:type="dxa"/>
            </w:tcMar>
            <w:vAlign w:val="center"/>
          </w:tcPr>
          <w:p>
            <w:pPr>
              <w:jc w:val="left"/>
            </w:pPr>
            <w:r>
              <w:rPr>
                <w:rFonts w:ascii="Aptos" w:hAnsi="Aptos"/>
                <w:b w:val="0"/>
                <w:i w:val="0"/>
                <w:sz w:val="13"/>
              </w:rPr>
              <w:t>Interface with Volume I: Subject and Method Boundaries</w:t>
            </w:r>
          </w:p>
        </w:tc>
        <w:tc>
          <w:tcPr>
            <w:tcW w:type="dxa" w:w="794"/>
            <w:tcMar>
              <w:top w:w="80" w:type="dxa"/>
              <w:start w:w="90" w:type="dxa"/>
              <w:bottom w:w="80" w:type="dxa"/>
              <w:end w:w="90" w:type="dxa"/>
            </w:tcMar>
            <w:vAlign w:val="center"/>
          </w:tcPr>
          <w:p>
            <w:pPr>
              <w:jc w:val="center"/>
            </w:pPr>
            <w:r>
              <w:rPr>
                <w:rFonts w:ascii="Aptos" w:hAnsi="Aptos"/>
                <w:b w:val="0"/>
                <w:sz w:val="13"/>
              </w:rPr>
              <w:t>5</w:t>
            </w:r>
          </w:p>
        </w:tc>
      </w:tr>
      <w:tr>
        <w:tc>
          <w:tcPr>
            <w:tcW w:type="dxa" w:w="907"/>
            <w:tcMar>
              <w:top w:w="80" w:type="dxa"/>
              <w:start w:w="90" w:type="dxa"/>
              <w:bottom w:w="80" w:type="dxa"/>
              <w:end w:w="90" w:type="dxa"/>
            </w:tcMar>
            <w:vAlign w:val="center"/>
          </w:tcPr>
          <w:p>
            <w:pPr>
              <w:jc w:val="center"/>
            </w:pPr>
            <w:r>
              <w:rPr>
                <w:rFonts w:ascii="Aptos" w:hAnsi="Aptos"/>
                <w:b w:val="0"/>
                <w:i w:val="0"/>
                <w:sz w:val="13"/>
              </w:rPr>
              <w:t>2</w:t>
            </w:r>
          </w:p>
        </w:tc>
        <w:tc>
          <w:tcPr>
            <w:tcW w:type="dxa" w:w="3628"/>
            <w:tcMar>
              <w:top w:w="80" w:type="dxa"/>
              <w:start w:w="90" w:type="dxa"/>
              <w:bottom w:w="80" w:type="dxa"/>
              <w:end w:w="90" w:type="dxa"/>
            </w:tcMar>
            <w:vAlign w:val="center"/>
          </w:tcPr>
          <w:p>
            <w:pPr>
              <w:jc w:val="left"/>
            </w:pPr>
            <w:r>
              <w:rPr>
                <w:rFonts w:ascii="Aptos" w:hAnsi="Aptos"/>
                <w:b w:val="0"/>
                <w:i w:val="0"/>
                <w:sz w:val="13"/>
              </w:rPr>
              <w:t>Замороженный реестр обозначений</w:t>
            </w:r>
          </w:p>
        </w:tc>
        <w:tc>
          <w:tcPr>
            <w:tcW w:type="dxa" w:w="794"/>
            <w:tcMar>
              <w:top w:w="80" w:type="dxa"/>
              <w:start w:w="90" w:type="dxa"/>
              <w:bottom w:w="80" w:type="dxa"/>
              <w:end w:w="90" w:type="dxa"/>
            </w:tcMar>
            <w:vAlign w:val="center"/>
          </w:tcPr>
          <w:p>
            <w:pPr>
              <w:jc w:val="center"/>
            </w:pPr>
            <w:r>
              <w:rPr>
                <w:rFonts w:ascii="Aptos" w:hAnsi="Aptos"/>
                <w:b w:val="0"/>
                <w:i w:val="0"/>
                <w:sz w:val="13"/>
              </w:rPr>
              <w:t>5</w:t>
            </w:r>
          </w:p>
        </w:tc>
        <w:tc>
          <w:tcPr>
            <w:tcW w:type="dxa" w:w="3912"/>
            <w:tcMar>
              <w:top w:w="80" w:type="dxa"/>
              <w:start w:w="90" w:type="dxa"/>
              <w:bottom w:w="80" w:type="dxa"/>
              <w:end w:w="90" w:type="dxa"/>
            </w:tcMar>
            <w:vAlign w:val="center"/>
          </w:tcPr>
          <w:p>
            <w:pPr>
              <w:jc w:val="center"/>
            </w:pPr>
            <w:r>
              <w:rPr>
                <w:rFonts w:ascii="Aptos" w:hAnsi="Aptos"/>
                <w:b w:val="0"/>
                <w:i w:val="0"/>
                <w:sz w:val="13"/>
              </w:rPr>
              <w:t>Frozen Notation Registry</w:t>
            </w:r>
          </w:p>
        </w:tc>
        <w:tc>
          <w:tcPr>
            <w:tcW w:type="dxa" w:w="794"/>
            <w:tcMar>
              <w:top w:w="80" w:type="dxa"/>
              <w:start w:w="90" w:type="dxa"/>
              <w:bottom w:w="80" w:type="dxa"/>
              <w:end w:w="90" w:type="dxa"/>
            </w:tcMar>
            <w:vAlign w:val="center"/>
          </w:tcPr>
          <w:p>
            <w:pPr>
              <w:jc w:val="center"/>
            </w:pPr>
            <w:r>
              <w:rPr>
                <w:rFonts w:ascii="Aptos" w:hAnsi="Aptos"/>
                <w:b w:val="0"/>
                <w:sz w:val="13"/>
              </w:rPr>
              <w:t>7</w:t>
            </w:r>
          </w:p>
        </w:tc>
      </w:tr>
      <w:tr>
        <w:tc>
          <w:tcPr>
            <w:tcW w:type="dxa" w:w="907"/>
            <w:tcMar>
              <w:top w:w="80" w:type="dxa"/>
              <w:start w:w="90" w:type="dxa"/>
              <w:bottom w:w="80" w:type="dxa"/>
              <w:end w:w="90" w:type="dxa"/>
            </w:tcMar>
            <w:vAlign w:val="center"/>
          </w:tcPr>
          <w:p>
            <w:pPr>
              <w:jc w:val="center"/>
            </w:pPr>
            <w:r>
              <w:rPr>
                <w:rFonts w:ascii="Aptos" w:hAnsi="Aptos"/>
                <w:b w:val="0"/>
                <w:i w:val="0"/>
                <w:sz w:val="13"/>
              </w:rPr>
              <w:t>3</w:t>
            </w:r>
          </w:p>
        </w:tc>
        <w:tc>
          <w:tcPr>
            <w:tcW w:type="dxa" w:w="3628"/>
            <w:tcMar>
              <w:top w:w="80" w:type="dxa"/>
              <w:start w:w="90" w:type="dxa"/>
              <w:bottom w:w="80" w:type="dxa"/>
              <w:end w:w="90" w:type="dxa"/>
            </w:tcMar>
            <w:vAlign w:val="center"/>
          </w:tcPr>
          <w:p>
            <w:pPr>
              <w:jc w:val="left"/>
            </w:pPr>
            <w:r>
              <w:rPr>
                <w:rFonts w:ascii="Aptos" w:hAnsi="Aptos"/>
                <w:b w:val="0"/>
                <w:i w:val="0"/>
                <w:sz w:val="13"/>
              </w:rPr>
              <w:t>Категория NAPG_q: объекты, морфизмы и области</w:t>
            </w:r>
          </w:p>
        </w:tc>
        <w:tc>
          <w:tcPr>
            <w:tcW w:type="dxa" w:w="794"/>
            <w:tcMar>
              <w:top w:w="80" w:type="dxa"/>
              <w:start w:w="90" w:type="dxa"/>
              <w:bottom w:w="80" w:type="dxa"/>
              <w:end w:w="90" w:type="dxa"/>
            </w:tcMar>
            <w:vAlign w:val="center"/>
          </w:tcPr>
          <w:p>
            <w:pPr>
              <w:jc w:val="center"/>
            </w:pPr>
            <w:r>
              <w:rPr>
                <w:rFonts w:ascii="Aptos" w:hAnsi="Aptos"/>
                <w:b w:val="0"/>
                <w:i w:val="0"/>
                <w:sz w:val="13"/>
              </w:rPr>
              <w:t>7</w:t>
            </w:r>
          </w:p>
        </w:tc>
        <w:tc>
          <w:tcPr>
            <w:tcW w:type="dxa" w:w="3912"/>
            <w:tcMar>
              <w:top w:w="80" w:type="dxa"/>
              <w:start w:w="90" w:type="dxa"/>
              <w:bottom w:w="80" w:type="dxa"/>
              <w:end w:w="90" w:type="dxa"/>
            </w:tcMar>
            <w:vAlign w:val="center"/>
          </w:tcPr>
          <w:p>
            <w:pPr>
              <w:jc w:val="left"/>
            </w:pPr>
            <w:r>
              <w:rPr>
                <w:rFonts w:ascii="Aptos" w:hAnsi="Aptos"/>
                <w:b w:val="0"/>
                <w:i w:val="0"/>
                <w:sz w:val="13"/>
              </w:rPr>
              <w:t>The Category NAPG_q: Objects, Morphisms, and Domains</w:t>
            </w:r>
          </w:p>
        </w:tc>
        <w:tc>
          <w:tcPr>
            <w:tcW w:type="dxa" w:w="794"/>
            <w:tcMar>
              <w:top w:w="80" w:type="dxa"/>
              <w:start w:w="90" w:type="dxa"/>
              <w:bottom w:w="80" w:type="dxa"/>
              <w:end w:w="90" w:type="dxa"/>
            </w:tcMar>
            <w:vAlign w:val="center"/>
          </w:tcPr>
          <w:p>
            <w:pPr>
              <w:jc w:val="center"/>
            </w:pPr>
            <w:r>
              <w:rPr>
                <w:rFonts w:ascii="Aptos" w:hAnsi="Aptos"/>
                <w:b w:val="0"/>
                <w:sz w:val="13"/>
              </w:rPr>
              <w:t>11</w:t>
            </w:r>
          </w:p>
        </w:tc>
      </w:tr>
      <w:tr>
        <w:tc>
          <w:tcPr>
            <w:tcW w:type="dxa" w:w="907"/>
            <w:tcMar>
              <w:top w:w="80" w:type="dxa"/>
              <w:start w:w="90" w:type="dxa"/>
              <w:bottom w:w="80" w:type="dxa"/>
              <w:end w:w="90" w:type="dxa"/>
            </w:tcMar>
            <w:vAlign w:val="center"/>
          </w:tcPr>
          <w:p>
            <w:pPr>
              <w:jc w:val="center"/>
            </w:pPr>
            <w:r>
              <w:rPr>
                <w:rFonts w:ascii="Aptos" w:hAnsi="Aptos"/>
                <w:b w:val="0"/>
                <w:i w:val="0"/>
                <w:sz w:val="13"/>
              </w:rPr>
              <w:t>4</w:t>
            </w:r>
          </w:p>
        </w:tc>
        <w:tc>
          <w:tcPr>
            <w:tcW w:type="dxa" w:w="3628"/>
            <w:tcMar>
              <w:top w:w="80" w:type="dxa"/>
              <w:start w:w="90" w:type="dxa"/>
              <w:bottom w:w="80" w:type="dxa"/>
              <w:end w:w="90" w:type="dxa"/>
            </w:tcMar>
            <w:vAlign w:val="center"/>
          </w:tcPr>
          <w:p>
            <w:pPr>
              <w:jc w:val="left"/>
            </w:pPr>
            <w:r>
              <w:rPr>
                <w:rFonts w:ascii="Aptos" w:hAnsi="Aptos"/>
                <w:b w:val="0"/>
                <w:i w:val="0"/>
                <w:sz w:val="13"/>
              </w:rPr>
              <w:t>Градуированная пакетная алгебра и строгий селектор</w:t>
            </w:r>
          </w:p>
        </w:tc>
        <w:tc>
          <w:tcPr>
            <w:tcW w:type="dxa" w:w="794"/>
            <w:tcMar>
              <w:top w:w="80" w:type="dxa"/>
              <w:start w:w="90" w:type="dxa"/>
              <w:bottom w:w="80" w:type="dxa"/>
              <w:end w:w="90" w:type="dxa"/>
            </w:tcMar>
            <w:vAlign w:val="center"/>
          </w:tcPr>
          <w:p>
            <w:pPr>
              <w:jc w:val="center"/>
            </w:pPr>
            <w:r>
              <w:rPr>
                <w:rFonts w:ascii="Aptos" w:hAnsi="Aptos"/>
                <w:b w:val="0"/>
                <w:i w:val="0"/>
                <w:sz w:val="13"/>
              </w:rPr>
              <w:t>10</w:t>
            </w:r>
          </w:p>
        </w:tc>
        <w:tc>
          <w:tcPr>
            <w:tcW w:type="dxa" w:w="3912"/>
            <w:tcMar>
              <w:top w:w="80" w:type="dxa"/>
              <w:start w:w="90" w:type="dxa"/>
              <w:bottom w:w="80" w:type="dxa"/>
              <w:end w:w="90" w:type="dxa"/>
            </w:tcMar>
            <w:vAlign w:val="center"/>
          </w:tcPr>
          <w:p>
            <w:pPr>
              <w:jc w:val="left"/>
            </w:pPr>
            <w:r>
              <w:rPr>
                <w:rFonts w:ascii="Aptos" w:hAnsi="Aptos"/>
                <w:b w:val="0"/>
                <w:i w:val="0"/>
                <w:sz w:val="13"/>
              </w:rPr>
              <w:t>Graded Packet Algebra and the Strict Selector</w:t>
            </w:r>
          </w:p>
        </w:tc>
        <w:tc>
          <w:tcPr>
            <w:tcW w:type="dxa" w:w="794"/>
            <w:tcMar>
              <w:top w:w="80" w:type="dxa"/>
              <w:start w:w="90" w:type="dxa"/>
              <w:bottom w:w="80" w:type="dxa"/>
              <w:end w:w="90" w:type="dxa"/>
            </w:tcMar>
            <w:vAlign w:val="center"/>
          </w:tcPr>
          <w:p>
            <w:pPr>
              <w:jc w:val="center"/>
            </w:pPr>
            <w:r>
              <w:rPr>
                <w:rFonts w:ascii="Aptos" w:hAnsi="Aptos"/>
                <w:b w:val="0"/>
                <w:sz w:val="13"/>
              </w:rPr>
              <w:t>16</w:t>
            </w:r>
          </w:p>
        </w:tc>
      </w:tr>
      <w:tr>
        <w:tc>
          <w:tcPr>
            <w:tcW w:type="dxa" w:w="907"/>
            <w:tcMar>
              <w:top w:w="80" w:type="dxa"/>
              <w:start w:w="90" w:type="dxa"/>
              <w:bottom w:w="80" w:type="dxa"/>
              <w:end w:w="90" w:type="dxa"/>
            </w:tcMar>
            <w:vAlign w:val="center"/>
          </w:tcPr>
          <w:p>
            <w:pPr>
              <w:jc w:val="center"/>
            </w:pPr>
            <w:r>
              <w:rPr>
                <w:rFonts w:ascii="Aptos" w:hAnsi="Aptos"/>
                <w:b w:val="0"/>
                <w:i w:val="0"/>
                <w:sz w:val="13"/>
              </w:rPr>
              <w:t>5</w:t>
            </w:r>
          </w:p>
        </w:tc>
        <w:tc>
          <w:tcPr>
            <w:tcW w:type="dxa" w:w="3628"/>
            <w:tcMar>
              <w:top w:w="80" w:type="dxa"/>
              <w:start w:w="90" w:type="dxa"/>
              <w:bottom w:w="80" w:type="dxa"/>
              <w:end w:w="90" w:type="dxa"/>
            </w:tcMar>
            <w:vAlign w:val="center"/>
          </w:tcPr>
          <w:p>
            <w:pPr>
              <w:jc w:val="left"/>
            </w:pPr>
            <w:r>
              <w:rPr>
                <w:rFonts w:ascii="Aptos" w:hAnsi="Aptos"/>
                <w:b w:val="0"/>
                <w:i w:val="0"/>
                <w:sz w:val="13"/>
              </w:rPr>
              <w:t>Ассоциатор, R⋆R, ядра, центры и инварианты</w:t>
            </w:r>
          </w:p>
        </w:tc>
        <w:tc>
          <w:tcPr>
            <w:tcW w:type="dxa" w:w="794"/>
            <w:tcMar>
              <w:top w:w="80" w:type="dxa"/>
              <w:start w:w="90" w:type="dxa"/>
              <w:bottom w:w="80" w:type="dxa"/>
              <w:end w:w="90" w:type="dxa"/>
            </w:tcMar>
            <w:vAlign w:val="center"/>
          </w:tcPr>
          <w:p>
            <w:pPr>
              <w:jc w:val="center"/>
            </w:pPr>
            <w:r>
              <w:rPr>
                <w:rFonts w:ascii="Aptos" w:hAnsi="Aptos"/>
                <w:b w:val="0"/>
                <w:i w:val="0"/>
                <w:sz w:val="13"/>
              </w:rPr>
              <w:t>15</w:t>
            </w:r>
          </w:p>
        </w:tc>
        <w:tc>
          <w:tcPr>
            <w:tcW w:type="dxa" w:w="3912"/>
            <w:tcMar>
              <w:top w:w="80" w:type="dxa"/>
              <w:start w:w="90" w:type="dxa"/>
              <w:bottom w:w="80" w:type="dxa"/>
              <w:end w:w="90" w:type="dxa"/>
            </w:tcMar>
            <w:vAlign w:val="center"/>
          </w:tcPr>
          <w:p>
            <w:pPr>
              <w:jc w:val="left"/>
            </w:pPr>
            <w:r>
              <w:rPr>
                <w:rFonts w:ascii="Aptos" w:hAnsi="Aptos"/>
                <w:b w:val="0"/>
                <w:i w:val="0"/>
                <w:sz w:val="13"/>
              </w:rPr>
              <w:t>Associator, R⋆R, Nuclei, Centers, and Invariants</w:t>
            </w:r>
          </w:p>
        </w:tc>
        <w:tc>
          <w:tcPr>
            <w:tcW w:type="dxa" w:w="794"/>
            <w:tcMar>
              <w:top w:w="80" w:type="dxa"/>
              <w:start w:w="90" w:type="dxa"/>
              <w:bottom w:w="80" w:type="dxa"/>
              <w:end w:w="90" w:type="dxa"/>
            </w:tcMar>
            <w:vAlign w:val="center"/>
          </w:tcPr>
          <w:p>
            <w:pPr>
              <w:jc w:val="center"/>
            </w:pPr>
            <w:r>
              <w:rPr>
                <w:rFonts w:ascii="Aptos" w:hAnsi="Aptos"/>
                <w:b w:val="0"/>
                <w:sz w:val="13"/>
              </w:rPr>
              <w:t>24</w:t>
            </w:r>
          </w:p>
        </w:tc>
      </w:tr>
      <w:tr>
        <w:tc>
          <w:tcPr>
            <w:tcW w:type="dxa" w:w="907"/>
            <w:tcMar>
              <w:top w:w="80" w:type="dxa"/>
              <w:start w:w="90" w:type="dxa"/>
              <w:bottom w:w="80" w:type="dxa"/>
              <w:end w:w="90" w:type="dxa"/>
            </w:tcMar>
            <w:vAlign w:val="center"/>
          </w:tcPr>
          <w:p>
            <w:pPr>
              <w:jc w:val="center"/>
            </w:pPr>
            <w:r>
              <w:rPr>
                <w:rFonts w:ascii="Aptos" w:hAnsi="Aptos"/>
                <w:b w:val="0"/>
                <w:i w:val="0"/>
                <w:sz w:val="13"/>
              </w:rPr>
              <w:t>6</w:t>
            </w:r>
          </w:p>
        </w:tc>
        <w:tc>
          <w:tcPr>
            <w:tcW w:type="dxa" w:w="3628"/>
            <w:tcMar>
              <w:top w:w="80" w:type="dxa"/>
              <w:start w:w="90" w:type="dxa"/>
              <w:bottom w:w="80" w:type="dxa"/>
              <w:end w:w="90" w:type="dxa"/>
            </w:tcMar>
            <w:vAlign w:val="center"/>
          </w:tcPr>
          <w:p>
            <w:pPr>
              <w:jc w:val="left"/>
            </w:pPr>
            <w:r>
              <w:rPr>
                <w:rFonts w:ascii="Aptos" w:hAnsi="Aptos"/>
                <w:b w:val="0"/>
                <w:i w:val="0"/>
                <w:sz w:val="13"/>
              </w:rPr>
              <w:t>Пакетно-реперная алгебраико-геометрическая двойственность</w:t>
            </w:r>
          </w:p>
        </w:tc>
        <w:tc>
          <w:tcPr>
            <w:tcW w:type="dxa" w:w="794"/>
            <w:tcMar>
              <w:top w:w="80" w:type="dxa"/>
              <w:start w:w="90" w:type="dxa"/>
              <w:bottom w:w="80" w:type="dxa"/>
              <w:end w:w="90" w:type="dxa"/>
            </w:tcMar>
            <w:vAlign w:val="center"/>
          </w:tcPr>
          <w:p>
            <w:pPr>
              <w:jc w:val="center"/>
            </w:pPr>
            <w:r>
              <w:rPr>
                <w:rFonts w:ascii="Aptos" w:hAnsi="Aptos"/>
                <w:b w:val="0"/>
                <w:i w:val="0"/>
                <w:sz w:val="13"/>
              </w:rPr>
              <w:t>21</w:t>
            </w:r>
          </w:p>
        </w:tc>
        <w:tc>
          <w:tcPr>
            <w:tcW w:type="dxa" w:w="3912"/>
            <w:tcMar>
              <w:top w:w="80" w:type="dxa"/>
              <w:start w:w="90" w:type="dxa"/>
              <w:bottom w:w="80" w:type="dxa"/>
              <w:end w:w="90" w:type="dxa"/>
            </w:tcMar>
            <w:vAlign w:val="center"/>
          </w:tcPr>
          <w:p>
            <w:pPr>
              <w:jc w:val="left"/>
            </w:pPr>
            <w:r>
              <w:rPr>
                <w:rFonts w:ascii="Aptos" w:hAnsi="Aptos"/>
                <w:b w:val="0"/>
                <w:i w:val="0"/>
                <w:sz w:val="13"/>
              </w:rPr>
              <w:t>Packet-Reper Algebraic-Geometric Duality</w:t>
            </w:r>
          </w:p>
        </w:tc>
        <w:tc>
          <w:tcPr>
            <w:tcW w:type="dxa" w:w="794"/>
            <w:tcMar>
              <w:top w:w="80" w:type="dxa"/>
              <w:start w:w="90" w:type="dxa"/>
              <w:bottom w:w="80" w:type="dxa"/>
              <w:end w:w="90" w:type="dxa"/>
            </w:tcMar>
            <w:vAlign w:val="center"/>
          </w:tcPr>
          <w:p>
            <w:pPr>
              <w:jc w:val="center"/>
            </w:pPr>
            <w:r>
              <w:rPr>
                <w:rFonts w:ascii="Aptos" w:hAnsi="Aptos"/>
                <w:b w:val="0"/>
                <w:sz w:val="13"/>
              </w:rPr>
              <w:t>33</w:t>
            </w:r>
          </w:p>
        </w:tc>
      </w:tr>
      <w:tr>
        <w:tc>
          <w:tcPr>
            <w:tcW w:type="dxa" w:w="907"/>
            <w:tcMar>
              <w:top w:w="80" w:type="dxa"/>
              <w:start w:w="90" w:type="dxa"/>
              <w:bottom w:w="80" w:type="dxa"/>
              <w:end w:w="90" w:type="dxa"/>
            </w:tcMar>
            <w:vAlign w:val="center"/>
          </w:tcPr>
          <w:p>
            <w:pPr>
              <w:jc w:val="center"/>
            </w:pPr>
            <w:r>
              <w:rPr>
                <w:rFonts w:ascii="Aptos" w:hAnsi="Aptos"/>
                <w:b w:val="0"/>
                <w:i w:val="0"/>
                <w:sz w:val="13"/>
              </w:rPr>
              <w:t>7</w:t>
            </w:r>
          </w:p>
        </w:tc>
        <w:tc>
          <w:tcPr>
            <w:tcW w:type="dxa" w:w="3628"/>
            <w:tcMar>
              <w:top w:w="80" w:type="dxa"/>
              <w:start w:w="90" w:type="dxa"/>
              <w:bottom w:w="80" w:type="dxa"/>
              <w:end w:w="90" w:type="dxa"/>
            </w:tcMar>
            <w:vAlign w:val="center"/>
          </w:tcPr>
          <w:p>
            <w:pPr>
              <w:jc w:val="left"/>
            </w:pPr>
            <w:r>
              <w:rPr>
                <w:rFonts w:ascii="Aptos" w:hAnsi="Aptos"/>
                <w:b w:val="0"/>
                <w:i w:val="0"/>
                <w:sz w:val="13"/>
              </w:rPr>
              <w:t>Атласы, расслоения и препятствия глобализации</w:t>
            </w:r>
          </w:p>
        </w:tc>
        <w:tc>
          <w:tcPr>
            <w:tcW w:type="dxa" w:w="794"/>
            <w:tcMar>
              <w:top w:w="80" w:type="dxa"/>
              <w:start w:w="90" w:type="dxa"/>
              <w:bottom w:w="80" w:type="dxa"/>
              <w:end w:w="90" w:type="dxa"/>
            </w:tcMar>
            <w:vAlign w:val="center"/>
          </w:tcPr>
          <w:p>
            <w:pPr>
              <w:jc w:val="center"/>
            </w:pPr>
            <w:r>
              <w:rPr>
                <w:rFonts w:ascii="Aptos" w:hAnsi="Aptos"/>
                <w:b w:val="0"/>
                <w:i w:val="0"/>
                <w:sz w:val="13"/>
              </w:rPr>
              <w:t>31</w:t>
            </w:r>
          </w:p>
        </w:tc>
        <w:tc>
          <w:tcPr>
            <w:tcW w:type="dxa" w:w="3912"/>
            <w:tcMar>
              <w:top w:w="80" w:type="dxa"/>
              <w:start w:w="90" w:type="dxa"/>
              <w:bottom w:w="80" w:type="dxa"/>
              <w:end w:w="90" w:type="dxa"/>
            </w:tcMar>
            <w:vAlign w:val="center"/>
          </w:tcPr>
          <w:p>
            <w:pPr>
              <w:jc w:val="left"/>
            </w:pPr>
            <w:r>
              <w:rPr>
                <w:rFonts w:ascii="Aptos" w:hAnsi="Aptos"/>
                <w:b w:val="0"/>
                <w:i w:val="0"/>
                <w:sz w:val="13"/>
              </w:rPr>
              <w:t>Atlases, Bundles, and Globalisation Obstructions</w:t>
            </w:r>
          </w:p>
        </w:tc>
        <w:tc>
          <w:tcPr>
            <w:tcW w:type="dxa" w:w="794"/>
            <w:tcMar>
              <w:top w:w="80" w:type="dxa"/>
              <w:start w:w="90" w:type="dxa"/>
              <w:bottom w:w="80" w:type="dxa"/>
              <w:end w:w="90" w:type="dxa"/>
            </w:tcMar>
            <w:vAlign w:val="center"/>
          </w:tcPr>
          <w:p>
            <w:pPr>
              <w:jc w:val="center"/>
            </w:pPr>
            <w:r>
              <w:rPr>
                <w:rFonts w:ascii="Aptos" w:hAnsi="Aptos"/>
                <w:b w:val="0"/>
                <w:sz w:val="13"/>
              </w:rPr>
              <w:t>48</w:t>
            </w:r>
          </w:p>
        </w:tc>
      </w:tr>
      <w:tr>
        <w:tc>
          <w:tcPr>
            <w:tcW w:type="dxa" w:w="907"/>
            <w:tcMar>
              <w:top w:w="80" w:type="dxa"/>
              <w:start w:w="90" w:type="dxa"/>
              <w:bottom w:w="80" w:type="dxa"/>
              <w:end w:w="90" w:type="dxa"/>
            </w:tcMar>
            <w:vAlign w:val="center"/>
          </w:tcPr>
          <w:p>
            <w:pPr>
              <w:jc w:val="center"/>
            </w:pPr>
            <w:r>
              <w:rPr>
                <w:rFonts w:ascii="Aptos" w:hAnsi="Aptos"/>
                <w:b w:val="0"/>
                <w:i w:val="0"/>
                <w:sz w:val="13"/>
              </w:rPr>
              <w:t>8</w:t>
            </w:r>
          </w:p>
        </w:tc>
        <w:tc>
          <w:tcPr>
            <w:tcW w:type="dxa" w:w="3628"/>
            <w:tcMar>
              <w:top w:w="80" w:type="dxa"/>
              <w:start w:w="90" w:type="dxa"/>
              <w:bottom w:w="80" w:type="dxa"/>
              <w:end w:w="90" w:type="dxa"/>
            </w:tcMar>
            <w:vAlign w:val="center"/>
          </w:tcPr>
          <w:p>
            <w:pPr>
              <w:jc w:val="left"/>
            </w:pPr>
            <w:r>
              <w:rPr>
                <w:rFonts w:ascii="Aptos" w:hAnsi="Aptos"/>
                <w:b w:val="0"/>
                <w:i w:val="0"/>
                <w:sz w:val="13"/>
              </w:rPr>
              <w:t>Касательные и кокасательные объекты NAPG</w:t>
            </w:r>
          </w:p>
        </w:tc>
        <w:tc>
          <w:tcPr>
            <w:tcW w:type="dxa" w:w="794"/>
            <w:tcMar>
              <w:top w:w="80" w:type="dxa"/>
              <w:start w:w="90" w:type="dxa"/>
              <w:bottom w:w="80" w:type="dxa"/>
              <w:end w:w="90" w:type="dxa"/>
            </w:tcMar>
            <w:vAlign w:val="center"/>
          </w:tcPr>
          <w:p>
            <w:pPr>
              <w:jc w:val="center"/>
            </w:pPr>
            <w:r>
              <w:rPr>
                <w:rFonts w:ascii="Aptos" w:hAnsi="Aptos"/>
                <w:b w:val="0"/>
                <w:i w:val="0"/>
                <w:sz w:val="13"/>
              </w:rPr>
              <w:t>42</w:t>
            </w:r>
          </w:p>
        </w:tc>
        <w:tc>
          <w:tcPr>
            <w:tcW w:type="dxa" w:w="3912"/>
            <w:tcMar>
              <w:top w:w="80" w:type="dxa"/>
              <w:start w:w="90" w:type="dxa"/>
              <w:bottom w:w="80" w:type="dxa"/>
              <w:end w:w="90" w:type="dxa"/>
            </w:tcMar>
            <w:vAlign w:val="center"/>
          </w:tcPr>
          <w:p>
            <w:pPr>
              <w:jc w:val="left"/>
            </w:pPr>
            <w:r>
              <w:rPr>
                <w:rFonts w:ascii="Aptos" w:hAnsi="Aptos"/>
                <w:b w:val="0"/>
                <w:i w:val="0"/>
                <w:sz w:val="13"/>
              </w:rPr>
              <w:t>Tangent and Cotangent Objects of NAPG</w:t>
            </w:r>
          </w:p>
        </w:tc>
        <w:tc>
          <w:tcPr>
            <w:tcW w:type="dxa" w:w="794"/>
            <w:tcMar>
              <w:top w:w="80" w:type="dxa"/>
              <w:start w:w="90" w:type="dxa"/>
              <w:bottom w:w="80" w:type="dxa"/>
              <w:end w:w="90" w:type="dxa"/>
            </w:tcMar>
            <w:vAlign w:val="center"/>
          </w:tcPr>
          <w:p>
            <w:pPr>
              <w:jc w:val="center"/>
            </w:pPr>
            <w:r>
              <w:rPr>
                <w:rFonts w:ascii="Aptos" w:hAnsi="Aptos"/>
                <w:b w:val="0"/>
                <w:sz w:val="13"/>
              </w:rPr>
              <w:t>56</w:t>
            </w:r>
          </w:p>
        </w:tc>
      </w:tr>
      <w:tr>
        <w:tc>
          <w:tcPr>
            <w:tcW w:type="dxa" w:w="907"/>
            <w:tcMar>
              <w:top w:w="80" w:type="dxa"/>
              <w:start w:w="90" w:type="dxa"/>
              <w:bottom w:w="80" w:type="dxa"/>
              <w:end w:w="90" w:type="dxa"/>
            </w:tcMar>
            <w:vAlign w:val="center"/>
          </w:tcPr>
          <w:p>
            <w:pPr>
              <w:jc w:val="center"/>
            </w:pPr>
            <w:r>
              <w:rPr>
                <w:rFonts w:ascii="Aptos" w:hAnsi="Aptos"/>
                <w:b w:val="0"/>
                <w:i w:val="0"/>
                <w:sz w:val="13"/>
              </w:rPr>
              <w:t>9</w:t>
            </w:r>
          </w:p>
        </w:tc>
        <w:tc>
          <w:tcPr>
            <w:tcW w:type="dxa" w:w="3628"/>
            <w:tcMar>
              <w:top w:w="80" w:type="dxa"/>
              <w:start w:w="90" w:type="dxa"/>
              <w:bottom w:w="80" w:type="dxa"/>
              <w:end w:w="90" w:type="dxa"/>
            </w:tcMar>
            <w:vAlign w:val="center"/>
          </w:tcPr>
          <w:p>
            <w:pPr>
              <w:jc w:val="left"/>
            </w:pPr>
            <w:r>
              <w:rPr>
                <w:rFonts w:ascii="Aptos" w:hAnsi="Aptos"/>
                <w:b w:val="0"/>
                <w:i w:val="0"/>
                <w:sz w:val="13"/>
              </w:rPr>
              <w:t>Связности, кривизна, голономия и ассоциаторная кривизна</w:t>
            </w:r>
          </w:p>
        </w:tc>
        <w:tc>
          <w:tcPr>
            <w:tcW w:type="dxa" w:w="794"/>
            <w:tcMar>
              <w:top w:w="80" w:type="dxa"/>
              <w:start w:w="90" w:type="dxa"/>
              <w:bottom w:w="80" w:type="dxa"/>
              <w:end w:w="90" w:type="dxa"/>
            </w:tcMar>
            <w:vAlign w:val="center"/>
          </w:tcPr>
          <w:p>
            <w:pPr>
              <w:jc w:val="center"/>
            </w:pPr>
            <w:r>
              <w:rPr>
                <w:rFonts w:ascii="Aptos" w:hAnsi="Aptos"/>
                <w:b w:val="0"/>
                <w:i w:val="0"/>
                <w:sz w:val="13"/>
              </w:rPr>
              <w:t>53</w:t>
            </w:r>
          </w:p>
        </w:tc>
        <w:tc>
          <w:tcPr>
            <w:tcW w:type="dxa" w:w="3912"/>
            <w:tcMar>
              <w:top w:w="80" w:type="dxa"/>
              <w:start w:w="90" w:type="dxa"/>
              <w:bottom w:w="80" w:type="dxa"/>
              <w:end w:w="90" w:type="dxa"/>
            </w:tcMar>
            <w:vAlign w:val="center"/>
          </w:tcPr>
          <w:p>
            <w:pPr>
              <w:jc w:val="left"/>
            </w:pPr>
            <w:r>
              <w:rPr>
                <w:rFonts w:ascii="Aptos" w:hAnsi="Aptos"/>
                <w:b w:val="0"/>
                <w:i w:val="0"/>
                <w:sz w:val="13"/>
              </w:rPr>
              <w:t>Connections, Curvature, Holonomy, and Associator Curvature</w:t>
            </w:r>
          </w:p>
        </w:tc>
        <w:tc>
          <w:tcPr>
            <w:tcW w:type="dxa" w:w="794"/>
            <w:tcMar>
              <w:top w:w="80" w:type="dxa"/>
              <w:start w:w="90" w:type="dxa"/>
              <w:bottom w:w="80" w:type="dxa"/>
              <w:end w:w="90" w:type="dxa"/>
            </w:tcMar>
            <w:vAlign w:val="center"/>
          </w:tcPr>
          <w:p>
            <w:pPr>
              <w:jc w:val="center"/>
            </w:pPr>
            <w:r>
              <w:rPr>
                <w:rFonts w:ascii="Aptos" w:hAnsi="Aptos"/>
                <w:b w:val="0"/>
                <w:sz w:val="13"/>
              </w:rPr>
              <w:t>62</w:t>
            </w:r>
          </w:p>
        </w:tc>
      </w:tr>
      <w:tr>
        <w:tc>
          <w:tcPr>
            <w:tcW w:type="dxa" w:w="907"/>
            <w:tcMar>
              <w:top w:w="80" w:type="dxa"/>
              <w:start w:w="90" w:type="dxa"/>
              <w:bottom w:w="80" w:type="dxa"/>
              <w:end w:w="90" w:type="dxa"/>
            </w:tcMar>
            <w:vAlign w:val="center"/>
          </w:tcPr>
          <w:p>
            <w:pPr>
              <w:jc w:val="center"/>
            </w:pPr>
            <w:r>
              <w:rPr>
                <w:rFonts w:ascii="Aptos" w:hAnsi="Aptos"/>
                <w:b w:val="0"/>
                <w:i w:val="0"/>
                <w:sz w:val="13"/>
              </w:rPr>
              <w:t>10</w:t>
            </w:r>
          </w:p>
        </w:tc>
        <w:tc>
          <w:tcPr>
            <w:tcW w:type="dxa" w:w="3628"/>
            <w:tcMar>
              <w:top w:w="80" w:type="dxa"/>
              <w:start w:w="90" w:type="dxa"/>
              <w:bottom w:w="80" w:type="dxa"/>
              <w:end w:w="90" w:type="dxa"/>
            </w:tcMar>
            <w:vAlign w:val="center"/>
          </w:tcPr>
          <w:p>
            <w:pPr>
              <w:jc w:val="left"/>
            </w:pPr>
            <w:r>
              <w:rPr>
                <w:rFonts w:ascii="Aptos" w:hAnsi="Aptos"/>
                <w:b w:val="0"/>
                <w:i w:val="0"/>
                <w:sz w:val="13"/>
              </w:rPr>
              <w:t>Дифференциальные формы NAPG и типизированные дифференциалы</w:t>
            </w:r>
          </w:p>
        </w:tc>
        <w:tc>
          <w:tcPr>
            <w:tcW w:type="dxa" w:w="794"/>
            <w:tcMar>
              <w:top w:w="80" w:type="dxa"/>
              <w:start w:w="90" w:type="dxa"/>
              <w:bottom w:w="80" w:type="dxa"/>
              <w:end w:w="90" w:type="dxa"/>
            </w:tcMar>
            <w:vAlign w:val="center"/>
          </w:tcPr>
          <w:p>
            <w:pPr>
              <w:jc w:val="center"/>
            </w:pPr>
            <w:r>
              <w:rPr>
                <w:rFonts w:ascii="Aptos" w:hAnsi="Aptos"/>
                <w:b w:val="0"/>
                <w:i w:val="0"/>
                <w:sz w:val="13"/>
              </w:rPr>
              <w:t>65</w:t>
            </w:r>
          </w:p>
        </w:tc>
        <w:tc>
          <w:tcPr>
            <w:tcW w:type="dxa" w:w="3912"/>
            <w:tcMar>
              <w:top w:w="80" w:type="dxa"/>
              <w:start w:w="90" w:type="dxa"/>
              <w:bottom w:w="80" w:type="dxa"/>
              <w:end w:w="90" w:type="dxa"/>
            </w:tcMar>
            <w:vAlign w:val="center"/>
          </w:tcPr>
          <w:p>
            <w:pPr>
              <w:jc w:val="left"/>
            </w:pPr>
            <w:r>
              <w:rPr>
                <w:rFonts w:ascii="Aptos" w:hAnsi="Aptos"/>
                <w:b w:val="0"/>
                <w:i w:val="0"/>
                <w:sz w:val="13"/>
              </w:rPr>
              <w:t>NAPG Differential Forms and Typed Differentials</w:t>
            </w:r>
          </w:p>
        </w:tc>
        <w:tc>
          <w:tcPr>
            <w:tcW w:type="dxa" w:w="794"/>
            <w:tcMar>
              <w:top w:w="80" w:type="dxa"/>
              <w:start w:w="90" w:type="dxa"/>
              <w:bottom w:w="80" w:type="dxa"/>
              <w:end w:w="90" w:type="dxa"/>
            </w:tcMar>
            <w:vAlign w:val="center"/>
          </w:tcPr>
          <w:p>
            <w:pPr>
              <w:jc w:val="center"/>
            </w:pPr>
            <w:r>
              <w:rPr>
                <w:rFonts w:ascii="Aptos" w:hAnsi="Aptos"/>
                <w:b w:val="0"/>
                <w:sz w:val="13"/>
              </w:rPr>
              <w:t>69</w:t>
            </w:r>
          </w:p>
        </w:tc>
      </w:tr>
      <w:tr>
        <w:tc>
          <w:tcPr>
            <w:tcW w:type="dxa" w:w="907"/>
            <w:tcMar>
              <w:top w:w="80" w:type="dxa"/>
              <w:start w:w="90" w:type="dxa"/>
              <w:bottom w:w="80" w:type="dxa"/>
              <w:end w:w="90" w:type="dxa"/>
            </w:tcMar>
            <w:vAlign w:val="center"/>
          </w:tcPr>
          <w:p>
            <w:pPr>
              <w:jc w:val="center"/>
            </w:pPr>
            <w:r>
              <w:rPr>
                <w:rFonts w:ascii="Aptos" w:hAnsi="Aptos"/>
                <w:b w:val="0"/>
                <w:i w:val="0"/>
                <w:sz w:val="13"/>
              </w:rPr>
              <w:t>11</w:t>
            </w:r>
          </w:p>
        </w:tc>
        <w:tc>
          <w:tcPr>
            <w:tcW w:type="dxa" w:w="3628"/>
            <w:tcMar>
              <w:top w:w="80" w:type="dxa"/>
              <w:start w:w="90" w:type="dxa"/>
              <w:bottom w:w="80" w:type="dxa"/>
              <w:end w:w="90" w:type="dxa"/>
            </w:tcMar>
            <w:vAlign w:val="center"/>
          </w:tcPr>
          <w:p>
            <w:pPr>
              <w:jc w:val="left"/>
            </w:pPr>
            <w:r>
              <w:rPr>
                <w:rFonts w:ascii="Aptos" w:hAnsi="Aptos"/>
                <w:b w:val="0"/>
                <w:i w:val="0"/>
                <w:sz w:val="13"/>
              </w:rPr>
              <w:t>Операторы Ходжа, кодифференциал и лапласиан</w:t>
            </w:r>
          </w:p>
        </w:tc>
        <w:tc>
          <w:tcPr>
            <w:tcW w:type="dxa" w:w="794"/>
            <w:tcMar>
              <w:top w:w="80" w:type="dxa"/>
              <w:start w:w="90" w:type="dxa"/>
              <w:bottom w:w="80" w:type="dxa"/>
              <w:end w:w="90" w:type="dxa"/>
            </w:tcMar>
            <w:vAlign w:val="center"/>
          </w:tcPr>
          <w:p>
            <w:pPr>
              <w:jc w:val="center"/>
            </w:pPr>
            <w:r>
              <w:rPr>
                <w:rFonts w:ascii="Aptos" w:hAnsi="Aptos"/>
                <w:b w:val="0"/>
                <w:i w:val="0"/>
                <w:sz w:val="13"/>
              </w:rPr>
              <w:t>71</w:t>
            </w:r>
          </w:p>
        </w:tc>
        <w:tc>
          <w:tcPr>
            <w:tcW w:type="dxa" w:w="3912"/>
            <w:tcMar>
              <w:top w:w="80" w:type="dxa"/>
              <w:start w:w="90" w:type="dxa"/>
              <w:bottom w:w="80" w:type="dxa"/>
              <w:end w:w="90" w:type="dxa"/>
            </w:tcMar>
            <w:vAlign w:val="center"/>
          </w:tcPr>
          <w:p>
            <w:pPr>
              <w:jc w:val="left"/>
            </w:pPr>
            <w:r>
              <w:rPr>
                <w:rFonts w:ascii="Aptos" w:hAnsi="Aptos"/>
                <w:b w:val="0"/>
                <w:i w:val="0"/>
                <w:sz w:val="13"/>
              </w:rPr>
              <w:t>Hodge Operators, Codifferential, and Laplacian</w:t>
            </w:r>
          </w:p>
        </w:tc>
        <w:tc>
          <w:tcPr>
            <w:tcW w:type="dxa" w:w="794"/>
            <w:tcMar>
              <w:top w:w="80" w:type="dxa"/>
              <w:start w:w="90" w:type="dxa"/>
              <w:bottom w:w="80" w:type="dxa"/>
              <w:end w:w="90" w:type="dxa"/>
            </w:tcMar>
            <w:vAlign w:val="center"/>
          </w:tcPr>
          <w:p>
            <w:pPr>
              <w:jc w:val="center"/>
            </w:pPr>
            <w:r>
              <w:rPr>
                <w:rFonts w:ascii="Aptos" w:hAnsi="Aptos"/>
                <w:b w:val="0"/>
                <w:sz w:val="13"/>
              </w:rPr>
              <w:t>74</w:t>
            </w:r>
          </w:p>
        </w:tc>
      </w:tr>
      <w:tr>
        <w:tc>
          <w:tcPr>
            <w:tcW w:type="dxa" w:w="907"/>
            <w:tcMar>
              <w:top w:w="80" w:type="dxa"/>
              <w:start w:w="90" w:type="dxa"/>
              <w:bottom w:w="80" w:type="dxa"/>
              <w:end w:w="90" w:type="dxa"/>
            </w:tcMar>
            <w:vAlign w:val="center"/>
          </w:tcPr>
          <w:p>
            <w:pPr>
              <w:jc w:val="center"/>
            </w:pPr>
            <w:r>
              <w:rPr>
                <w:rFonts w:ascii="Aptos" w:hAnsi="Aptos"/>
                <w:b w:val="0"/>
                <w:i w:val="0"/>
                <w:sz w:val="13"/>
              </w:rPr>
              <w:t>12</w:t>
            </w:r>
          </w:p>
        </w:tc>
        <w:tc>
          <w:tcPr>
            <w:tcW w:type="dxa" w:w="3628"/>
            <w:tcMar>
              <w:top w:w="80" w:type="dxa"/>
              <w:start w:w="90" w:type="dxa"/>
              <w:bottom w:w="80" w:type="dxa"/>
              <w:end w:w="90" w:type="dxa"/>
            </w:tcMar>
            <w:vAlign w:val="center"/>
          </w:tcPr>
          <w:p>
            <w:pPr>
              <w:jc w:val="left"/>
            </w:pPr>
            <w:r>
              <w:rPr>
                <w:rFonts w:ascii="Aptos" w:hAnsi="Aptos"/>
                <w:b w:val="0"/>
                <w:i w:val="0"/>
                <w:sz w:val="13"/>
              </w:rPr>
              <w:t>Внутренняя конструкция C_min^•, δ_min и Θ_min</w:t>
            </w:r>
          </w:p>
        </w:tc>
        <w:tc>
          <w:tcPr>
            <w:tcW w:type="dxa" w:w="794"/>
            <w:tcMar>
              <w:top w:w="80" w:type="dxa"/>
              <w:start w:w="90" w:type="dxa"/>
              <w:bottom w:w="80" w:type="dxa"/>
              <w:end w:w="90" w:type="dxa"/>
            </w:tcMar>
            <w:vAlign w:val="center"/>
          </w:tcPr>
          <w:p>
            <w:pPr>
              <w:jc w:val="center"/>
            </w:pPr>
            <w:r>
              <w:rPr>
                <w:rFonts w:ascii="Aptos" w:hAnsi="Aptos"/>
                <w:b w:val="0"/>
                <w:i w:val="0"/>
                <w:sz w:val="13"/>
              </w:rPr>
              <w:t>77</w:t>
            </w:r>
          </w:p>
        </w:tc>
        <w:tc>
          <w:tcPr>
            <w:tcW w:type="dxa" w:w="3912"/>
            <w:tcMar>
              <w:top w:w="80" w:type="dxa"/>
              <w:start w:w="90" w:type="dxa"/>
              <w:bottom w:w="80" w:type="dxa"/>
              <w:end w:w="90" w:type="dxa"/>
            </w:tcMar>
            <w:vAlign w:val="center"/>
          </w:tcPr>
          <w:p>
            <w:pPr>
              <w:jc w:val="left"/>
            </w:pPr>
            <w:r>
              <w:rPr>
                <w:rFonts w:ascii="Aptos" w:hAnsi="Aptos"/>
                <w:b w:val="0"/>
                <w:i w:val="0"/>
                <w:sz w:val="13"/>
              </w:rPr>
              <w:t>Internal Construction of C_min^bullet, delta_min, and Theta_min</w:t>
            </w:r>
          </w:p>
        </w:tc>
        <w:tc>
          <w:tcPr>
            <w:tcW w:type="dxa" w:w="794"/>
            <w:tcMar>
              <w:top w:w="80" w:type="dxa"/>
              <w:start w:w="90" w:type="dxa"/>
              <w:bottom w:w="80" w:type="dxa"/>
              <w:end w:w="90" w:type="dxa"/>
            </w:tcMar>
            <w:vAlign w:val="center"/>
          </w:tcPr>
          <w:p>
            <w:pPr>
              <w:jc w:val="center"/>
            </w:pPr>
            <w:r>
              <w:rPr>
                <w:rFonts w:ascii="Aptos" w:hAnsi="Aptos"/>
                <w:b w:val="0"/>
                <w:sz w:val="13"/>
              </w:rPr>
              <w:t>78</w:t>
            </w:r>
          </w:p>
        </w:tc>
      </w:tr>
      <w:tr>
        <w:tc>
          <w:tcPr>
            <w:tcW w:type="dxa" w:w="907"/>
            <w:tcMar>
              <w:top w:w="80" w:type="dxa"/>
              <w:start w:w="90" w:type="dxa"/>
              <w:bottom w:w="80" w:type="dxa"/>
              <w:end w:w="90" w:type="dxa"/>
            </w:tcMar>
            <w:vAlign w:val="center"/>
          </w:tcPr>
          <w:p>
            <w:pPr>
              <w:jc w:val="center"/>
            </w:pPr>
            <w:r>
              <w:rPr>
                <w:rFonts w:ascii="Aptos" w:hAnsi="Aptos"/>
                <w:b w:val="0"/>
                <w:i w:val="0"/>
                <w:sz w:val="13"/>
              </w:rPr>
              <w:t>13</w:t>
            </w:r>
          </w:p>
        </w:tc>
        <w:tc>
          <w:tcPr>
            <w:tcW w:type="dxa" w:w="3628"/>
            <w:tcMar>
              <w:top w:w="80" w:type="dxa"/>
              <w:start w:w="90" w:type="dxa"/>
              <w:bottom w:w="80" w:type="dxa"/>
              <w:end w:w="90" w:type="dxa"/>
            </w:tcMar>
            <w:vAlign w:val="center"/>
          </w:tcPr>
          <w:p>
            <w:pPr>
              <w:jc w:val="left"/>
            </w:pPr>
            <w:r>
              <w:rPr>
                <w:rFonts w:ascii="Aptos" w:hAnsi="Aptos"/>
                <w:b w:val="0"/>
                <w:i w:val="0"/>
                <w:sz w:val="13"/>
              </w:rPr>
              <w:t>Внешний E-комплекс и условный мост Π_E</w:t>
            </w:r>
          </w:p>
        </w:tc>
        <w:tc>
          <w:tcPr>
            <w:tcW w:type="dxa" w:w="794"/>
            <w:tcMar>
              <w:top w:w="80" w:type="dxa"/>
              <w:start w:w="90" w:type="dxa"/>
              <w:bottom w:w="80" w:type="dxa"/>
              <w:end w:w="90" w:type="dxa"/>
            </w:tcMar>
            <w:vAlign w:val="center"/>
          </w:tcPr>
          <w:p>
            <w:pPr>
              <w:jc w:val="center"/>
            </w:pPr>
            <w:r>
              <w:rPr>
                <w:rFonts w:ascii="Aptos" w:hAnsi="Aptos"/>
                <w:b w:val="0"/>
                <w:i w:val="0"/>
                <w:sz w:val="13"/>
              </w:rPr>
              <w:t>85</w:t>
            </w:r>
          </w:p>
        </w:tc>
        <w:tc>
          <w:tcPr>
            <w:tcW w:type="dxa" w:w="3912"/>
            <w:tcMar>
              <w:top w:w="80" w:type="dxa"/>
              <w:start w:w="90" w:type="dxa"/>
              <w:bottom w:w="80" w:type="dxa"/>
              <w:end w:w="90" w:type="dxa"/>
            </w:tcMar>
            <w:vAlign w:val="center"/>
          </w:tcPr>
          <w:p>
            <w:pPr>
              <w:jc w:val="left"/>
            </w:pPr>
            <w:r>
              <w:rPr>
                <w:rFonts w:ascii="Aptos" w:hAnsi="Aptos"/>
                <w:b w:val="0"/>
                <w:i w:val="0"/>
                <w:sz w:val="13"/>
              </w:rPr>
              <w:t>External E-Complex and the Conditional Bridge Pi_E</w:t>
            </w:r>
          </w:p>
        </w:tc>
        <w:tc>
          <w:tcPr>
            <w:tcW w:type="dxa" w:w="794"/>
            <w:tcMar>
              <w:top w:w="80" w:type="dxa"/>
              <w:start w:w="90" w:type="dxa"/>
              <w:bottom w:w="80" w:type="dxa"/>
              <w:end w:w="90" w:type="dxa"/>
            </w:tcMar>
            <w:vAlign w:val="center"/>
          </w:tcPr>
          <w:p>
            <w:pPr>
              <w:jc w:val="center"/>
            </w:pPr>
            <w:r>
              <w:rPr>
                <w:rFonts w:ascii="Aptos" w:hAnsi="Aptos"/>
                <w:b w:val="0"/>
                <w:sz w:val="13"/>
              </w:rPr>
              <w:t>83</w:t>
            </w:r>
          </w:p>
        </w:tc>
      </w:tr>
      <w:tr>
        <w:tc>
          <w:tcPr>
            <w:tcW w:type="dxa" w:w="907"/>
            <w:tcMar>
              <w:top w:w="80" w:type="dxa"/>
              <w:start w:w="90" w:type="dxa"/>
              <w:bottom w:w="80" w:type="dxa"/>
              <w:end w:w="90" w:type="dxa"/>
            </w:tcMar>
            <w:vAlign w:val="center"/>
          </w:tcPr>
          <w:p>
            <w:pPr>
              <w:jc w:val="center"/>
            </w:pPr>
            <w:r>
              <w:rPr>
                <w:rFonts w:ascii="Aptos" w:hAnsi="Aptos"/>
                <w:b w:val="0"/>
                <w:i w:val="0"/>
                <w:sz w:val="13"/>
              </w:rPr>
              <w:t>14</w:t>
            </w:r>
          </w:p>
        </w:tc>
        <w:tc>
          <w:tcPr>
            <w:tcW w:type="dxa" w:w="3628"/>
            <w:tcMar>
              <w:top w:w="80" w:type="dxa"/>
              <w:start w:w="90" w:type="dxa"/>
              <w:bottom w:w="80" w:type="dxa"/>
              <w:end w:w="90" w:type="dxa"/>
            </w:tcMar>
            <w:vAlign w:val="center"/>
          </w:tcPr>
          <w:p>
            <w:pPr>
              <w:jc w:val="left"/>
            </w:pPr>
            <w:r>
              <w:rPr>
                <w:rFonts w:ascii="Aptos" w:hAnsi="Aptos"/>
                <w:b w:val="0"/>
                <w:i w:val="0"/>
                <w:sz w:val="13"/>
              </w:rPr>
              <w:t>Пространства препятствий и проективные носители</w:t>
            </w:r>
          </w:p>
        </w:tc>
        <w:tc>
          <w:tcPr>
            <w:tcW w:type="dxa" w:w="794"/>
            <w:tcMar>
              <w:top w:w="80" w:type="dxa"/>
              <w:start w:w="90" w:type="dxa"/>
              <w:bottom w:w="80" w:type="dxa"/>
              <w:end w:w="90" w:type="dxa"/>
            </w:tcMar>
            <w:vAlign w:val="center"/>
          </w:tcPr>
          <w:p>
            <w:pPr>
              <w:jc w:val="center"/>
            </w:pPr>
            <w:r>
              <w:rPr>
                <w:rFonts w:ascii="Aptos" w:hAnsi="Aptos"/>
                <w:b w:val="0"/>
                <w:i w:val="0"/>
                <w:sz w:val="13"/>
              </w:rPr>
              <w:t>95</w:t>
            </w:r>
          </w:p>
        </w:tc>
        <w:tc>
          <w:tcPr>
            <w:tcW w:type="dxa" w:w="3912"/>
            <w:tcMar>
              <w:top w:w="80" w:type="dxa"/>
              <w:start w:w="90" w:type="dxa"/>
              <w:bottom w:w="80" w:type="dxa"/>
              <w:end w:w="90" w:type="dxa"/>
            </w:tcMar>
            <w:vAlign w:val="center"/>
          </w:tcPr>
          <w:p>
            <w:pPr>
              <w:jc w:val="left"/>
            </w:pPr>
            <w:r>
              <w:rPr>
                <w:rFonts w:ascii="Aptos" w:hAnsi="Aptos"/>
                <w:b w:val="0"/>
                <w:i w:val="0"/>
                <w:sz w:val="13"/>
              </w:rPr>
              <w:t>Obstruction Spaces and Projective Carriers</w:t>
            </w:r>
          </w:p>
        </w:tc>
        <w:tc>
          <w:tcPr>
            <w:tcW w:type="dxa" w:w="794"/>
            <w:tcMar>
              <w:top w:w="80" w:type="dxa"/>
              <w:start w:w="90" w:type="dxa"/>
              <w:bottom w:w="80" w:type="dxa"/>
              <w:end w:w="90" w:type="dxa"/>
            </w:tcMar>
            <w:vAlign w:val="center"/>
          </w:tcPr>
          <w:p>
            <w:pPr>
              <w:jc w:val="center"/>
            </w:pPr>
            <w:r>
              <w:rPr>
                <w:rFonts w:ascii="Aptos" w:hAnsi="Aptos"/>
                <w:b w:val="0"/>
                <w:sz w:val="13"/>
              </w:rPr>
              <w:t>91</w:t>
            </w:r>
          </w:p>
        </w:tc>
      </w:tr>
      <w:tr>
        <w:tc>
          <w:tcPr>
            <w:tcW w:type="dxa" w:w="907"/>
            <w:tcMar>
              <w:top w:w="80" w:type="dxa"/>
              <w:start w:w="90" w:type="dxa"/>
              <w:bottom w:w="80" w:type="dxa"/>
              <w:end w:w="90" w:type="dxa"/>
            </w:tcMar>
            <w:vAlign w:val="center"/>
          </w:tcPr>
          <w:p>
            <w:pPr>
              <w:jc w:val="center"/>
            </w:pPr>
            <w:r>
              <w:rPr>
                <w:rFonts w:ascii="Aptos" w:hAnsi="Aptos"/>
                <w:b w:val="0"/>
                <w:i w:val="0"/>
                <w:sz w:val="13"/>
              </w:rPr>
              <w:t>15</w:t>
            </w:r>
          </w:p>
        </w:tc>
        <w:tc>
          <w:tcPr>
            <w:tcW w:type="dxa" w:w="3628"/>
            <w:tcMar>
              <w:top w:w="80" w:type="dxa"/>
              <w:start w:w="90" w:type="dxa"/>
              <w:bottom w:w="80" w:type="dxa"/>
              <w:end w:w="90" w:type="dxa"/>
            </w:tcMar>
            <w:vAlign w:val="center"/>
          </w:tcPr>
          <w:p>
            <w:pPr>
              <w:jc w:val="left"/>
            </w:pPr>
            <w:r>
              <w:rPr>
                <w:rFonts w:ascii="Aptos" w:hAnsi="Aptos"/>
                <w:b w:val="0"/>
                <w:i w:val="0"/>
                <w:sz w:val="13"/>
              </w:rPr>
              <w:t>Разложение Ходжа и аналитический слой NAPG</w:t>
            </w:r>
          </w:p>
        </w:tc>
        <w:tc>
          <w:tcPr>
            <w:tcW w:type="dxa" w:w="794"/>
            <w:tcMar>
              <w:top w:w="80" w:type="dxa"/>
              <w:start w:w="90" w:type="dxa"/>
              <w:bottom w:w="80" w:type="dxa"/>
              <w:end w:w="90" w:type="dxa"/>
            </w:tcMar>
            <w:vAlign w:val="center"/>
          </w:tcPr>
          <w:p>
            <w:pPr>
              <w:jc w:val="center"/>
            </w:pPr>
            <w:r>
              <w:rPr>
                <w:rFonts w:ascii="Aptos" w:hAnsi="Aptos"/>
                <w:b w:val="0"/>
                <w:i w:val="0"/>
                <w:sz w:val="13"/>
              </w:rPr>
              <w:t>106</w:t>
            </w:r>
          </w:p>
        </w:tc>
        <w:tc>
          <w:tcPr>
            <w:tcW w:type="dxa" w:w="3912"/>
            <w:tcMar>
              <w:top w:w="80" w:type="dxa"/>
              <w:start w:w="90" w:type="dxa"/>
              <w:bottom w:w="80" w:type="dxa"/>
              <w:end w:w="90" w:type="dxa"/>
            </w:tcMar>
            <w:vAlign w:val="center"/>
          </w:tcPr>
          <w:p>
            <w:pPr>
              <w:jc w:val="left"/>
            </w:pPr>
            <w:r>
              <w:rPr>
                <w:rFonts w:ascii="Aptos" w:hAnsi="Aptos"/>
                <w:b w:val="0"/>
                <w:i w:val="0"/>
                <w:sz w:val="13"/>
              </w:rPr>
              <w:t>Hodge Decomposition and the Analytic NAPG Layer</w:t>
            </w:r>
          </w:p>
        </w:tc>
        <w:tc>
          <w:tcPr>
            <w:tcW w:type="dxa" w:w="794"/>
            <w:tcMar>
              <w:top w:w="80" w:type="dxa"/>
              <w:start w:w="90" w:type="dxa"/>
              <w:bottom w:w="80" w:type="dxa"/>
              <w:end w:w="90" w:type="dxa"/>
            </w:tcMar>
            <w:vAlign w:val="center"/>
          </w:tcPr>
          <w:p>
            <w:pPr>
              <w:jc w:val="center"/>
            </w:pPr>
            <w:r>
              <w:rPr>
                <w:rFonts w:ascii="Aptos" w:hAnsi="Aptos"/>
                <w:b w:val="0"/>
                <w:sz w:val="13"/>
              </w:rPr>
              <w:t>98</w:t>
            </w:r>
          </w:p>
        </w:tc>
      </w:tr>
      <w:tr>
        <w:tc>
          <w:tcPr>
            <w:tcW w:type="dxa" w:w="907"/>
            <w:tcMar>
              <w:top w:w="80" w:type="dxa"/>
              <w:start w:w="90" w:type="dxa"/>
              <w:bottom w:w="80" w:type="dxa"/>
              <w:end w:w="90" w:type="dxa"/>
            </w:tcMar>
            <w:vAlign w:val="center"/>
          </w:tcPr>
          <w:p>
            <w:pPr>
              <w:jc w:val="center"/>
            </w:pPr>
            <w:r>
              <w:rPr>
                <w:rFonts w:ascii="Aptos" w:hAnsi="Aptos"/>
                <w:b w:val="0"/>
                <w:i w:val="0"/>
                <w:sz w:val="13"/>
              </w:rPr>
              <w:t>16</w:t>
            </w:r>
          </w:p>
        </w:tc>
        <w:tc>
          <w:tcPr>
            <w:tcW w:type="dxa" w:w="3628"/>
            <w:tcMar>
              <w:top w:w="80" w:type="dxa"/>
              <w:start w:w="90" w:type="dxa"/>
              <w:bottom w:w="80" w:type="dxa"/>
              <w:end w:w="90" w:type="dxa"/>
            </w:tcMar>
            <w:vAlign w:val="center"/>
          </w:tcPr>
          <w:p>
            <w:pPr>
              <w:jc w:val="left"/>
            </w:pPr>
            <w:r>
              <w:rPr>
                <w:rFonts w:ascii="Aptos" w:hAnsi="Aptos"/>
                <w:b w:val="0"/>
                <w:i w:val="0"/>
                <w:sz w:val="13"/>
              </w:rPr>
              <w:t>Функторы деформаций, пространства модулей и отображение Кураниши</w:t>
            </w:r>
          </w:p>
        </w:tc>
        <w:tc>
          <w:tcPr>
            <w:tcW w:type="dxa" w:w="794"/>
            <w:tcMar>
              <w:top w:w="80" w:type="dxa"/>
              <w:start w:w="90" w:type="dxa"/>
              <w:bottom w:w="80" w:type="dxa"/>
              <w:end w:w="90" w:type="dxa"/>
            </w:tcMar>
            <w:vAlign w:val="center"/>
          </w:tcPr>
          <w:p>
            <w:pPr>
              <w:jc w:val="center"/>
            </w:pPr>
            <w:r>
              <w:rPr>
                <w:rFonts w:ascii="Aptos" w:hAnsi="Aptos"/>
                <w:b w:val="0"/>
                <w:i w:val="0"/>
                <w:sz w:val="13"/>
              </w:rPr>
              <w:t>115</w:t>
            </w:r>
          </w:p>
        </w:tc>
        <w:tc>
          <w:tcPr>
            <w:tcW w:type="dxa" w:w="3912"/>
            <w:tcMar>
              <w:top w:w="80" w:type="dxa"/>
              <w:start w:w="90" w:type="dxa"/>
              <w:bottom w:w="80" w:type="dxa"/>
              <w:end w:w="90" w:type="dxa"/>
            </w:tcMar>
            <w:vAlign w:val="center"/>
          </w:tcPr>
          <w:p>
            <w:pPr>
              <w:jc w:val="left"/>
            </w:pPr>
            <w:r>
              <w:rPr>
                <w:rFonts w:ascii="Aptos" w:hAnsi="Aptos"/>
                <w:b w:val="0"/>
                <w:i w:val="0"/>
                <w:sz w:val="13"/>
              </w:rPr>
              <w:t>Deformation Functors, Moduli Spaces, and the Kuranishi Map</w:t>
            </w:r>
          </w:p>
        </w:tc>
        <w:tc>
          <w:tcPr>
            <w:tcW w:type="dxa" w:w="794"/>
            <w:tcMar>
              <w:top w:w="80" w:type="dxa"/>
              <w:start w:w="90" w:type="dxa"/>
              <w:bottom w:w="80" w:type="dxa"/>
              <w:end w:w="90" w:type="dxa"/>
            </w:tcMar>
            <w:vAlign w:val="center"/>
          </w:tcPr>
          <w:p>
            <w:pPr>
              <w:jc w:val="center"/>
            </w:pPr>
            <w:r>
              <w:rPr>
                <w:rFonts w:ascii="Aptos" w:hAnsi="Aptos"/>
                <w:b w:val="0"/>
                <w:sz w:val="13"/>
              </w:rPr>
              <w:t>107</w:t>
            </w:r>
          </w:p>
        </w:tc>
      </w:tr>
      <w:tr>
        <w:tc>
          <w:tcPr>
            <w:tcW w:type="dxa" w:w="907"/>
            <w:tcMar>
              <w:top w:w="80" w:type="dxa"/>
              <w:start w:w="90" w:type="dxa"/>
              <w:bottom w:w="80" w:type="dxa"/>
              <w:end w:w="90" w:type="dxa"/>
            </w:tcMar>
            <w:vAlign w:val="center"/>
          </w:tcPr>
          <w:p>
            <w:pPr>
              <w:jc w:val="center"/>
            </w:pPr>
            <w:r>
              <w:rPr>
                <w:rFonts w:ascii="Aptos" w:hAnsi="Aptos"/>
                <w:b w:val="0"/>
                <w:i w:val="0"/>
                <w:sz w:val="13"/>
              </w:rPr>
              <w:t>17</w:t>
            </w:r>
          </w:p>
        </w:tc>
        <w:tc>
          <w:tcPr>
            <w:tcW w:type="dxa" w:w="3628"/>
            <w:tcMar>
              <w:top w:w="80" w:type="dxa"/>
              <w:start w:w="90" w:type="dxa"/>
              <w:bottom w:w="80" w:type="dxa"/>
              <w:end w:w="90" w:type="dxa"/>
            </w:tcMar>
            <w:vAlign w:val="center"/>
          </w:tcPr>
          <w:p>
            <w:pPr>
              <w:jc w:val="left"/>
            </w:pPr>
            <w:r>
              <w:rPr>
                <w:rFonts w:ascii="Aptos" w:hAnsi="Aptos"/>
                <w:b w:val="0"/>
                <w:i w:val="0"/>
                <w:sz w:val="13"/>
              </w:rPr>
              <w:t>Стратифицированные пространства модулей, wall crossing и монодромия</w:t>
            </w:r>
          </w:p>
        </w:tc>
        <w:tc>
          <w:tcPr>
            <w:tcW w:type="dxa" w:w="794"/>
            <w:tcMar>
              <w:top w:w="80" w:type="dxa"/>
              <w:start w:w="90" w:type="dxa"/>
              <w:bottom w:w="80" w:type="dxa"/>
              <w:end w:w="90" w:type="dxa"/>
            </w:tcMar>
            <w:vAlign w:val="center"/>
          </w:tcPr>
          <w:p>
            <w:pPr>
              <w:jc w:val="center"/>
            </w:pPr>
            <w:r>
              <w:rPr>
                <w:rFonts w:ascii="Aptos" w:hAnsi="Aptos"/>
                <w:b w:val="0"/>
                <w:i w:val="0"/>
                <w:sz w:val="13"/>
              </w:rPr>
              <w:t>125</w:t>
            </w:r>
          </w:p>
        </w:tc>
        <w:tc>
          <w:tcPr>
            <w:tcW w:type="dxa" w:w="3912"/>
            <w:tcMar>
              <w:top w:w="80" w:type="dxa"/>
              <w:start w:w="90" w:type="dxa"/>
              <w:bottom w:w="80" w:type="dxa"/>
              <w:end w:w="90" w:type="dxa"/>
            </w:tcMar>
            <w:vAlign w:val="center"/>
          </w:tcPr>
          <w:p>
            <w:pPr>
              <w:jc w:val="left"/>
            </w:pPr>
            <w:r>
              <w:rPr>
                <w:rFonts w:ascii="Aptos" w:hAnsi="Aptos"/>
                <w:b w:val="0"/>
                <w:i w:val="0"/>
                <w:sz w:val="13"/>
              </w:rPr>
              <w:t>Stratified Moduli Spaces, Wall Crossing, and Monodromy</w:t>
            </w:r>
          </w:p>
        </w:tc>
        <w:tc>
          <w:tcPr>
            <w:tcW w:type="dxa" w:w="794"/>
            <w:tcMar>
              <w:top w:w="80" w:type="dxa"/>
              <w:start w:w="90" w:type="dxa"/>
              <w:bottom w:w="80" w:type="dxa"/>
              <w:end w:w="90" w:type="dxa"/>
            </w:tcMar>
            <w:vAlign w:val="center"/>
          </w:tcPr>
          <w:p>
            <w:pPr>
              <w:jc w:val="center"/>
            </w:pPr>
            <w:r>
              <w:rPr>
                <w:rFonts w:ascii="Aptos" w:hAnsi="Aptos"/>
                <w:b w:val="0"/>
                <w:sz w:val="13"/>
              </w:rPr>
              <w:t>116</w:t>
            </w:r>
          </w:p>
        </w:tc>
      </w:tr>
      <w:tr>
        <w:tc>
          <w:tcPr>
            <w:tcW w:type="dxa" w:w="907"/>
            <w:tcMar>
              <w:top w:w="80" w:type="dxa"/>
              <w:start w:w="90" w:type="dxa"/>
              <w:bottom w:w="80" w:type="dxa"/>
              <w:end w:w="90" w:type="dxa"/>
            </w:tcMar>
            <w:vAlign w:val="center"/>
          </w:tcPr>
          <w:p>
            <w:pPr>
              <w:jc w:val="center"/>
            </w:pPr>
            <w:r>
              <w:rPr>
                <w:rFonts w:ascii="Aptos" w:hAnsi="Aptos"/>
                <w:b w:val="0"/>
                <w:i w:val="0"/>
                <w:sz w:val="13"/>
              </w:rPr>
              <w:t>18</w:t>
            </w:r>
          </w:p>
        </w:tc>
        <w:tc>
          <w:tcPr>
            <w:tcW w:type="dxa" w:w="3628"/>
            <w:tcMar>
              <w:top w:w="80" w:type="dxa"/>
              <w:start w:w="90" w:type="dxa"/>
              <w:bottom w:w="80" w:type="dxa"/>
              <w:end w:w="90" w:type="dxa"/>
            </w:tcMar>
            <w:vAlign w:val="center"/>
          </w:tcPr>
          <w:p>
            <w:pPr>
              <w:jc w:val="left"/>
            </w:pPr>
            <w:r>
              <w:rPr>
                <w:rFonts w:ascii="Aptos" w:hAnsi="Aptos"/>
                <w:b w:val="0"/>
                <w:i w:val="0"/>
                <w:sz w:val="13"/>
              </w:rPr>
              <w:t>Глобальные derived/stacky пространства модулей и предсказательный носитель</w:t>
            </w:r>
          </w:p>
        </w:tc>
        <w:tc>
          <w:tcPr>
            <w:tcW w:type="dxa" w:w="794"/>
            <w:tcMar>
              <w:top w:w="80" w:type="dxa"/>
              <w:start w:w="90" w:type="dxa"/>
              <w:bottom w:w="80" w:type="dxa"/>
              <w:end w:w="90" w:type="dxa"/>
            </w:tcMar>
            <w:vAlign w:val="center"/>
          </w:tcPr>
          <w:p>
            <w:pPr>
              <w:jc w:val="center"/>
            </w:pPr>
            <w:r>
              <w:rPr>
                <w:rFonts w:ascii="Aptos" w:hAnsi="Aptos"/>
                <w:b w:val="0"/>
                <w:i w:val="0"/>
                <w:sz w:val="13"/>
              </w:rPr>
              <w:t>133</w:t>
            </w:r>
          </w:p>
        </w:tc>
        <w:tc>
          <w:tcPr>
            <w:tcW w:type="dxa" w:w="3912"/>
            <w:tcMar>
              <w:top w:w="80" w:type="dxa"/>
              <w:start w:w="90" w:type="dxa"/>
              <w:bottom w:w="80" w:type="dxa"/>
              <w:end w:w="90" w:type="dxa"/>
            </w:tcMar>
            <w:vAlign w:val="center"/>
          </w:tcPr>
          <w:p>
            <w:pPr>
              <w:jc w:val="left"/>
            </w:pPr>
            <w:r>
              <w:rPr>
                <w:rFonts w:ascii="Aptos" w:hAnsi="Aptos"/>
                <w:b w:val="0"/>
                <w:i w:val="0"/>
                <w:sz w:val="13"/>
              </w:rPr>
              <w:t>Global Derived/Stacky Moduli Spaces and the Predictive Carrier</w:t>
            </w:r>
          </w:p>
        </w:tc>
        <w:tc>
          <w:tcPr>
            <w:tcW w:type="dxa" w:w="794"/>
            <w:tcMar>
              <w:top w:w="80" w:type="dxa"/>
              <w:start w:w="90" w:type="dxa"/>
              <w:bottom w:w="80" w:type="dxa"/>
              <w:end w:w="90" w:type="dxa"/>
            </w:tcMar>
            <w:vAlign w:val="center"/>
          </w:tcPr>
          <w:p>
            <w:pPr>
              <w:jc w:val="center"/>
            </w:pPr>
            <w:r>
              <w:rPr>
                <w:rFonts w:ascii="Aptos" w:hAnsi="Aptos"/>
                <w:b w:val="0"/>
                <w:sz w:val="13"/>
              </w:rPr>
              <w:t>123</w:t>
            </w:r>
          </w:p>
        </w:tc>
      </w:tr>
      <w:tr>
        <w:tc>
          <w:tcPr>
            <w:tcW w:type="dxa" w:w="907"/>
            <w:tcMar>
              <w:top w:w="80" w:type="dxa"/>
              <w:start w:w="90" w:type="dxa"/>
              <w:bottom w:w="80" w:type="dxa"/>
              <w:end w:w="90" w:type="dxa"/>
            </w:tcMar>
            <w:vAlign w:val="center"/>
          </w:tcPr>
          <w:p>
            <w:pPr>
              <w:jc w:val="center"/>
            </w:pPr>
            <w:r>
              <w:rPr>
                <w:rFonts w:ascii="Aptos" w:hAnsi="Aptos"/>
                <w:b w:val="0"/>
                <w:i w:val="0"/>
                <w:sz w:val="13"/>
              </w:rPr>
              <w:t>19</w:t>
            </w:r>
          </w:p>
        </w:tc>
        <w:tc>
          <w:tcPr>
            <w:tcW w:type="dxa" w:w="3628"/>
            <w:tcMar>
              <w:top w:w="80" w:type="dxa"/>
              <w:start w:w="90" w:type="dxa"/>
              <w:bottom w:w="80" w:type="dxa"/>
              <w:end w:w="90" w:type="dxa"/>
            </w:tcMar>
            <w:vAlign w:val="center"/>
          </w:tcPr>
          <w:p>
            <w:pPr>
              <w:jc w:val="left"/>
            </w:pPr>
            <w:r>
              <w:rPr>
                <w:rFonts w:ascii="Aptos" w:hAnsi="Aptos"/>
                <w:b w:val="0"/>
                <w:i w:val="0"/>
                <w:sz w:val="13"/>
              </w:rPr>
              <w:t>Виртуальные циклы, перечислительные инварианты и вероятностный firewall</w:t>
            </w:r>
          </w:p>
        </w:tc>
        <w:tc>
          <w:tcPr>
            <w:tcW w:type="dxa" w:w="794"/>
            <w:tcMar>
              <w:top w:w="80" w:type="dxa"/>
              <w:start w:w="90" w:type="dxa"/>
              <w:bottom w:w="80" w:type="dxa"/>
              <w:end w:w="90" w:type="dxa"/>
            </w:tcMar>
            <w:vAlign w:val="center"/>
          </w:tcPr>
          <w:p>
            <w:pPr>
              <w:jc w:val="center"/>
            </w:pPr>
            <w:r>
              <w:rPr>
                <w:rFonts w:ascii="Aptos" w:hAnsi="Aptos"/>
                <w:b w:val="0"/>
                <w:i w:val="0"/>
                <w:sz w:val="13"/>
              </w:rPr>
              <w:t>141</w:t>
            </w:r>
          </w:p>
        </w:tc>
        <w:tc>
          <w:tcPr>
            <w:tcW w:type="dxa" w:w="3912"/>
            <w:tcMar>
              <w:top w:w="80" w:type="dxa"/>
              <w:start w:w="90" w:type="dxa"/>
              <w:bottom w:w="80" w:type="dxa"/>
              <w:end w:w="90" w:type="dxa"/>
            </w:tcMar>
            <w:vAlign w:val="center"/>
          </w:tcPr>
          <w:p>
            <w:pPr>
              <w:jc w:val="left"/>
            </w:pPr>
            <w:r>
              <w:rPr>
                <w:rFonts w:ascii="Aptos" w:hAnsi="Aptos"/>
                <w:b w:val="0"/>
                <w:i w:val="0"/>
                <w:sz w:val="13"/>
              </w:rPr>
              <w:t>Virtual Cycles, Enumerative Invariants, and the Probability Firewall</w:t>
            </w:r>
          </w:p>
        </w:tc>
        <w:tc>
          <w:tcPr>
            <w:tcW w:type="dxa" w:w="794"/>
            <w:tcMar>
              <w:top w:w="80" w:type="dxa"/>
              <w:start w:w="90" w:type="dxa"/>
              <w:bottom w:w="80" w:type="dxa"/>
              <w:end w:w="90" w:type="dxa"/>
            </w:tcMar>
            <w:vAlign w:val="center"/>
          </w:tcPr>
          <w:p>
            <w:pPr>
              <w:jc w:val="center"/>
            </w:pPr>
            <w:r>
              <w:rPr>
                <w:rFonts w:ascii="Aptos" w:hAnsi="Aptos"/>
                <w:b w:val="0"/>
                <w:sz w:val="13"/>
              </w:rPr>
              <w:t>130</w:t>
            </w:r>
          </w:p>
        </w:tc>
      </w:tr>
      <w:tr>
        <w:tc>
          <w:tcPr>
            <w:tcW w:type="dxa" w:w="907"/>
            <w:tcMar>
              <w:top w:w="80" w:type="dxa"/>
              <w:start w:w="90" w:type="dxa"/>
              <w:bottom w:w="80" w:type="dxa"/>
              <w:end w:w="90" w:type="dxa"/>
            </w:tcMar>
            <w:vAlign w:val="center"/>
          </w:tcPr>
          <w:p>
            <w:pPr>
              <w:jc w:val="center"/>
            </w:pPr>
            <w:r>
              <w:rPr>
                <w:rFonts w:ascii="Aptos" w:hAnsi="Aptos"/>
                <w:b w:val="0"/>
                <w:i w:val="0"/>
                <w:sz w:val="13"/>
              </w:rPr>
              <w:t>20</w:t>
            </w:r>
          </w:p>
        </w:tc>
        <w:tc>
          <w:tcPr>
            <w:tcW w:type="dxa" w:w="3628"/>
            <w:tcMar>
              <w:top w:w="80" w:type="dxa"/>
              <w:start w:w="90" w:type="dxa"/>
              <w:bottom w:w="80" w:type="dxa"/>
              <w:end w:w="90" w:type="dxa"/>
            </w:tcMar>
            <w:vAlign w:val="center"/>
          </w:tcPr>
          <w:p>
            <w:pPr>
              <w:jc w:val="left"/>
            </w:pPr>
            <w:r>
              <w:rPr>
                <w:rFonts w:ascii="Aptos" w:hAnsi="Aptos"/>
                <w:b w:val="0"/>
                <w:i w:val="0"/>
                <w:sz w:val="13"/>
              </w:rPr>
              <w:t>Категорифицированные, мотивные и уточнённые виртуальные инварианты</w:t>
            </w:r>
          </w:p>
        </w:tc>
        <w:tc>
          <w:tcPr>
            <w:tcW w:type="dxa" w:w="794"/>
            <w:tcMar>
              <w:top w:w="80" w:type="dxa"/>
              <w:start w:w="90" w:type="dxa"/>
              <w:bottom w:w="80" w:type="dxa"/>
              <w:end w:w="90" w:type="dxa"/>
            </w:tcMar>
            <w:vAlign w:val="center"/>
          </w:tcPr>
          <w:p>
            <w:pPr>
              <w:jc w:val="center"/>
            </w:pPr>
            <w:r>
              <w:rPr>
                <w:rFonts w:ascii="Aptos" w:hAnsi="Aptos"/>
                <w:b w:val="0"/>
                <w:i w:val="0"/>
                <w:sz w:val="13"/>
              </w:rPr>
              <w:t>150</w:t>
            </w:r>
          </w:p>
        </w:tc>
        <w:tc>
          <w:tcPr>
            <w:tcW w:type="dxa" w:w="3912"/>
            <w:tcMar>
              <w:top w:w="80" w:type="dxa"/>
              <w:start w:w="90" w:type="dxa"/>
              <w:bottom w:w="80" w:type="dxa"/>
              <w:end w:w="90" w:type="dxa"/>
            </w:tcMar>
            <w:vAlign w:val="center"/>
          </w:tcPr>
          <w:p>
            <w:pPr>
              <w:jc w:val="left"/>
            </w:pPr>
            <w:r>
              <w:rPr>
                <w:rFonts w:ascii="Aptos" w:hAnsi="Aptos"/>
                <w:b w:val="0"/>
                <w:i w:val="0"/>
                <w:sz w:val="13"/>
              </w:rPr>
              <w:t>Categorified, Motivic, and Refined Virtual Invariants</w:t>
            </w:r>
          </w:p>
        </w:tc>
        <w:tc>
          <w:tcPr>
            <w:tcW w:type="dxa" w:w="794"/>
            <w:tcMar>
              <w:top w:w="80" w:type="dxa"/>
              <w:start w:w="90" w:type="dxa"/>
              <w:bottom w:w="80" w:type="dxa"/>
              <w:end w:w="90" w:type="dxa"/>
            </w:tcMar>
            <w:vAlign w:val="center"/>
          </w:tcPr>
          <w:p>
            <w:pPr>
              <w:jc w:val="center"/>
            </w:pPr>
            <w:r>
              <w:rPr>
                <w:rFonts w:ascii="Aptos" w:hAnsi="Aptos"/>
                <w:b w:val="0"/>
                <w:sz w:val="13"/>
              </w:rPr>
              <w:t>138</w:t>
            </w:r>
          </w:p>
        </w:tc>
      </w:tr>
      <w:tr>
        <w:tc>
          <w:tcPr>
            <w:tcW w:type="dxa" w:w="907"/>
            <w:tcMar>
              <w:top w:w="80" w:type="dxa"/>
              <w:start w:w="90" w:type="dxa"/>
              <w:bottom w:w="80" w:type="dxa"/>
              <w:end w:w="90" w:type="dxa"/>
            </w:tcMar>
            <w:vAlign w:val="center"/>
          </w:tcPr>
          <w:p>
            <w:pPr>
              <w:jc w:val="center"/>
            </w:pPr>
            <w:r>
              <w:rPr>
                <w:rFonts w:ascii="Aptos" w:hAnsi="Aptos"/>
                <w:b w:val="0"/>
                <w:i w:val="0"/>
                <w:sz w:val="13"/>
              </w:rPr>
              <w:t>21</w:t>
            </w:r>
          </w:p>
        </w:tc>
        <w:tc>
          <w:tcPr>
            <w:tcW w:type="dxa" w:w="3628"/>
            <w:tcMar>
              <w:top w:w="80" w:type="dxa"/>
              <w:start w:w="90" w:type="dxa"/>
              <w:bottom w:w="80" w:type="dxa"/>
              <w:end w:w="90" w:type="dxa"/>
            </w:tcMar>
            <w:vAlign w:val="center"/>
          </w:tcPr>
          <w:p>
            <w:pPr>
              <w:jc w:val="left"/>
            </w:pPr>
            <w:r>
              <w:rPr>
                <w:rFonts w:ascii="Aptos" w:hAnsi="Aptos"/>
                <w:b w:val="0"/>
                <w:i w:val="0"/>
                <w:sz w:val="13"/>
              </w:rPr>
              <w:t>Нелинейные полугруппы эволюции, операторы переноса, носители траекторий и причинные ядра</w:t>
            </w:r>
          </w:p>
        </w:tc>
        <w:tc>
          <w:tcPr>
            <w:tcW w:type="dxa" w:w="794"/>
            <w:tcMar>
              <w:top w:w="80" w:type="dxa"/>
              <w:start w:w="90" w:type="dxa"/>
              <w:bottom w:w="80" w:type="dxa"/>
              <w:end w:w="90" w:type="dxa"/>
            </w:tcMar>
            <w:vAlign w:val="center"/>
          </w:tcPr>
          <w:p>
            <w:pPr>
              <w:jc w:val="center"/>
            </w:pPr>
            <w:r>
              <w:rPr>
                <w:rFonts w:ascii="Aptos" w:hAnsi="Aptos"/>
                <w:b w:val="0"/>
                <w:i w:val="0"/>
                <w:sz w:val="13"/>
              </w:rPr>
              <w:t>160</w:t>
            </w:r>
          </w:p>
        </w:tc>
        <w:tc>
          <w:tcPr>
            <w:tcW w:type="dxa" w:w="3912"/>
            <w:tcMar>
              <w:top w:w="80" w:type="dxa"/>
              <w:start w:w="90" w:type="dxa"/>
              <w:bottom w:w="80" w:type="dxa"/>
              <w:end w:w="90" w:type="dxa"/>
            </w:tcMar>
            <w:vAlign w:val="center"/>
          </w:tcPr>
          <w:p>
            <w:pPr>
              <w:jc w:val="left"/>
            </w:pPr>
            <w:r>
              <w:rPr>
                <w:rFonts w:ascii="Aptos" w:hAnsi="Aptos"/>
                <w:b w:val="0"/>
                <w:i w:val="0"/>
                <w:sz w:val="13"/>
              </w:rPr>
              <w:t>Nonlinear Evolution Semigroups, Transfer Operators, Path-Space Carriers, and Causal Kernels</w:t>
            </w:r>
          </w:p>
        </w:tc>
        <w:tc>
          <w:tcPr>
            <w:tcW w:type="dxa" w:w="794"/>
            <w:tcMar>
              <w:top w:w="80" w:type="dxa"/>
              <w:start w:w="90" w:type="dxa"/>
              <w:bottom w:w="80" w:type="dxa"/>
              <w:end w:w="90" w:type="dxa"/>
            </w:tcMar>
            <w:vAlign w:val="center"/>
          </w:tcPr>
          <w:p>
            <w:pPr>
              <w:jc w:val="center"/>
            </w:pPr>
            <w:r>
              <w:rPr>
                <w:rFonts w:ascii="Aptos" w:hAnsi="Aptos"/>
                <w:b w:val="0"/>
                <w:sz w:val="13"/>
              </w:rPr>
              <w:t>147</w:t>
            </w:r>
          </w:p>
        </w:tc>
      </w:tr>
      <w:tr>
        <w:tc>
          <w:tcPr>
            <w:tcW w:type="dxa" w:w="907"/>
            <w:tcMar>
              <w:top w:w="80" w:type="dxa"/>
              <w:start w:w="90" w:type="dxa"/>
              <w:bottom w:w="80" w:type="dxa"/>
              <w:end w:w="90" w:type="dxa"/>
            </w:tcMar>
            <w:vAlign w:val="center"/>
          </w:tcPr>
          <w:p>
            <w:pPr>
              <w:jc w:val="center"/>
            </w:pPr>
            <w:r>
              <w:rPr>
                <w:rFonts w:ascii="Aptos" w:hAnsi="Aptos"/>
                <w:b w:val="0"/>
                <w:i w:val="0"/>
                <w:sz w:val="13"/>
              </w:rPr>
              <w:t>22</w:t>
            </w:r>
          </w:p>
        </w:tc>
        <w:tc>
          <w:tcPr>
            <w:tcW w:type="dxa" w:w="3628"/>
            <w:tcMar>
              <w:top w:w="80" w:type="dxa"/>
              <w:start w:w="90" w:type="dxa"/>
              <w:bottom w:w="80" w:type="dxa"/>
              <w:end w:w="90" w:type="dxa"/>
            </w:tcMar>
            <w:vAlign w:val="center"/>
          </w:tcPr>
          <w:p>
            <w:pPr>
              <w:jc w:val="left"/>
            </w:pPr>
            <w:r>
              <w:rPr>
                <w:rFonts w:ascii="Aptos" w:hAnsi="Aptos"/>
                <w:b w:val="0"/>
                <w:i w:val="0"/>
                <w:sz w:val="13"/>
              </w:rPr>
              <w:t>Стохастические эволюции, martingale problems, stopping times, управление и causal inference</w:t>
            </w:r>
          </w:p>
        </w:tc>
        <w:tc>
          <w:tcPr>
            <w:tcW w:type="dxa" w:w="794"/>
            <w:tcMar>
              <w:top w:w="80" w:type="dxa"/>
              <w:start w:w="90" w:type="dxa"/>
              <w:bottom w:w="80" w:type="dxa"/>
              <w:end w:w="90" w:type="dxa"/>
            </w:tcMar>
            <w:vAlign w:val="center"/>
          </w:tcPr>
          <w:p>
            <w:pPr>
              <w:jc w:val="center"/>
            </w:pPr>
            <w:r>
              <w:rPr>
                <w:rFonts w:ascii="Aptos" w:hAnsi="Aptos"/>
                <w:b w:val="0"/>
                <w:i w:val="0"/>
                <w:sz w:val="13"/>
              </w:rPr>
              <w:t>171</w:t>
            </w:r>
          </w:p>
        </w:tc>
        <w:tc>
          <w:tcPr>
            <w:tcW w:type="dxa" w:w="3912"/>
            <w:tcMar>
              <w:top w:w="80" w:type="dxa"/>
              <w:start w:w="90" w:type="dxa"/>
              <w:bottom w:w="80" w:type="dxa"/>
              <w:end w:w="90" w:type="dxa"/>
            </w:tcMar>
            <w:vAlign w:val="center"/>
          </w:tcPr>
          <w:p>
            <w:pPr>
              <w:jc w:val="left"/>
            </w:pPr>
            <w:r>
              <w:rPr>
                <w:rFonts w:ascii="Aptos" w:hAnsi="Aptos"/>
                <w:b w:val="0"/>
                <w:i w:val="0"/>
                <w:sz w:val="13"/>
              </w:rPr>
              <w:t>Stochastic Evolutions, Martingale Problems, Stopping Times, Control, and Causal Inference</w:t>
            </w:r>
          </w:p>
        </w:tc>
        <w:tc>
          <w:tcPr>
            <w:tcW w:type="dxa" w:w="794"/>
            <w:tcMar>
              <w:top w:w="80" w:type="dxa"/>
              <w:start w:w="90" w:type="dxa"/>
              <w:bottom w:w="80" w:type="dxa"/>
              <w:end w:w="90" w:type="dxa"/>
            </w:tcMar>
            <w:vAlign w:val="center"/>
          </w:tcPr>
          <w:p>
            <w:pPr>
              <w:jc w:val="center"/>
            </w:pPr>
            <w:r>
              <w:rPr>
                <w:rFonts w:ascii="Aptos" w:hAnsi="Aptos"/>
                <w:b w:val="0"/>
                <w:sz w:val="13"/>
              </w:rPr>
              <w:t>156</w:t>
            </w:r>
          </w:p>
        </w:tc>
      </w:tr>
      <w:tr>
        <w:tc>
          <w:tcPr>
            <w:tcW w:type="dxa" w:w="907"/>
            <w:tcMar>
              <w:top w:w="80" w:type="dxa"/>
              <w:start w:w="90" w:type="dxa"/>
              <w:bottom w:w="80" w:type="dxa"/>
              <w:end w:w="90" w:type="dxa"/>
            </w:tcMar>
            <w:vAlign w:val="center"/>
          </w:tcPr>
          <w:p>
            <w:pPr>
              <w:jc w:val="center"/>
            </w:pPr>
            <w:r>
              <w:rPr>
                <w:rFonts w:ascii="Aptos" w:hAnsi="Aptos"/>
                <w:b w:val="0"/>
                <w:i w:val="0"/>
                <w:sz w:val="13"/>
              </w:rPr>
              <w:t>23</w:t>
            </w:r>
          </w:p>
        </w:tc>
        <w:tc>
          <w:tcPr>
            <w:tcW w:type="dxa" w:w="3628"/>
            <w:tcMar>
              <w:top w:w="80" w:type="dxa"/>
              <w:start w:w="90" w:type="dxa"/>
              <w:bottom w:w="80" w:type="dxa"/>
              <w:end w:w="90" w:type="dxa"/>
            </w:tcMar>
            <w:vAlign w:val="center"/>
          </w:tcPr>
          <w:p>
            <w:pPr>
              <w:jc w:val="left"/>
            </w:pPr>
            <w:r>
              <w:rPr>
                <w:rFonts w:ascii="Aptos" w:hAnsi="Aptos"/>
                <w:b w:val="0"/>
                <w:i w:val="0"/>
                <w:sz w:val="13"/>
              </w:rPr>
              <w:t>Большие уклонения, risk-sensitive semigroups, геометрия редких событий и конечновыборочная сертификация</w:t>
            </w:r>
          </w:p>
        </w:tc>
        <w:tc>
          <w:tcPr>
            <w:tcW w:type="dxa" w:w="794"/>
            <w:tcMar>
              <w:top w:w="80" w:type="dxa"/>
              <w:start w:w="90" w:type="dxa"/>
              <w:bottom w:w="80" w:type="dxa"/>
              <w:end w:w="90" w:type="dxa"/>
            </w:tcMar>
            <w:vAlign w:val="center"/>
          </w:tcPr>
          <w:p>
            <w:pPr>
              <w:jc w:val="center"/>
            </w:pPr>
            <w:r>
              <w:rPr>
                <w:rFonts w:ascii="Aptos" w:hAnsi="Aptos"/>
                <w:b w:val="0"/>
                <w:i w:val="0"/>
                <w:sz w:val="13"/>
              </w:rPr>
              <w:t>183</w:t>
            </w:r>
          </w:p>
        </w:tc>
        <w:tc>
          <w:tcPr>
            <w:tcW w:type="dxa" w:w="3912"/>
            <w:tcMar>
              <w:top w:w="80" w:type="dxa"/>
              <w:start w:w="90" w:type="dxa"/>
              <w:bottom w:w="80" w:type="dxa"/>
              <w:end w:w="90" w:type="dxa"/>
            </w:tcMar>
            <w:vAlign w:val="center"/>
          </w:tcPr>
          <w:p>
            <w:pPr>
              <w:jc w:val="left"/>
            </w:pPr>
            <w:r>
              <w:rPr>
                <w:rFonts w:ascii="Aptos" w:hAnsi="Aptos"/>
                <w:b w:val="0"/>
                <w:i w:val="0"/>
                <w:sz w:val="13"/>
              </w:rPr>
              <w:t>Large Deviations, Risk-Sensitive Semigroups, Rare-Event Geometry, and Finite-Sample Certification</w:t>
            </w:r>
          </w:p>
        </w:tc>
        <w:tc>
          <w:tcPr>
            <w:tcW w:type="dxa" w:w="794"/>
            <w:tcMar>
              <w:top w:w="80" w:type="dxa"/>
              <w:start w:w="90" w:type="dxa"/>
              <w:bottom w:w="80" w:type="dxa"/>
              <w:end w:w="90" w:type="dxa"/>
            </w:tcMar>
            <w:vAlign w:val="center"/>
          </w:tcPr>
          <w:p>
            <w:pPr>
              <w:jc w:val="center"/>
            </w:pPr>
            <w:r>
              <w:rPr>
                <w:rFonts w:ascii="Aptos" w:hAnsi="Aptos"/>
                <w:b w:val="0"/>
                <w:sz w:val="13"/>
              </w:rPr>
              <w:t>166</w:t>
            </w:r>
          </w:p>
        </w:tc>
      </w:tr>
      <w:tr>
        <w:tc>
          <w:tcPr>
            <w:tcW w:type="dxa" w:w="907"/>
            <w:tcMar>
              <w:top w:w="80" w:type="dxa"/>
              <w:start w:w="90" w:type="dxa"/>
              <w:bottom w:w="80" w:type="dxa"/>
              <w:end w:w="90" w:type="dxa"/>
            </w:tcMar>
            <w:vAlign w:val="center"/>
          </w:tcPr>
          <w:p>
            <w:pPr>
              <w:jc w:val="center"/>
            </w:pPr>
            <w:r>
              <w:rPr>
                <w:rFonts w:ascii="Aptos" w:hAnsi="Aptos"/>
                <w:b w:val="0"/>
                <w:i w:val="0"/>
                <w:sz w:val="13"/>
              </w:rPr>
              <w:t>24</w:t>
            </w:r>
          </w:p>
        </w:tc>
        <w:tc>
          <w:tcPr>
            <w:tcW w:type="dxa" w:w="3628"/>
            <w:tcMar>
              <w:top w:w="80" w:type="dxa"/>
              <w:start w:w="90" w:type="dxa"/>
              <w:bottom w:w="80" w:type="dxa"/>
              <w:end w:w="90" w:type="dxa"/>
            </w:tcMar>
            <w:vAlign w:val="center"/>
          </w:tcPr>
          <w:p>
            <w:pPr>
              <w:jc w:val="left"/>
            </w:pPr>
            <w:r>
              <w:rPr>
                <w:rFonts w:ascii="Aptos" w:hAnsi="Aptos"/>
                <w:b w:val="0"/>
                <w:i w:val="0"/>
                <w:sz w:val="13"/>
              </w:rPr>
              <w:t>End-to-end предсказательный оператор KLT-RBD, композиция бюджетов и итоговая фальсифицируемость</w:t>
            </w:r>
          </w:p>
        </w:tc>
        <w:tc>
          <w:tcPr>
            <w:tcW w:type="dxa" w:w="794"/>
            <w:tcMar>
              <w:top w:w="80" w:type="dxa"/>
              <w:start w:w="90" w:type="dxa"/>
              <w:bottom w:w="80" w:type="dxa"/>
              <w:end w:w="90" w:type="dxa"/>
            </w:tcMar>
            <w:vAlign w:val="center"/>
          </w:tcPr>
          <w:p>
            <w:pPr>
              <w:jc w:val="center"/>
            </w:pPr>
            <w:r>
              <w:rPr>
                <w:rFonts w:ascii="Aptos" w:hAnsi="Aptos"/>
                <w:b w:val="0"/>
                <w:i w:val="0"/>
                <w:sz w:val="13"/>
              </w:rPr>
              <w:t>197</w:t>
            </w:r>
          </w:p>
        </w:tc>
        <w:tc>
          <w:tcPr>
            <w:tcW w:type="dxa" w:w="3912"/>
            <w:tcMar>
              <w:top w:w="80" w:type="dxa"/>
              <w:start w:w="90" w:type="dxa"/>
              <w:bottom w:w="80" w:type="dxa"/>
              <w:end w:w="90" w:type="dxa"/>
            </w:tcMar>
            <w:vAlign w:val="center"/>
          </w:tcPr>
          <w:p>
            <w:pPr>
              <w:jc w:val="left"/>
            </w:pPr>
            <w:r>
              <w:rPr>
                <w:rFonts w:ascii="Aptos" w:hAnsi="Aptos"/>
                <w:b w:val="0"/>
                <w:i w:val="0"/>
                <w:sz w:val="13"/>
              </w:rPr>
              <w:t>End-to-End KLT-RBD Predictive Operator, Budget Composition, and Final Falsifiability</w:t>
            </w:r>
          </w:p>
        </w:tc>
        <w:tc>
          <w:tcPr>
            <w:tcW w:type="dxa" w:w="794"/>
            <w:tcMar>
              <w:top w:w="80" w:type="dxa"/>
              <w:start w:w="90" w:type="dxa"/>
              <w:bottom w:w="80" w:type="dxa"/>
              <w:end w:w="90" w:type="dxa"/>
            </w:tcMar>
            <w:vAlign w:val="center"/>
          </w:tcPr>
          <w:p>
            <w:pPr>
              <w:jc w:val="center"/>
            </w:pPr>
            <w:r>
              <w:rPr>
                <w:rFonts w:ascii="Aptos" w:hAnsi="Aptos"/>
                <w:b w:val="0"/>
                <w:sz w:val="13"/>
              </w:rPr>
              <w:t>178</w:t>
            </w:r>
          </w:p>
        </w:tc>
      </w:tr>
      <w:tr>
        <w:tc>
          <w:tcPr>
            <w:tcW w:type="dxa" w:w="907"/>
            <w:tcMar>
              <w:top w:w="80" w:type="dxa"/>
              <w:start w:w="90" w:type="dxa"/>
              <w:bottom w:w="80" w:type="dxa"/>
              <w:end w:w="90" w:type="dxa"/>
            </w:tcMar>
            <w:vAlign w:val="center"/>
          </w:tcPr>
          <w:p>
            <w:pPr>
              <w:jc w:val="center"/>
            </w:pPr>
            <w:r>
              <w:rPr>
                <w:rFonts w:ascii="Aptos" w:hAnsi="Aptos"/>
                <w:b w:val="0"/>
                <w:i w:val="0"/>
                <w:sz w:val="13"/>
              </w:rPr>
              <w:t>T2-A</w:t>
            </w:r>
          </w:p>
        </w:tc>
        <w:tc>
          <w:tcPr>
            <w:tcW w:type="dxa" w:w="3628"/>
            <w:tcMar>
              <w:top w:w="80" w:type="dxa"/>
              <w:start w:w="90" w:type="dxa"/>
              <w:bottom w:w="80" w:type="dxa"/>
              <w:end w:w="90" w:type="dxa"/>
            </w:tcMar>
            <w:vAlign w:val="center"/>
          </w:tcPr>
          <w:p>
            <w:pPr>
              <w:jc w:val="left"/>
            </w:pPr>
            <w:r>
              <w:rPr>
                <w:rFonts w:ascii="Aptos" w:hAnsi="Aptos"/>
                <w:b w:val="0"/>
                <w:i w:val="0"/>
                <w:sz w:val="13"/>
              </w:rPr>
              <w:t>Реестр формальных утверждений</w:t>
            </w:r>
          </w:p>
        </w:tc>
        <w:tc>
          <w:tcPr>
            <w:tcW w:type="dxa" w:w="794"/>
            <w:tcMar>
              <w:top w:w="80" w:type="dxa"/>
              <w:start w:w="90" w:type="dxa"/>
              <w:bottom w:w="80" w:type="dxa"/>
              <w:end w:w="90" w:type="dxa"/>
            </w:tcMar>
            <w:vAlign w:val="center"/>
          </w:tcPr>
          <w:p>
            <w:pPr>
              <w:jc w:val="center"/>
            </w:pPr>
            <w:r>
              <w:rPr>
                <w:rFonts w:ascii="Aptos" w:hAnsi="Aptos"/>
                <w:b w:val="0"/>
                <w:i w:val="0"/>
                <w:sz w:val="13"/>
              </w:rPr>
              <w:t>217</w:t>
            </w:r>
          </w:p>
        </w:tc>
        <w:tc>
          <w:tcPr>
            <w:tcW w:type="dxa" w:w="3912"/>
            <w:tcMar>
              <w:top w:w="80" w:type="dxa"/>
              <w:start w:w="90" w:type="dxa"/>
              <w:bottom w:w="80" w:type="dxa"/>
              <w:end w:w="90" w:type="dxa"/>
            </w:tcMar>
            <w:vAlign w:val="center"/>
          </w:tcPr>
          <w:p>
            <w:pPr>
              <w:jc w:val="left"/>
            </w:pPr>
            <w:r>
              <w:rPr>
                <w:rFonts w:ascii="Aptos" w:hAnsi="Aptos"/>
                <w:b w:val="0"/>
                <w:i w:val="0"/>
                <w:sz w:val="13"/>
              </w:rPr>
              <w:t>Synchronized Register of Formal Statements</w:t>
            </w:r>
          </w:p>
        </w:tc>
        <w:tc>
          <w:tcPr>
            <w:tcW w:type="dxa" w:w="794"/>
            <w:tcMar>
              <w:top w:w="80" w:type="dxa"/>
              <w:start w:w="90" w:type="dxa"/>
              <w:bottom w:w="80" w:type="dxa"/>
              <w:end w:w="90" w:type="dxa"/>
            </w:tcMar>
            <w:vAlign w:val="center"/>
          </w:tcPr>
          <w:p>
            <w:pPr>
              <w:jc w:val="center"/>
            </w:pPr>
            <w:r>
              <w:rPr>
                <w:rFonts w:ascii="Aptos" w:hAnsi="Aptos"/>
                <w:b w:val="0"/>
                <w:sz w:val="13"/>
              </w:rPr>
              <w:t>191</w:t>
            </w:r>
          </w:p>
        </w:tc>
      </w:tr>
      <w:tr>
        <w:tc>
          <w:tcPr>
            <w:tcW w:type="dxa" w:w="907"/>
            <w:tcMar>
              <w:top w:w="80" w:type="dxa"/>
              <w:start w:w="90" w:type="dxa"/>
              <w:bottom w:w="80" w:type="dxa"/>
              <w:end w:w="90" w:type="dxa"/>
            </w:tcMar>
            <w:vAlign w:val="center"/>
          </w:tcPr>
          <w:p>
            <w:pPr>
              <w:jc w:val="center"/>
            </w:pPr>
            <w:r>
              <w:rPr>
                <w:rFonts w:ascii="Aptos" w:hAnsi="Aptos"/>
                <w:b w:val="0"/>
                <w:i w:val="0"/>
                <w:sz w:val="13"/>
              </w:rPr>
              <w:t>T2-B</w:t>
            </w:r>
          </w:p>
        </w:tc>
        <w:tc>
          <w:tcPr>
            <w:tcW w:type="dxa" w:w="3628"/>
            <w:tcMar>
              <w:top w:w="80" w:type="dxa"/>
              <w:start w:w="90" w:type="dxa"/>
              <w:bottom w:w="80" w:type="dxa"/>
              <w:end w:w="90" w:type="dxa"/>
            </w:tcMar>
            <w:vAlign w:val="center"/>
          </w:tcPr>
          <w:p>
            <w:pPr>
              <w:jc w:val="left"/>
            </w:pPr>
            <w:r>
              <w:rPr>
                <w:rFonts w:ascii="Aptos" w:hAnsi="Aptos"/>
                <w:b w:val="0"/>
                <w:i w:val="0"/>
                <w:sz w:val="13"/>
              </w:rPr>
              <w:t>Реестр доказательных обязательств</w:t>
            </w:r>
          </w:p>
        </w:tc>
        <w:tc>
          <w:tcPr>
            <w:tcW w:type="dxa" w:w="794"/>
            <w:tcMar>
              <w:top w:w="80" w:type="dxa"/>
              <w:start w:w="90" w:type="dxa"/>
              <w:bottom w:w="80" w:type="dxa"/>
              <w:end w:w="90" w:type="dxa"/>
            </w:tcMar>
            <w:vAlign w:val="center"/>
          </w:tcPr>
          <w:p>
            <w:pPr>
              <w:jc w:val="center"/>
            </w:pPr>
            <w:r>
              <w:rPr>
                <w:rFonts w:ascii="Aptos" w:hAnsi="Aptos"/>
                <w:b w:val="0"/>
                <w:i w:val="0"/>
                <w:sz w:val="13"/>
              </w:rPr>
              <w:t>233</w:t>
            </w:r>
          </w:p>
        </w:tc>
        <w:tc>
          <w:tcPr>
            <w:tcW w:type="dxa" w:w="3912"/>
            <w:tcMar>
              <w:top w:w="80" w:type="dxa"/>
              <w:start w:w="90" w:type="dxa"/>
              <w:bottom w:w="80" w:type="dxa"/>
              <w:end w:w="90" w:type="dxa"/>
            </w:tcMar>
            <w:vAlign w:val="center"/>
          </w:tcPr>
          <w:p>
            <w:pPr>
              <w:jc w:val="left"/>
            </w:pPr>
            <w:r>
              <w:rPr>
                <w:rFonts w:ascii="Aptos" w:hAnsi="Aptos"/>
                <w:b w:val="0"/>
                <w:i w:val="0"/>
                <w:sz w:val="13"/>
              </w:rPr>
              <w:t>Complete Register of Evidence Obligations</w:t>
            </w:r>
          </w:p>
        </w:tc>
        <w:tc>
          <w:tcPr>
            <w:tcW w:type="dxa" w:w="794"/>
            <w:tcMar>
              <w:top w:w="80" w:type="dxa"/>
              <w:start w:w="90" w:type="dxa"/>
              <w:bottom w:w="80" w:type="dxa"/>
              <w:end w:w="90" w:type="dxa"/>
            </w:tcMar>
            <w:vAlign w:val="center"/>
          </w:tcPr>
          <w:p>
            <w:pPr>
              <w:jc w:val="center"/>
            </w:pPr>
            <w:r>
              <w:rPr>
                <w:rFonts w:ascii="Aptos" w:hAnsi="Aptos"/>
                <w:b w:val="0"/>
                <w:sz w:val="13"/>
              </w:rPr>
              <w:t>212</w:t>
            </w:r>
          </w:p>
        </w:tc>
      </w:tr>
      <w:tr>
        <w:tc>
          <w:tcPr>
            <w:tcW w:type="dxa" w:w="907"/>
            <w:tcMar>
              <w:top w:w="80" w:type="dxa"/>
              <w:start w:w="90" w:type="dxa"/>
              <w:bottom w:w="80" w:type="dxa"/>
              <w:end w:w="90" w:type="dxa"/>
            </w:tcMar>
            <w:vAlign w:val="center"/>
          </w:tcPr>
          <w:p>
            <w:pPr>
              <w:jc w:val="center"/>
            </w:pPr>
            <w:r>
              <w:rPr>
                <w:rFonts w:ascii="Aptos" w:hAnsi="Aptos"/>
                <w:b w:val="0"/>
                <w:i w:val="0"/>
                <w:sz w:val="13"/>
              </w:rPr>
              <w:t>T2-C</w:t>
            </w:r>
          </w:p>
        </w:tc>
        <w:tc>
          <w:tcPr>
            <w:tcW w:type="dxa" w:w="3628"/>
            <w:tcMar>
              <w:top w:w="80" w:type="dxa"/>
              <w:start w:w="90" w:type="dxa"/>
              <w:bottom w:w="80" w:type="dxa"/>
              <w:end w:w="90" w:type="dxa"/>
            </w:tcMar>
            <w:vAlign w:val="center"/>
          </w:tcPr>
          <w:p>
            <w:pPr>
              <w:jc w:val="center"/>
            </w:pPr>
            <w:r>
              <w:rPr>
                <w:rFonts w:ascii="Aptos" w:hAnsi="Aptos"/>
                <w:b w:val="0"/>
                <w:i w:val="0"/>
                <w:sz w:val="13"/>
              </w:rPr>
              <w:t>Формульный указатель</w:t>
            </w:r>
          </w:p>
        </w:tc>
        <w:tc>
          <w:tcPr>
            <w:tcW w:type="dxa" w:w="794"/>
            <w:tcMar>
              <w:top w:w="80" w:type="dxa"/>
              <w:start w:w="90" w:type="dxa"/>
              <w:bottom w:w="80" w:type="dxa"/>
              <w:end w:w="90" w:type="dxa"/>
            </w:tcMar>
            <w:vAlign w:val="center"/>
          </w:tcPr>
          <w:p>
            <w:pPr>
              <w:jc w:val="center"/>
            </w:pPr>
            <w:r>
              <w:rPr>
                <w:rFonts w:ascii="Aptos" w:hAnsi="Aptos"/>
                <w:b w:val="0"/>
                <w:i w:val="0"/>
                <w:sz w:val="13"/>
              </w:rPr>
              <w:t>248</w:t>
            </w:r>
          </w:p>
        </w:tc>
        <w:tc>
          <w:tcPr>
            <w:tcW w:type="dxa" w:w="3912"/>
            <w:tcMar>
              <w:top w:w="80" w:type="dxa"/>
              <w:start w:w="90" w:type="dxa"/>
              <w:bottom w:w="80" w:type="dxa"/>
              <w:end w:w="90" w:type="dxa"/>
            </w:tcMar>
            <w:vAlign w:val="center"/>
          </w:tcPr>
          <w:p>
            <w:pPr>
              <w:jc w:val="center"/>
            </w:pPr>
            <w:r>
              <w:rPr>
                <w:rFonts w:ascii="Aptos" w:hAnsi="Aptos"/>
                <w:b w:val="0"/>
                <w:i w:val="0"/>
                <w:sz w:val="13"/>
              </w:rPr>
              <w:t>Formula Index</w:t>
            </w:r>
          </w:p>
        </w:tc>
        <w:tc>
          <w:tcPr>
            <w:tcW w:type="dxa" w:w="794"/>
            <w:tcMar>
              <w:top w:w="80" w:type="dxa"/>
              <w:start w:w="90" w:type="dxa"/>
              <w:bottom w:w="80" w:type="dxa"/>
              <w:end w:w="90" w:type="dxa"/>
            </w:tcMar>
            <w:vAlign w:val="center"/>
          </w:tcPr>
          <w:p>
            <w:pPr>
              <w:jc w:val="center"/>
            </w:pPr>
            <w:r>
              <w:rPr>
                <w:rFonts w:ascii="Aptos" w:hAnsi="Aptos"/>
                <w:b w:val="0"/>
                <w:sz w:val="13"/>
              </w:rPr>
              <w:t>233</w:t>
            </w:r>
          </w:p>
        </w:tc>
      </w:tr>
      <w:tr>
        <w:tc>
          <w:tcPr>
            <w:tcW w:type="dxa" w:w="907"/>
            <w:tcMar>
              <w:top w:w="80" w:type="dxa"/>
              <w:start w:w="90" w:type="dxa"/>
              <w:bottom w:w="80" w:type="dxa"/>
              <w:end w:w="90" w:type="dxa"/>
            </w:tcMar>
            <w:vAlign w:val="center"/>
          </w:tcPr>
          <w:p>
            <w:pPr>
              <w:jc w:val="center"/>
            </w:pPr>
            <w:r>
              <w:rPr>
                <w:rFonts w:ascii="Aptos" w:hAnsi="Aptos"/>
                <w:b w:val="0"/>
                <w:i w:val="0"/>
                <w:sz w:val="13"/>
              </w:rPr>
              <w:t>T2-D</w:t>
            </w:r>
          </w:p>
        </w:tc>
        <w:tc>
          <w:tcPr>
            <w:tcW w:type="dxa" w:w="3628"/>
            <w:tcMar>
              <w:top w:w="80" w:type="dxa"/>
              <w:start w:w="90" w:type="dxa"/>
              <w:bottom w:w="80" w:type="dxa"/>
              <w:end w:w="90" w:type="dxa"/>
            </w:tcMar>
            <w:vAlign w:val="center"/>
          </w:tcPr>
          <w:p>
            <w:pPr>
              <w:jc w:val="center"/>
            </w:pPr>
            <w:r>
              <w:rPr>
                <w:rFonts w:ascii="Aptos" w:hAnsi="Aptos"/>
                <w:b w:val="0"/>
                <w:i w:val="0"/>
                <w:sz w:val="13"/>
              </w:rPr>
              <w:t>Предметный указатель</w:t>
            </w:r>
          </w:p>
        </w:tc>
        <w:tc>
          <w:tcPr>
            <w:tcW w:type="dxa" w:w="794"/>
            <w:tcMar>
              <w:top w:w="80" w:type="dxa"/>
              <w:start w:w="90" w:type="dxa"/>
              <w:bottom w:w="80" w:type="dxa"/>
              <w:end w:w="90" w:type="dxa"/>
            </w:tcMar>
            <w:vAlign w:val="center"/>
          </w:tcPr>
          <w:p>
            <w:pPr>
              <w:jc w:val="center"/>
            </w:pPr>
            <w:r>
              <w:rPr>
                <w:rFonts w:ascii="Aptos" w:hAnsi="Aptos"/>
                <w:b w:val="0"/>
                <w:i w:val="0"/>
                <w:sz w:val="13"/>
              </w:rPr>
              <w:t>263</w:t>
            </w:r>
          </w:p>
        </w:tc>
        <w:tc>
          <w:tcPr>
            <w:tcW w:type="dxa" w:w="3912"/>
            <w:tcMar>
              <w:top w:w="80" w:type="dxa"/>
              <w:start w:w="90" w:type="dxa"/>
              <w:bottom w:w="80" w:type="dxa"/>
              <w:end w:w="90" w:type="dxa"/>
            </w:tcMar>
            <w:vAlign w:val="center"/>
          </w:tcPr>
          <w:p>
            <w:pPr>
              <w:jc w:val="center"/>
            </w:pPr>
            <w:r>
              <w:rPr>
                <w:rFonts w:ascii="Aptos" w:hAnsi="Aptos"/>
                <w:b w:val="0"/>
                <w:i w:val="0"/>
                <w:sz w:val="13"/>
              </w:rPr>
              <w:t>Subject Index</w:t>
            </w:r>
          </w:p>
        </w:tc>
        <w:tc>
          <w:tcPr>
            <w:tcW w:type="dxa" w:w="794"/>
            <w:tcMar>
              <w:top w:w="80" w:type="dxa"/>
              <w:start w:w="90" w:type="dxa"/>
              <w:bottom w:w="80" w:type="dxa"/>
              <w:end w:w="90" w:type="dxa"/>
            </w:tcMar>
            <w:vAlign w:val="center"/>
          </w:tcPr>
          <w:p>
            <w:pPr>
              <w:jc w:val="center"/>
            </w:pPr>
            <w:r>
              <w:rPr>
                <w:rFonts w:ascii="Aptos" w:hAnsi="Aptos"/>
                <w:b w:val="0"/>
                <w:sz w:val="13"/>
              </w:rPr>
              <w:t>259</w:t>
            </w:r>
          </w:p>
        </w:tc>
      </w:tr>
      <w:tr>
        <w:tc>
          <w:tcPr>
            <w:tcW w:type="dxa" w:w="907"/>
            <w:tcMar>
              <w:top w:w="80" w:type="dxa"/>
              <w:start w:w="90" w:type="dxa"/>
              <w:bottom w:w="80" w:type="dxa"/>
              <w:end w:w="90" w:type="dxa"/>
            </w:tcMar>
            <w:vAlign w:val="center"/>
          </w:tcPr>
          <w:p>
            <w:pPr>
              <w:jc w:val="center"/>
            </w:pPr>
            <w:r>
              <w:rPr>
                <w:rFonts w:ascii="Aptos" w:hAnsi="Aptos"/>
                <w:b w:val="0"/>
                <w:i w:val="0"/>
                <w:sz w:val="13"/>
              </w:rPr>
              <w:t>T2-E</w:t>
            </w:r>
          </w:p>
        </w:tc>
        <w:tc>
          <w:tcPr>
            <w:tcW w:type="dxa" w:w="3628"/>
            <w:tcMar>
              <w:top w:w="80" w:type="dxa"/>
              <w:start w:w="90" w:type="dxa"/>
              <w:bottom w:w="80" w:type="dxa"/>
              <w:end w:w="90" w:type="dxa"/>
            </w:tcMar>
            <w:vAlign w:val="center"/>
          </w:tcPr>
          <w:p>
            <w:pPr>
              <w:jc w:val="left"/>
            </w:pPr>
            <w:r>
              <w:rPr>
                <w:rFonts w:ascii="Aptos" w:hAnsi="Aptos"/>
                <w:b w:val="0"/>
                <w:i w:val="0"/>
                <w:sz w:val="13"/>
              </w:rPr>
              <w:t>Accessibility и publication gate</w:t>
            </w:r>
          </w:p>
        </w:tc>
        <w:tc>
          <w:tcPr>
            <w:tcW w:type="dxa" w:w="794"/>
            <w:tcMar>
              <w:top w:w="80" w:type="dxa"/>
              <w:start w:w="90" w:type="dxa"/>
              <w:bottom w:w="80" w:type="dxa"/>
              <w:end w:w="90" w:type="dxa"/>
            </w:tcMar>
            <w:vAlign w:val="center"/>
          </w:tcPr>
          <w:p>
            <w:pPr>
              <w:jc w:val="center"/>
            </w:pPr>
            <w:r>
              <w:rPr>
                <w:rFonts w:ascii="Aptos" w:hAnsi="Aptos"/>
                <w:b w:val="0"/>
                <w:i w:val="0"/>
                <w:sz w:val="13"/>
              </w:rPr>
              <w:t>266</w:t>
            </w:r>
          </w:p>
        </w:tc>
        <w:tc>
          <w:tcPr>
            <w:tcW w:type="dxa" w:w="3912"/>
            <w:tcMar>
              <w:top w:w="80" w:type="dxa"/>
              <w:start w:w="90" w:type="dxa"/>
              <w:bottom w:w="80" w:type="dxa"/>
              <w:end w:w="90" w:type="dxa"/>
            </w:tcMar>
            <w:vAlign w:val="center"/>
          </w:tcPr>
          <w:p>
            <w:pPr>
              <w:jc w:val="left"/>
            </w:pPr>
            <w:r>
              <w:rPr>
                <w:rFonts w:ascii="Aptos" w:hAnsi="Aptos"/>
                <w:b w:val="0"/>
                <w:i w:val="0"/>
                <w:sz w:val="13"/>
              </w:rPr>
              <w:t>Accessibility and Publication-Gate Checklist</w:t>
            </w:r>
          </w:p>
        </w:tc>
        <w:tc>
          <w:tcPr>
            <w:tcW w:type="dxa" w:w="794"/>
            <w:tcMar>
              <w:top w:w="80" w:type="dxa"/>
              <w:start w:w="90" w:type="dxa"/>
              <w:bottom w:w="80" w:type="dxa"/>
              <w:end w:w="90" w:type="dxa"/>
            </w:tcMar>
            <w:vAlign w:val="center"/>
          </w:tcPr>
          <w:p>
            <w:pPr>
              <w:jc w:val="center"/>
            </w:pPr>
            <w:r>
              <w:rPr>
                <w:rFonts w:ascii="Aptos" w:hAnsi="Aptos"/>
                <w:b w:val="0"/>
                <w:sz w:val="13"/>
              </w:rPr>
              <w:t>264</w:t>
            </w:r>
          </w:p>
        </w:tc>
      </w:tr>
    </w:tbl>
    <w:p>
      <w:pPr>
        <w:pStyle w:val="Heading2"/>
        <w:keepNext/>
      </w:pPr>
      <w:r>
        <w:rPr>
          <w:rFonts w:ascii="Aptos" w:hAnsi="Aptos"/>
          <w:b/>
          <w:i w:val="0"/>
          <w:color w:val="1F4E78"/>
          <w:sz w:val="24"/>
        </w:rPr>
        <w:t>4. Exact Figure Index</w:t>
      </w:r>
    </w:p>
    <w:p>
      <w:pPr>
        <w:spacing w:after="100" w:line="259" w:lineRule="auto"/>
      </w:pPr>
      <w:r>
        <w:rPr>
          <w:rFonts w:ascii="Aptos" w:hAnsi="Aptos"/>
          <w:b w:val="0"/>
          <w:i w:val="0"/>
          <w:sz w:val="19"/>
        </w:rPr>
        <w:t>The register preserves source order and numerical identifiers. English page locations are filled after final rendering. Figure numbering is not silently renumbered even where the source order is nonmonotone.</w:t>
      </w:r>
    </w:p>
    <w:tbl>
      <w:tblPr>
        <w:tblStyle w:val="TableGrid"/>
        <w:tblW w:type="auto" w:w="0"/>
        <w:jc w:val="center"/>
        <w:tblLayout w:type="fixed"/>
        <w:tblLook w:firstColumn="1" w:firstRow="1" w:lastColumn="0" w:lastRow="0" w:noHBand="0" w:noVBand="1" w:val="04A0"/>
      </w:tblPr>
      <w:tblGrid>
        <w:gridCol w:w="2494"/>
        <w:gridCol w:w="2494"/>
        <w:gridCol w:w="2494"/>
        <w:gridCol w:w="2494"/>
      </w:tblGrid>
      <w:tr>
        <w:trPr>
          <w:tblHeader w:val="true"/>
        </w:trPr>
        <w:tc>
          <w:tcPr>
            <w:tcW w:type="dxa" w:w="1020"/>
            <w:shd w:fill="1F4E78"/>
            <w:tcMar>
              <w:top w:w="80" w:type="dxa"/>
              <w:start w:w="90" w:type="dxa"/>
              <w:bottom w:w="80" w:type="dxa"/>
              <w:end w:w="90" w:type="dxa"/>
            </w:tcMar>
            <w:vAlign w:val="center"/>
          </w:tcPr>
          <w:p>
            <w:pPr>
              <w:jc w:val="center"/>
            </w:pPr>
            <w:r>
              <w:rPr>
                <w:rFonts w:ascii="Aptos" w:hAnsi="Aptos"/>
                <w:b/>
                <w:i w:val="0"/>
                <w:color w:val="FFFFFF"/>
                <w:sz w:val="14"/>
              </w:rPr>
              <w:t>Figure</w:t>
            </w:r>
          </w:p>
        </w:tc>
        <w:tc>
          <w:tcPr>
            <w:tcW w:type="dxa" w:w="1020"/>
            <w:shd w:fill="1F4E78"/>
            <w:tcMar>
              <w:top w:w="80" w:type="dxa"/>
              <w:start w:w="90" w:type="dxa"/>
              <w:bottom w:w="80" w:type="dxa"/>
              <w:end w:w="90" w:type="dxa"/>
            </w:tcMar>
            <w:vAlign w:val="center"/>
          </w:tcPr>
          <w:p>
            <w:pPr>
              <w:jc w:val="center"/>
            </w:pPr>
            <w:r>
              <w:rPr>
                <w:rFonts w:ascii="Aptos" w:hAnsi="Aptos"/>
                <w:b/>
                <w:i w:val="0"/>
                <w:color w:val="FFFFFF"/>
                <w:sz w:val="14"/>
              </w:rPr>
              <w:t>Chapter</w:t>
            </w:r>
          </w:p>
        </w:tc>
        <w:tc>
          <w:tcPr>
            <w:tcW w:type="dxa" w:w="7370"/>
            <w:shd w:fill="1F4E78"/>
            <w:tcMar>
              <w:top w:w="80" w:type="dxa"/>
              <w:start w:w="90" w:type="dxa"/>
              <w:bottom w:w="80" w:type="dxa"/>
              <w:end w:w="90" w:type="dxa"/>
            </w:tcMar>
            <w:vAlign w:val="center"/>
          </w:tcPr>
          <w:p>
            <w:pPr>
              <w:jc w:val="center"/>
            </w:pPr>
            <w:r>
              <w:rPr>
                <w:rFonts w:ascii="Aptos" w:hAnsi="Aptos"/>
                <w:b/>
                <w:i w:val="0"/>
                <w:color w:val="FFFFFF"/>
                <w:sz w:val="14"/>
              </w:rPr>
              <w:t>Caption</w:t>
            </w:r>
          </w:p>
        </w:tc>
        <w:tc>
          <w:tcPr>
            <w:tcW w:type="dxa" w:w="964"/>
            <w:shd w:fill="1F4E78"/>
            <w:tcMar>
              <w:top w:w="80" w:type="dxa"/>
              <w:start w:w="90" w:type="dxa"/>
              <w:bottom w:w="80" w:type="dxa"/>
              <w:end w:w="90" w:type="dxa"/>
            </w:tcMar>
            <w:vAlign w:val="center"/>
          </w:tcPr>
          <w:p>
            <w:pPr>
              <w:jc w:val="center"/>
            </w:pPr>
            <w:r>
              <w:rPr>
                <w:rFonts w:ascii="Aptos" w:hAnsi="Aptos"/>
                <w:b/>
                <w:i w:val="0"/>
                <w:color w:val="FFFFFF"/>
                <w:sz w:val="14"/>
              </w:rPr>
              <w:t>EN p.</w:t>
            </w:r>
          </w:p>
        </w:tc>
      </w:tr>
      <w:tr>
        <w:tc>
          <w:tcPr>
            <w:tcW w:type="dxa" w:w="1020"/>
            <w:tcMar>
              <w:top w:w="80" w:type="dxa"/>
              <w:start w:w="90" w:type="dxa"/>
              <w:bottom w:w="80" w:type="dxa"/>
              <w:end w:w="90" w:type="dxa"/>
            </w:tcMar>
            <w:vAlign w:val="center"/>
          </w:tcPr>
          <w:p>
            <w:pPr>
              <w:jc w:val="center"/>
            </w:pPr>
            <w:r>
              <w:rPr>
                <w:rFonts w:ascii="Aptos" w:hAnsi="Aptos"/>
                <w:b w:val="0"/>
                <w:i w:val="0"/>
                <w:sz w:val="14"/>
              </w:rPr>
              <w:t>3</w:t>
            </w:r>
          </w:p>
        </w:tc>
        <w:tc>
          <w:tcPr>
            <w:tcW w:type="dxa" w:w="1020"/>
            <w:tcMar>
              <w:top w:w="80" w:type="dxa"/>
              <w:start w:w="90" w:type="dxa"/>
              <w:bottom w:w="80" w:type="dxa"/>
              <w:end w:w="90" w:type="dxa"/>
            </w:tcMar>
            <w:vAlign w:val="center"/>
          </w:tcPr>
          <w:p>
            <w:pPr>
              <w:jc w:val="center"/>
            </w:pPr>
            <w:r>
              <w:rPr>
                <w:rFonts w:ascii="Aptos" w:hAnsi="Aptos"/>
                <w:b w:val="0"/>
                <w:i w:val="0"/>
                <w:sz w:val="14"/>
              </w:rPr>
              <w:t>3</w:t>
            </w:r>
          </w:p>
        </w:tc>
        <w:tc>
          <w:tcPr>
            <w:tcW w:type="dxa" w:w="7370"/>
            <w:tcMar>
              <w:top w:w="80" w:type="dxa"/>
              <w:start w:w="90" w:type="dxa"/>
              <w:bottom w:w="80" w:type="dxa"/>
              <w:end w:w="90" w:type="dxa"/>
            </w:tcMar>
            <w:vAlign w:val="center"/>
          </w:tcPr>
          <w:p>
            <w:pPr>
              <w:jc w:val="left"/>
            </w:pPr>
            <w:r>
              <w:rPr>
                <w:rFonts w:ascii="Aptos" w:hAnsi="Aptos"/>
                <w:b w:val="0"/>
                <w:i w:val="0"/>
                <w:sz w:val="14"/>
              </w:rPr>
              <w:t>Internal defining core of NAPG_q and the minimal complex. English reconstruction of the authorial diagram in the frozen Russian Volume II.</w:t>
            </w:r>
          </w:p>
        </w:tc>
        <w:tc>
          <w:tcPr>
            <w:tcW w:type="dxa" w:w="964"/>
            <w:tcMar>
              <w:top w:w="80" w:type="dxa"/>
              <w:start w:w="90" w:type="dxa"/>
              <w:bottom w:w="80" w:type="dxa"/>
              <w:end w:w="90" w:type="dxa"/>
            </w:tcMar>
            <w:vAlign w:val="center"/>
          </w:tcPr>
          <w:p>
            <w:pPr>
              <w:jc w:val="center"/>
            </w:pPr>
            <w:r>
              <w:rPr>
                <w:rFonts w:ascii="Aptos" w:hAnsi="Aptos"/>
                <w:b w:val="0"/>
                <w:sz w:val="14"/>
              </w:rPr>
              <w:t>14</w:t>
            </w:r>
          </w:p>
        </w:tc>
      </w:tr>
      <w:tr>
        <w:tc>
          <w:tcPr>
            <w:tcW w:type="dxa" w:w="1020"/>
            <w:tcMar>
              <w:top w:w="80" w:type="dxa"/>
              <w:start w:w="90" w:type="dxa"/>
              <w:bottom w:w="80" w:type="dxa"/>
              <w:end w:w="90" w:type="dxa"/>
            </w:tcMar>
            <w:vAlign w:val="center"/>
          </w:tcPr>
          <w:p>
            <w:pPr>
              <w:jc w:val="center"/>
            </w:pPr>
            <w:r>
              <w:rPr>
                <w:rFonts w:ascii="Aptos" w:hAnsi="Aptos"/>
                <w:b w:val="0"/>
                <w:i w:val="0"/>
                <w:sz w:val="14"/>
              </w:rPr>
              <w:t>4</w:t>
            </w:r>
          </w:p>
        </w:tc>
        <w:tc>
          <w:tcPr>
            <w:tcW w:type="dxa" w:w="1020"/>
            <w:tcMar>
              <w:top w:w="80" w:type="dxa"/>
              <w:start w:w="90" w:type="dxa"/>
              <w:bottom w:w="80" w:type="dxa"/>
              <w:end w:w="90" w:type="dxa"/>
            </w:tcMar>
            <w:vAlign w:val="center"/>
          </w:tcPr>
          <w:p>
            <w:pPr>
              <w:jc w:val="center"/>
            </w:pPr>
            <w:r>
              <w:rPr>
                <w:rFonts w:ascii="Aptos" w:hAnsi="Aptos"/>
                <w:b w:val="0"/>
                <w:i w:val="0"/>
                <w:sz w:val="14"/>
              </w:rPr>
              <w:t>4</w:t>
            </w:r>
          </w:p>
        </w:tc>
        <w:tc>
          <w:tcPr>
            <w:tcW w:type="dxa" w:w="7370"/>
            <w:tcMar>
              <w:top w:w="80" w:type="dxa"/>
              <w:start w:w="90" w:type="dxa"/>
              <w:bottom w:w="80" w:type="dxa"/>
              <w:end w:w="90" w:type="dxa"/>
            </w:tcMar>
            <w:vAlign w:val="center"/>
          </w:tcPr>
          <w:p>
            <w:pPr>
              <w:jc w:val="left"/>
            </w:pPr>
            <w:r>
              <w:rPr>
                <w:rFonts w:ascii="Aptos" w:hAnsi="Aptos"/>
                <w:b w:val="0"/>
                <w:i w:val="0"/>
                <w:sz w:val="14"/>
              </w:rPr>
              <w:t>Double invariance of the structural selector. English reconstruction of the authorial diagram in the frozen Russian Volume II.</w:t>
            </w:r>
          </w:p>
        </w:tc>
        <w:tc>
          <w:tcPr>
            <w:tcW w:type="dxa" w:w="964"/>
            <w:tcMar>
              <w:top w:w="80" w:type="dxa"/>
              <w:start w:w="90" w:type="dxa"/>
              <w:bottom w:w="80" w:type="dxa"/>
              <w:end w:w="90" w:type="dxa"/>
            </w:tcMar>
            <w:vAlign w:val="center"/>
          </w:tcPr>
          <w:p>
            <w:pPr>
              <w:jc w:val="center"/>
            </w:pPr>
            <w:r>
              <w:rPr>
                <w:rFonts w:ascii="Aptos" w:hAnsi="Aptos"/>
                <w:b w:val="0"/>
                <w:sz w:val="14"/>
              </w:rPr>
              <w:t>20</w:t>
            </w:r>
          </w:p>
        </w:tc>
      </w:tr>
      <w:tr>
        <w:tc>
          <w:tcPr>
            <w:tcW w:type="dxa" w:w="1020"/>
            <w:tcMar>
              <w:top w:w="80" w:type="dxa"/>
              <w:start w:w="90" w:type="dxa"/>
              <w:bottom w:w="80" w:type="dxa"/>
              <w:end w:w="90" w:type="dxa"/>
            </w:tcMar>
            <w:vAlign w:val="center"/>
          </w:tcPr>
          <w:p>
            <w:pPr>
              <w:jc w:val="center"/>
            </w:pPr>
            <w:r>
              <w:rPr>
                <w:rFonts w:ascii="Aptos" w:hAnsi="Aptos"/>
                <w:b w:val="0"/>
                <w:i w:val="0"/>
                <w:sz w:val="14"/>
              </w:rPr>
              <w:t>5</w:t>
            </w:r>
          </w:p>
        </w:tc>
        <w:tc>
          <w:tcPr>
            <w:tcW w:type="dxa" w:w="1020"/>
            <w:tcMar>
              <w:top w:w="80" w:type="dxa"/>
              <w:start w:w="90" w:type="dxa"/>
              <w:bottom w:w="80" w:type="dxa"/>
              <w:end w:w="90" w:type="dxa"/>
            </w:tcMar>
            <w:vAlign w:val="center"/>
          </w:tcPr>
          <w:p>
            <w:pPr>
              <w:jc w:val="center"/>
            </w:pPr>
            <w:r>
              <w:rPr>
                <w:rFonts w:ascii="Aptos" w:hAnsi="Aptos"/>
                <w:b w:val="0"/>
                <w:i w:val="0"/>
                <w:sz w:val="14"/>
              </w:rPr>
              <w:t>5</w:t>
            </w:r>
          </w:p>
        </w:tc>
        <w:tc>
          <w:tcPr>
            <w:tcW w:type="dxa" w:w="7370"/>
            <w:tcMar>
              <w:top w:w="80" w:type="dxa"/>
              <w:start w:w="90" w:type="dxa"/>
              <w:bottom w:w="80" w:type="dxa"/>
              <w:end w:w="90" w:type="dxa"/>
            </w:tcMar>
            <w:vAlign w:val="center"/>
          </w:tcPr>
          <w:p>
            <w:pPr>
              <w:jc w:val="left"/>
            </w:pPr>
            <w:r>
              <w:rPr>
                <w:rFonts w:ascii="Aptos" w:hAnsi="Aptos"/>
                <w:b w:val="0"/>
                <w:i w:val="0"/>
                <w:sz w:val="14"/>
              </w:rPr>
              <w:t>Universal associative reflection. English reconstruction of the authorial diagram in the frozen Russian Volume II.</w:t>
            </w:r>
          </w:p>
        </w:tc>
        <w:tc>
          <w:tcPr>
            <w:tcW w:type="dxa" w:w="964"/>
            <w:tcMar>
              <w:top w:w="80" w:type="dxa"/>
              <w:start w:w="90" w:type="dxa"/>
              <w:bottom w:w="80" w:type="dxa"/>
              <w:end w:w="90" w:type="dxa"/>
            </w:tcMar>
            <w:vAlign w:val="center"/>
          </w:tcPr>
          <w:p>
            <w:pPr>
              <w:jc w:val="center"/>
            </w:pPr>
            <w:r>
              <w:rPr>
                <w:rFonts w:ascii="Aptos" w:hAnsi="Aptos"/>
                <w:b w:val="0"/>
                <w:sz w:val="14"/>
              </w:rPr>
              <w:t>26</w:t>
            </w:r>
          </w:p>
        </w:tc>
      </w:tr>
      <w:tr>
        <w:tc>
          <w:tcPr>
            <w:tcW w:type="dxa" w:w="1020"/>
            <w:tcMar>
              <w:top w:w="80" w:type="dxa"/>
              <w:start w:w="90" w:type="dxa"/>
              <w:bottom w:w="80" w:type="dxa"/>
              <w:end w:w="90" w:type="dxa"/>
            </w:tcMar>
            <w:vAlign w:val="center"/>
          </w:tcPr>
          <w:p>
            <w:pPr>
              <w:jc w:val="center"/>
            </w:pPr>
            <w:r>
              <w:rPr>
                <w:rFonts w:ascii="Aptos" w:hAnsi="Aptos"/>
                <w:b w:val="0"/>
                <w:i w:val="0"/>
                <w:sz w:val="14"/>
              </w:rPr>
              <w:t>6</w:t>
            </w:r>
          </w:p>
        </w:tc>
        <w:tc>
          <w:tcPr>
            <w:tcW w:type="dxa" w:w="1020"/>
            <w:tcMar>
              <w:top w:w="80" w:type="dxa"/>
              <w:start w:w="90" w:type="dxa"/>
              <w:bottom w:w="80" w:type="dxa"/>
              <w:end w:w="90" w:type="dxa"/>
            </w:tcMar>
            <w:vAlign w:val="center"/>
          </w:tcPr>
          <w:p>
            <w:pPr>
              <w:jc w:val="center"/>
            </w:pPr>
            <w:r>
              <w:rPr>
                <w:rFonts w:ascii="Aptos" w:hAnsi="Aptos"/>
                <w:b w:val="0"/>
                <w:i w:val="0"/>
                <w:sz w:val="14"/>
              </w:rPr>
              <w:t>5</w:t>
            </w:r>
          </w:p>
        </w:tc>
        <w:tc>
          <w:tcPr>
            <w:tcW w:type="dxa" w:w="7370"/>
            <w:tcMar>
              <w:top w:w="80" w:type="dxa"/>
              <w:start w:w="90" w:type="dxa"/>
              <w:bottom w:w="80" w:type="dxa"/>
              <w:end w:w="90" w:type="dxa"/>
            </w:tcMar>
            <w:vAlign w:val="center"/>
          </w:tcPr>
          <w:p>
            <w:pPr>
              <w:jc w:val="left"/>
            </w:pPr>
            <w:r>
              <w:rPr>
                <w:rFonts w:ascii="Aptos" w:hAnsi="Aptos"/>
                <w:b w:val="0"/>
                <w:i w:val="0"/>
                <w:sz w:val="14"/>
              </w:rPr>
              <w:t>Full R⋆R certificate: quadratic channels and the alternating component. English reconstruction of the authorial diagram in the frozen Russian Volume II.</w:t>
            </w:r>
          </w:p>
        </w:tc>
        <w:tc>
          <w:tcPr>
            <w:tcW w:type="dxa" w:w="964"/>
            <w:tcMar>
              <w:top w:w="80" w:type="dxa"/>
              <w:start w:w="90" w:type="dxa"/>
              <w:bottom w:w="80" w:type="dxa"/>
              <w:end w:w="90" w:type="dxa"/>
            </w:tcMar>
            <w:vAlign w:val="center"/>
          </w:tcPr>
          <w:p>
            <w:pPr>
              <w:jc w:val="center"/>
            </w:pPr>
            <w:r>
              <w:rPr>
                <w:rFonts w:ascii="Aptos" w:hAnsi="Aptos"/>
                <w:b w:val="0"/>
                <w:sz w:val="14"/>
              </w:rPr>
              <w:t>28</w:t>
            </w:r>
          </w:p>
        </w:tc>
      </w:tr>
      <w:tr>
        <w:tc>
          <w:tcPr>
            <w:tcW w:type="dxa" w:w="1020"/>
            <w:tcMar>
              <w:top w:w="80" w:type="dxa"/>
              <w:start w:w="90" w:type="dxa"/>
              <w:bottom w:w="80" w:type="dxa"/>
              <w:end w:w="90" w:type="dxa"/>
            </w:tcMar>
            <w:vAlign w:val="center"/>
          </w:tcPr>
          <w:p>
            <w:pPr>
              <w:jc w:val="center"/>
            </w:pPr>
            <w:r>
              <w:rPr>
                <w:rFonts w:ascii="Aptos" w:hAnsi="Aptos"/>
                <w:b w:val="0"/>
                <w:i w:val="0"/>
                <w:sz w:val="14"/>
              </w:rPr>
              <w:t>7</w:t>
            </w:r>
          </w:p>
        </w:tc>
        <w:tc>
          <w:tcPr>
            <w:tcW w:type="dxa" w:w="1020"/>
            <w:tcMar>
              <w:top w:w="80" w:type="dxa"/>
              <w:start w:w="90" w:type="dxa"/>
              <w:bottom w:w="80" w:type="dxa"/>
              <w:end w:w="90" w:type="dxa"/>
            </w:tcMar>
            <w:vAlign w:val="center"/>
          </w:tcPr>
          <w:p>
            <w:pPr>
              <w:jc w:val="center"/>
            </w:pPr>
            <w:r>
              <w:rPr>
                <w:rFonts w:ascii="Aptos" w:hAnsi="Aptos"/>
                <w:b w:val="0"/>
                <w:i w:val="0"/>
                <w:sz w:val="14"/>
              </w:rPr>
              <w:t>5</w:t>
            </w:r>
          </w:p>
        </w:tc>
        <w:tc>
          <w:tcPr>
            <w:tcW w:type="dxa" w:w="7370"/>
            <w:tcMar>
              <w:top w:w="80" w:type="dxa"/>
              <w:start w:w="90" w:type="dxa"/>
              <w:bottom w:w="80" w:type="dxa"/>
              <w:end w:w="90" w:type="dxa"/>
            </w:tcMar>
            <w:vAlign w:val="center"/>
          </w:tcPr>
          <w:p>
            <w:pPr>
              <w:jc w:val="left"/>
            </w:pPr>
            <w:r>
              <w:rPr>
                <w:rFonts w:ascii="Aptos" w:hAnsi="Aptos"/>
                <w:b w:val="0"/>
                <w:i w:val="0"/>
                <w:sz w:val="14"/>
              </w:rPr>
              <w:t>Determinantal horizon of possible structural transitions. English reconstruction of the authorial diagram in the frozen Russian Volume II.</w:t>
            </w:r>
          </w:p>
        </w:tc>
        <w:tc>
          <w:tcPr>
            <w:tcW w:type="dxa" w:w="964"/>
            <w:tcMar>
              <w:top w:w="80" w:type="dxa"/>
              <w:start w:w="90" w:type="dxa"/>
              <w:bottom w:w="80" w:type="dxa"/>
              <w:end w:w="90" w:type="dxa"/>
            </w:tcMar>
            <w:vAlign w:val="center"/>
          </w:tcPr>
          <w:p>
            <w:pPr>
              <w:jc w:val="center"/>
            </w:pPr>
            <w:r>
              <w:rPr>
                <w:rFonts w:ascii="Aptos" w:hAnsi="Aptos"/>
                <w:b w:val="0"/>
                <w:sz w:val="14"/>
              </w:rPr>
              <w:t>30</w:t>
            </w:r>
          </w:p>
        </w:tc>
      </w:tr>
      <w:tr>
        <w:tc>
          <w:tcPr>
            <w:tcW w:type="dxa" w:w="1020"/>
            <w:tcMar>
              <w:top w:w="80" w:type="dxa"/>
              <w:start w:w="90" w:type="dxa"/>
              <w:bottom w:w="80" w:type="dxa"/>
              <w:end w:w="90" w:type="dxa"/>
            </w:tcMar>
            <w:vAlign w:val="center"/>
          </w:tcPr>
          <w:p>
            <w:pPr>
              <w:jc w:val="center"/>
            </w:pPr>
            <w:r>
              <w:rPr>
                <w:rFonts w:ascii="Aptos" w:hAnsi="Aptos"/>
                <w:b w:val="0"/>
                <w:i w:val="0"/>
                <w:sz w:val="14"/>
              </w:rPr>
              <w:t>8</w:t>
            </w:r>
          </w:p>
        </w:tc>
        <w:tc>
          <w:tcPr>
            <w:tcW w:type="dxa" w:w="1020"/>
            <w:tcMar>
              <w:top w:w="80" w:type="dxa"/>
              <w:start w:w="90" w:type="dxa"/>
              <w:bottom w:w="80" w:type="dxa"/>
              <w:end w:w="90" w:type="dxa"/>
            </w:tcMar>
            <w:vAlign w:val="center"/>
          </w:tcPr>
          <w:p>
            <w:pPr>
              <w:jc w:val="center"/>
            </w:pPr>
            <w:r>
              <w:rPr>
                <w:rFonts w:ascii="Aptos" w:hAnsi="Aptos"/>
                <w:b w:val="0"/>
                <w:i w:val="0"/>
                <w:sz w:val="14"/>
              </w:rPr>
              <w:t>6</w:t>
            </w:r>
          </w:p>
        </w:tc>
        <w:tc>
          <w:tcPr>
            <w:tcW w:type="dxa" w:w="7370"/>
            <w:tcMar>
              <w:top w:w="80" w:type="dxa"/>
              <w:start w:w="90" w:type="dxa"/>
              <w:bottom w:w="80" w:type="dxa"/>
              <w:end w:w="90" w:type="dxa"/>
            </w:tcMar>
            <w:vAlign w:val="center"/>
          </w:tcPr>
          <w:p>
            <w:pPr>
              <w:jc w:val="left"/>
            </w:pPr>
            <w:r>
              <w:rPr>
                <w:rFonts w:ascii="Aptos" w:hAnsi="Aptos"/>
                <w:b w:val="0"/>
                <w:i w:val="0"/>
                <w:sz w:val="14"/>
              </w:rPr>
              <w:t>Yoneda-safe representable duality for NAPG_q. English reconstruction of the authorial diagram in the frozen Russian Volume II.</w:t>
            </w:r>
          </w:p>
        </w:tc>
        <w:tc>
          <w:tcPr>
            <w:tcW w:type="dxa" w:w="964"/>
            <w:tcMar>
              <w:top w:w="80" w:type="dxa"/>
              <w:start w:w="90" w:type="dxa"/>
              <w:bottom w:w="80" w:type="dxa"/>
              <w:end w:w="90" w:type="dxa"/>
            </w:tcMar>
            <w:vAlign w:val="center"/>
          </w:tcPr>
          <w:p>
            <w:pPr>
              <w:jc w:val="center"/>
            </w:pPr>
            <w:r>
              <w:rPr>
                <w:rFonts w:ascii="Aptos" w:hAnsi="Aptos"/>
                <w:b w:val="0"/>
                <w:sz w:val="14"/>
              </w:rPr>
              <w:t>35</w:t>
            </w:r>
          </w:p>
        </w:tc>
      </w:tr>
      <w:tr>
        <w:tc>
          <w:tcPr>
            <w:tcW w:type="dxa" w:w="1020"/>
            <w:tcMar>
              <w:top w:w="80" w:type="dxa"/>
              <w:start w:w="90" w:type="dxa"/>
              <w:bottom w:w="80" w:type="dxa"/>
              <w:end w:w="90" w:type="dxa"/>
            </w:tcMar>
            <w:vAlign w:val="center"/>
          </w:tcPr>
          <w:p>
            <w:pPr>
              <w:jc w:val="center"/>
            </w:pPr>
            <w:r>
              <w:rPr>
                <w:rFonts w:ascii="Aptos" w:hAnsi="Aptos"/>
                <w:b w:val="0"/>
                <w:i w:val="0"/>
                <w:sz w:val="14"/>
              </w:rPr>
              <w:t>9</w:t>
            </w:r>
          </w:p>
        </w:tc>
        <w:tc>
          <w:tcPr>
            <w:tcW w:type="dxa" w:w="1020"/>
            <w:tcMar>
              <w:top w:w="80" w:type="dxa"/>
              <w:start w:w="90" w:type="dxa"/>
              <w:bottom w:w="80" w:type="dxa"/>
              <w:end w:w="90" w:type="dxa"/>
            </w:tcMar>
            <w:vAlign w:val="center"/>
          </w:tcPr>
          <w:p>
            <w:pPr>
              <w:jc w:val="center"/>
            </w:pPr>
            <w:r>
              <w:rPr>
                <w:rFonts w:ascii="Aptos" w:hAnsi="Aptos"/>
                <w:b w:val="0"/>
                <w:i w:val="0"/>
                <w:sz w:val="14"/>
              </w:rPr>
              <w:t>6</w:t>
            </w:r>
          </w:p>
        </w:tc>
        <w:tc>
          <w:tcPr>
            <w:tcW w:type="dxa" w:w="7370"/>
            <w:tcMar>
              <w:top w:w="80" w:type="dxa"/>
              <w:start w:w="90" w:type="dxa"/>
              <w:bottom w:w="80" w:type="dxa"/>
              <w:end w:w="90" w:type="dxa"/>
            </w:tcMar>
            <w:vAlign w:val="center"/>
          </w:tcPr>
          <w:p>
            <w:pPr>
              <w:jc w:val="left"/>
            </w:pPr>
            <w:r>
              <w:rPr>
                <w:rFonts w:ascii="Aptos" w:hAnsi="Aptos"/>
                <w:b w:val="0"/>
                <w:i w:val="0"/>
                <w:sz w:val="14"/>
              </w:rPr>
              <w:t>Conditional Spec_R/Gamma_R pair and reconstruction maps. English reconstruction of the authorial diagram in the frozen Russian Volume II.</w:t>
            </w:r>
          </w:p>
        </w:tc>
        <w:tc>
          <w:tcPr>
            <w:tcW w:type="dxa" w:w="964"/>
            <w:tcMar>
              <w:top w:w="80" w:type="dxa"/>
              <w:start w:w="90" w:type="dxa"/>
              <w:bottom w:w="80" w:type="dxa"/>
              <w:end w:w="90" w:type="dxa"/>
            </w:tcMar>
            <w:vAlign w:val="center"/>
          </w:tcPr>
          <w:p>
            <w:pPr>
              <w:jc w:val="center"/>
            </w:pPr>
            <w:r>
              <w:rPr>
                <w:rFonts w:ascii="Aptos" w:hAnsi="Aptos"/>
                <w:b w:val="0"/>
                <w:sz w:val="14"/>
              </w:rPr>
              <w:t>37</w:t>
            </w:r>
          </w:p>
        </w:tc>
      </w:tr>
      <w:tr>
        <w:tc>
          <w:tcPr>
            <w:tcW w:type="dxa" w:w="1020"/>
            <w:tcMar>
              <w:top w:w="80" w:type="dxa"/>
              <w:start w:w="90" w:type="dxa"/>
              <w:bottom w:w="80" w:type="dxa"/>
              <w:end w:w="90" w:type="dxa"/>
            </w:tcMar>
            <w:vAlign w:val="center"/>
          </w:tcPr>
          <w:p>
            <w:pPr>
              <w:jc w:val="center"/>
            </w:pPr>
            <w:r>
              <w:rPr>
                <w:rFonts w:ascii="Aptos" w:hAnsi="Aptos"/>
                <w:b w:val="0"/>
                <w:i w:val="0"/>
                <w:sz w:val="14"/>
              </w:rPr>
              <w:t>10</w:t>
            </w:r>
          </w:p>
        </w:tc>
        <w:tc>
          <w:tcPr>
            <w:tcW w:type="dxa" w:w="1020"/>
            <w:tcMar>
              <w:top w:w="80" w:type="dxa"/>
              <w:start w:w="90" w:type="dxa"/>
              <w:bottom w:w="80" w:type="dxa"/>
              <w:end w:w="90" w:type="dxa"/>
            </w:tcMar>
            <w:vAlign w:val="center"/>
          </w:tcPr>
          <w:p>
            <w:pPr>
              <w:jc w:val="center"/>
            </w:pPr>
            <w:r>
              <w:rPr>
                <w:rFonts w:ascii="Aptos" w:hAnsi="Aptos"/>
                <w:b w:val="0"/>
                <w:i w:val="0"/>
                <w:sz w:val="14"/>
              </w:rPr>
              <w:t>6</w:t>
            </w:r>
          </w:p>
        </w:tc>
        <w:tc>
          <w:tcPr>
            <w:tcW w:type="dxa" w:w="7370"/>
            <w:tcMar>
              <w:top w:w="80" w:type="dxa"/>
              <w:start w:w="90" w:type="dxa"/>
              <w:bottom w:w="80" w:type="dxa"/>
              <w:end w:w="90" w:type="dxa"/>
            </w:tcMar>
            <w:vAlign w:val="center"/>
          </w:tcPr>
          <w:p>
            <w:pPr>
              <w:jc w:val="left"/>
            </w:pPr>
            <w:r>
              <w:rPr>
                <w:rFonts w:ascii="Aptos" w:hAnsi="Aptos"/>
                <w:b w:val="0"/>
                <w:i w:val="0"/>
                <w:sz w:val="14"/>
              </w:rPr>
              <w:t>Double NAPG/KLT-RBD predictive gate. English reconstruction of the authorial diagram in the frozen Russian Volume II.</w:t>
            </w:r>
          </w:p>
        </w:tc>
        <w:tc>
          <w:tcPr>
            <w:tcW w:type="dxa" w:w="964"/>
            <w:tcMar>
              <w:top w:w="80" w:type="dxa"/>
              <w:start w:w="90" w:type="dxa"/>
              <w:bottom w:w="80" w:type="dxa"/>
              <w:end w:w="90" w:type="dxa"/>
            </w:tcMar>
            <w:vAlign w:val="center"/>
          </w:tcPr>
          <w:p>
            <w:pPr>
              <w:jc w:val="center"/>
            </w:pPr>
            <w:r>
              <w:rPr>
                <w:rFonts w:ascii="Aptos" w:hAnsi="Aptos"/>
                <w:b w:val="0"/>
                <w:sz w:val="14"/>
              </w:rPr>
              <w:t>43</w:t>
            </w:r>
          </w:p>
        </w:tc>
      </w:tr>
      <w:tr>
        <w:tc>
          <w:tcPr>
            <w:tcW w:type="dxa" w:w="1020"/>
            <w:tcMar>
              <w:top w:w="80" w:type="dxa"/>
              <w:start w:w="90" w:type="dxa"/>
              <w:bottom w:w="80" w:type="dxa"/>
              <w:end w:w="90" w:type="dxa"/>
            </w:tcMar>
            <w:vAlign w:val="center"/>
          </w:tcPr>
          <w:p>
            <w:pPr>
              <w:jc w:val="center"/>
            </w:pPr>
            <w:r>
              <w:rPr>
                <w:rFonts w:ascii="Aptos" w:hAnsi="Aptos"/>
                <w:b w:val="0"/>
                <w:i w:val="0"/>
                <w:sz w:val="14"/>
              </w:rPr>
              <w:t>11</w:t>
            </w:r>
          </w:p>
        </w:tc>
        <w:tc>
          <w:tcPr>
            <w:tcW w:type="dxa" w:w="1020"/>
            <w:tcMar>
              <w:top w:w="80" w:type="dxa"/>
              <w:start w:w="90" w:type="dxa"/>
              <w:bottom w:w="80" w:type="dxa"/>
              <w:end w:w="90" w:type="dxa"/>
            </w:tcMar>
            <w:vAlign w:val="center"/>
          </w:tcPr>
          <w:p>
            <w:pPr>
              <w:jc w:val="center"/>
            </w:pPr>
            <w:r>
              <w:rPr>
                <w:rFonts w:ascii="Aptos" w:hAnsi="Aptos"/>
                <w:b w:val="0"/>
                <w:i w:val="0"/>
                <w:sz w:val="14"/>
              </w:rPr>
              <w:t>7</w:t>
            </w:r>
          </w:p>
        </w:tc>
        <w:tc>
          <w:tcPr>
            <w:tcW w:type="dxa" w:w="7370"/>
            <w:tcMar>
              <w:top w:w="80" w:type="dxa"/>
              <w:start w:w="90" w:type="dxa"/>
              <w:bottom w:w="80" w:type="dxa"/>
              <w:end w:w="90" w:type="dxa"/>
            </w:tcMar>
            <w:vAlign w:val="center"/>
          </w:tcPr>
          <w:p>
            <w:pPr>
              <w:jc w:val="left"/>
            </w:pPr>
            <w:r>
              <w:rPr>
                <w:rFonts w:ascii="Aptos" w:hAnsi="Aptos"/>
                <w:b w:val="0"/>
                <w:i w:val="0"/>
                <w:sz w:val="14"/>
              </w:rPr>
              <w:t>Cocycle condition and gluing defect of local NAPG objects. English reconstruction of the authorial scheme in the frozen Russian Volume II.</w:t>
            </w:r>
          </w:p>
        </w:tc>
        <w:tc>
          <w:tcPr>
            <w:tcW w:type="dxa" w:w="964"/>
            <w:tcMar>
              <w:top w:w="80" w:type="dxa"/>
              <w:start w:w="90" w:type="dxa"/>
              <w:bottom w:w="80" w:type="dxa"/>
              <w:end w:w="90" w:type="dxa"/>
            </w:tcMar>
            <w:vAlign w:val="center"/>
          </w:tcPr>
          <w:p>
            <w:pPr>
              <w:jc w:val="center"/>
            </w:pPr>
            <w:r>
              <w:rPr>
                <w:rFonts w:ascii="Aptos" w:hAnsi="Aptos"/>
                <w:b w:val="0"/>
                <w:sz w:val="14"/>
              </w:rPr>
              <w:t>49</w:t>
            </w:r>
          </w:p>
        </w:tc>
      </w:tr>
      <w:tr>
        <w:tc>
          <w:tcPr>
            <w:tcW w:type="dxa" w:w="1020"/>
            <w:tcMar>
              <w:top w:w="80" w:type="dxa"/>
              <w:start w:w="90" w:type="dxa"/>
              <w:bottom w:w="80" w:type="dxa"/>
              <w:end w:w="90" w:type="dxa"/>
            </w:tcMar>
            <w:vAlign w:val="center"/>
          </w:tcPr>
          <w:p>
            <w:pPr>
              <w:jc w:val="center"/>
            </w:pPr>
            <w:r>
              <w:rPr>
                <w:rFonts w:ascii="Aptos" w:hAnsi="Aptos"/>
                <w:b w:val="0"/>
                <w:i w:val="0"/>
                <w:sz w:val="14"/>
              </w:rPr>
              <w:t>12</w:t>
            </w:r>
          </w:p>
        </w:tc>
        <w:tc>
          <w:tcPr>
            <w:tcW w:type="dxa" w:w="1020"/>
            <w:tcMar>
              <w:top w:w="80" w:type="dxa"/>
              <w:start w:w="90" w:type="dxa"/>
              <w:bottom w:w="80" w:type="dxa"/>
              <w:end w:w="90" w:type="dxa"/>
            </w:tcMar>
            <w:vAlign w:val="center"/>
          </w:tcPr>
          <w:p>
            <w:pPr>
              <w:jc w:val="center"/>
            </w:pPr>
            <w:r>
              <w:rPr>
                <w:rFonts w:ascii="Aptos" w:hAnsi="Aptos"/>
                <w:b w:val="0"/>
                <w:i w:val="0"/>
                <w:sz w:val="14"/>
              </w:rPr>
              <w:t>7</w:t>
            </w:r>
          </w:p>
        </w:tc>
        <w:tc>
          <w:tcPr>
            <w:tcW w:type="dxa" w:w="7370"/>
            <w:tcMar>
              <w:top w:w="80" w:type="dxa"/>
              <w:start w:w="90" w:type="dxa"/>
              <w:bottom w:w="80" w:type="dxa"/>
              <w:end w:w="90" w:type="dxa"/>
            </w:tcMar>
            <w:vAlign w:val="center"/>
          </w:tcPr>
          <w:p>
            <w:pPr>
              <w:jc w:val="left"/>
            </w:pPr>
            <w:r>
              <w:rPr>
                <w:rFonts w:ascii="Aptos" w:hAnsi="Aptos"/>
                <w:b w:val="0"/>
                <w:i w:val="0"/>
                <w:sz w:val="14"/>
              </w:rPr>
              <w:t>Central extension and Cech H2 obstruction to lifting the structure group.</w:t>
            </w:r>
          </w:p>
        </w:tc>
        <w:tc>
          <w:tcPr>
            <w:tcW w:type="dxa" w:w="964"/>
            <w:tcMar>
              <w:top w:w="80" w:type="dxa"/>
              <w:start w:w="90" w:type="dxa"/>
              <w:bottom w:w="80" w:type="dxa"/>
              <w:end w:w="90" w:type="dxa"/>
            </w:tcMar>
            <w:vAlign w:val="center"/>
          </w:tcPr>
          <w:p>
            <w:pPr>
              <w:jc w:val="center"/>
            </w:pPr>
            <w:r>
              <w:rPr>
                <w:rFonts w:ascii="Aptos" w:hAnsi="Aptos"/>
                <w:b w:val="0"/>
                <w:sz w:val="14"/>
              </w:rPr>
              <w:t>52</w:t>
            </w:r>
          </w:p>
        </w:tc>
      </w:tr>
      <w:tr>
        <w:tc>
          <w:tcPr>
            <w:tcW w:type="dxa" w:w="1020"/>
            <w:tcMar>
              <w:top w:w="80" w:type="dxa"/>
              <w:start w:w="90" w:type="dxa"/>
              <w:bottom w:w="80" w:type="dxa"/>
              <w:end w:w="90" w:type="dxa"/>
            </w:tcMar>
            <w:vAlign w:val="center"/>
          </w:tcPr>
          <w:p>
            <w:pPr>
              <w:jc w:val="center"/>
            </w:pPr>
            <w:r>
              <w:rPr>
                <w:rFonts w:ascii="Aptos" w:hAnsi="Aptos"/>
                <w:b w:val="0"/>
                <w:i w:val="0"/>
                <w:sz w:val="14"/>
              </w:rPr>
              <w:t>13</w:t>
            </w:r>
          </w:p>
        </w:tc>
        <w:tc>
          <w:tcPr>
            <w:tcW w:type="dxa" w:w="1020"/>
            <w:tcMar>
              <w:top w:w="80" w:type="dxa"/>
              <w:start w:w="90" w:type="dxa"/>
              <w:bottom w:w="80" w:type="dxa"/>
              <w:end w:w="90" w:type="dxa"/>
            </w:tcMar>
            <w:vAlign w:val="center"/>
          </w:tcPr>
          <w:p>
            <w:pPr>
              <w:jc w:val="center"/>
            </w:pPr>
            <w:r>
              <w:rPr>
                <w:rFonts w:ascii="Aptos" w:hAnsi="Aptos"/>
                <w:b w:val="0"/>
                <w:i w:val="0"/>
                <w:sz w:val="14"/>
              </w:rPr>
              <w:t>7</w:t>
            </w:r>
          </w:p>
        </w:tc>
        <w:tc>
          <w:tcPr>
            <w:tcW w:type="dxa" w:w="7370"/>
            <w:tcMar>
              <w:top w:w="80" w:type="dxa"/>
              <w:start w:w="90" w:type="dxa"/>
              <w:bottom w:w="80" w:type="dxa"/>
              <w:end w:w="90" w:type="dxa"/>
            </w:tcMar>
            <w:vAlign w:val="center"/>
          </w:tcPr>
          <w:p>
            <w:pPr>
              <w:jc w:val="left"/>
            </w:pPr>
            <w:r>
              <w:rPr>
                <w:rFonts w:ascii="Aptos" w:hAnsi="Aptos"/>
                <w:b w:val="0"/>
                <w:i w:val="0"/>
                <w:sz w:val="14"/>
              </w:rPr>
              <w:t>Global predictive gate: a local candidate is admitted only after effective descent and existence of a global section.</w:t>
            </w:r>
          </w:p>
        </w:tc>
        <w:tc>
          <w:tcPr>
            <w:tcW w:type="dxa" w:w="964"/>
            <w:tcMar>
              <w:top w:w="80" w:type="dxa"/>
              <w:start w:w="90" w:type="dxa"/>
              <w:bottom w:w="80" w:type="dxa"/>
              <w:end w:w="90" w:type="dxa"/>
            </w:tcMar>
            <w:vAlign w:val="center"/>
          </w:tcPr>
          <w:p>
            <w:pPr>
              <w:jc w:val="center"/>
            </w:pPr>
            <w:r>
              <w:rPr>
                <w:rFonts w:ascii="Aptos" w:hAnsi="Aptos"/>
                <w:b w:val="0"/>
                <w:sz w:val="14"/>
              </w:rPr>
              <w:t>54</w:t>
            </w:r>
          </w:p>
        </w:tc>
      </w:tr>
      <w:tr>
        <w:tc>
          <w:tcPr>
            <w:tcW w:type="dxa" w:w="1020"/>
            <w:tcMar>
              <w:top w:w="80" w:type="dxa"/>
              <w:start w:w="90" w:type="dxa"/>
              <w:bottom w:w="80" w:type="dxa"/>
              <w:end w:w="90" w:type="dxa"/>
            </w:tcMar>
            <w:vAlign w:val="center"/>
          </w:tcPr>
          <w:p>
            <w:pPr>
              <w:jc w:val="center"/>
            </w:pPr>
            <w:r>
              <w:rPr>
                <w:rFonts w:ascii="Aptos" w:hAnsi="Aptos"/>
                <w:b w:val="0"/>
                <w:i w:val="0"/>
                <w:sz w:val="14"/>
              </w:rPr>
              <w:t>14</w:t>
            </w:r>
          </w:p>
        </w:tc>
        <w:tc>
          <w:tcPr>
            <w:tcW w:type="dxa" w:w="1020"/>
            <w:tcMar>
              <w:top w:w="80" w:type="dxa"/>
              <w:start w:w="90" w:type="dxa"/>
              <w:bottom w:w="80" w:type="dxa"/>
              <w:end w:w="90" w:type="dxa"/>
            </w:tcMar>
            <w:vAlign w:val="center"/>
          </w:tcPr>
          <w:p>
            <w:pPr>
              <w:jc w:val="center"/>
            </w:pPr>
            <w:r>
              <w:rPr>
                <w:rFonts w:ascii="Aptos" w:hAnsi="Aptos"/>
                <w:b w:val="0"/>
                <w:i w:val="0"/>
                <w:sz w:val="14"/>
              </w:rPr>
              <w:t>8</w:t>
            </w:r>
          </w:p>
        </w:tc>
        <w:tc>
          <w:tcPr>
            <w:tcW w:type="dxa" w:w="7370"/>
            <w:tcMar>
              <w:top w:w="80" w:type="dxa"/>
              <w:start w:w="90" w:type="dxa"/>
              <w:bottom w:w="80" w:type="dxa"/>
              <w:end w:w="90" w:type="dxa"/>
            </w:tcMar>
            <w:vAlign w:val="center"/>
          </w:tcPr>
          <w:p>
            <w:pPr>
              <w:jc w:val="left"/>
            </w:pPr>
            <w:r>
              <w:rPr>
                <w:rFonts w:ascii="Aptos" w:hAnsi="Aptos"/>
                <w:b w:val="0"/>
                <w:i w:val="0"/>
                <w:sz w:val="14"/>
              </w:rPr>
              <w:t>Comparison of tangent and cotangent constructions; coincidence requires explicit hypotheses.</w:t>
            </w:r>
          </w:p>
        </w:tc>
        <w:tc>
          <w:tcPr>
            <w:tcW w:type="dxa" w:w="964"/>
            <w:tcMar>
              <w:top w:w="80" w:type="dxa"/>
              <w:start w:w="90" w:type="dxa"/>
              <w:bottom w:w="80" w:type="dxa"/>
              <w:end w:w="90" w:type="dxa"/>
            </w:tcMar>
            <w:vAlign w:val="center"/>
          </w:tcPr>
          <w:p>
            <w:pPr>
              <w:jc w:val="center"/>
            </w:pPr>
            <w:r>
              <w:rPr>
                <w:rFonts w:ascii="Aptos" w:hAnsi="Aptos"/>
                <w:b w:val="0"/>
                <w:sz w:val="14"/>
              </w:rPr>
              <w:t>57</w:t>
            </w:r>
          </w:p>
        </w:tc>
      </w:tr>
      <w:tr>
        <w:tc>
          <w:tcPr>
            <w:tcW w:type="dxa" w:w="1020"/>
            <w:tcMar>
              <w:top w:w="80" w:type="dxa"/>
              <w:start w:w="90" w:type="dxa"/>
              <w:bottom w:w="80" w:type="dxa"/>
              <w:end w:w="90" w:type="dxa"/>
            </w:tcMar>
            <w:vAlign w:val="center"/>
          </w:tcPr>
          <w:p>
            <w:pPr>
              <w:jc w:val="center"/>
            </w:pPr>
            <w:r>
              <w:rPr>
                <w:rFonts w:ascii="Aptos" w:hAnsi="Aptos"/>
                <w:b w:val="0"/>
                <w:i w:val="0"/>
                <w:sz w:val="14"/>
              </w:rPr>
              <w:t>15</w:t>
            </w:r>
          </w:p>
        </w:tc>
        <w:tc>
          <w:tcPr>
            <w:tcW w:type="dxa" w:w="1020"/>
            <w:tcMar>
              <w:top w:w="80" w:type="dxa"/>
              <w:start w:w="90" w:type="dxa"/>
              <w:bottom w:w="80" w:type="dxa"/>
              <w:end w:w="90" w:type="dxa"/>
            </w:tcMar>
            <w:vAlign w:val="center"/>
          </w:tcPr>
          <w:p>
            <w:pPr>
              <w:jc w:val="center"/>
            </w:pPr>
            <w:r>
              <w:rPr>
                <w:rFonts w:ascii="Aptos" w:hAnsi="Aptos"/>
                <w:b w:val="0"/>
                <w:i w:val="0"/>
                <w:sz w:val="14"/>
              </w:rPr>
              <w:t>8</w:t>
            </w:r>
          </w:p>
        </w:tc>
        <w:tc>
          <w:tcPr>
            <w:tcW w:type="dxa" w:w="7370"/>
            <w:tcMar>
              <w:top w:w="80" w:type="dxa"/>
              <w:start w:w="90" w:type="dxa"/>
              <w:bottom w:w="80" w:type="dxa"/>
              <w:end w:w="90" w:type="dxa"/>
            </w:tcMar>
            <w:vAlign w:val="center"/>
          </w:tcPr>
          <w:p>
            <w:pPr>
              <w:jc w:val="left"/>
            </w:pPr>
            <w:r>
              <w:rPr>
                <w:rFonts w:ascii="Aptos" w:hAnsi="Aptos"/>
                <w:b w:val="0"/>
                <w:i w:val="0"/>
                <w:sz w:val="14"/>
              </w:rPr>
              <w:t>Two-term NAPG tangent complex: stabilisers, first-order deformations, and second-order obstruction.</w:t>
            </w:r>
          </w:p>
        </w:tc>
        <w:tc>
          <w:tcPr>
            <w:tcW w:type="dxa" w:w="964"/>
            <w:tcMar>
              <w:top w:w="80" w:type="dxa"/>
              <w:start w:w="90" w:type="dxa"/>
              <w:bottom w:w="80" w:type="dxa"/>
              <w:end w:w="90" w:type="dxa"/>
            </w:tcMar>
            <w:vAlign w:val="center"/>
          </w:tcPr>
          <w:p>
            <w:pPr>
              <w:jc w:val="center"/>
            </w:pPr>
            <w:r>
              <w:rPr>
                <w:rFonts w:ascii="Aptos" w:hAnsi="Aptos"/>
                <w:b w:val="0"/>
                <w:sz w:val="14"/>
              </w:rPr>
              <w:t>58</w:t>
            </w:r>
          </w:p>
        </w:tc>
      </w:tr>
      <w:tr>
        <w:tc>
          <w:tcPr>
            <w:tcW w:type="dxa" w:w="1020"/>
            <w:tcMar>
              <w:top w:w="80" w:type="dxa"/>
              <w:start w:w="90" w:type="dxa"/>
              <w:bottom w:w="80" w:type="dxa"/>
              <w:end w:w="90" w:type="dxa"/>
            </w:tcMar>
            <w:vAlign w:val="center"/>
          </w:tcPr>
          <w:p>
            <w:pPr>
              <w:jc w:val="center"/>
            </w:pPr>
            <w:r>
              <w:rPr>
                <w:rFonts w:ascii="Aptos" w:hAnsi="Aptos"/>
                <w:b w:val="0"/>
                <w:i w:val="0"/>
                <w:sz w:val="14"/>
              </w:rPr>
              <w:t>16</w:t>
            </w:r>
          </w:p>
        </w:tc>
        <w:tc>
          <w:tcPr>
            <w:tcW w:type="dxa" w:w="1020"/>
            <w:tcMar>
              <w:top w:w="80" w:type="dxa"/>
              <w:start w:w="90" w:type="dxa"/>
              <w:bottom w:w="80" w:type="dxa"/>
              <w:end w:w="90" w:type="dxa"/>
            </w:tcMar>
            <w:vAlign w:val="center"/>
          </w:tcPr>
          <w:p>
            <w:pPr>
              <w:jc w:val="center"/>
            </w:pPr>
            <w:r>
              <w:rPr>
                <w:rFonts w:ascii="Aptos" w:hAnsi="Aptos"/>
                <w:b w:val="0"/>
                <w:i w:val="0"/>
                <w:sz w:val="14"/>
              </w:rPr>
              <w:t>8</w:t>
            </w:r>
          </w:p>
        </w:tc>
        <w:tc>
          <w:tcPr>
            <w:tcW w:type="dxa" w:w="7370"/>
            <w:tcMar>
              <w:top w:w="80" w:type="dxa"/>
              <w:start w:w="90" w:type="dxa"/>
              <w:bottom w:w="80" w:type="dxa"/>
              <w:end w:w="90" w:type="dxa"/>
            </w:tcMar>
            <w:vAlign w:val="center"/>
          </w:tcPr>
          <w:p>
            <w:pPr>
              <w:jc w:val="left"/>
            </w:pPr>
            <w:r>
              <w:rPr>
                <w:rFonts w:ascii="Aptos" w:hAnsi="Aptos"/>
                <w:b w:val="0"/>
                <w:i w:val="0"/>
                <w:sz w:val="14"/>
              </w:rPr>
              <w:t>Local predictive gate from a linear direction to an integrable admissible arc.</w:t>
            </w:r>
          </w:p>
        </w:tc>
        <w:tc>
          <w:tcPr>
            <w:tcW w:type="dxa" w:w="964"/>
            <w:tcMar>
              <w:top w:w="80" w:type="dxa"/>
              <w:start w:w="90" w:type="dxa"/>
              <w:bottom w:w="80" w:type="dxa"/>
              <w:end w:w="90" w:type="dxa"/>
            </w:tcMar>
            <w:vAlign w:val="center"/>
          </w:tcPr>
          <w:p>
            <w:pPr>
              <w:jc w:val="center"/>
            </w:pPr>
            <w:r>
              <w:rPr>
                <w:rFonts w:ascii="Aptos" w:hAnsi="Aptos"/>
                <w:b w:val="0"/>
                <w:sz w:val="14"/>
              </w:rPr>
              <w:t>61</w:t>
            </w:r>
          </w:p>
        </w:tc>
      </w:tr>
      <w:tr>
        <w:tc>
          <w:tcPr>
            <w:tcW w:type="dxa" w:w="1020"/>
            <w:tcMar>
              <w:top w:w="80" w:type="dxa"/>
              <w:start w:w="90" w:type="dxa"/>
              <w:bottom w:w="80" w:type="dxa"/>
              <w:end w:w="90" w:type="dxa"/>
            </w:tcMar>
            <w:vAlign w:val="center"/>
          </w:tcPr>
          <w:p>
            <w:pPr>
              <w:jc w:val="center"/>
            </w:pPr>
            <w:r>
              <w:rPr>
                <w:rFonts w:ascii="Aptos" w:hAnsi="Aptos"/>
                <w:b w:val="0"/>
                <w:i w:val="0"/>
                <w:sz w:val="14"/>
              </w:rPr>
              <w:t>17</w:t>
            </w:r>
          </w:p>
        </w:tc>
        <w:tc>
          <w:tcPr>
            <w:tcW w:type="dxa" w:w="1020"/>
            <w:tcMar>
              <w:top w:w="80" w:type="dxa"/>
              <w:start w:w="90" w:type="dxa"/>
              <w:bottom w:w="80" w:type="dxa"/>
              <w:end w:w="90" w:type="dxa"/>
            </w:tcMar>
            <w:vAlign w:val="center"/>
          </w:tcPr>
          <w:p>
            <w:pPr>
              <w:jc w:val="center"/>
            </w:pPr>
            <w:r>
              <w:rPr>
                <w:rFonts w:ascii="Aptos" w:hAnsi="Aptos"/>
                <w:b w:val="0"/>
                <w:i w:val="0"/>
                <w:sz w:val="14"/>
              </w:rPr>
              <w:t>9</w:t>
            </w:r>
          </w:p>
        </w:tc>
        <w:tc>
          <w:tcPr>
            <w:tcW w:type="dxa" w:w="7370"/>
            <w:tcMar>
              <w:top w:w="80" w:type="dxa"/>
              <w:start w:w="90" w:type="dxa"/>
              <w:bottom w:w="80" w:type="dxa"/>
              <w:end w:w="90" w:type="dxa"/>
            </w:tcMar>
            <w:vAlign w:val="center"/>
          </w:tcPr>
          <w:p>
            <w:pPr>
              <w:jc w:val="left"/>
            </w:pPr>
            <w:r>
              <w:rPr>
                <w:rFonts w:ascii="Aptos" w:hAnsi="Aptos"/>
                <w:b w:val="0"/>
                <w:i w:val="0"/>
                <w:sz w:val="14"/>
              </w:rPr>
              <w:t>Two layers and four admissible bridges: C_nabla, nabla Ass, K_Ass, and H_Ass.</w:t>
            </w:r>
          </w:p>
        </w:tc>
        <w:tc>
          <w:tcPr>
            <w:tcW w:type="dxa" w:w="964"/>
            <w:tcMar>
              <w:top w:w="80" w:type="dxa"/>
              <w:start w:w="90" w:type="dxa"/>
              <w:bottom w:w="80" w:type="dxa"/>
              <w:end w:w="90" w:type="dxa"/>
            </w:tcMar>
            <w:vAlign w:val="center"/>
          </w:tcPr>
          <w:p>
            <w:pPr>
              <w:jc w:val="center"/>
            </w:pPr>
            <w:r>
              <w:rPr>
                <w:rFonts w:ascii="Aptos" w:hAnsi="Aptos"/>
                <w:b w:val="0"/>
                <w:sz w:val="14"/>
              </w:rPr>
              <w:t>62</w:t>
            </w:r>
          </w:p>
        </w:tc>
      </w:tr>
      <w:tr>
        <w:tc>
          <w:tcPr>
            <w:tcW w:type="dxa" w:w="1020"/>
            <w:tcMar>
              <w:top w:w="80" w:type="dxa"/>
              <w:start w:w="90" w:type="dxa"/>
              <w:bottom w:w="80" w:type="dxa"/>
              <w:end w:w="90" w:type="dxa"/>
            </w:tcMar>
            <w:vAlign w:val="center"/>
          </w:tcPr>
          <w:p>
            <w:pPr>
              <w:jc w:val="center"/>
            </w:pPr>
            <w:r>
              <w:rPr>
                <w:rFonts w:ascii="Aptos" w:hAnsi="Aptos"/>
                <w:b w:val="0"/>
                <w:i w:val="0"/>
                <w:sz w:val="14"/>
              </w:rPr>
              <w:t>18</w:t>
            </w:r>
          </w:p>
        </w:tc>
        <w:tc>
          <w:tcPr>
            <w:tcW w:type="dxa" w:w="1020"/>
            <w:tcMar>
              <w:top w:w="80" w:type="dxa"/>
              <w:start w:w="90" w:type="dxa"/>
              <w:bottom w:w="80" w:type="dxa"/>
              <w:end w:w="90" w:type="dxa"/>
            </w:tcMar>
            <w:vAlign w:val="center"/>
          </w:tcPr>
          <w:p>
            <w:pPr>
              <w:jc w:val="center"/>
            </w:pPr>
            <w:r>
              <w:rPr>
                <w:rFonts w:ascii="Aptos" w:hAnsi="Aptos"/>
                <w:b w:val="0"/>
                <w:i w:val="0"/>
                <w:sz w:val="14"/>
              </w:rPr>
              <w:t>9</w:t>
            </w:r>
          </w:p>
        </w:tc>
        <w:tc>
          <w:tcPr>
            <w:tcW w:type="dxa" w:w="7370"/>
            <w:tcMar>
              <w:top w:w="80" w:type="dxa"/>
              <w:start w:w="90" w:type="dxa"/>
              <w:bottom w:w="80" w:type="dxa"/>
              <w:end w:w="90" w:type="dxa"/>
            </w:tcMar>
            <w:vAlign w:val="center"/>
          </w:tcPr>
          <w:p>
            <w:pPr>
              <w:jc w:val="left"/>
            </w:pPr>
            <w:r>
              <w:rPr>
                <w:rFonts w:ascii="Aptos" w:hAnsi="Aptos"/>
                <w:b w:val="0"/>
                <w:i w:val="0"/>
                <w:sz w:val="14"/>
              </w:rPr>
              <w:t>Four models separating curvature, holonomy, compatibility, and associator.</w:t>
            </w:r>
          </w:p>
        </w:tc>
        <w:tc>
          <w:tcPr>
            <w:tcW w:type="dxa" w:w="964"/>
            <w:tcMar>
              <w:top w:w="80" w:type="dxa"/>
              <w:start w:w="90" w:type="dxa"/>
              <w:bottom w:w="80" w:type="dxa"/>
              <w:end w:w="90" w:type="dxa"/>
            </w:tcMar>
            <w:vAlign w:val="center"/>
          </w:tcPr>
          <w:p>
            <w:pPr>
              <w:jc w:val="center"/>
            </w:pPr>
            <w:r>
              <w:rPr>
                <w:rFonts w:ascii="Aptos" w:hAnsi="Aptos"/>
                <w:b w:val="0"/>
                <w:sz w:val="14"/>
              </w:rPr>
              <w:t>66</w:t>
            </w:r>
          </w:p>
        </w:tc>
      </w:tr>
      <w:tr>
        <w:tc>
          <w:tcPr>
            <w:tcW w:type="dxa" w:w="1020"/>
            <w:tcMar>
              <w:top w:w="80" w:type="dxa"/>
              <w:start w:w="90" w:type="dxa"/>
              <w:bottom w:w="80" w:type="dxa"/>
              <w:end w:w="90" w:type="dxa"/>
            </w:tcMar>
            <w:vAlign w:val="center"/>
          </w:tcPr>
          <w:p>
            <w:pPr>
              <w:jc w:val="center"/>
            </w:pPr>
            <w:r>
              <w:rPr>
                <w:rFonts w:ascii="Aptos" w:hAnsi="Aptos"/>
                <w:b w:val="0"/>
                <w:i w:val="0"/>
                <w:sz w:val="14"/>
              </w:rPr>
              <w:t>19</w:t>
            </w:r>
          </w:p>
        </w:tc>
        <w:tc>
          <w:tcPr>
            <w:tcW w:type="dxa" w:w="1020"/>
            <w:tcMar>
              <w:top w:w="80" w:type="dxa"/>
              <w:start w:w="90" w:type="dxa"/>
              <w:bottom w:w="80" w:type="dxa"/>
              <w:end w:w="90" w:type="dxa"/>
            </w:tcMar>
            <w:vAlign w:val="center"/>
          </w:tcPr>
          <w:p>
            <w:pPr>
              <w:jc w:val="center"/>
            </w:pPr>
            <w:r>
              <w:rPr>
                <w:rFonts w:ascii="Aptos" w:hAnsi="Aptos"/>
                <w:b w:val="0"/>
                <w:i w:val="0"/>
                <w:sz w:val="14"/>
              </w:rPr>
              <w:t>9</w:t>
            </w:r>
          </w:p>
        </w:tc>
        <w:tc>
          <w:tcPr>
            <w:tcW w:type="dxa" w:w="7370"/>
            <w:tcMar>
              <w:top w:w="80" w:type="dxa"/>
              <w:start w:w="90" w:type="dxa"/>
              <w:bottom w:w="80" w:type="dxa"/>
              <w:end w:w="90" w:type="dxa"/>
            </w:tcMar>
            <w:vAlign w:val="center"/>
          </w:tcPr>
          <w:p>
            <w:pPr>
              <w:jc w:val="left"/>
            </w:pPr>
            <w:r>
              <w:rPr>
                <w:rFonts w:ascii="Aptos" w:hAnsi="Aptos"/>
                <w:b w:val="0"/>
                <w:i w:val="0"/>
                <w:sz w:val="14"/>
              </w:rPr>
              <w:t>Blocker-safe gate for holonomy-associator prediction.</w:t>
            </w:r>
          </w:p>
        </w:tc>
        <w:tc>
          <w:tcPr>
            <w:tcW w:type="dxa" w:w="964"/>
            <w:tcMar>
              <w:top w:w="80" w:type="dxa"/>
              <w:start w:w="90" w:type="dxa"/>
              <w:bottom w:w="80" w:type="dxa"/>
              <w:end w:w="90" w:type="dxa"/>
            </w:tcMar>
            <w:vAlign w:val="center"/>
          </w:tcPr>
          <w:p>
            <w:pPr>
              <w:jc w:val="center"/>
            </w:pPr>
            <w:r>
              <w:rPr>
                <w:rFonts w:ascii="Aptos" w:hAnsi="Aptos"/>
                <w:b w:val="0"/>
                <w:sz w:val="14"/>
              </w:rPr>
              <w:t>68</w:t>
            </w:r>
          </w:p>
        </w:tc>
      </w:tr>
      <w:tr>
        <w:tc>
          <w:tcPr>
            <w:tcW w:type="dxa" w:w="1020"/>
            <w:tcMar>
              <w:top w:w="80" w:type="dxa"/>
              <w:start w:w="90" w:type="dxa"/>
              <w:bottom w:w="80" w:type="dxa"/>
              <w:end w:w="90" w:type="dxa"/>
            </w:tcMar>
            <w:vAlign w:val="center"/>
          </w:tcPr>
          <w:p>
            <w:pPr>
              <w:jc w:val="center"/>
            </w:pPr>
            <w:r>
              <w:rPr>
                <w:rFonts w:ascii="Aptos" w:hAnsi="Aptos"/>
                <w:b w:val="0"/>
                <w:i w:val="0"/>
                <w:sz w:val="14"/>
              </w:rPr>
              <w:t>20</w:t>
            </w:r>
          </w:p>
        </w:tc>
        <w:tc>
          <w:tcPr>
            <w:tcW w:type="dxa" w:w="1020"/>
            <w:tcMar>
              <w:top w:w="80" w:type="dxa"/>
              <w:start w:w="90" w:type="dxa"/>
              <w:bottom w:w="80" w:type="dxa"/>
              <w:end w:w="90" w:type="dxa"/>
            </w:tcMar>
            <w:vAlign w:val="center"/>
          </w:tcPr>
          <w:p>
            <w:pPr>
              <w:jc w:val="center"/>
            </w:pPr>
            <w:r>
              <w:rPr>
                <w:rFonts w:ascii="Aptos" w:hAnsi="Aptos"/>
                <w:b w:val="0"/>
                <w:i w:val="0"/>
                <w:sz w:val="14"/>
              </w:rPr>
              <w:t>10</w:t>
            </w:r>
          </w:p>
        </w:tc>
        <w:tc>
          <w:tcPr>
            <w:tcW w:type="dxa" w:w="7370"/>
            <w:tcMar>
              <w:top w:w="80" w:type="dxa"/>
              <w:start w:w="90" w:type="dxa"/>
              <w:bottom w:w="80" w:type="dxa"/>
              <w:end w:w="90" w:type="dxa"/>
            </w:tcMar>
            <w:vAlign w:val="center"/>
          </w:tcPr>
          <w:p>
            <w:pPr>
              <w:jc w:val="left"/>
            </w:pPr>
            <w:r>
              <w:rPr>
                <w:rFonts w:ascii="Aptos" w:hAnsi="Aptos"/>
                <w:b w:val="0"/>
                <w:i w:val="0"/>
                <w:sz w:val="14"/>
              </w:rPr>
              <w:t>Three differential layers and decomposition of the total defect.</w:t>
            </w:r>
          </w:p>
        </w:tc>
        <w:tc>
          <w:tcPr>
            <w:tcW w:type="dxa" w:w="964"/>
            <w:tcMar>
              <w:top w:w="80" w:type="dxa"/>
              <w:start w:w="90" w:type="dxa"/>
              <w:bottom w:w="80" w:type="dxa"/>
              <w:end w:w="90" w:type="dxa"/>
            </w:tcMar>
            <w:vAlign w:val="center"/>
          </w:tcPr>
          <w:p>
            <w:pPr>
              <w:jc w:val="center"/>
            </w:pPr>
            <w:r>
              <w:rPr>
                <w:rFonts w:ascii="Aptos" w:hAnsi="Aptos"/>
                <w:b w:val="0"/>
                <w:sz w:val="14"/>
              </w:rPr>
              <w:t>69</w:t>
            </w:r>
          </w:p>
        </w:tc>
      </w:tr>
      <w:tr>
        <w:tc>
          <w:tcPr>
            <w:tcW w:type="dxa" w:w="1020"/>
            <w:tcMar>
              <w:top w:w="80" w:type="dxa"/>
              <w:start w:w="90" w:type="dxa"/>
              <w:bottom w:w="80" w:type="dxa"/>
              <w:end w:w="90" w:type="dxa"/>
            </w:tcMar>
            <w:vAlign w:val="center"/>
          </w:tcPr>
          <w:p>
            <w:pPr>
              <w:jc w:val="center"/>
            </w:pPr>
            <w:r>
              <w:rPr>
                <w:rFonts w:ascii="Aptos" w:hAnsi="Aptos"/>
                <w:b w:val="0"/>
                <w:i w:val="0"/>
                <w:sz w:val="14"/>
              </w:rPr>
              <w:t>21</w:t>
            </w:r>
          </w:p>
        </w:tc>
        <w:tc>
          <w:tcPr>
            <w:tcW w:type="dxa" w:w="1020"/>
            <w:tcMar>
              <w:top w:w="80" w:type="dxa"/>
              <w:start w:w="90" w:type="dxa"/>
              <w:bottom w:w="80" w:type="dxa"/>
              <w:end w:w="90" w:type="dxa"/>
            </w:tcMar>
            <w:vAlign w:val="center"/>
          </w:tcPr>
          <w:p>
            <w:pPr>
              <w:jc w:val="center"/>
            </w:pPr>
            <w:r>
              <w:rPr>
                <w:rFonts w:ascii="Aptos" w:hAnsi="Aptos"/>
                <w:b w:val="0"/>
                <w:i w:val="0"/>
                <w:sz w:val="14"/>
              </w:rPr>
              <w:t>10</w:t>
            </w:r>
          </w:p>
        </w:tc>
        <w:tc>
          <w:tcPr>
            <w:tcW w:type="dxa" w:w="7370"/>
            <w:tcMar>
              <w:top w:w="80" w:type="dxa"/>
              <w:start w:w="90" w:type="dxa"/>
              <w:bottom w:w="80" w:type="dxa"/>
              <w:end w:w="90" w:type="dxa"/>
            </w:tcMar>
            <w:vAlign w:val="center"/>
          </w:tcPr>
          <w:p>
            <w:pPr>
              <w:jc w:val="left"/>
            </w:pPr>
            <w:r>
              <w:rPr>
                <w:rFonts w:ascii="Aptos" w:hAnsi="Aptos"/>
                <w:b w:val="0"/>
                <w:i w:val="0"/>
                <w:sz w:val="14"/>
              </w:rPr>
              <w:t>Four regimes showing logical independence of the Leibniz identity and nilpotency.</w:t>
            </w:r>
          </w:p>
        </w:tc>
        <w:tc>
          <w:tcPr>
            <w:tcW w:type="dxa" w:w="964"/>
            <w:tcMar>
              <w:top w:w="80" w:type="dxa"/>
              <w:start w:w="90" w:type="dxa"/>
              <w:bottom w:w="80" w:type="dxa"/>
              <w:end w:w="90" w:type="dxa"/>
            </w:tcMar>
            <w:vAlign w:val="center"/>
          </w:tcPr>
          <w:p>
            <w:pPr>
              <w:jc w:val="center"/>
            </w:pPr>
            <w:r>
              <w:rPr>
                <w:rFonts w:ascii="Aptos" w:hAnsi="Aptos"/>
                <w:b w:val="0"/>
                <w:sz w:val="14"/>
              </w:rPr>
              <w:t>72</w:t>
            </w:r>
          </w:p>
        </w:tc>
      </w:tr>
      <w:tr>
        <w:tc>
          <w:tcPr>
            <w:tcW w:type="dxa" w:w="1020"/>
            <w:tcMar>
              <w:top w:w="80" w:type="dxa"/>
              <w:start w:w="90" w:type="dxa"/>
              <w:bottom w:w="80" w:type="dxa"/>
              <w:end w:w="90" w:type="dxa"/>
            </w:tcMar>
            <w:vAlign w:val="center"/>
          </w:tcPr>
          <w:p>
            <w:pPr>
              <w:jc w:val="center"/>
            </w:pPr>
            <w:r>
              <w:rPr>
                <w:rFonts w:ascii="Aptos" w:hAnsi="Aptos"/>
                <w:b w:val="0"/>
                <w:i w:val="0"/>
                <w:sz w:val="14"/>
              </w:rPr>
              <w:t>22</w:t>
            </w:r>
          </w:p>
        </w:tc>
        <w:tc>
          <w:tcPr>
            <w:tcW w:type="dxa" w:w="1020"/>
            <w:tcMar>
              <w:top w:w="80" w:type="dxa"/>
              <w:start w:w="90" w:type="dxa"/>
              <w:bottom w:w="80" w:type="dxa"/>
              <w:end w:w="90" w:type="dxa"/>
            </w:tcMar>
            <w:vAlign w:val="center"/>
          </w:tcPr>
          <w:p>
            <w:pPr>
              <w:jc w:val="center"/>
            </w:pPr>
            <w:r>
              <w:rPr>
                <w:rFonts w:ascii="Aptos" w:hAnsi="Aptos"/>
                <w:b w:val="0"/>
                <w:i w:val="0"/>
                <w:sz w:val="14"/>
              </w:rPr>
              <w:t>11</w:t>
            </w:r>
          </w:p>
        </w:tc>
        <w:tc>
          <w:tcPr>
            <w:tcW w:type="dxa" w:w="7370"/>
            <w:tcMar>
              <w:top w:w="80" w:type="dxa"/>
              <w:start w:w="90" w:type="dxa"/>
              <w:bottom w:w="80" w:type="dxa"/>
              <w:end w:w="90" w:type="dxa"/>
            </w:tcMar>
            <w:vAlign w:val="center"/>
          </w:tcPr>
          <w:p>
            <w:pPr>
              <w:jc w:val="left"/>
            </w:pPr>
            <w:r>
              <w:rPr>
                <w:rFonts w:ascii="Aptos" w:hAnsi="Aptos"/>
                <w:b w:val="0"/>
                <w:i w:val="0"/>
                <w:sz w:val="14"/>
              </w:rPr>
              <w:t>Blocker-safe gate for differential prediction.</w:t>
            </w:r>
          </w:p>
        </w:tc>
        <w:tc>
          <w:tcPr>
            <w:tcW w:type="dxa" w:w="964"/>
            <w:tcMar>
              <w:top w:w="80" w:type="dxa"/>
              <w:start w:w="90" w:type="dxa"/>
              <w:bottom w:w="80" w:type="dxa"/>
              <w:end w:w="90" w:type="dxa"/>
            </w:tcMar>
            <w:vAlign w:val="center"/>
          </w:tcPr>
          <w:p>
            <w:pPr>
              <w:jc w:val="center"/>
            </w:pPr>
            <w:r>
              <w:rPr>
                <w:rFonts w:ascii="Aptos" w:hAnsi="Aptos"/>
                <w:b w:val="0"/>
                <w:sz w:val="14"/>
              </w:rPr>
              <w:t>76</w:t>
            </w:r>
          </w:p>
        </w:tc>
      </w:tr>
      <w:tr>
        <w:tc>
          <w:tcPr>
            <w:tcW w:type="dxa" w:w="1020"/>
            <w:tcMar>
              <w:top w:w="80" w:type="dxa"/>
              <w:start w:w="90" w:type="dxa"/>
              <w:bottom w:w="80" w:type="dxa"/>
              <w:end w:w="90" w:type="dxa"/>
            </w:tcMar>
            <w:vAlign w:val="center"/>
          </w:tcPr>
          <w:p>
            <w:pPr>
              <w:jc w:val="center"/>
            </w:pPr>
            <w:r>
              <w:rPr>
                <w:rFonts w:ascii="Aptos" w:hAnsi="Aptos"/>
                <w:b w:val="0"/>
                <w:i w:val="0"/>
                <w:sz w:val="14"/>
              </w:rPr>
              <w:t>23</w:t>
            </w:r>
          </w:p>
        </w:tc>
        <w:tc>
          <w:tcPr>
            <w:tcW w:type="dxa" w:w="1020"/>
            <w:tcMar>
              <w:top w:w="80" w:type="dxa"/>
              <w:start w:w="90" w:type="dxa"/>
              <w:bottom w:w="80" w:type="dxa"/>
              <w:end w:w="90" w:type="dxa"/>
            </w:tcMar>
            <w:vAlign w:val="center"/>
          </w:tcPr>
          <w:p>
            <w:pPr>
              <w:jc w:val="center"/>
            </w:pPr>
            <w:r>
              <w:rPr>
                <w:rFonts w:ascii="Aptos" w:hAnsi="Aptos"/>
                <w:b w:val="0"/>
                <w:i w:val="0"/>
                <w:sz w:val="14"/>
              </w:rPr>
              <w:t>12</w:t>
            </w:r>
          </w:p>
        </w:tc>
        <w:tc>
          <w:tcPr>
            <w:tcW w:type="dxa" w:w="7370"/>
            <w:tcMar>
              <w:top w:w="80" w:type="dxa"/>
              <w:start w:w="90" w:type="dxa"/>
              <w:bottom w:w="80" w:type="dxa"/>
              <w:end w:w="90" w:type="dxa"/>
            </w:tcMar>
            <w:vAlign w:val="center"/>
          </w:tcPr>
          <w:p>
            <w:pPr>
              <w:jc w:val="left"/>
            </w:pPr>
            <w:r>
              <w:rPr>
                <w:rFonts w:ascii="Aptos" w:hAnsi="Aptos"/>
                <w:b w:val="0"/>
                <w:i w:val="0"/>
                <w:sz w:val="14"/>
              </w:rPr>
              <w:t>Minimal complex and its natural exact sequence.</w:t>
            </w:r>
          </w:p>
        </w:tc>
        <w:tc>
          <w:tcPr>
            <w:tcW w:type="dxa" w:w="964"/>
            <w:tcMar>
              <w:top w:w="80" w:type="dxa"/>
              <w:start w:w="90" w:type="dxa"/>
              <w:bottom w:w="80" w:type="dxa"/>
              <w:end w:w="90" w:type="dxa"/>
            </w:tcMar>
            <w:vAlign w:val="center"/>
          </w:tcPr>
          <w:p>
            <w:pPr>
              <w:jc w:val="center"/>
            </w:pPr>
            <w:r>
              <w:rPr>
                <w:rFonts w:ascii="Aptos" w:hAnsi="Aptos"/>
                <w:b w:val="0"/>
                <w:sz w:val="14"/>
              </w:rPr>
              <w:t>79</w:t>
            </w:r>
          </w:p>
        </w:tc>
      </w:tr>
      <w:tr>
        <w:tc>
          <w:tcPr>
            <w:tcW w:type="dxa" w:w="1020"/>
            <w:tcMar>
              <w:top w:w="80" w:type="dxa"/>
              <w:start w:w="90" w:type="dxa"/>
              <w:bottom w:w="80" w:type="dxa"/>
              <w:end w:w="90" w:type="dxa"/>
            </w:tcMar>
            <w:vAlign w:val="center"/>
          </w:tcPr>
          <w:p>
            <w:pPr>
              <w:jc w:val="center"/>
            </w:pPr>
            <w:r>
              <w:rPr>
                <w:rFonts w:ascii="Aptos" w:hAnsi="Aptos"/>
                <w:b w:val="0"/>
                <w:i w:val="0"/>
                <w:sz w:val="14"/>
              </w:rPr>
              <w:t>24</w:t>
            </w:r>
          </w:p>
        </w:tc>
        <w:tc>
          <w:tcPr>
            <w:tcW w:type="dxa" w:w="1020"/>
            <w:tcMar>
              <w:top w:w="80" w:type="dxa"/>
              <w:start w:w="90" w:type="dxa"/>
              <w:bottom w:w="80" w:type="dxa"/>
              <w:end w:w="90" w:type="dxa"/>
            </w:tcMar>
            <w:vAlign w:val="center"/>
          </w:tcPr>
          <w:p>
            <w:pPr>
              <w:jc w:val="center"/>
            </w:pPr>
            <w:r>
              <w:rPr>
                <w:rFonts w:ascii="Aptos" w:hAnsi="Aptos"/>
                <w:b w:val="0"/>
                <w:i w:val="0"/>
                <w:sz w:val="14"/>
              </w:rPr>
              <w:t>12</w:t>
            </w:r>
          </w:p>
        </w:tc>
        <w:tc>
          <w:tcPr>
            <w:tcW w:type="dxa" w:w="7370"/>
            <w:tcMar>
              <w:top w:w="80" w:type="dxa"/>
              <w:start w:w="90" w:type="dxa"/>
              <w:bottom w:w="80" w:type="dxa"/>
              <w:end w:w="90" w:type="dxa"/>
            </w:tcMar>
            <w:vAlign w:val="center"/>
          </w:tcPr>
          <w:p>
            <w:pPr>
              <w:jc w:val="left"/>
            </w:pPr>
            <w:r>
              <w:rPr>
                <w:rFonts w:ascii="Aptos" w:hAnsi="Aptos"/>
                <w:b w:val="0"/>
                <w:i w:val="0"/>
                <w:sz w:val="14"/>
              </w:rPr>
              <w:t>Lift criterion and H2 torsor of solutions.</w:t>
            </w:r>
          </w:p>
        </w:tc>
        <w:tc>
          <w:tcPr>
            <w:tcW w:type="dxa" w:w="964"/>
            <w:tcMar>
              <w:top w:w="80" w:type="dxa"/>
              <w:start w:w="90" w:type="dxa"/>
              <w:bottom w:w="80" w:type="dxa"/>
              <w:end w:w="90" w:type="dxa"/>
            </w:tcMar>
            <w:vAlign w:val="center"/>
          </w:tcPr>
          <w:p>
            <w:pPr>
              <w:jc w:val="center"/>
            </w:pPr>
            <w:r>
              <w:rPr>
                <w:rFonts w:ascii="Aptos" w:hAnsi="Aptos"/>
                <w:b w:val="0"/>
                <w:sz w:val="14"/>
              </w:rPr>
              <w:t>80</w:t>
            </w:r>
          </w:p>
        </w:tc>
      </w:tr>
      <w:tr>
        <w:tc>
          <w:tcPr>
            <w:tcW w:type="dxa" w:w="1020"/>
            <w:tcMar>
              <w:top w:w="80" w:type="dxa"/>
              <w:start w:w="90" w:type="dxa"/>
              <w:bottom w:w="80" w:type="dxa"/>
              <w:end w:w="90" w:type="dxa"/>
            </w:tcMar>
            <w:vAlign w:val="center"/>
          </w:tcPr>
          <w:p>
            <w:pPr>
              <w:jc w:val="center"/>
            </w:pPr>
            <w:r>
              <w:rPr>
                <w:rFonts w:ascii="Aptos" w:hAnsi="Aptos"/>
                <w:b w:val="0"/>
                <w:i w:val="0"/>
                <w:sz w:val="14"/>
              </w:rPr>
              <w:t>25</w:t>
            </w:r>
          </w:p>
        </w:tc>
        <w:tc>
          <w:tcPr>
            <w:tcW w:type="dxa" w:w="1020"/>
            <w:tcMar>
              <w:top w:w="80" w:type="dxa"/>
              <w:start w:w="90" w:type="dxa"/>
              <w:bottom w:w="80" w:type="dxa"/>
              <w:end w:w="90" w:type="dxa"/>
            </w:tcMar>
            <w:vAlign w:val="center"/>
          </w:tcPr>
          <w:p>
            <w:pPr>
              <w:jc w:val="center"/>
            </w:pPr>
            <w:r>
              <w:rPr>
                <w:rFonts w:ascii="Aptos" w:hAnsi="Aptos"/>
                <w:b w:val="0"/>
                <w:i w:val="0"/>
                <w:sz w:val="14"/>
              </w:rPr>
              <w:t>12</w:t>
            </w:r>
          </w:p>
        </w:tc>
        <w:tc>
          <w:tcPr>
            <w:tcW w:type="dxa" w:w="7370"/>
            <w:tcMar>
              <w:top w:w="80" w:type="dxa"/>
              <w:start w:w="90" w:type="dxa"/>
              <w:bottom w:w="80" w:type="dxa"/>
              <w:end w:w="90" w:type="dxa"/>
            </w:tcMar>
            <w:vAlign w:val="center"/>
          </w:tcPr>
          <w:p>
            <w:pPr>
              <w:jc w:val="left"/>
            </w:pPr>
            <w:r>
              <w:rPr>
                <w:rFonts w:ascii="Aptos" w:hAnsi="Aptos"/>
                <w:b w:val="0"/>
                <w:i w:val="0"/>
                <w:sz w:val="14"/>
              </w:rPr>
              <w:t>Blocker-safe gate for internal obstruction prediction.</w:t>
            </w:r>
          </w:p>
        </w:tc>
        <w:tc>
          <w:tcPr>
            <w:tcW w:type="dxa" w:w="964"/>
            <w:tcMar>
              <w:top w:w="80" w:type="dxa"/>
              <w:start w:w="90" w:type="dxa"/>
              <w:bottom w:w="80" w:type="dxa"/>
              <w:end w:w="90" w:type="dxa"/>
            </w:tcMar>
            <w:vAlign w:val="center"/>
          </w:tcPr>
          <w:p>
            <w:pPr>
              <w:jc w:val="center"/>
            </w:pPr>
            <w:r>
              <w:rPr>
                <w:rFonts w:ascii="Aptos" w:hAnsi="Aptos"/>
                <w:b w:val="0"/>
                <w:sz w:val="14"/>
              </w:rPr>
              <w:t>82</w:t>
            </w:r>
          </w:p>
        </w:tc>
      </w:tr>
      <w:tr>
        <w:tc>
          <w:tcPr>
            <w:tcW w:type="dxa" w:w="1020"/>
            <w:tcMar>
              <w:top w:w="80" w:type="dxa"/>
              <w:start w:w="90" w:type="dxa"/>
              <w:bottom w:w="80" w:type="dxa"/>
              <w:end w:w="90" w:type="dxa"/>
            </w:tcMar>
            <w:vAlign w:val="center"/>
          </w:tcPr>
          <w:p>
            <w:pPr>
              <w:jc w:val="center"/>
            </w:pPr>
            <w:r>
              <w:rPr>
                <w:rFonts w:ascii="Aptos" w:hAnsi="Aptos"/>
                <w:b w:val="0"/>
                <w:i w:val="0"/>
                <w:sz w:val="14"/>
              </w:rPr>
              <w:t>26</w:t>
            </w:r>
          </w:p>
        </w:tc>
        <w:tc>
          <w:tcPr>
            <w:tcW w:type="dxa" w:w="1020"/>
            <w:tcMar>
              <w:top w:w="80" w:type="dxa"/>
              <w:start w:w="90" w:type="dxa"/>
              <w:bottom w:w="80" w:type="dxa"/>
              <w:end w:w="90" w:type="dxa"/>
            </w:tcMar>
            <w:vAlign w:val="center"/>
          </w:tcPr>
          <w:p>
            <w:pPr>
              <w:jc w:val="center"/>
            </w:pPr>
            <w:r>
              <w:rPr>
                <w:rFonts w:ascii="Aptos" w:hAnsi="Aptos"/>
                <w:b w:val="0"/>
                <w:i w:val="0"/>
                <w:sz w:val="14"/>
              </w:rPr>
              <w:t>13</w:t>
            </w:r>
          </w:p>
        </w:tc>
        <w:tc>
          <w:tcPr>
            <w:tcW w:type="dxa" w:w="7370"/>
            <w:tcMar>
              <w:top w:w="80" w:type="dxa"/>
              <w:start w:w="90" w:type="dxa"/>
              <w:bottom w:w="80" w:type="dxa"/>
              <w:end w:w="90" w:type="dxa"/>
            </w:tcMar>
            <w:vAlign w:val="center"/>
          </w:tcPr>
          <w:p>
            <w:pPr>
              <w:jc w:val="left"/>
            </w:pPr>
            <w:r>
              <w:rPr>
                <w:rFonts w:ascii="Aptos" w:hAnsi="Aptos"/>
                <w:b w:val="0"/>
                <w:i w:val="0"/>
                <w:sz w:val="14"/>
              </w:rPr>
              <w:t>Chain bridge J and the induced external obstruction map Pi_E.</w:t>
            </w:r>
          </w:p>
        </w:tc>
        <w:tc>
          <w:tcPr>
            <w:tcW w:type="dxa" w:w="964"/>
            <w:tcMar>
              <w:top w:w="80" w:type="dxa"/>
              <w:start w:w="90" w:type="dxa"/>
              <w:bottom w:w="80" w:type="dxa"/>
              <w:end w:w="90" w:type="dxa"/>
            </w:tcMar>
            <w:vAlign w:val="center"/>
          </w:tcPr>
          <w:p>
            <w:pPr>
              <w:jc w:val="center"/>
            </w:pPr>
            <w:r>
              <w:rPr>
                <w:rFonts w:ascii="Aptos" w:hAnsi="Aptos"/>
                <w:b w:val="0"/>
                <w:sz w:val="14"/>
              </w:rPr>
              <w:t>85</w:t>
            </w:r>
          </w:p>
        </w:tc>
      </w:tr>
      <w:tr>
        <w:tc>
          <w:tcPr>
            <w:tcW w:type="dxa" w:w="1020"/>
            <w:tcMar>
              <w:top w:w="80" w:type="dxa"/>
              <w:start w:w="90" w:type="dxa"/>
              <w:bottom w:w="80" w:type="dxa"/>
              <w:end w:w="90" w:type="dxa"/>
            </w:tcMar>
            <w:vAlign w:val="center"/>
          </w:tcPr>
          <w:p>
            <w:pPr>
              <w:jc w:val="center"/>
            </w:pPr>
            <w:r>
              <w:rPr>
                <w:rFonts w:ascii="Aptos" w:hAnsi="Aptos"/>
                <w:b w:val="0"/>
                <w:i w:val="0"/>
                <w:sz w:val="14"/>
              </w:rPr>
              <w:t>27</w:t>
            </w:r>
          </w:p>
        </w:tc>
        <w:tc>
          <w:tcPr>
            <w:tcW w:type="dxa" w:w="1020"/>
            <w:tcMar>
              <w:top w:w="80" w:type="dxa"/>
              <w:start w:w="90" w:type="dxa"/>
              <w:bottom w:w="80" w:type="dxa"/>
              <w:end w:w="90" w:type="dxa"/>
            </w:tcMar>
            <w:vAlign w:val="center"/>
          </w:tcPr>
          <w:p>
            <w:pPr>
              <w:jc w:val="center"/>
            </w:pPr>
            <w:r>
              <w:rPr>
                <w:rFonts w:ascii="Aptos" w:hAnsi="Aptos"/>
                <w:b w:val="0"/>
                <w:i w:val="0"/>
                <w:sz w:val="14"/>
              </w:rPr>
              <w:t>13</w:t>
            </w:r>
          </w:p>
        </w:tc>
        <w:tc>
          <w:tcPr>
            <w:tcW w:type="dxa" w:w="7370"/>
            <w:tcMar>
              <w:top w:w="80" w:type="dxa"/>
              <w:start w:w="90" w:type="dxa"/>
              <w:bottom w:w="80" w:type="dxa"/>
              <w:end w:w="90" w:type="dxa"/>
            </w:tcMar>
            <w:vAlign w:val="center"/>
          </w:tcPr>
          <w:p>
            <w:pPr>
              <w:jc w:val="left"/>
            </w:pPr>
            <w:r>
              <w:rPr>
                <w:rFonts w:ascii="Aptos" w:hAnsi="Aptos"/>
                <w:b w:val="0"/>
                <w:i w:val="0"/>
                <w:sz w:val="14"/>
              </w:rPr>
              <w:t>Mapping cone and the two defects of external detection.</w:t>
            </w:r>
          </w:p>
        </w:tc>
        <w:tc>
          <w:tcPr>
            <w:tcW w:type="dxa" w:w="964"/>
            <w:tcMar>
              <w:top w:w="80" w:type="dxa"/>
              <w:start w:w="90" w:type="dxa"/>
              <w:bottom w:w="80" w:type="dxa"/>
              <w:end w:w="90" w:type="dxa"/>
            </w:tcMar>
            <w:vAlign w:val="center"/>
          </w:tcPr>
          <w:p>
            <w:pPr>
              <w:jc w:val="center"/>
            </w:pPr>
            <w:r>
              <w:rPr>
                <w:rFonts w:ascii="Aptos" w:hAnsi="Aptos"/>
                <w:b w:val="0"/>
                <w:sz w:val="14"/>
              </w:rPr>
              <w:t>87</w:t>
            </w:r>
          </w:p>
        </w:tc>
      </w:tr>
      <w:tr>
        <w:tc>
          <w:tcPr>
            <w:tcW w:type="dxa" w:w="1020"/>
            <w:tcMar>
              <w:top w:w="80" w:type="dxa"/>
              <w:start w:w="90" w:type="dxa"/>
              <w:bottom w:w="80" w:type="dxa"/>
              <w:end w:w="90" w:type="dxa"/>
            </w:tcMar>
            <w:vAlign w:val="center"/>
          </w:tcPr>
          <w:p>
            <w:pPr>
              <w:jc w:val="center"/>
            </w:pPr>
            <w:r>
              <w:rPr>
                <w:rFonts w:ascii="Aptos" w:hAnsi="Aptos"/>
                <w:b w:val="0"/>
                <w:i w:val="0"/>
                <w:sz w:val="14"/>
              </w:rPr>
              <w:t>28</w:t>
            </w:r>
          </w:p>
        </w:tc>
        <w:tc>
          <w:tcPr>
            <w:tcW w:type="dxa" w:w="1020"/>
            <w:tcMar>
              <w:top w:w="80" w:type="dxa"/>
              <w:start w:w="90" w:type="dxa"/>
              <w:bottom w:w="80" w:type="dxa"/>
              <w:end w:w="90" w:type="dxa"/>
            </w:tcMar>
            <w:vAlign w:val="center"/>
          </w:tcPr>
          <w:p>
            <w:pPr>
              <w:jc w:val="center"/>
            </w:pPr>
            <w:r>
              <w:rPr>
                <w:rFonts w:ascii="Aptos" w:hAnsi="Aptos"/>
                <w:b w:val="0"/>
                <w:i w:val="0"/>
                <w:sz w:val="14"/>
              </w:rPr>
              <w:t>13</w:t>
            </w:r>
          </w:p>
        </w:tc>
        <w:tc>
          <w:tcPr>
            <w:tcW w:type="dxa" w:w="7370"/>
            <w:tcMar>
              <w:top w:w="80" w:type="dxa"/>
              <w:start w:w="90" w:type="dxa"/>
              <w:bottom w:w="80" w:type="dxa"/>
              <w:end w:w="90" w:type="dxa"/>
            </w:tcMar>
            <w:vAlign w:val="center"/>
          </w:tcPr>
          <w:p>
            <w:pPr>
              <w:jc w:val="left"/>
            </w:pPr>
            <w:r>
              <w:rPr>
                <w:rFonts w:ascii="Aptos" w:hAnsi="Aptos"/>
                <w:b w:val="0"/>
                <w:i w:val="0"/>
                <w:sz w:val="14"/>
              </w:rPr>
              <w:t>Blocker-safe gate for external detection.</w:t>
            </w:r>
          </w:p>
        </w:tc>
        <w:tc>
          <w:tcPr>
            <w:tcW w:type="dxa" w:w="964"/>
            <w:tcMar>
              <w:top w:w="80" w:type="dxa"/>
              <w:start w:w="90" w:type="dxa"/>
              <w:bottom w:w="80" w:type="dxa"/>
              <w:end w:w="90" w:type="dxa"/>
            </w:tcMar>
            <w:vAlign w:val="center"/>
          </w:tcPr>
          <w:p>
            <w:pPr>
              <w:jc w:val="center"/>
            </w:pPr>
            <w:r>
              <w:rPr>
                <w:rFonts w:ascii="Aptos" w:hAnsi="Aptos"/>
                <w:b w:val="0"/>
                <w:sz w:val="14"/>
              </w:rPr>
              <w:t>89</w:t>
            </w:r>
          </w:p>
        </w:tc>
      </w:tr>
      <w:tr>
        <w:tc>
          <w:tcPr>
            <w:tcW w:type="dxa" w:w="1020"/>
            <w:tcMar>
              <w:top w:w="80" w:type="dxa"/>
              <w:start w:w="90" w:type="dxa"/>
              <w:bottom w:w="80" w:type="dxa"/>
              <w:end w:w="90" w:type="dxa"/>
            </w:tcMar>
            <w:vAlign w:val="center"/>
          </w:tcPr>
          <w:p>
            <w:pPr>
              <w:jc w:val="center"/>
            </w:pPr>
            <w:r>
              <w:rPr>
                <w:rFonts w:ascii="Aptos" w:hAnsi="Aptos"/>
                <w:b w:val="0"/>
                <w:i w:val="0"/>
                <w:sz w:val="14"/>
              </w:rPr>
              <w:t>29</w:t>
            </w:r>
          </w:p>
        </w:tc>
        <w:tc>
          <w:tcPr>
            <w:tcW w:type="dxa" w:w="1020"/>
            <w:tcMar>
              <w:top w:w="80" w:type="dxa"/>
              <w:start w:w="90" w:type="dxa"/>
              <w:bottom w:w="80" w:type="dxa"/>
              <w:end w:w="90" w:type="dxa"/>
            </w:tcMar>
            <w:vAlign w:val="center"/>
          </w:tcPr>
          <w:p>
            <w:pPr>
              <w:jc w:val="center"/>
            </w:pPr>
            <w:r>
              <w:rPr>
                <w:rFonts w:ascii="Aptos" w:hAnsi="Aptos"/>
                <w:b w:val="0"/>
                <w:i w:val="0"/>
                <w:sz w:val="14"/>
              </w:rPr>
              <w:t>14</w:t>
            </w:r>
          </w:p>
        </w:tc>
        <w:tc>
          <w:tcPr>
            <w:tcW w:type="dxa" w:w="7370"/>
            <w:tcMar>
              <w:top w:w="80" w:type="dxa"/>
              <w:start w:w="90" w:type="dxa"/>
              <w:bottom w:w="80" w:type="dxa"/>
              <w:end w:w="90" w:type="dxa"/>
            </w:tcMar>
            <w:vAlign w:val="center"/>
          </w:tcPr>
          <w:p>
            <w:pPr>
              <w:jc w:val="left"/>
            </w:pPr>
            <w:r>
              <w:rPr>
                <w:rFonts w:ascii="Aptos" w:hAnsi="Aptos"/>
                <w:b w:val="0"/>
                <w:i w:val="0"/>
                <w:sz w:val="14"/>
              </w:rPr>
              <w:t>Vector carrier, projectivisation, and the mandatory information-loss audit.</w:t>
            </w:r>
          </w:p>
        </w:tc>
        <w:tc>
          <w:tcPr>
            <w:tcW w:type="dxa" w:w="964"/>
            <w:tcMar>
              <w:top w:w="80" w:type="dxa"/>
              <w:start w:w="90" w:type="dxa"/>
              <w:bottom w:w="80" w:type="dxa"/>
              <w:end w:w="90" w:type="dxa"/>
            </w:tcMar>
            <w:vAlign w:val="center"/>
          </w:tcPr>
          <w:p>
            <w:pPr>
              <w:jc w:val="center"/>
            </w:pPr>
            <w:r>
              <w:rPr>
                <w:rFonts w:ascii="Aptos" w:hAnsi="Aptos"/>
                <w:b w:val="0"/>
                <w:sz w:val="14"/>
              </w:rPr>
              <w:t>92</w:t>
            </w:r>
          </w:p>
        </w:tc>
      </w:tr>
      <w:tr>
        <w:tc>
          <w:tcPr>
            <w:tcW w:type="dxa" w:w="1020"/>
            <w:tcMar>
              <w:top w:w="80" w:type="dxa"/>
              <w:start w:w="90" w:type="dxa"/>
              <w:bottom w:w="80" w:type="dxa"/>
              <w:end w:w="90" w:type="dxa"/>
            </w:tcMar>
            <w:vAlign w:val="center"/>
          </w:tcPr>
          <w:p>
            <w:pPr>
              <w:jc w:val="center"/>
            </w:pPr>
            <w:r>
              <w:rPr>
                <w:rFonts w:ascii="Aptos" w:hAnsi="Aptos"/>
                <w:b w:val="0"/>
                <w:i w:val="0"/>
                <w:sz w:val="14"/>
              </w:rPr>
              <w:t>30</w:t>
            </w:r>
          </w:p>
        </w:tc>
        <w:tc>
          <w:tcPr>
            <w:tcW w:type="dxa" w:w="1020"/>
            <w:tcMar>
              <w:top w:w="80" w:type="dxa"/>
              <w:start w:w="90" w:type="dxa"/>
              <w:bottom w:w="80" w:type="dxa"/>
              <w:end w:w="90" w:type="dxa"/>
            </w:tcMar>
            <w:vAlign w:val="center"/>
          </w:tcPr>
          <w:p>
            <w:pPr>
              <w:jc w:val="center"/>
            </w:pPr>
            <w:r>
              <w:rPr>
                <w:rFonts w:ascii="Aptos" w:hAnsi="Aptos"/>
                <w:b w:val="0"/>
                <w:i w:val="0"/>
                <w:sz w:val="14"/>
              </w:rPr>
              <w:t>14</w:t>
            </w:r>
          </w:p>
        </w:tc>
        <w:tc>
          <w:tcPr>
            <w:tcW w:type="dxa" w:w="7370"/>
            <w:tcMar>
              <w:top w:w="80" w:type="dxa"/>
              <w:start w:w="90" w:type="dxa"/>
              <w:bottom w:w="80" w:type="dxa"/>
              <w:end w:w="90" w:type="dxa"/>
            </w:tcMar>
            <w:vAlign w:val="center"/>
          </w:tcPr>
          <w:p>
            <w:pPr>
              <w:jc w:val="left"/>
            </w:pPr>
            <w:r>
              <w:rPr>
                <w:rFonts w:ascii="Aptos" w:hAnsi="Aptos"/>
                <w:b w:val="0"/>
                <w:i w:val="0"/>
                <w:sz w:val="14"/>
              </w:rPr>
              <w:t>Fano globalisation firewall: local carriers require identification maps and effective descent.</w:t>
            </w:r>
          </w:p>
        </w:tc>
        <w:tc>
          <w:tcPr>
            <w:tcW w:type="dxa" w:w="964"/>
            <w:tcMar>
              <w:top w:w="80" w:type="dxa"/>
              <w:start w:w="90" w:type="dxa"/>
              <w:bottom w:w="80" w:type="dxa"/>
              <w:end w:w="90" w:type="dxa"/>
            </w:tcMar>
            <w:vAlign w:val="center"/>
          </w:tcPr>
          <w:p>
            <w:pPr>
              <w:jc w:val="center"/>
            </w:pPr>
            <w:r>
              <w:rPr>
                <w:rFonts w:ascii="Aptos" w:hAnsi="Aptos"/>
                <w:b w:val="0"/>
                <w:sz w:val="14"/>
              </w:rPr>
              <w:t>94</w:t>
            </w:r>
          </w:p>
        </w:tc>
      </w:tr>
      <w:tr>
        <w:tc>
          <w:tcPr>
            <w:tcW w:type="dxa" w:w="1020"/>
            <w:tcMar>
              <w:top w:w="80" w:type="dxa"/>
              <w:start w:w="90" w:type="dxa"/>
              <w:bottom w:w="80" w:type="dxa"/>
              <w:end w:w="90" w:type="dxa"/>
            </w:tcMar>
            <w:vAlign w:val="center"/>
          </w:tcPr>
          <w:p>
            <w:pPr>
              <w:jc w:val="center"/>
            </w:pPr>
            <w:r>
              <w:rPr>
                <w:rFonts w:ascii="Aptos" w:hAnsi="Aptos"/>
                <w:b w:val="0"/>
                <w:i w:val="0"/>
                <w:sz w:val="14"/>
              </w:rPr>
              <w:t>31</w:t>
            </w:r>
          </w:p>
        </w:tc>
        <w:tc>
          <w:tcPr>
            <w:tcW w:type="dxa" w:w="1020"/>
            <w:tcMar>
              <w:top w:w="80" w:type="dxa"/>
              <w:start w:w="90" w:type="dxa"/>
              <w:bottom w:w="80" w:type="dxa"/>
              <w:end w:w="90" w:type="dxa"/>
            </w:tcMar>
            <w:vAlign w:val="center"/>
          </w:tcPr>
          <w:p>
            <w:pPr>
              <w:jc w:val="center"/>
            </w:pPr>
            <w:r>
              <w:rPr>
                <w:rFonts w:ascii="Aptos" w:hAnsi="Aptos"/>
                <w:b w:val="0"/>
                <w:i w:val="0"/>
                <w:sz w:val="14"/>
              </w:rPr>
              <w:t>14</w:t>
            </w:r>
          </w:p>
        </w:tc>
        <w:tc>
          <w:tcPr>
            <w:tcW w:type="dxa" w:w="7370"/>
            <w:tcMar>
              <w:top w:w="80" w:type="dxa"/>
              <w:start w:w="90" w:type="dxa"/>
              <w:bottom w:w="80" w:type="dxa"/>
              <w:end w:w="90" w:type="dxa"/>
            </w:tcMar>
            <w:vAlign w:val="center"/>
          </w:tcPr>
          <w:p>
            <w:pPr>
              <w:jc w:val="left"/>
            </w:pPr>
            <w:r>
              <w:rPr>
                <w:rFonts w:ascii="Aptos" w:hAnsi="Aptos"/>
                <w:b w:val="0"/>
                <w:i w:val="0"/>
                <w:sz w:val="14"/>
              </w:rPr>
              <w:t>Components of the projective transition horizon Delta_proj.</w:t>
            </w:r>
          </w:p>
        </w:tc>
        <w:tc>
          <w:tcPr>
            <w:tcW w:type="dxa" w:w="964"/>
            <w:tcMar>
              <w:top w:w="80" w:type="dxa"/>
              <w:start w:w="90" w:type="dxa"/>
              <w:bottom w:w="80" w:type="dxa"/>
              <w:end w:w="90" w:type="dxa"/>
            </w:tcMar>
            <w:vAlign w:val="center"/>
          </w:tcPr>
          <w:p>
            <w:pPr>
              <w:jc w:val="center"/>
            </w:pPr>
            <w:r>
              <w:rPr>
                <w:rFonts w:ascii="Aptos" w:hAnsi="Aptos"/>
                <w:b w:val="0"/>
                <w:sz w:val="14"/>
              </w:rPr>
              <w:t>95</w:t>
            </w:r>
          </w:p>
        </w:tc>
      </w:tr>
      <w:tr>
        <w:tc>
          <w:tcPr>
            <w:tcW w:type="dxa" w:w="1020"/>
            <w:tcMar>
              <w:top w:w="80" w:type="dxa"/>
              <w:start w:w="90" w:type="dxa"/>
              <w:bottom w:w="80" w:type="dxa"/>
              <w:end w:w="90" w:type="dxa"/>
            </w:tcMar>
            <w:vAlign w:val="center"/>
          </w:tcPr>
          <w:p>
            <w:pPr>
              <w:jc w:val="center"/>
            </w:pPr>
            <w:r>
              <w:rPr>
                <w:rFonts w:ascii="Aptos" w:hAnsi="Aptos"/>
                <w:b w:val="0"/>
                <w:i w:val="0"/>
                <w:sz w:val="14"/>
              </w:rPr>
              <w:t>32</w:t>
            </w:r>
          </w:p>
        </w:tc>
        <w:tc>
          <w:tcPr>
            <w:tcW w:type="dxa" w:w="1020"/>
            <w:tcMar>
              <w:top w:w="80" w:type="dxa"/>
              <w:start w:w="90" w:type="dxa"/>
              <w:bottom w:w="80" w:type="dxa"/>
              <w:end w:w="90" w:type="dxa"/>
            </w:tcMar>
            <w:vAlign w:val="center"/>
          </w:tcPr>
          <w:p>
            <w:pPr>
              <w:jc w:val="center"/>
            </w:pPr>
            <w:r>
              <w:rPr>
                <w:rFonts w:ascii="Aptos" w:hAnsi="Aptos"/>
                <w:b w:val="0"/>
                <w:i w:val="0"/>
                <w:sz w:val="14"/>
              </w:rPr>
              <w:t>15</w:t>
            </w:r>
          </w:p>
        </w:tc>
        <w:tc>
          <w:tcPr>
            <w:tcW w:type="dxa" w:w="7370"/>
            <w:tcMar>
              <w:top w:w="80" w:type="dxa"/>
              <w:start w:w="90" w:type="dxa"/>
              <w:bottom w:w="80" w:type="dxa"/>
              <w:end w:w="90" w:type="dxa"/>
            </w:tcMar>
            <w:vAlign w:val="center"/>
          </w:tcPr>
          <w:p>
            <w:pPr>
              <w:jc w:val="left"/>
            </w:pPr>
            <w:r>
              <w:rPr>
                <w:rFonts w:ascii="Aptos" w:hAnsi="Aptos"/>
                <w:b w:val="0"/>
                <w:i w:val="0"/>
                <w:sz w:val="14"/>
              </w:rPr>
              <w:t>Hilbert complex and weak Hodge decomposition; ordinary cohomology requires closed ranges.</w:t>
            </w:r>
          </w:p>
        </w:tc>
        <w:tc>
          <w:tcPr>
            <w:tcW w:type="dxa" w:w="964"/>
            <w:tcMar>
              <w:top w:w="80" w:type="dxa"/>
              <w:start w:w="90" w:type="dxa"/>
              <w:bottom w:w="80" w:type="dxa"/>
              <w:end w:w="90" w:type="dxa"/>
            </w:tcMar>
            <w:vAlign w:val="center"/>
          </w:tcPr>
          <w:p>
            <w:pPr>
              <w:jc w:val="center"/>
            </w:pPr>
            <w:r>
              <w:rPr>
                <w:rFonts w:ascii="Aptos" w:hAnsi="Aptos"/>
                <w:b w:val="0"/>
                <w:sz w:val="14"/>
              </w:rPr>
              <w:t>100</w:t>
            </w:r>
          </w:p>
        </w:tc>
      </w:tr>
      <w:tr>
        <w:tc>
          <w:tcPr>
            <w:tcW w:type="dxa" w:w="1020"/>
            <w:tcMar>
              <w:top w:w="80" w:type="dxa"/>
              <w:start w:w="90" w:type="dxa"/>
              <w:bottom w:w="80" w:type="dxa"/>
              <w:end w:w="90" w:type="dxa"/>
            </w:tcMar>
            <w:vAlign w:val="center"/>
          </w:tcPr>
          <w:p>
            <w:pPr>
              <w:jc w:val="center"/>
            </w:pPr>
            <w:r>
              <w:rPr>
                <w:rFonts w:ascii="Aptos" w:hAnsi="Aptos"/>
                <w:b w:val="0"/>
                <w:i w:val="0"/>
                <w:sz w:val="14"/>
              </w:rPr>
              <w:t>33</w:t>
            </w:r>
          </w:p>
        </w:tc>
        <w:tc>
          <w:tcPr>
            <w:tcW w:type="dxa" w:w="1020"/>
            <w:tcMar>
              <w:top w:w="80" w:type="dxa"/>
              <w:start w:w="90" w:type="dxa"/>
              <w:bottom w:w="80" w:type="dxa"/>
              <w:end w:w="90" w:type="dxa"/>
            </w:tcMar>
            <w:vAlign w:val="center"/>
          </w:tcPr>
          <w:p>
            <w:pPr>
              <w:jc w:val="center"/>
            </w:pPr>
            <w:r>
              <w:rPr>
                <w:rFonts w:ascii="Aptos" w:hAnsi="Aptos"/>
                <w:b w:val="0"/>
                <w:i w:val="0"/>
                <w:sz w:val="14"/>
              </w:rPr>
              <w:t>15</w:t>
            </w:r>
          </w:p>
        </w:tc>
        <w:tc>
          <w:tcPr>
            <w:tcW w:type="dxa" w:w="7370"/>
            <w:tcMar>
              <w:top w:w="80" w:type="dxa"/>
              <w:start w:w="90" w:type="dxa"/>
              <w:bottom w:w="80" w:type="dxa"/>
              <w:end w:w="90" w:type="dxa"/>
            </w:tcMar>
            <w:vAlign w:val="center"/>
          </w:tcPr>
          <w:p>
            <w:pPr>
              <w:jc w:val="left"/>
            </w:pPr>
            <w:r>
              <w:rPr>
                <w:rFonts w:ascii="Aptos" w:hAnsi="Aptos"/>
                <w:b w:val="0"/>
                <w:i w:val="0"/>
                <w:sz w:val="14"/>
              </w:rPr>
              <w:t>Interior symbol, operator domain, boundary condition, and interface condition are separate analytic obligations.</w:t>
            </w:r>
          </w:p>
        </w:tc>
        <w:tc>
          <w:tcPr>
            <w:tcW w:type="dxa" w:w="964"/>
            <w:tcMar>
              <w:top w:w="80" w:type="dxa"/>
              <w:start w:w="90" w:type="dxa"/>
              <w:bottom w:w="80" w:type="dxa"/>
              <w:end w:w="90" w:type="dxa"/>
            </w:tcMar>
            <w:vAlign w:val="center"/>
          </w:tcPr>
          <w:p>
            <w:pPr>
              <w:jc w:val="center"/>
            </w:pPr>
            <w:r>
              <w:rPr>
                <w:rFonts w:ascii="Aptos" w:hAnsi="Aptos"/>
                <w:b w:val="0"/>
                <w:sz w:val="14"/>
              </w:rPr>
              <w:t>102</w:t>
            </w:r>
          </w:p>
        </w:tc>
      </w:tr>
      <w:tr>
        <w:tc>
          <w:tcPr>
            <w:tcW w:type="dxa" w:w="1020"/>
            <w:tcMar>
              <w:top w:w="80" w:type="dxa"/>
              <w:start w:w="90" w:type="dxa"/>
              <w:bottom w:w="80" w:type="dxa"/>
              <w:end w:w="90" w:type="dxa"/>
            </w:tcMar>
            <w:vAlign w:val="center"/>
          </w:tcPr>
          <w:p>
            <w:pPr>
              <w:jc w:val="center"/>
            </w:pPr>
            <w:r>
              <w:rPr>
                <w:rFonts w:ascii="Aptos" w:hAnsi="Aptos"/>
                <w:b w:val="0"/>
                <w:i w:val="0"/>
                <w:sz w:val="14"/>
              </w:rPr>
              <w:t>34</w:t>
            </w:r>
          </w:p>
        </w:tc>
        <w:tc>
          <w:tcPr>
            <w:tcW w:type="dxa" w:w="1020"/>
            <w:tcMar>
              <w:top w:w="80" w:type="dxa"/>
              <w:start w:w="90" w:type="dxa"/>
              <w:bottom w:w="80" w:type="dxa"/>
              <w:end w:w="90" w:type="dxa"/>
            </w:tcMar>
            <w:vAlign w:val="center"/>
          </w:tcPr>
          <w:p>
            <w:pPr>
              <w:jc w:val="center"/>
            </w:pPr>
            <w:r>
              <w:rPr>
                <w:rFonts w:ascii="Aptos" w:hAnsi="Aptos"/>
                <w:b w:val="0"/>
                <w:i w:val="0"/>
                <w:sz w:val="14"/>
              </w:rPr>
              <w:t>15</w:t>
            </w:r>
          </w:p>
        </w:tc>
        <w:tc>
          <w:tcPr>
            <w:tcW w:type="dxa" w:w="7370"/>
            <w:tcMar>
              <w:top w:w="80" w:type="dxa"/>
              <w:start w:w="90" w:type="dxa"/>
              <w:bottom w:w="80" w:type="dxa"/>
              <w:end w:w="90" w:type="dxa"/>
            </w:tcMar>
            <w:vAlign w:val="center"/>
          </w:tcPr>
          <w:p>
            <w:pPr>
              <w:jc w:val="left"/>
            </w:pPr>
            <w:r>
              <w:rPr>
                <w:rFonts w:ascii="Aptos" w:hAnsi="Aptos"/>
                <w:b w:val="0"/>
                <w:i w:val="0"/>
                <w:sz w:val="14"/>
              </w:rPr>
              <w:t>Hodge-Fredholm transition horizon and the three-valued analytic output.</w:t>
            </w:r>
          </w:p>
        </w:tc>
        <w:tc>
          <w:tcPr>
            <w:tcW w:type="dxa" w:w="964"/>
            <w:tcMar>
              <w:top w:w="80" w:type="dxa"/>
              <w:start w:w="90" w:type="dxa"/>
              <w:bottom w:w="80" w:type="dxa"/>
              <w:end w:w="90" w:type="dxa"/>
            </w:tcMar>
            <w:vAlign w:val="center"/>
          </w:tcPr>
          <w:p>
            <w:pPr>
              <w:jc w:val="center"/>
            </w:pPr>
            <w:r>
              <w:rPr>
                <w:rFonts w:ascii="Aptos" w:hAnsi="Aptos"/>
                <w:b w:val="0"/>
                <w:sz w:val="14"/>
              </w:rPr>
              <w:t>104</w:t>
            </w:r>
          </w:p>
        </w:tc>
      </w:tr>
      <w:tr>
        <w:tc>
          <w:tcPr>
            <w:tcW w:type="dxa" w:w="1020"/>
            <w:tcMar>
              <w:top w:w="80" w:type="dxa"/>
              <w:start w:w="90" w:type="dxa"/>
              <w:bottom w:w="80" w:type="dxa"/>
              <w:end w:w="90" w:type="dxa"/>
            </w:tcMar>
            <w:vAlign w:val="center"/>
          </w:tcPr>
          <w:p>
            <w:pPr>
              <w:jc w:val="center"/>
            </w:pPr>
            <w:r>
              <w:rPr>
                <w:rFonts w:ascii="Aptos" w:hAnsi="Aptos"/>
                <w:b w:val="0"/>
                <w:i w:val="0"/>
                <w:sz w:val="14"/>
              </w:rPr>
              <w:t>35</w:t>
            </w:r>
          </w:p>
        </w:tc>
        <w:tc>
          <w:tcPr>
            <w:tcW w:type="dxa" w:w="1020"/>
            <w:tcMar>
              <w:top w:w="80" w:type="dxa"/>
              <w:start w:w="90" w:type="dxa"/>
              <w:bottom w:w="80" w:type="dxa"/>
              <w:end w:w="90" w:type="dxa"/>
            </w:tcMar>
            <w:vAlign w:val="center"/>
          </w:tcPr>
          <w:p>
            <w:pPr>
              <w:jc w:val="center"/>
            </w:pPr>
            <w:r>
              <w:rPr>
                <w:rFonts w:ascii="Aptos" w:hAnsi="Aptos"/>
                <w:b w:val="0"/>
                <w:i w:val="0"/>
                <w:sz w:val="14"/>
              </w:rPr>
              <w:t>16</w:t>
            </w:r>
          </w:p>
        </w:tc>
        <w:tc>
          <w:tcPr>
            <w:tcW w:type="dxa" w:w="7370"/>
            <w:tcMar>
              <w:top w:w="80" w:type="dxa"/>
              <w:start w:w="90" w:type="dxa"/>
              <w:bottom w:w="80" w:type="dxa"/>
              <w:end w:w="90" w:type="dxa"/>
            </w:tcMar>
            <w:vAlign w:val="center"/>
          </w:tcPr>
          <w:p>
            <w:pPr>
              <w:jc w:val="left"/>
            </w:pPr>
            <w:r>
              <w:rPr>
                <w:rFonts w:ascii="Aptos" w:hAnsi="Aptos"/>
                <w:b w:val="0"/>
                <w:i w:val="0"/>
                <w:sz w:val="14"/>
              </w:rPr>
              <w:t>NAPG deformation functor and the three levels of the local moduli object.</w:t>
            </w:r>
          </w:p>
        </w:tc>
        <w:tc>
          <w:tcPr>
            <w:tcW w:type="dxa" w:w="964"/>
            <w:tcMar>
              <w:top w:w="80" w:type="dxa"/>
              <w:start w:w="90" w:type="dxa"/>
              <w:bottom w:w="80" w:type="dxa"/>
              <w:end w:w="90" w:type="dxa"/>
            </w:tcMar>
            <w:vAlign w:val="center"/>
          </w:tcPr>
          <w:p>
            <w:pPr>
              <w:jc w:val="center"/>
            </w:pPr>
            <w:r>
              <w:rPr>
                <w:rFonts w:ascii="Aptos" w:hAnsi="Aptos"/>
                <w:b w:val="0"/>
                <w:sz w:val="14"/>
              </w:rPr>
              <w:t>108</w:t>
            </w:r>
          </w:p>
        </w:tc>
      </w:tr>
      <w:tr>
        <w:tc>
          <w:tcPr>
            <w:tcW w:type="dxa" w:w="1020"/>
            <w:tcMar>
              <w:top w:w="80" w:type="dxa"/>
              <w:start w:w="90" w:type="dxa"/>
              <w:bottom w:w="80" w:type="dxa"/>
              <w:end w:w="90" w:type="dxa"/>
            </w:tcMar>
            <w:vAlign w:val="center"/>
          </w:tcPr>
          <w:p>
            <w:pPr>
              <w:jc w:val="center"/>
            </w:pPr>
            <w:r>
              <w:rPr>
                <w:rFonts w:ascii="Aptos" w:hAnsi="Aptos"/>
                <w:b w:val="0"/>
                <w:i w:val="0"/>
                <w:sz w:val="14"/>
              </w:rPr>
              <w:t>36</w:t>
            </w:r>
          </w:p>
        </w:tc>
        <w:tc>
          <w:tcPr>
            <w:tcW w:type="dxa" w:w="1020"/>
            <w:tcMar>
              <w:top w:w="80" w:type="dxa"/>
              <w:start w:w="90" w:type="dxa"/>
              <w:bottom w:w="80" w:type="dxa"/>
              <w:end w:w="90" w:type="dxa"/>
            </w:tcMar>
            <w:vAlign w:val="center"/>
          </w:tcPr>
          <w:p>
            <w:pPr>
              <w:jc w:val="center"/>
            </w:pPr>
            <w:r>
              <w:rPr>
                <w:rFonts w:ascii="Aptos" w:hAnsi="Aptos"/>
                <w:b w:val="0"/>
                <w:i w:val="0"/>
                <w:sz w:val="14"/>
              </w:rPr>
              <w:t>16</w:t>
            </w:r>
          </w:p>
        </w:tc>
        <w:tc>
          <w:tcPr>
            <w:tcW w:type="dxa" w:w="7370"/>
            <w:tcMar>
              <w:top w:w="80" w:type="dxa"/>
              <w:start w:w="90" w:type="dxa"/>
              <w:bottom w:w="80" w:type="dxa"/>
              <w:end w:w="90" w:type="dxa"/>
            </w:tcMar>
            <w:vAlign w:val="center"/>
          </w:tcPr>
          <w:p>
            <w:pPr>
              <w:jc w:val="left"/>
            </w:pPr>
            <w:r>
              <w:rPr>
                <w:rFonts w:ascii="Aptos" w:hAnsi="Aptos"/>
                <w:b w:val="0"/>
                <w:i w:val="0"/>
                <w:sz w:val="14"/>
              </w:rPr>
              <w:t>Hodge-Green contraction and construction of the Kuranishi map.</w:t>
            </w:r>
          </w:p>
        </w:tc>
        <w:tc>
          <w:tcPr>
            <w:tcW w:type="dxa" w:w="964"/>
            <w:tcMar>
              <w:top w:w="80" w:type="dxa"/>
              <w:start w:w="90" w:type="dxa"/>
              <w:bottom w:w="80" w:type="dxa"/>
              <w:end w:w="90" w:type="dxa"/>
            </w:tcMar>
            <w:vAlign w:val="center"/>
          </w:tcPr>
          <w:p>
            <w:pPr>
              <w:jc w:val="center"/>
            </w:pPr>
            <w:r>
              <w:rPr>
                <w:rFonts w:ascii="Aptos" w:hAnsi="Aptos"/>
                <w:b w:val="0"/>
                <w:sz w:val="14"/>
              </w:rPr>
              <w:t>110</w:t>
            </w:r>
          </w:p>
        </w:tc>
      </w:tr>
      <w:tr>
        <w:tc>
          <w:tcPr>
            <w:tcW w:type="dxa" w:w="1020"/>
            <w:tcMar>
              <w:top w:w="80" w:type="dxa"/>
              <w:start w:w="90" w:type="dxa"/>
              <w:bottom w:w="80" w:type="dxa"/>
              <w:end w:w="90" w:type="dxa"/>
            </w:tcMar>
            <w:vAlign w:val="center"/>
          </w:tcPr>
          <w:p>
            <w:pPr>
              <w:jc w:val="center"/>
            </w:pPr>
            <w:r>
              <w:rPr>
                <w:rFonts w:ascii="Aptos" w:hAnsi="Aptos"/>
                <w:b w:val="0"/>
                <w:i w:val="0"/>
                <w:sz w:val="14"/>
              </w:rPr>
              <w:t>37</w:t>
            </w:r>
          </w:p>
        </w:tc>
        <w:tc>
          <w:tcPr>
            <w:tcW w:type="dxa" w:w="1020"/>
            <w:tcMar>
              <w:top w:w="80" w:type="dxa"/>
              <w:start w:w="90" w:type="dxa"/>
              <w:bottom w:w="80" w:type="dxa"/>
              <w:end w:w="90" w:type="dxa"/>
            </w:tcMar>
            <w:vAlign w:val="center"/>
          </w:tcPr>
          <w:p>
            <w:pPr>
              <w:jc w:val="center"/>
            </w:pPr>
            <w:r>
              <w:rPr>
                <w:rFonts w:ascii="Aptos" w:hAnsi="Aptos"/>
                <w:b w:val="0"/>
                <w:i w:val="0"/>
                <w:sz w:val="14"/>
              </w:rPr>
              <w:t>16</w:t>
            </w:r>
          </w:p>
        </w:tc>
        <w:tc>
          <w:tcPr>
            <w:tcW w:type="dxa" w:w="7370"/>
            <w:tcMar>
              <w:top w:w="80" w:type="dxa"/>
              <w:start w:w="90" w:type="dxa"/>
              <w:bottom w:w="80" w:type="dxa"/>
              <w:end w:w="90" w:type="dxa"/>
            </w:tcMar>
            <w:vAlign w:val="center"/>
          </w:tcPr>
          <w:p>
            <w:pPr>
              <w:jc w:val="left"/>
            </w:pPr>
            <w:r>
              <w:rPr>
                <w:rFonts w:ascii="Aptos" w:hAnsi="Aptos"/>
                <w:b w:val="0"/>
                <w:i w:val="0"/>
                <w:sz w:val="14"/>
              </w:rPr>
              <w:t>Moduli transition horizon and the blocker-safe local verdict.</w:t>
            </w:r>
          </w:p>
        </w:tc>
        <w:tc>
          <w:tcPr>
            <w:tcW w:type="dxa" w:w="964"/>
            <w:tcMar>
              <w:top w:w="80" w:type="dxa"/>
              <w:start w:w="90" w:type="dxa"/>
              <w:bottom w:w="80" w:type="dxa"/>
              <w:end w:w="90" w:type="dxa"/>
            </w:tcMar>
            <w:vAlign w:val="center"/>
          </w:tcPr>
          <w:p>
            <w:pPr>
              <w:jc w:val="center"/>
            </w:pPr>
            <w:r>
              <w:rPr>
                <w:rFonts w:ascii="Aptos" w:hAnsi="Aptos"/>
                <w:b w:val="0"/>
                <w:sz w:val="14"/>
              </w:rPr>
              <w:t>113</w:t>
            </w:r>
          </w:p>
        </w:tc>
      </w:tr>
      <w:tr>
        <w:tc>
          <w:tcPr>
            <w:tcW w:type="dxa" w:w="1020"/>
            <w:tcMar>
              <w:top w:w="80" w:type="dxa"/>
              <w:start w:w="90" w:type="dxa"/>
              <w:bottom w:w="80" w:type="dxa"/>
              <w:end w:w="90" w:type="dxa"/>
            </w:tcMar>
            <w:vAlign w:val="center"/>
          </w:tcPr>
          <w:p>
            <w:pPr>
              <w:jc w:val="center"/>
            </w:pPr>
            <w:r>
              <w:rPr>
                <w:rFonts w:ascii="Aptos" w:hAnsi="Aptos"/>
                <w:b w:val="0"/>
                <w:i w:val="0"/>
                <w:sz w:val="14"/>
              </w:rPr>
              <w:t>38</w:t>
            </w:r>
          </w:p>
        </w:tc>
        <w:tc>
          <w:tcPr>
            <w:tcW w:type="dxa" w:w="1020"/>
            <w:tcMar>
              <w:top w:w="80" w:type="dxa"/>
              <w:start w:w="90" w:type="dxa"/>
              <w:bottom w:w="80" w:type="dxa"/>
              <w:end w:w="90" w:type="dxa"/>
            </w:tcMar>
            <w:vAlign w:val="center"/>
          </w:tcPr>
          <w:p>
            <w:pPr>
              <w:jc w:val="center"/>
            </w:pPr>
            <w:r>
              <w:rPr>
                <w:rFonts w:ascii="Aptos" w:hAnsi="Aptos"/>
                <w:b w:val="0"/>
                <w:i w:val="0"/>
                <w:sz w:val="14"/>
              </w:rPr>
              <w:t>17</w:t>
            </w:r>
          </w:p>
        </w:tc>
        <w:tc>
          <w:tcPr>
            <w:tcW w:type="dxa" w:w="7370"/>
            <w:tcMar>
              <w:top w:w="80" w:type="dxa"/>
              <w:start w:w="90" w:type="dxa"/>
              <w:bottom w:w="80" w:type="dxa"/>
              <w:end w:w="90" w:type="dxa"/>
            </w:tcMar>
            <w:vAlign w:val="center"/>
          </w:tcPr>
          <w:p>
            <w:pPr>
              <w:jc w:val="left"/>
            </w:pPr>
            <w:r>
              <w:rPr>
                <w:rFonts w:ascii="Aptos" w:hAnsi="Aptos"/>
                <w:b w:val="0"/>
                <w:i w:val="0"/>
                <w:sz w:val="14"/>
              </w:rPr>
              <w:t>Stratified moduli space, wall, and bifurcation locus.</w:t>
            </w:r>
          </w:p>
        </w:tc>
        <w:tc>
          <w:tcPr>
            <w:tcW w:type="dxa" w:w="964"/>
            <w:tcMar>
              <w:top w:w="80" w:type="dxa"/>
              <w:start w:w="90" w:type="dxa"/>
              <w:bottom w:w="80" w:type="dxa"/>
              <w:end w:w="90" w:type="dxa"/>
            </w:tcMar>
            <w:vAlign w:val="center"/>
          </w:tcPr>
          <w:p>
            <w:pPr>
              <w:jc w:val="center"/>
            </w:pPr>
            <w:r>
              <w:rPr>
                <w:rFonts w:ascii="Aptos" w:hAnsi="Aptos"/>
                <w:b w:val="0"/>
                <w:sz w:val="14"/>
              </w:rPr>
              <w:t>116</w:t>
            </w:r>
          </w:p>
        </w:tc>
      </w:tr>
      <w:tr>
        <w:tc>
          <w:tcPr>
            <w:tcW w:type="dxa" w:w="1020"/>
            <w:tcMar>
              <w:top w:w="80" w:type="dxa"/>
              <w:start w:w="90" w:type="dxa"/>
              <w:bottom w:w="80" w:type="dxa"/>
              <w:end w:w="90" w:type="dxa"/>
            </w:tcMar>
            <w:vAlign w:val="center"/>
          </w:tcPr>
          <w:p>
            <w:pPr>
              <w:jc w:val="center"/>
            </w:pPr>
            <w:r>
              <w:rPr>
                <w:rFonts w:ascii="Aptos" w:hAnsi="Aptos"/>
                <w:b w:val="0"/>
                <w:i w:val="0"/>
                <w:sz w:val="14"/>
              </w:rPr>
              <w:t>39</w:t>
            </w:r>
          </w:p>
        </w:tc>
        <w:tc>
          <w:tcPr>
            <w:tcW w:type="dxa" w:w="1020"/>
            <w:tcMar>
              <w:top w:w="80" w:type="dxa"/>
              <w:start w:w="90" w:type="dxa"/>
              <w:bottom w:w="80" w:type="dxa"/>
              <w:end w:w="90" w:type="dxa"/>
            </w:tcMar>
            <w:vAlign w:val="center"/>
          </w:tcPr>
          <w:p>
            <w:pPr>
              <w:jc w:val="center"/>
            </w:pPr>
            <w:r>
              <w:rPr>
                <w:rFonts w:ascii="Aptos" w:hAnsi="Aptos"/>
                <w:b w:val="0"/>
                <w:i w:val="0"/>
                <w:sz w:val="14"/>
              </w:rPr>
              <w:t>17</w:t>
            </w:r>
          </w:p>
        </w:tc>
        <w:tc>
          <w:tcPr>
            <w:tcW w:type="dxa" w:w="7370"/>
            <w:tcMar>
              <w:top w:w="80" w:type="dxa"/>
              <w:start w:w="90" w:type="dxa"/>
              <w:bottom w:w="80" w:type="dxa"/>
              <w:end w:w="90" w:type="dxa"/>
            </w:tcMar>
            <w:vAlign w:val="center"/>
          </w:tcPr>
          <w:p>
            <w:pPr>
              <w:jc w:val="left"/>
            </w:pPr>
            <w:r>
              <w:rPr>
                <w:rFonts w:ascii="Aptos" w:hAnsi="Aptos"/>
                <w:b w:val="0"/>
                <w:i w:val="0"/>
                <w:sz w:val="14"/>
              </w:rPr>
              <w:t>Continuation of branches and monodromy along an admissible loop.</w:t>
            </w:r>
          </w:p>
        </w:tc>
        <w:tc>
          <w:tcPr>
            <w:tcW w:type="dxa" w:w="964"/>
            <w:tcMar>
              <w:top w:w="80" w:type="dxa"/>
              <w:start w:w="90" w:type="dxa"/>
              <w:bottom w:w="80" w:type="dxa"/>
              <w:end w:w="90" w:type="dxa"/>
            </w:tcMar>
            <w:vAlign w:val="center"/>
          </w:tcPr>
          <w:p>
            <w:pPr>
              <w:jc w:val="center"/>
            </w:pPr>
            <w:r>
              <w:rPr>
                <w:rFonts w:ascii="Aptos" w:hAnsi="Aptos"/>
                <w:b w:val="0"/>
                <w:sz w:val="14"/>
              </w:rPr>
              <w:t>119</w:t>
            </w:r>
          </w:p>
        </w:tc>
      </w:tr>
      <w:tr>
        <w:tc>
          <w:tcPr>
            <w:tcW w:type="dxa" w:w="1020"/>
            <w:tcMar>
              <w:top w:w="80" w:type="dxa"/>
              <w:start w:w="90" w:type="dxa"/>
              <w:bottom w:w="80" w:type="dxa"/>
              <w:end w:w="90" w:type="dxa"/>
            </w:tcMar>
            <w:vAlign w:val="center"/>
          </w:tcPr>
          <w:p>
            <w:pPr>
              <w:jc w:val="center"/>
            </w:pPr>
            <w:r>
              <w:rPr>
                <w:rFonts w:ascii="Aptos" w:hAnsi="Aptos"/>
                <w:b w:val="0"/>
                <w:i w:val="0"/>
                <w:sz w:val="14"/>
              </w:rPr>
              <w:t>40</w:t>
            </w:r>
          </w:p>
        </w:tc>
        <w:tc>
          <w:tcPr>
            <w:tcW w:type="dxa" w:w="1020"/>
            <w:tcMar>
              <w:top w:w="80" w:type="dxa"/>
              <w:start w:w="90" w:type="dxa"/>
              <w:bottom w:w="80" w:type="dxa"/>
              <w:end w:w="90" w:type="dxa"/>
            </w:tcMar>
            <w:vAlign w:val="center"/>
          </w:tcPr>
          <w:p>
            <w:pPr>
              <w:jc w:val="center"/>
            </w:pPr>
            <w:r>
              <w:rPr>
                <w:rFonts w:ascii="Aptos" w:hAnsi="Aptos"/>
                <w:b w:val="0"/>
                <w:i w:val="0"/>
                <w:sz w:val="14"/>
              </w:rPr>
              <w:t>17</w:t>
            </w:r>
          </w:p>
        </w:tc>
        <w:tc>
          <w:tcPr>
            <w:tcW w:type="dxa" w:w="7370"/>
            <w:tcMar>
              <w:top w:w="80" w:type="dxa"/>
              <w:start w:w="90" w:type="dxa"/>
              <w:bottom w:w="80" w:type="dxa"/>
              <w:end w:w="90" w:type="dxa"/>
            </w:tcMar>
            <w:vAlign w:val="center"/>
          </w:tcPr>
          <w:p>
            <w:pPr>
              <w:jc w:val="left"/>
            </w:pPr>
            <w:r>
              <w:rPr>
                <w:rFonts w:ascii="Aptos" w:hAnsi="Aptos"/>
                <w:b w:val="0"/>
                <w:i w:val="0"/>
                <w:sz w:val="14"/>
              </w:rPr>
              <w:t>Blocker-safe wall-crossing certificate WC-01-WC-24.</w:t>
            </w:r>
          </w:p>
        </w:tc>
        <w:tc>
          <w:tcPr>
            <w:tcW w:type="dxa" w:w="964"/>
            <w:tcMar>
              <w:top w:w="80" w:type="dxa"/>
              <w:start w:w="90" w:type="dxa"/>
              <w:bottom w:w="80" w:type="dxa"/>
              <w:end w:w="90" w:type="dxa"/>
            </w:tcMar>
            <w:vAlign w:val="center"/>
          </w:tcPr>
          <w:p>
            <w:pPr>
              <w:jc w:val="center"/>
            </w:pPr>
            <w:r>
              <w:rPr>
                <w:rFonts w:ascii="Aptos" w:hAnsi="Aptos"/>
                <w:b w:val="0"/>
                <w:sz w:val="14"/>
              </w:rPr>
              <w:t>121</w:t>
            </w:r>
          </w:p>
        </w:tc>
      </w:tr>
      <w:tr>
        <w:tc>
          <w:tcPr>
            <w:tcW w:type="dxa" w:w="1020"/>
            <w:tcMar>
              <w:top w:w="80" w:type="dxa"/>
              <w:start w:w="90" w:type="dxa"/>
              <w:bottom w:w="80" w:type="dxa"/>
              <w:end w:w="90" w:type="dxa"/>
            </w:tcMar>
            <w:vAlign w:val="center"/>
          </w:tcPr>
          <w:p>
            <w:pPr>
              <w:jc w:val="center"/>
            </w:pPr>
            <w:r>
              <w:rPr>
                <w:rFonts w:ascii="Aptos" w:hAnsi="Aptos"/>
                <w:b w:val="0"/>
                <w:i w:val="0"/>
                <w:sz w:val="14"/>
              </w:rPr>
              <w:t>41</w:t>
            </w:r>
          </w:p>
        </w:tc>
        <w:tc>
          <w:tcPr>
            <w:tcW w:type="dxa" w:w="1020"/>
            <w:tcMar>
              <w:top w:w="80" w:type="dxa"/>
              <w:start w:w="90" w:type="dxa"/>
              <w:bottom w:w="80" w:type="dxa"/>
              <w:end w:w="90" w:type="dxa"/>
            </w:tcMar>
            <w:vAlign w:val="center"/>
          </w:tcPr>
          <w:p>
            <w:pPr>
              <w:jc w:val="center"/>
            </w:pPr>
            <w:r>
              <w:rPr>
                <w:rFonts w:ascii="Aptos" w:hAnsi="Aptos"/>
                <w:b w:val="0"/>
                <w:i w:val="0"/>
                <w:sz w:val="14"/>
              </w:rPr>
              <w:t>18</w:t>
            </w:r>
          </w:p>
        </w:tc>
        <w:tc>
          <w:tcPr>
            <w:tcW w:type="dxa" w:w="7370"/>
            <w:tcMar>
              <w:top w:w="80" w:type="dxa"/>
              <w:start w:w="90" w:type="dxa"/>
              <w:bottom w:w="80" w:type="dxa"/>
              <w:end w:w="90" w:type="dxa"/>
            </w:tcMar>
            <w:vAlign w:val="center"/>
          </w:tcPr>
          <w:p>
            <w:pPr>
              <w:jc w:val="left"/>
            </w:pPr>
            <w:r>
              <w:rPr>
                <w:rFonts w:ascii="Aptos" w:hAnsi="Aptos"/>
                <w:b w:val="0"/>
                <w:i w:val="0"/>
                <w:sz w:val="14"/>
              </w:rPr>
              <w:t>Homotopy-coherent descent from local Kuranishi charts to a global stacky or derived carrier.</w:t>
            </w:r>
          </w:p>
        </w:tc>
        <w:tc>
          <w:tcPr>
            <w:tcW w:type="dxa" w:w="964"/>
            <w:tcMar>
              <w:top w:w="80" w:type="dxa"/>
              <w:start w:w="90" w:type="dxa"/>
              <w:bottom w:w="80" w:type="dxa"/>
              <w:end w:w="90" w:type="dxa"/>
            </w:tcMar>
            <w:vAlign w:val="center"/>
          </w:tcPr>
          <w:p>
            <w:pPr>
              <w:jc w:val="center"/>
            </w:pPr>
            <w:r>
              <w:rPr>
                <w:rFonts w:ascii="Aptos" w:hAnsi="Aptos"/>
                <w:b w:val="0"/>
                <w:sz w:val="14"/>
              </w:rPr>
              <w:t>124</w:t>
            </w:r>
          </w:p>
        </w:tc>
      </w:tr>
      <w:tr>
        <w:tc>
          <w:tcPr>
            <w:tcW w:type="dxa" w:w="1020"/>
            <w:tcMar>
              <w:top w:w="80" w:type="dxa"/>
              <w:start w:w="90" w:type="dxa"/>
              <w:bottom w:w="80" w:type="dxa"/>
              <w:end w:w="90" w:type="dxa"/>
            </w:tcMar>
            <w:vAlign w:val="center"/>
          </w:tcPr>
          <w:p>
            <w:pPr>
              <w:jc w:val="center"/>
            </w:pPr>
            <w:r>
              <w:rPr>
                <w:rFonts w:ascii="Aptos" w:hAnsi="Aptos"/>
                <w:b w:val="0"/>
                <w:i w:val="0"/>
                <w:sz w:val="14"/>
              </w:rPr>
              <w:t>42</w:t>
            </w:r>
          </w:p>
        </w:tc>
        <w:tc>
          <w:tcPr>
            <w:tcW w:type="dxa" w:w="1020"/>
            <w:tcMar>
              <w:top w:w="80" w:type="dxa"/>
              <w:start w:w="90" w:type="dxa"/>
              <w:bottom w:w="80" w:type="dxa"/>
              <w:end w:w="90" w:type="dxa"/>
            </w:tcMar>
            <w:vAlign w:val="center"/>
          </w:tcPr>
          <w:p>
            <w:pPr>
              <w:jc w:val="center"/>
            </w:pPr>
            <w:r>
              <w:rPr>
                <w:rFonts w:ascii="Aptos" w:hAnsi="Aptos"/>
                <w:b w:val="0"/>
                <w:i w:val="0"/>
                <w:sz w:val="14"/>
              </w:rPr>
              <w:t>18</w:t>
            </w:r>
          </w:p>
        </w:tc>
        <w:tc>
          <w:tcPr>
            <w:tcW w:type="dxa" w:w="7370"/>
            <w:tcMar>
              <w:top w:w="80" w:type="dxa"/>
              <w:start w:w="90" w:type="dxa"/>
              <w:bottom w:w="80" w:type="dxa"/>
              <w:end w:w="90" w:type="dxa"/>
            </w:tcMar>
            <w:vAlign w:val="center"/>
          </w:tcPr>
          <w:p>
            <w:pPr>
              <w:jc w:val="left"/>
            </w:pPr>
            <w:r>
              <w:rPr>
                <w:rFonts w:ascii="Aptos" w:hAnsi="Aptos"/>
                <w:b w:val="0"/>
                <w:i w:val="0"/>
                <w:sz w:val="14"/>
              </w:rPr>
              <w:t>Virtual tangent complex: automorphisms, deformations, and obstructions remain visible.</w:t>
            </w:r>
          </w:p>
        </w:tc>
        <w:tc>
          <w:tcPr>
            <w:tcW w:type="dxa" w:w="964"/>
            <w:tcMar>
              <w:top w:w="80" w:type="dxa"/>
              <w:start w:w="90" w:type="dxa"/>
              <w:bottom w:w="80" w:type="dxa"/>
              <w:end w:w="90" w:type="dxa"/>
            </w:tcMar>
            <w:vAlign w:val="center"/>
          </w:tcPr>
          <w:p>
            <w:pPr>
              <w:jc w:val="center"/>
            </w:pPr>
            <w:r>
              <w:rPr>
                <w:rFonts w:ascii="Aptos" w:hAnsi="Aptos"/>
                <w:b w:val="0"/>
                <w:sz w:val="14"/>
              </w:rPr>
              <w:t>125</w:t>
            </w:r>
          </w:p>
        </w:tc>
      </w:tr>
      <w:tr>
        <w:tc>
          <w:tcPr>
            <w:tcW w:type="dxa" w:w="1020"/>
            <w:tcMar>
              <w:top w:w="80" w:type="dxa"/>
              <w:start w:w="90" w:type="dxa"/>
              <w:bottom w:w="80" w:type="dxa"/>
              <w:end w:w="90" w:type="dxa"/>
            </w:tcMar>
            <w:vAlign w:val="center"/>
          </w:tcPr>
          <w:p>
            <w:pPr>
              <w:jc w:val="center"/>
            </w:pPr>
            <w:r>
              <w:rPr>
                <w:rFonts w:ascii="Aptos" w:hAnsi="Aptos"/>
                <w:b w:val="0"/>
                <w:i w:val="0"/>
                <w:sz w:val="14"/>
              </w:rPr>
              <w:t>43</w:t>
            </w:r>
          </w:p>
        </w:tc>
        <w:tc>
          <w:tcPr>
            <w:tcW w:type="dxa" w:w="1020"/>
            <w:tcMar>
              <w:top w:w="80" w:type="dxa"/>
              <w:start w:w="90" w:type="dxa"/>
              <w:bottom w:w="80" w:type="dxa"/>
              <w:end w:w="90" w:type="dxa"/>
            </w:tcMar>
            <w:vAlign w:val="center"/>
          </w:tcPr>
          <w:p>
            <w:pPr>
              <w:jc w:val="center"/>
            </w:pPr>
            <w:r>
              <w:rPr>
                <w:rFonts w:ascii="Aptos" w:hAnsi="Aptos"/>
                <w:b w:val="0"/>
                <w:i w:val="0"/>
                <w:sz w:val="14"/>
              </w:rPr>
              <w:t>18</w:t>
            </w:r>
          </w:p>
        </w:tc>
        <w:tc>
          <w:tcPr>
            <w:tcW w:type="dxa" w:w="7370"/>
            <w:tcMar>
              <w:top w:w="80" w:type="dxa"/>
              <w:start w:w="90" w:type="dxa"/>
              <w:bottom w:w="80" w:type="dxa"/>
              <w:end w:w="90" w:type="dxa"/>
            </w:tcMar>
            <w:vAlign w:val="center"/>
          </w:tcPr>
          <w:p>
            <w:pPr>
              <w:jc w:val="left"/>
            </w:pPr>
            <w:r>
              <w:rPr>
                <w:rFonts w:ascii="Aptos" w:hAnsi="Aptos"/>
                <w:b w:val="0"/>
                <w:i w:val="0"/>
                <w:sz w:val="14"/>
              </w:rPr>
              <w:t>Global predictive carrier and blocker-safe three-valued verdict.</w:t>
            </w:r>
          </w:p>
        </w:tc>
        <w:tc>
          <w:tcPr>
            <w:tcW w:type="dxa" w:w="964"/>
            <w:tcMar>
              <w:top w:w="80" w:type="dxa"/>
              <w:start w:w="90" w:type="dxa"/>
              <w:bottom w:w="80" w:type="dxa"/>
              <w:end w:w="90" w:type="dxa"/>
            </w:tcMar>
            <w:vAlign w:val="center"/>
          </w:tcPr>
          <w:p>
            <w:pPr>
              <w:jc w:val="center"/>
            </w:pPr>
            <w:r>
              <w:rPr>
                <w:rFonts w:ascii="Aptos" w:hAnsi="Aptos"/>
                <w:b w:val="0"/>
                <w:sz w:val="14"/>
              </w:rPr>
              <w:t>128</w:t>
            </w:r>
          </w:p>
        </w:tc>
      </w:tr>
      <w:tr>
        <w:tc>
          <w:tcPr>
            <w:tcW w:type="dxa" w:w="1020"/>
            <w:tcMar>
              <w:top w:w="80" w:type="dxa"/>
              <w:start w:w="90" w:type="dxa"/>
              <w:bottom w:w="80" w:type="dxa"/>
              <w:end w:w="90" w:type="dxa"/>
            </w:tcMar>
            <w:vAlign w:val="center"/>
          </w:tcPr>
          <w:p>
            <w:pPr>
              <w:jc w:val="center"/>
            </w:pPr>
            <w:r>
              <w:rPr>
                <w:rFonts w:ascii="Aptos" w:hAnsi="Aptos"/>
                <w:b w:val="0"/>
                <w:i w:val="0"/>
                <w:sz w:val="14"/>
              </w:rPr>
              <w:t>44</w:t>
            </w:r>
          </w:p>
        </w:tc>
        <w:tc>
          <w:tcPr>
            <w:tcW w:type="dxa" w:w="1020"/>
            <w:tcMar>
              <w:top w:w="80" w:type="dxa"/>
              <w:start w:w="90" w:type="dxa"/>
              <w:bottom w:w="80" w:type="dxa"/>
              <w:end w:w="90" w:type="dxa"/>
            </w:tcMar>
            <w:vAlign w:val="center"/>
          </w:tcPr>
          <w:p>
            <w:pPr>
              <w:jc w:val="center"/>
            </w:pPr>
            <w:r>
              <w:rPr>
                <w:rFonts w:ascii="Aptos" w:hAnsi="Aptos"/>
                <w:b w:val="0"/>
                <w:i w:val="0"/>
                <w:sz w:val="14"/>
              </w:rPr>
              <w:t>19</w:t>
            </w:r>
          </w:p>
        </w:tc>
        <w:tc>
          <w:tcPr>
            <w:tcW w:type="dxa" w:w="7370"/>
            <w:tcMar>
              <w:top w:w="80" w:type="dxa"/>
              <w:start w:w="90" w:type="dxa"/>
              <w:bottom w:w="80" w:type="dxa"/>
              <w:end w:w="90" w:type="dxa"/>
            </w:tcMar>
            <w:vAlign w:val="center"/>
          </w:tcPr>
          <w:p>
            <w:pPr>
              <w:jc w:val="left"/>
            </w:pPr>
            <w:r>
              <w:rPr>
                <w:rFonts w:ascii="Aptos" w:hAnsi="Aptos"/>
                <w:b w:val="0"/>
                <w:i w:val="0"/>
                <w:sz w:val="14"/>
              </w:rPr>
              <w:t>Virtual carrier and separate probability bridge.</w:t>
            </w:r>
          </w:p>
        </w:tc>
        <w:tc>
          <w:tcPr>
            <w:tcW w:type="dxa" w:w="964"/>
            <w:tcMar>
              <w:top w:w="80" w:type="dxa"/>
              <w:start w:w="90" w:type="dxa"/>
              <w:bottom w:w="80" w:type="dxa"/>
              <w:end w:w="90" w:type="dxa"/>
            </w:tcMar>
            <w:vAlign w:val="center"/>
          </w:tcPr>
          <w:p>
            <w:pPr>
              <w:jc w:val="center"/>
            </w:pPr>
            <w:r>
              <w:rPr>
                <w:rFonts w:ascii="Aptos" w:hAnsi="Aptos"/>
                <w:b w:val="0"/>
                <w:sz w:val="14"/>
              </w:rPr>
              <w:t>131</w:t>
            </w:r>
          </w:p>
        </w:tc>
      </w:tr>
      <w:tr>
        <w:tc>
          <w:tcPr>
            <w:tcW w:type="dxa" w:w="1020"/>
            <w:tcMar>
              <w:top w:w="80" w:type="dxa"/>
              <w:start w:w="90" w:type="dxa"/>
              <w:bottom w:w="80" w:type="dxa"/>
              <w:end w:w="90" w:type="dxa"/>
            </w:tcMar>
            <w:vAlign w:val="center"/>
          </w:tcPr>
          <w:p>
            <w:pPr>
              <w:jc w:val="center"/>
            </w:pPr>
            <w:r>
              <w:rPr>
                <w:rFonts w:ascii="Aptos" w:hAnsi="Aptos"/>
                <w:b w:val="0"/>
                <w:i w:val="0"/>
                <w:sz w:val="14"/>
              </w:rPr>
              <w:t>45</w:t>
            </w:r>
          </w:p>
        </w:tc>
        <w:tc>
          <w:tcPr>
            <w:tcW w:type="dxa" w:w="1020"/>
            <w:tcMar>
              <w:top w:w="80" w:type="dxa"/>
              <w:start w:w="90" w:type="dxa"/>
              <w:bottom w:w="80" w:type="dxa"/>
              <w:end w:w="90" w:type="dxa"/>
            </w:tcMar>
            <w:vAlign w:val="center"/>
          </w:tcPr>
          <w:p>
            <w:pPr>
              <w:jc w:val="center"/>
            </w:pPr>
            <w:r>
              <w:rPr>
                <w:rFonts w:ascii="Aptos" w:hAnsi="Aptos"/>
                <w:b w:val="0"/>
                <w:i w:val="0"/>
                <w:sz w:val="14"/>
              </w:rPr>
              <w:t>19</w:t>
            </w:r>
          </w:p>
        </w:tc>
        <w:tc>
          <w:tcPr>
            <w:tcW w:type="dxa" w:w="7370"/>
            <w:tcMar>
              <w:top w:w="80" w:type="dxa"/>
              <w:start w:w="90" w:type="dxa"/>
              <w:bottom w:w="80" w:type="dxa"/>
              <w:end w:w="90" w:type="dxa"/>
            </w:tcMar>
            <w:vAlign w:val="center"/>
          </w:tcPr>
          <w:p>
            <w:pPr>
              <w:jc w:val="left"/>
            </w:pPr>
            <w:r>
              <w:rPr>
                <w:rFonts w:ascii="Aptos" w:hAnsi="Aptos"/>
                <w:b w:val="0"/>
                <w:i w:val="0"/>
                <w:sz w:val="14"/>
              </w:rPr>
              <w:t>Probability no-go test for unrestricted virtual counts.</w:t>
            </w:r>
          </w:p>
        </w:tc>
        <w:tc>
          <w:tcPr>
            <w:tcW w:type="dxa" w:w="964"/>
            <w:tcMar>
              <w:top w:w="80" w:type="dxa"/>
              <w:start w:w="90" w:type="dxa"/>
              <w:bottom w:w="80" w:type="dxa"/>
              <w:end w:w="90" w:type="dxa"/>
            </w:tcMar>
            <w:vAlign w:val="center"/>
          </w:tcPr>
          <w:p>
            <w:pPr>
              <w:jc w:val="center"/>
            </w:pPr>
            <w:r>
              <w:rPr>
                <w:rFonts w:ascii="Aptos" w:hAnsi="Aptos"/>
                <w:b w:val="0"/>
                <w:sz w:val="14"/>
              </w:rPr>
              <w:t>133</w:t>
            </w:r>
          </w:p>
        </w:tc>
      </w:tr>
      <w:tr>
        <w:tc>
          <w:tcPr>
            <w:tcW w:type="dxa" w:w="1020"/>
            <w:tcMar>
              <w:top w:w="80" w:type="dxa"/>
              <w:start w:w="90" w:type="dxa"/>
              <w:bottom w:w="80" w:type="dxa"/>
              <w:end w:w="90" w:type="dxa"/>
            </w:tcMar>
            <w:vAlign w:val="center"/>
          </w:tcPr>
          <w:p>
            <w:pPr>
              <w:jc w:val="center"/>
            </w:pPr>
            <w:r>
              <w:rPr>
                <w:rFonts w:ascii="Aptos" w:hAnsi="Aptos"/>
                <w:b w:val="0"/>
                <w:i w:val="0"/>
                <w:sz w:val="14"/>
              </w:rPr>
              <w:t>46</w:t>
            </w:r>
          </w:p>
        </w:tc>
        <w:tc>
          <w:tcPr>
            <w:tcW w:type="dxa" w:w="1020"/>
            <w:tcMar>
              <w:top w:w="80" w:type="dxa"/>
              <w:start w:w="90" w:type="dxa"/>
              <w:bottom w:w="80" w:type="dxa"/>
              <w:end w:w="90" w:type="dxa"/>
            </w:tcMar>
            <w:vAlign w:val="center"/>
          </w:tcPr>
          <w:p>
            <w:pPr>
              <w:jc w:val="center"/>
            </w:pPr>
            <w:r>
              <w:rPr>
                <w:rFonts w:ascii="Aptos" w:hAnsi="Aptos"/>
                <w:b w:val="0"/>
                <w:i w:val="0"/>
                <w:sz w:val="14"/>
              </w:rPr>
              <w:t>19</w:t>
            </w:r>
          </w:p>
        </w:tc>
        <w:tc>
          <w:tcPr>
            <w:tcW w:type="dxa" w:w="7370"/>
            <w:tcMar>
              <w:top w:w="80" w:type="dxa"/>
              <w:start w:w="90" w:type="dxa"/>
              <w:bottom w:w="80" w:type="dxa"/>
              <w:end w:w="90" w:type="dxa"/>
            </w:tcMar>
            <w:vAlign w:val="center"/>
          </w:tcPr>
          <w:p>
            <w:pPr>
              <w:jc w:val="left"/>
            </w:pPr>
            <w:r>
              <w:rPr>
                <w:rFonts w:ascii="Aptos" w:hAnsi="Aptos"/>
                <w:b w:val="0"/>
                <w:i w:val="0"/>
                <w:sz w:val="14"/>
              </w:rPr>
              <w:t>Two-stage virtual/probability verdict.</w:t>
            </w:r>
          </w:p>
        </w:tc>
        <w:tc>
          <w:tcPr>
            <w:tcW w:type="dxa" w:w="964"/>
            <w:tcMar>
              <w:top w:w="80" w:type="dxa"/>
              <w:start w:w="90" w:type="dxa"/>
              <w:bottom w:w="80" w:type="dxa"/>
              <w:end w:w="90" w:type="dxa"/>
            </w:tcMar>
            <w:vAlign w:val="center"/>
          </w:tcPr>
          <w:p>
            <w:pPr>
              <w:jc w:val="center"/>
            </w:pPr>
            <w:r>
              <w:rPr>
                <w:rFonts w:ascii="Aptos" w:hAnsi="Aptos"/>
                <w:b w:val="0"/>
                <w:sz w:val="14"/>
              </w:rPr>
              <w:t>136</w:t>
            </w:r>
          </w:p>
        </w:tc>
      </w:tr>
      <w:tr>
        <w:tc>
          <w:tcPr>
            <w:tcW w:type="dxa" w:w="1020"/>
            <w:tcMar>
              <w:top w:w="80" w:type="dxa"/>
              <w:start w:w="90" w:type="dxa"/>
              <w:bottom w:w="80" w:type="dxa"/>
              <w:end w:w="90" w:type="dxa"/>
            </w:tcMar>
            <w:vAlign w:val="center"/>
          </w:tcPr>
          <w:p>
            <w:pPr>
              <w:jc w:val="center"/>
            </w:pPr>
            <w:r>
              <w:rPr>
                <w:rFonts w:ascii="Aptos" w:hAnsi="Aptos"/>
                <w:b w:val="0"/>
                <w:i w:val="0"/>
                <w:sz w:val="14"/>
              </w:rPr>
              <w:t>47</w:t>
            </w:r>
          </w:p>
        </w:tc>
        <w:tc>
          <w:tcPr>
            <w:tcW w:type="dxa" w:w="1020"/>
            <w:tcMar>
              <w:top w:w="80" w:type="dxa"/>
              <w:start w:w="90" w:type="dxa"/>
              <w:bottom w:w="80" w:type="dxa"/>
              <w:end w:w="90" w:type="dxa"/>
            </w:tcMar>
            <w:vAlign w:val="center"/>
          </w:tcPr>
          <w:p>
            <w:pPr>
              <w:jc w:val="center"/>
            </w:pPr>
            <w:r>
              <w:rPr>
                <w:rFonts w:ascii="Aptos" w:hAnsi="Aptos"/>
                <w:b w:val="0"/>
                <w:i w:val="0"/>
                <w:sz w:val="14"/>
              </w:rPr>
              <w:t>20</w:t>
            </w:r>
          </w:p>
        </w:tc>
        <w:tc>
          <w:tcPr>
            <w:tcW w:type="dxa" w:w="7370"/>
            <w:tcMar>
              <w:top w:w="80" w:type="dxa"/>
              <w:start w:w="90" w:type="dxa"/>
              <w:bottom w:w="80" w:type="dxa"/>
              <w:end w:w="90" w:type="dxa"/>
            </w:tcMar>
            <w:vAlign w:val="center"/>
          </w:tcPr>
          <w:p>
            <w:pPr>
              <w:jc w:val="left"/>
            </w:pPr>
            <w:r>
              <w:rPr>
                <w:rFonts w:ascii="Aptos" w:hAnsi="Aptos"/>
                <w:b w:val="0"/>
                <w:i w:val="0"/>
                <w:sz w:val="14"/>
              </w:rPr>
              <w:t>Refined carrier ladder and information loss.</w:t>
            </w:r>
          </w:p>
        </w:tc>
        <w:tc>
          <w:tcPr>
            <w:tcW w:type="dxa" w:w="964"/>
            <w:tcMar>
              <w:top w:w="80" w:type="dxa"/>
              <w:start w:w="90" w:type="dxa"/>
              <w:bottom w:w="80" w:type="dxa"/>
              <w:end w:w="90" w:type="dxa"/>
            </w:tcMar>
            <w:vAlign w:val="center"/>
          </w:tcPr>
          <w:p>
            <w:pPr>
              <w:jc w:val="center"/>
            </w:pPr>
            <w:r>
              <w:rPr>
                <w:rFonts w:ascii="Aptos" w:hAnsi="Aptos"/>
                <w:b w:val="0"/>
                <w:sz w:val="14"/>
              </w:rPr>
              <w:t>139</w:t>
            </w:r>
          </w:p>
        </w:tc>
      </w:tr>
      <w:tr>
        <w:tc>
          <w:tcPr>
            <w:tcW w:type="dxa" w:w="1020"/>
            <w:tcMar>
              <w:top w:w="80" w:type="dxa"/>
              <w:start w:w="90" w:type="dxa"/>
              <w:bottom w:w="80" w:type="dxa"/>
              <w:end w:w="90" w:type="dxa"/>
            </w:tcMar>
            <w:vAlign w:val="center"/>
          </w:tcPr>
          <w:p>
            <w:pPr>
              <w:jc w:val="center"/>
            </w:pPr>
            <w:r>
              <w:rPr>
                <w:rFonts w:ascii="Aptos" w:hAnsi="Aptos"/>
                <w:b w:val="0"/>
                <w:i w:val="0"/>
                <w:sz w:val="14"/>
              </w:rPr>
              <w:t>48</w:t>
            </w:r>
          </w:p>
        </w:tc>
        <w:tc>
          <w:tcPr>
            <w:tcW w:type="dxa" w:w="1020"/>
            <w:tcMar>
              <w:top w:w="80" w:type="dxa"/>
              <w:start w:w="90" w:type="dxa"/>
              <w:bottom w:w="80" w:type="dxa"/>
              <w:end w:w="90" w:type="dxa"/>
            </w:tcMar>
            <w:vAlign w:val="center"/>
          </w:tcPr>
          <w:p>
            <w:pPr>
              <w:jc w:val="center"/>
            </w:pPr>
            <w:r>
              <w:rPr>
                <w:rFonts w:ascii="Aptos" w:hAnsi="Aptos"/>
                <w:b w:val="0"/>
                <w:i w:val="0"/>
                <w:sz w:val="14"/>
              </w:rPr>
              <w:t>20</w:t>
            </w:r>
          </w:p>
        </w:tc>
        <w:tc>
          <w:tcPr>
            <w:tcW w:type="dxa" w:w="7370"/>
            <w:tcMar>
              <w:top w:w="80" w:type="dxa"/>
              <w:start w:w="90" w:type="dxa"/>
              <w:bottom w:w="80" w:type="dxa"/>
              <w:end w:w="90" w:type="dxa"/>
            </w:tcMar>
            <w:vAlign w:val="center"/>
          </w:tcPr>
          <w:p>
            <w:pPr>
              <w:jc w:val="left"/>
            </w:pPr>
            <w:r>
              <w:rPr>
                <w:rFonts w:ascii="Aptos" w:hAnsi="Aptos"/>
                <w:b w:val="0"/>
                <w:i w:val="0"/>
                <w:sz w:val="14"/>
              </w:rPr>
              <w:t>Barrier between a generating series and temporal dynamics.</w:t>
            </w:r>
          </w:p>
        </w:tc>
        <w:tc>
          <w:tcPr>
            <w:tcW w:type="dxa" w:w="964"/>
            <w:tcMar>
              <w:top w:w="80" w:type="dxa"/>
              <w:start w:w="90" w:type="dxa"/>
              <w:bottom w:w="80" w:type="dxa"/>
              <w:end w:w="90" w:type="dxa"/>
            </w:tcMar>
            <w:vAlign w:val="center"/>
          </w:tcPr>
          <w:p>
            <w:pPr>
              <w:jc w:val="center"/>
            </w:pPr>
            <w:r>
              <w:rPr>
                <w:rFonts w:ascii="Aptos" w:hAnsi="Aptos"/>
                <w:b w:val="0"/>
                <w:sz w:val="14"/>
              </w:rPr>
              <w:t>142</w:t>
            </w:r>
          </w:p>
        </w:tc>
      </w:tr>
      <w:tr>
        <w:tc>
          <w:tcPr>
            <w:tcW w:type="dxa" w:w="1020"/>
            <w:tcMar>
              <w:top w:w="80" w:type="dxa"/>
              <w:start w:w="90" w:type="dxa"/>
              <w:bottom w:w="80" w:type="dxa"/>
              <w:end w:w="90" w:type="dxa"/>
            </w:tcMar>
            <w:vAlign w:val="center"/>
          </w:tcPr>
          <w:p>
            <w:pPr>
              <w:jc w:val="center"/>
            </w:pPr>
            <w:r>
              <w:rPr>
                <w:rFonts w:ascii="Aptos" w:hAnsi="Aptos"/>
                <w:b w:val="0"/>
                <w:i w:val="0"/>
                <w:sz w:val="14"/>
              </w:rPr>
              <w:t>49</w:t>
            </w:r>
          </w:p>
        </w:tc>
        <w:tc>
          <w:tcPr>
            <w:tcW w:type="dxa" w:w="1020"/>
            <w:tcMar>
              <w:top w:w="80" w:type="dxa"/>
              <w:start w:w="90" w:type="dxa"/>
              <w:bottom w:w="80" w:type="dxa"/>
              <w:end w:w="90" w:type="dxa"/>
            </w:tcMar>
            <w:vAlign w:val="center"/>
          </w:tcPr>
          <w:p>
            <w:pPr>
              <w:jc w:val="center"/>
            </w:pPr>
            <w:r>
              <w:rPr>
                <w:rFonts w:ascii="Aptos" w:hAnsi="Aptos"/>
                <w:b w:val="0"/>
                <w:i w:val="0"/>
                <w:sz w:val="14"/>
              </w:rPr>
              <w:t>20</w:t>
            </w:r>
          </w:p>
        </w:tc>
        <w:tc>
          <w:tcPr>
            <w:tcW w:type="dxa" w:w="7370"/>
            <w:tcMar>
              <w:top w:w="80" w:type="dxa"/>
              <w:start w:w="90" w:type="dxa"/>
              <w:bottom w:w="80" w:type="dxa"/>
              <w:end w:w="90" w:type="dxa"/>
            </w:tcMar>
            <w:vAlign w:val="center"/>
          </w:tcPr>
          <w:p>
            <w:pPr>
              <w:jc w:val="left"/>
            </w:pPr>
            <w:r>
              <w:rPr>
                <w:rFonts w:ascii="Aptos" w:hAnsi="Aptos"/>
                <w:b w:val="0"/>
                <w:i w:val="0"/>
                <w:sz w:val="14"/>
              </w:rPr>
              <w:t>Motivic, series, and dynamic verdict.</w:t>
            </w:r>
          </w:p>
        </w:tc>
        <w:tc>
          <w:tcPr>
            <w:tcW w:type="dxa" w:w="964"/>
            <w:tcMar>
              <w:top w:w="80" w:type="dxa"/>
              <w:start w:w="90" w:type="dxa"/>
              <w:bottom w:w="80" w:type="dxa"/>
              <w:end w:w="90" w:type="dxa"/>
            </w:tcMar>
            <w:vAlign w:val="center"/>
          </w:tcPr>
          <w:p>
            <w:pPr>
              <w:jc w:val="center"/>
            </w:pPr>
            <w:r>
              <w:rPr>
                <w:rFonts w:ascii="Aptos" w:hAnsi="Aptos"/>
                <w:b w:val="0"/>
                <w:sz w:val="14"/>
              </w:rPr>
              <w:t>145</w:t>
            </w:r>
          </w:p>
        </w:tc>
      </w:tr>
      <w:tr>
        <w:tc>
          <w:tcPr>
            <w:tcW w:type="dxa" w:w="1020"/>
            <w:tcMar>
              <w:top w:w="80" w:type="dxa"/>
              <w:start w:w="90" w:type="dxa"/>
              <w:bottom w:w="80" w:type="dxa"/>
              <w:end w:w="90" w:type="dxa"/>
            </w:tcMar>
            <w:vAlign w:val="center"/>
          </w:tcPr>
          <w:p>
            <w:pPr>
              <w:jc w:val="center"/>
            </w:pPr>
            <w:r>
              <w:rPr>
                <w:rFonts w:ascii="Aptos" w:hAnsi="Aptos"/>
                <w:b w:val="0"/>
                <w:i w:val="0"/>
                <w:sz w:val="14"/>
              </w:rPr>
              <w:t>50</w:t>
            </w:r>
          </w:p>
        </w:tc>
        <w:tc>
          <w:tcPr>
            <w:tcW w:type="dxa" w:w="1020"/>
            <w:tcMar>
              <w:top w:w="80" w:type="dxa"/>
              <w:start w:w="90" w:type="dxa"/>
              <w:bottom w:w="80" w:type="dxa"/>
              <w:end w:w="90" w:type="dxa"/>
            </w:tcMar>
            <w:vAlign w:val="center"/>
          </w:tcPr>
          <w:p>
            <w:pPr>
              <w:jc w:val="center"/>
            </w:pPr>
            <w:r>
              <w:rPr>
                <w:rFonts w:ascii="Aptos" w:hAnsi="Aptos"/>
                <w:b w:val="0"/>
                <w:i w:val="0"/>
                <w:sz w:val="14"/>
              </w:rPr>
              <w:t>21</w:t>
            </w:r>
          </w:p>
        </w:tc>
        <w:tc>
          <w:tcPr>
            <w:tcW w:type="dxa" w:w="7370"/>
            <w:tcMar>
              <w:top w:w="80" w:type="dxa"/>
              <w:start w:w="90" w:type="dxa"/>
              <w:bottom w:w="80" w:type="dxa"/>
              <w:end w:w="90" w:type="dxa"/>
            </w:tcMar>
            <w:vAlign w:val="center"/>
          </w:tcPr>
          <w:p>
            <w:pPr>
              <w:jc w:val="left"/>
            </w:pPr>
            <w:r>
              <w:rPr>
                <w:rFonts w:ascii="Aptos" w:hAnsi="Aptos"/>
                <w:b w:val="0"/>
                <w:i w:val="0"/>
                <w:sz w:val="14"/>
              </w:rPr>
              <w:t>Nonlinear semigroup, generator, and resolvent.</w:t>
            </w:r>
          </w:p>
        </w:tc>
        <w:tc>
          <w:tcPr>
            <w:tcW w:type="dxa" w:w="964"/>
            <w:tcMar>
              <w:top w:w="80" w:type="dxa"/>
              <w:start w:w="90" w:type="dxa"/>
              <w:bottom w:w="80" w:type="dxa"/>
              <w:end w:w="90" w:type="dxa"/>
            </w:tcMar>
            <w:vAlign w:val="center"/>
          </w:tcPr>
          <w:p>
            <w:pPr>
              <w:jc w:val="center"/>
            </w:pPr>
            <w:r>
              <w:rPr>
                <w:rFonts w:ascii="Aptos" w:hAnsi="Aptos"/>
                <w:b w:val="0"/>
                <w:sz w:val="14"/>
              </w:rPr>
              <w:t>148</w:t>
            </w:r>
          </w:p>
        </w:tc>
      </w:tr>
      <w:tr>
        <w:tc>
          <w:tcPr>
            <w:tcW w:type="dxa" w:w="1020"/>
            <w:tcMar>
              <w:top w:w="80" w:type="dxa"/>
              <w:start w:w="90" w:type="dxa"/>
              <w:bottom w:w="80" w:type="dxa"/>
              <w:end w:w="90" w:type="dxa"/>
            </w:tcMar>
            <w:vAlign w:val="center"/>
          </w:tcPr>
          <w:p>
            <w:pPr>
              <w:jc w:val="center"/>
            </w:pPr>
            <w:r>
              <w:rPr>
                <w:rFonts w:ascii="Aptos" w:hAnsi="Aptos"/>
                <w:b w:val="0"/>
                <w:i w:val="0"/>
                <w:sz w:val="14"/>
              </w:rPr>
              <w:t>51</w:t>
            </w:r>
          </w:p>
        </w:tc>
        <w:tc>
          <w:tcPr>
            <w:tcW w:type="dxa" w:w="1020"/>
            <w:tcMar>
              <w:top w:w="80" w:type="dxa"/>
              <w:start w:w="90" w:type="dxa"/>
              <w:bottom w:w="80" w:type="dxa"/>
              <w:end w:w="90" w:type="dxa"/>
            </w:tcMar>
            <w:vAlign w:val="center"/>
          </w:tcPr>
          <w:p>
            <w:pPr>
              <w:jc w:val="center"/>
            </w:pPr>
            <w:r>
              <w:rPr>
                <w:rFonts w:ascii="Aptos" w:hAnsi="Aptos"/>
                <w:b w:val="0"/>
                <w:i w:val="0"/>
                <w:sz w:val="14"/>
              </w:rPr>
              <w:t>21</w:t>
            </w:r>
          </w:p>
        </w:tc>
        <w:tc>
          <w:tcPr>
            <w:tcW w:type="dxa" w:w="7370"/>
            <w:tcMar>
              <w:top w:w="80" w:type="dxa"/>
              <w:start w:w="90" w:type="dxa"/>
              <w:bottom w:w="80" w:type="dxa"/>
              <w:end w:w="90" w:type="dxa"/>
            </w:tcMar>
            <w:vAlign w:val="center"/>
          </w:tcPr>
          <w:p>
            <w:pPr>
              <w:jc w:val="left"/>
            </w:pPr>
            <w:r>
              <w:rPr>
                <w:rFonts w:ascii="Aptos" w:hAnsi="Aptos"/>
                <w:b w:val="0"/>
                <w:i w:val="0"/>
                <w:sz w:val="14"/>
              </w:rPr>
              <w:t>State, observable, measure, and path carriers.</w:t>
            </w:r>
          </w:p>
        </w:tc>
        <w:tc>
          <w:tcPr>
            <w:tcW w:type="dxa" w:w="964"/>
            <w:tcMar>
              <w:top w:w="80" w:type="dxa"/>
              <w:start w:w="90" w:type="dxa"/>
              <w:bottom w:w="80" w:type="dxa"/>
              <w:end w:w="90" w:type="dxa"/>
            </w:tcMar>
            <w:vAlign w:val="center"/>
          </w:tcPr>
          <w:p>
            <w:pPr>
              <w:jc w:val="center"/>
            </w:pPr>
            <w:r>
              <w:rPr>
                <w:rFonts w:ascii="Aptos" w:hAnsi="Aptos"/>
                <w:b w:val="0"/>
                <w:sz w:val="14"/>
              </w:rPr>
              <w:t>150</w:t>
            </w:r>
          </w:p>
        </w:tc>
      </w:tr>
      <w:tr>
        <w:tc>
          <w:tcPr>
            <w:tcW w:type="dxa" w:w="1020"/>
            <w:tcMar>
              <w:top w:w="80" w:type="dxa"/>
              <w:start w:w="90" w:type="dxa"/>
              <w:bottom w:w="80" w:type="dxa"/>
              <w:end w:w="90" w:type="dxa"/>
            </w:tcMar>
            <w:vAlign w:val="center"/>
          </w:tcPr>
          <w:p>
            <w:pPr>
              <w:jc w:val="center"/>
            </w:pPr>
            <w:r>
              <w:rPr>
                <w:rFonts w:ascii="Aptos" w:hAnsi="Aptos"/>
                <w:b w:val="0"/>
                <w:i w:val="0"/>
                <w:sz w:val="14"/>
              </w:rPr>
              <w:t>52</w:t>
            </w:r>
          </w:p>
        </w:tc>
        <w:tc>
          <w:tcPr>
            <w:tcW w:type="dxa" w:w="1020"/>
            <w:tcMar>
              <w:top w:w="80" w:type="dxa"/>
              <w:start w:w="90" w:type="dxa"/>
              <w:bottom w:w="80" w:type="dxa"/>
              <w:end w:w="90" w:type="dxa"/>
            </w:tcMar>
            <w:vAlign w:val="center"/>
          </w:tcPr>
          <w:p>
            <w:pPr>
              <w:jc w:val="center"/>
            </w:pPr>
            <w:r>
              <w:rPr>
                <w:rFonts w:ascii="Aptos" w:hAnsi="Aptos"/>
                <w:b w:val="0"/>
                <w:i w:val="0"/>
                <w:sz w:val="14"/>
              </w:rPr>
              <w:t>21</w:t>
            </w:r>
          </w:p>
        </w:tc>
        <w:tc>
          <w:tcPr>
            <w:tcW w:type="dxa" w:w="7370"/>
            <w:tcMar>
              <w:top w:w="80" w:type="dxa"/>
              <w:start w:w="90" w:type="dxa"/>
              <w:bottom w:w="80" w:type="dxa"/>
              <w:end w:w="90" w:type="dxa"/>
            </w:tcMar>
            <w:vAlign w:val="center"/>
          </w:tcPr>
          <w:p>
            <w:pPr>
              <w:jc w:val="left"/>
            </w:pPr>
            <w:r>
              <w:rPr>
                <w:rFonts w:ascii="Aptos" w:hAnsi="Aptos"/>
                <w:b w:val="0"/>
                <w:i w:val="0"/>
                <w:sz w:val="14"/>
              </w:rPr>
              <w:t>Temporal and causal firewall.</w:t>
            </w:r>
          </w:p>
        </w:tc>
        <w:tc>
          <w:tcPr>
            <w:tcW w:type="dxa" w:w="964"/>
            <w:tcMar>
              <w:top w:w="80" w:type="dxa"/>
              <w:start w:w="90" w:type="dxa"/>
              <w:bottom w:w="80" w:type="dxa"/>
              <w:end w:w="90" w:type="dxa"/>
            </w:tcMar>
            <w:vAlign w:val="center"/>
          </w:tcPr>
          <w:p>
            <w:pPr>
              <w:jc w:val="center"/>
            </w:pPr>
            <w:r>
              <w:rPr>
                <w:rFonts w:ascii="Aptos" w:hAnsi="Aptos"/>
                <w:b w:val="0"/>
                <w:sz w:val="14"/>
              </w:rPr>
              <w:t>153</w:t>
            </w:r>
          </w:p>
        </w:tc>
      </w:tr>
      <w:tr>
        <w:tc>
          <w:tcPr>
            <w:tcW w:type="dxa" w:w="1020"/>
            <w:tcMar>
              <w:top w:w="80" w:type="dxa"/>
              <w:start w:w="90" w:type="dxa"/>
              <w:bottom w:w="80" w:type="dxa"/>
              <w:end w:w="90" w:type="dxa"/>
            </w:tcMar>
            <w:vAlign w:val="center"/>
          </w:tcPr>
          <w:p>
            <w:pPr>
              <w:jc w:val="center"/>
            </w:pPr>
            <w:r>
              <w:rPr>
                <w:rFonts w:ascii="Aptos" w:hAnsi="Aptos"/>
                <w:b w:val="0"/>
                <w:i w:val="0"/>
                <w:sz w:val="14"/>
              </w:rPr>
              <w:t>53</w:t>
            </w:r>
          </w:p>
        </w:tc>
        <w:tc>
          <w:tcPr>
            <w:tcW w:type="dxa" w:w="1020"/>
            <w:tcMar>
              <w:top w:w="80" w:type="dxa"/>
              <w:start w:w="90" w:type="dxa"/>
              <w:bottom w:w="80" w:type="dxa"/>
              <w:end w:w="90" w:type="dxa"/>
            </w:tcMar>
            <w:vAlign w:val="center"/>
          </w:tcPr>
          <w:p>
            <w:pPr>
              <w:jc w:val="center"/>
            </w:pPr>
            <w:r>
              <w:rPr>
                <w:rFonts w:ascii="Aptos" w:hAnsi="Aptos"/>
                <w:b w:val="0"/>
                <w:i w:val="0"/>
                <w:sz w:val="14"/>
              </w:rPr>
              <w:t>22</w:t>
            </w:r>
          </w:p>
        </w:tc>
        <w:tc>
          <w:tcPr>
            <w:tcW w:type="dxa" w:w="7370"/>
            <w:tcMar>
              <w:top w:w="80" w:type="dxa"/>
              <w:start w:w="90" w:type="dxa"/>
              <w:bottom w:w="80" w:type="dxa"/>
              <w:end w:w="90" w:type="dxa"/>
            </w:tcMar>
            <w:vAlign w:val="center"/>
          </w:tcPr>
          <w:p>
            <w:pPr>
              <w:jc w:val="left"/>
            </w:pPr>
            <w:r>
              <w:rPr>
                <w:rFonts w:ascii="Aptos" w:hAnsi="Aptos"/>
                <w:b w:val="0"/>
                <w:i w:val="0"/>
                <w:sz w:val="14"/>
              </w:rPr>
              <w:t>Markov semigroup, generator, and martingale problem.</w:t>
            </w:r>
          </w:p>
        </w:tc>
        <w:tc>
          <w:tcPr>
            <w:tcW w:type="dxa" w:w="964"/>
            <w:tcMar>
              <w:top w:w="80" w:type="dxa"/>
              <w:start w:w="90" w:type="dxa"/>
              <w:bottom w:w="80" w:type="dxa"/>
              <w:end w:w="90" w:type="dxa"/>
            </w:tcMar>
            <w:vAlign w:val="center"/>
          </w:tcPr>
          <w:p>
            <w:pPr>
              <w:jc w:val="center"/>
            </w:pPr>
            <w:r>
              <w:rPr>
                <w:rFonts w:ascii="Aptos" w:hAnsi="Aptos"/>
                <w:b w:val="0"/>
                <w:sz w:val="14"/>
              </w:rPr>
              <w:t>158</w:t>
            </w:r>
          </w:p>
        </w:tc>
      </w:tr>
      <w:tr>
        <w:tc>
          <w:tcPr>
            <w:tcW w:type="dxa" w:w="1020"/>
            <w:tcMar>
              <w:top w:w="80" w:type="dxa"/>
              <w:start w:w="90" w:type="dxa"/>
              <w:bottom w:w="80" w:type="dxa"/>
              <w:end w:w="90" w:type="dxa"/>
            </w:tcMar>
            <w:vAlign w:val="center"/>
          </w:tcPr>
          <w:p>
            <w:pPr>
              <w:jc w:val="center"/>
            </w:pPr>
            <w:r>
              <w:rPr>
                <w:rFonts w:ascii="Aptos" w:hAnsi="Aptos"/>
                <w:b w:val="0"/>
                <w:i w:val="0"/>
                <w:sz w:val="14"/>
              </w:rPr>
              <w:t>54</w:t>
            </w:r>
          </w:p>
        </w:tc>
        <w:tc>
          <w:tcPr>
            <w:tcW w:type="dxa" w:w="1020"/>
            <w:tcMar>
              <w:top w:w="80" w:type="dxa"/>
              <w:start w:w="90" w:type="dxa"/>
              <w:bottom w:w="80" w:type="dxa"/>
              <w:end w:w="90" w:type="dxa"/>
            </w:tcMar>
            <w:vAlign w:val="center"/>
          </w:tcPr>
          <w:p>
            <w:pPr>
              <w:jc w:val="center"/>
            </w:pPr>
            <w:r>
              <w:rPr>
                <w:rFonts w:ascii="Aptos" w:hAnsi="Aptos"/>
                <w:b w:val="0"/>
                <w:i w:val="0"/>
                <w:sz w:val="14"/>
              </w:rPr>
              <w:t>22</w:t>
            </w:r>
          </w:p>
        </w:tc>
        <w:tc>
          <w:tcPr>
            <w:tcW w:type="dxa" w:w="7370"/>
            <w:tcMar>
              <w:top w:w="80" w:type="dxa"/>
              <w:start w:w="90" w:type="dxa"/>
              <w:bottom w:w="80" w:type="dxa"/>
              <w:end w:w="90" w:type="dxa"/>
            </w:tcMar>
            <w:vAlign w:val="center"/>
          </w:tcPr>
          <w:p>
            <w:pPr>
              <w:jc w:val="left"/>
            </w:pPr>
            <w:r>
              <w:rPr>
                <w:rFonts w:ascii="Aptos" w:hAnsi="Aptos"/>
                <w:b w:val="0"/>
                <w:i w:val="0"/>
                <w:sz w:val="14"/>
              </w:rPr>
              <w:t>Stopping-time barrier certificate.</w:t>
            </w:r>
          </w:p>
        </w:tc>
        <w:tc>
          <w:tcPr>
            <w:tcW w:type="dxa" w:w="964"/>
            <w:tcMar>
              <w:top w:w="80" w:type="dxa"/>
              <w:start w:w="90" w:type="dxa"/>
              <w:bottom w:w="80" w:type="dxa"/>
              <w:end w:w="90" w:type="dxa"/>
            </w:tcMar>
            <w:vAlign w:val="center"/>
          </w:tcPr>
          <w:p>
            <w:pPr>
              <w:jc w:val="center"/>
            </w:pPr>
            <w:r>
              <w:rPr>
                <w:rFonts w:ascii="Aptos" w:hAnsi="Aptos"/>
                <w:b w:val="0"/>
                <w:sz w:val="14"/>
              </w:rPr>
              <w:t>160</w:t>
            </w:r>
          </w:p>
        </w:tc>
      </w:tr>
      <w:tr>
        <w:tc>
          <w:tcPr>
            <w:tcW w:type="dxa" w:w="1020"/>
            <w:tcMar>
              <w:top w:w="80" w:type="dxa"/>
              <w:start w:w="90" w:type="dxa"/>
              <w:bottom w:w="80" w:type="dxa"/>
              <w:end w:w="90" w:type="dxa"/>
            </w:tcMar>
            <w:vAlign w:val="center"/>
          </w:tcPr>
          <w:p>
            <w:pPr>
              <w:jc w:val="center"/>
            </w:pPr>
            <w:r>
              <w:rPr>
                <w:rFonts w:ascii="Aptos" w:hAnsi="Aptos"/>
                <w:b w:val="0"/>
                <w:i w:val="0"/>
                <w:sz w:val="14"/>
              </w:rPr>
              <w:t>55</w:t>
            </w:r>
          </w:p>
        </w:tc>
        <w:tc>
          <w:tcPr>
            <w:tcW w:type="dxa" w:w="1020"/>
            <w:tcMar>
              <w:top w:w="80" w:type="dxa"/>
              <w:start w:w="90" w:type="dxa"/>
              <w:bottom w:w="80" w:type="dxa"/>
              <w:end w:w="90" w:type="dxa"/>
            </w:tcMar>
            <w:vAlign w:val="center"/>
          </w:tcPr>
          <w:p>
            <w:pPr>
              <w:jc w:val="center"/>
            </w:pPr>
            <w:r>
              <w:rPr>
                <w:rFonts w:ascii="Aptos" w:hAnsi="Aptos"/>
                <w:b w:val="0"/>
                <w:i w:val="0"/>
                <w:sz w:val="14"/>
              </w:rPr>
              <w:t>22</w:t>
            </w:r>
          </w:p>
        </w:tc>
        <w:tc>
          <w:tcPr>
            <w:tcW w:type="dxa" w:w="7370"/>
            <w:tcMar>
              <w:top w:w="80" w:type="dxa"/>
              <w:start w:w="90" w:type="dxa"/>
              <w:bottom w:w="80" w:type="dxa"/>
              <w:end w:w="90" w:type="dxa"/>
            </w:tcMar>
            <w:vAlign w:val="center"/>
          </w:tcPr>
          <w:p>
            <w:pPr>
              <w:jc w:val="left"/>
            </w:pPr>
            <w:r>
              <w:rPr>
                <w:rFonts w:ascii="Aptos" w:hAnsi="Aptos"/>
                <w:b w:val="0"/>
                <w:i w:val="0"/>
                <w:sz w:val="14"/>
              </w:rPr>
              <w:t>Forecast-control-intervention firewall.</w:t>
            </w:r>
          </w:p>
        </w:tc>
        <w:tc>
          <w:tcPr>
            <w:tcW w:type="dxa" w:w="964"/>
            <w:tcMar>
              <w:top w:w="80" w:type="dxa"/>
              <w:start w:w="90" w:type="dxa"/>
              <w:bottom w:w="80" w:type="dxa"/>
              <w:end w:w="90" w:type="dxa"/>
            </w:tcMar>
            <w:vAlign w:val="center"/>
          </w:tcPr>
          <w:p>
            <w:pPr>
              <w:jc w:val="center"/>
            </w:pPr>
            <w:r>
              <w:rPr>
                <w:rFonts w:ascii="Aptos" w:hAnsi="Aptos"/>
                <w:b w:val="0"/>
                <w:sz w:val="14"/>
              </w:rPr>
              <w:t>161</w:t>
            </w:r>
          </w:p>
        </w:tc>
      </w:tr>
      <w:tr>
        <w:tc>
          <w:tcPr>
            <w:tcW w:type="dxa" w:w="1020"/>
            <w:tcMar>
              <w:top w:w="80" w:type="dxa"/>
              <w:start w:w="90" w:type="dxa"/>
              <w:bottom w:w="80" w:type="dxa"/>
              <w:end w:w="90" w:type="dxa"/>
            </w:tcMar>
            <w:vAlign w:val="center"/>
          </w:tcPr>
          <w:p>
            <w:pPr>
              <w:jc w:val="center"/>
            </w:pPr>
            <w:r>
              <w:rPr>
                <w:rFonts w:ascii="Aptos" w:hAnsi="Aptos"/>
                <w:b w:val="0"/>
                <w:i w:val="0"/>
                <w:sz w:val="14"/>
              </w:rPr>
              <w:t>56</w:t>
            </w:r>
          </w:p>
        </w:tc>
        <w:tc>
          <w:tcPr>
            <w:tcW w:type="dxa" w:w="1020"/>
            <w:tcMar>
              <w:top w:w="80" w:type="dxa"/>
              <w:start w:w="90" w:type="dxa"/>
              <w:bottom w:w="80" w:type="dxa"/>
              <w:end w:w="90" w:type="dxa"/>
            </w:tcMar>
            <w:vAlign w:val="center"/>
          </w:tcPr>
          <w:p>
            <w:pPr>
              <w:jc w:val="center"/>
            </w:pPr>
            <w:r>
              <w:rPr>
                <w:rFonts w:ascii="Aptos" w:hAnsi="Aptos"/>
                <w:b w:val="0"/>
                <w:i w:val="0"/>
                <w:sz w:val="14"/>
              </w:rPr>
              <w:t>23</w:t>
            </w:r>
          </w:p>
        </w:tc>
        <w:tc>
          <w:tcPr>
            <w:tcW w:type="dxa" w:w="7370"/>
            <w:tcMar>
              <w:top w:w="80" w:type="dxa"/>
              <w:start w:w="90" w:type="dxa"/>
              <w:bottom w:w="80" w:type="dxa"/>
              <w:end w:w="90" w:type="dxa"/>
            </w:tcMar>
            <w:vAlign w:val="center"/>
          </w:tcPr>
          <w:p>
            <w:pPr>
              <w:jc w:val="left"/>
            </w:pPr>
            <w:r>
              <w:rPr>
                <w:rFonts w:ascii="Aptos" w:hAnsi="Aptos"/>
                <w:b w:val="0"/>
                <w:i w:val="0"/>
                <w:sz w:val="14"/>
              </w:rPr>
              <w:t>Large-deviation pipeline and evidence firewall.</w:t>
            </w:r>
          </w:p>
        </w:tc>
        <w:tc>
          <w:tcPr>
            <w:tcW w:type="dxa" w:w="964"/>
            <w:tcMar>
              <w:top w:w="80" w:type="dxa"/>
              <w:start w:w="90" w:type="dxa"/>
              <w:bottom w:w="80" w:type="dxa"/>
              <w:end w:w="90" w:type="dxa"/>
            </w:tcMar>
            <w:vAlign w:val="center"/>
          </w:tcPr>
          <w:p>
            <w:pPr>
              <w:jc w:val="center"/>
            </w:pPr>
            <w:r>
              <w:rPr>
                <w:rFonts w:ascii="Aptos" w:hAnsi="Aptos"/>
                <w:b w:val="0"/>
                <w:sz w:val="14"/>
              </w:rPr>
              <w:t>167</w:t>
            </w:r>
          </w:p>
        </w:tc>
      </w:tr>
      <w:tr>
        <w:tc>
          <w:tcPr>
            <w:tcW w:type="dxa" w:w="1020"/>
            <w:tcMar>
              <w:top w:w="80" w:type="dxa"/>
              <w:start w:w="90" w:type="dxa"/>
              <w:bottom w:w="80" w:type="dxa"/>
              <w:end w:w="90" w:type="dxa"/>
            </w:tcMar>
            <w:vAlign w:val="center"/>
          </w:tcPr>
          <w:p>
            <w:pPr>
              <w:jc w:val="center"/>
            </w:pPr>
            <w:r>
              <w:rPr>
                <w:rFonts w:ascii="Aptos" w:hAnsi="Aptos"/>
                <w:b w:val="0"/>
                <w:i w:val="0"/>
                <w:sz w:val="14"/>
              </w:rPr>
              <w:t>57</w:t>
            </w:r>
          </w:p>
        </w:tc>
        <w:tc>
          <w:tcPr>
            <w:tcW w:type="dxa" w:w="1020"/>
            <w:tcMar>
              <w:top w:w="80" w:type="dxa"/>
              <w:start w:w="90" w:type="dxa"/>
              <w:bottom w:w="80" w:type="dxa"/>
              <w:end w:w="90" w:type="dxa"/>
            </w:tcMar>
            <w:vAlign w:val="center"/>
          </w:tcPr>
          <w:p>
            <w:pPr>
              <w:jc w:val="center"/>
            </w:pPr>
            <w:r>
              <w:rPr>
                <w:rFonts w:ascii="Aptos" w:hAnsi="Aptos"/>
                <w:b w:val="0"/>
                <w:i w:val="0"/>
                <w:sz w:val="14"/>
              </w:rPr>
              <w:t>23</w:t>
            </w:r>
          </w:p>
        </w:tc>
        <w:tc>
          <w:tcPr>
            <w:tcW w:type="dxa" w:w="7370"/>
            <w:tcMar>
              <w:top w:w="80" w:type="dxa"/>
              <w:start w:w="90" w:type="dxa"/>
              <w:bottom w:w="80" w:type="dxa"/>
              <w:end w:w="90" w:type="dxa"/>
            </w:tcMar>
            <w:vAlign w:val="center"/>
          </w:tcPr>
          <w:p>
            <w:pPr>
              <w:jc w:val="left"/>
            </w:pPr>
            <w:r>
              <w:rPr>
                <w:rFonts w:ascii="Aptos" w:hAnsi="Aptos"/>
                <w:b w:val="0"/>
                <w:i w:val="0"/>
                <w:sz w:val="14"/>
              </w:rPr>
              <w:t>Quasipotential barrier and minimum-action path.</w:t>
            </w:r>
          </w:p>
        </w:tc>
        <w:tc>
          <w:tcPr>
            <w:tcW w:type="dxa" w:w="964"/>
            <w:tcMar>
              <w:top w:w="80" w:type="dxa"/>
              <w:start w:w="90" w:type="dxa"/>
              <w:bottom w:w="80" w:type="dxa"/>
              <w:end w:w="90" w:type="dxa"/>
            </w:tcMar>
            <w:vAlign w:val="center"/>
          </w:tcPr>
          <w:p>
            <w:pPr>
              <w:jc w:val="center"/>
            </w:pPr>
            <w:r>
              <w:rPr>
                <w:rFonts w:ascii="Aptos" w:hAnsi="Aptos"/>
                <w:b w:val="0"/>
                <w:sz w:val="14"/>
              </w:rPr>
              <w:t>169</w:t>
            </w:r>
          </w:p>
        </w:tc>
      </w:tr>
      <w:tr>
        <w:tc>
          <w:tcPr>
            <w:tcW w:type="dxa" w:w="1020"/>
            <w:tcMar>
              <w:top w:w="80" w:type="dxa"/>
              <w:start w:w="90" w:type="dxa"/>
              <w:bottom w:w="80" w:type="dxa"/>
              <w:end w:w="90" w:type="dxa"/>
            </w:tcMar>
            <w:vAlign w:val="center"/>
          </w:tcPr>
          <w:p>
            <w:pPr>
              <w:jc w:val="center"/>
            </w:pPr>
            <w:r>
              <w:rPr>
                <w:rFonts w:ascii="Aptos" w:hAnsi="Aptos"/>
                <w:b w:val="0"/>
                <w:i w:val="0"/>
                <w:sz w:val="14"/>
              </w:rPr>
              <w:t>58</w:t>
            </w:r>
          </w:p>
        </w:tc>
        <w:tc>
          <w:tcPr>
            <w:tcW w:type="dxa" w:w="1020"/>
            <w:tcMar>
              <w:top w:w="80" w:type="dxa"/>
              <w:start w:w="90" w:type="dxa"/>
              <w:bottom w:w="80" w:type="dxa"/>
              <w:end w:w="90" w:type="dxa"/>
            </w:tcMar>
            <w:vAlign w:val="center"/>
          </w:tcPr>
          <w:p>
            <w:pPr>
              <w:jc w:val="center"/>
            </w:pPr>
            <w:r>
              <w:rPr>
                <w:rFonts w:ascii="Aptos" w:hAnsi="Aptos"/>
                <w:b w:val="0"/>
                <w:i w:val="0"/>
                <w:sz w:val="14"/>
              </w:rPr>
              <w:t>23</w:t>
            </w:r>
          </w:p>
        </w:tc>
        <w:tc>
          <w:tcPr>
            <w:tcW w:type="dxa" w:w="7370"/>
            <w:tcMar>
              <w:top w:w="80" w:type="dxa"/>
              <w:start w:w="90" w:type="dxa"/>
              <w:bottom w:w="80" w:type="dxa"/>
              <w:end w:w="90" w:type="dxa"/>
            </w:tcMar>
            <w:vAlign w:val="center"/>
          </w:tcPr>
          <w:p>
            <w:pPr>
              <w:jc w:val="left"/>
            </w:pPr>
            <w:r>
              <w:rPr>
                <w:rFonts w:ascii="Aptos" w:hAnsi="Aptos"/>
                <w:b w:val="0"/>
                <w:i w:val="0"/>
                <w:sz w:val="14"/>
              </w:rPr>
              <w:t>Feynman-Kac and risk-sensitive semigroup.</w:t>
            </w:r>
          </w:p>
        </w:tc>
        <w:tc>
          <w:tcPr>
            <w:tcW w:type="dxa" w:w="964"/>
            <w:tcMar>
              <w:top w:w="80" w:type="dxa"/>
              <w:start w:w="90" w:type="dxa"/>
              <w:bottom w:w="80" w:type="dxa"/>
              <w:end w:w="90" w:type="dxa"/>
            </w:tcMar>
            <w:vAlign w:val="center"/>
          </w:tcPr>
          <w:p>
            <w:pPr>
              <w:jc w:val="center"/>
            </w:pPr>
            <w:r>
              <w:rPr>
                <w:rFonts w:ascii="Aptos" w:hAnsi="Aptos"/>
                <w:b w:val="0"/>
                <w:sz w:val="14"/>
              </w:rPr>
              <w:t>170</w:t>
            </w:r>
          </w:p>
        </w:tc>
      </w:tr>
      <w:tr>
        <w:tc>
          <w:tcPr>
            <w:tcW w:type="dxa" w:w="1020"/>
            <w:tcMar>
              <w:top w:w="80" w:type="dxa"/>
              <w:start w:w="90" w:type="dxa"/>
              <w:bottom w:w="80" w:type="dxa"/>
              <w:end w:w="90" w:type="dxa"/>
            </w:tcMar>
            <w:vAlign w:val="center"/>
          </w:tcPr>
          <w:p>
            <w:pPr>
              <w:jc w:val="center"/>
            </w:pPr>
            <w:r>
              <w:rPr>
                <w:rFonts w:ascii="Aptos" w:hAnsi="Aptos"/>
                <w:b w:val="0"/>
                <w:i w:val="0"/>
                <w:sz w:val="14"/>
              </w:rPr>
              <w:t>59</w:t>
            </w:r>
          </w:p>
        </w:tc>
        <w:tc>
          <w:tcPr>
            <w:tcW w:type="dxa" w:w="1020"/>
            <w:tcMar>
              <w:top w:w="80" w:type="dxa"/>
              <w:start w:w="90" w:type="dxa"/>
              <w:bottom w:w="80" w:type="dxa"/>
              <w:end w:w="90" w:type="dxa"/>
            </w:tcMar>
            <w:vAlign w:val="center"/>
          </w:tcPr>
          <w:p>
            <w:pPr>
              <w:jc w:val="center"/>
            </w:pPr>
            <w:r>
              <w:rPr>
                <w:rFonts w:ascii="Aptos" w:hAnsi="Aptos"/>
                <w:b w:val="0"/>
                <w:i w:val="0"/>
                <w:sz w:val="14"/>
              </w:rPr>
              <w:t>23</w:t>
            </w:r>
          </w:p>
        </w:tc>
        <w:tc>
          <w:tcPr>
            <w:tcW w:type="dxa" w:w="7370"/>
            <w:tcMar>
              <w:top w:w="80" w:type="dxa"/>
              <w:start w:w="90" w:type="dxa"/>
              <w:bottom w:w="80" w:type="dxa"/>
              <w:end w:w="90" w:type="dxa"/>
            </w:tcMar>
            <w:vAlign w:val="center"/>
          </w:tcPr>
          <w:p>
            <w:pPr>
              <w:jc w:val="left"/>
            </w:pPr>
            <w:r>
              <w:rPr>
                <w:rFonts w:ascii="Aptos" w:hAnsi="Aptos"/>
                <w:b w:val="0"/>
                <w:i w:val="0"/>
                <w:sz w:val="14"/>
              </w:rPr>
              <w:t>Finite-sample robust rare-risk certificate.</w:t>
            </w:r>
          </w:p>
        </w:tc>
        <w:tc>
          <w:tcPr>
            <w:tcW w:type="dxa" w:w="964"/>
            <w:tcMar>
              <w:top w:w="80" w:type="dxa"/>
              <w:start w:w="90" w:type="dxa"/>
              <w:bottom w:w="80" w:type="dxa"/>
              <w:end w:w="90" w:type="dxa"/>
            </w:tcMar>
            <w:vAlign w:val="center"/>
          </w:tcPr>
          <w:p>
            <w:pPr>
              <w:jc w:val="center"/>
            </w:pPr>
            <w:r>
              <w:rPr>
                <w:rFonts w:ascii="Aptos" w:hAnsi="Aptos"/>
                <w:b w:val="0"/>
                <w:sz w:val="14"/>
              </w:rPr>
              <w:t>173</w:t>
            </w:r>
          </w:p>
        </w:tc>
      </w:tr>
      <w:tr>
        <w:tc>
          <w:tcPr>
            <w:tcW w:type="dxa" w:w="1020"/>
            <w:tcMar>
              <w:top w:w="80" w:type="dxa"/>
              <w:start w:w="90" w:type="dxa"/>
              <w:bottom w:w="80" w:type="dxa"/>
              <w:end w:w="90" w:type="dxa"/>
            </w:tcMar>
            <w:vAlign w:val="center"/>
          </w:tcPr>
          <w:p>
            <w:pPr>
              <w:jc w:val="center"/>
            </w:pPr>
            <w:r>
              <w:rPr>
                <w:rFonts w:ascii="Aptos" w:hAnsi="Aptos"/>
                <w:b w:val="0"/>
                <w:i w:val="0"/>
                <w:sz w:val="14"/>
              </w:rPr>
              <w:t>60</w:t>
            </w:r>
          </w:p>
        </w:tc>
        <w:tc>
          <w:tcPr>
            <w:tcW w:type="dxa" w:w="1020"/>
            <w:tcMar>
              <w:top w:w="80" w:type="dxa"/>
              <w:start w:w="90" w:type="dxa"/>
              <w:bottom w:w="80" w:type="dxa"/>
              <w:end w:w="90" w:type="dxa"/>
            </w:tcMar>
            <w:vAlign w:val="center"/>
          </w:tcPr>
          <w:p>
            <w:pPr>
              <w:jc w:val="center"/>
            </w:pPr>
            <w:r>
              <w:rPr>
                <w:rFonts w:ascii="Aptos" w:hAnsi="Aptos"/>
                <w:b w:val="0"/>
                <w:i w:val="0"/>
                <w:sz w:val="14"/>
              </w:rPr>
              <w:t>24</w:t>
            </w:r>
          </w:p>
        </w:tc>
        <w:tc>
          <w:tcPr>
            <w:tcW w:type="dxa" w:w="7370"/>
            <w:tcMar>
              <w:top w:w="80" w:type="dxa"/>
              <w:start w:w="90" w:type="dxa"/>
              <w:bottom w:w="80" w:type="dxa"/>
              <w:end w:w="90" w:type="dxa"/>
            </w:tcMar>
            <w:vAlign w:val="center"/>
          </w:tcPr>
          <w:p>
            <w:pPr>
              <w:jc w:val="left"/>
            </w:pPr>
            <w:r>
              <w:rPr>
                <w:rFonts w:ascii="Aptos" w:hAnsi="Aptos"/>
                <w:b w:val="0"/>
                <w:i w:val="0"/>
                <w:sz w:val="14"/>
              </w:rPr>
              <w:t>End-to-end KLT-RBD architecture.</w:t>
            </w:r>
          </w:p>
        </w:tc>
        <w:tc>
          <w:tcPr>
            <w:tcW w:type="dxa" w:w="964"/>
            <w:tcMar>
              <w:top w:w="80" w:type="dxa"/>
              <w:start w:w="90" w:type="dxa"/>
              <w:bottom w:w="80" w:type="dxa"/>
              <w:end w:w="90" w:type="dxa"/>
            </w:tcMar>
            <w:vAlign w:val="center"/>
          </w:tcPr>
          <w:p>
            <w:pPr>
              <w:jc w:val="center"/>
            </w:pPr>
            <w:r>
              <w:rPr>
                <w:rFonts w:ascii="Aptos" w:hAnsi="Aptos"/>
                <w:b w:val="0"/>
                <w:sz w:val="14"/>
              </w:rPr>
              <w:t>184</w:t>
            </w:r>
          </w:p>
        </w:tc>
      </w:tr>
      <w:tr>
        <w:tc>
          <w:tcPr>
            <w:tcW w:type="dxa" w:w="1020"/>
            <w:tcMar>
              <w:top w:w="80" w:type="dxa"/>
              <w:start w:w="90" w:type="dxa"/>
              <w:bottom w:w="80" w:type="dxa"/>
              <w:end w:w="90" w:type="dxa"/>
            </w:tcMar>
            <w:vAlign w:val="center"/>
          </w:tcPr>
          <w:p>
            <w:pPr>
              <w:jc w:val="center"/>
            </w:pPr>
            <w:r>
              <w:rPr>
                <w:rFonts w:ascii="Aptos" w:hAnsi="Aptos"/>
                <w:b w:val="0"/>
                <w:i w:val="0"/>
                <w:sz w:val="14"/>
              </w:rPr>
              <w:t>61</w:t>
            </w:r>
          </w:p>
        </w:tc>
        <w:tc>
          <w:tcPr>
            <w:tcW w:type="dxa" w:w="1020"/>
            <w:tcMar>
              <w:top w:w="80" w:type="dxa"/>
              <w:start w:w="90" w:type="dxa"/>
              <w:bottom w:w="80" w:type="dxa"/>
              <w:end w:w="90" w:type="dxa"/>
            </w:tcMar>
            <w:vAlign w:val="center"/>
          </w:tcPr>
          <w:p>
            <w:pPr>
              <w:jc w:val="center"/>
            </w:pPr>
            <w:r>
              <w:rPr>
                <w:rFonts w:ascii="Aptos" w:hAnsi="Aptos"/>
                <w:b w:val="0"/>
                <w:i w:val="0"/>
                <w:sz w:val="14"/>
              </w:rPr>
              <w:t>24</w:t>
            </w:r>
          </w:p>
        </w:tc>
        <w:tc>
          <w:tcPr>
            <w:tcW w:type="dxa" w:w="7370"/>
            <w:tcMar>
              <w:top w:w="80" w:type="dxa"/>
              <w:start w:w="90" w:type="dxa"/>
              <w:bottom w:w="80" w:type="dxa"/>
              <w:end w:w="90" w:type="dxa"/>
            </w:tcMar>
            <w:vAlign w:val="center"/>
          </w:tcPr>
          <w:p>
            <w:pPr>
              <w:jc w:val="left"/>
            </w:pPr>
            <w:r>
              <w:rPr>
                <w:rFonts w:ascii="Aptos" w:hAnsi="Aptos"/>
                <w:b w:val="0"/>
                <w:i w:val="0"/>
                <w:sz w:val="14"/>
              </w:rPr>
              <w:t>Vector budget composition.</w:t>
            </w:r>
          </w:p>
        </w:tc>
        <w:tc>
          <w:tcPr>
            <w:tcW w:type="dxa" w:w="964"/>
            <w:tcMar>
              <w:top w:w="80" w:type="dxa"/>
              <w:start w:w="90" w:type="dxa"/>
              <w:bottom w:w="80" w:type="dxa"/>
              <w:end w:w="90" w:type="dxa"/>
            </w:tcMar>
            <w:vAlign w:val="center"/>
          </w:tcPr>
          <w:p>
            <w:pPr>
              <w:jc w:val="center"/>
            </w:pPr>
            <w:r>
              <w:rPr>
                <w:rFonts w:ascii="Aptos" w:hAnsi="Aptos"/>
                <w:b w:val="0"/>
                <w:sz w:val="14"/>
              </w:rPr>
              <w:t>181</w:t>
            </w:r>
          </w:p>
        </w:tc>
      </w:tr>
      <w:tr>
        <w:tc>
          <w:tcPr>
            <w:tcW w:type="dxa" w:w="1020"/>
            <w:tcMar>
              <w:top w:w="80" w:type="dxa"/>
              <w:start w:w="90" w:type="dxa"/>
              <w:bottom w:w="80" w:type="dxa"/>
              <w:end w:w="90" w:type="dxa"/>
            </w:tcMar>
            <w:vAlign w:val="center"/>
          </w:tcPr>
          <w:p>
            <w:pPr>
              <w:jc w:val="center"/>
            </w:pPr>
            <w:r>
              <w:rPr>
                <w:rFonts w:ascii="Aptos" w:hAnsi="Aptos"/>
                <w:b w:val="0"/>
                <w:i w:val="0"/>
                <w:sz w:val="14"/>
              </w:rPr>
              <w:t>62</w:t>
            </w:r>
          </w:p>
        </w:tc>
        <w:tc>
          <w:tcPr>
            <w:tcW w:type="dxa" w:w="1020"/>
            <w:tcMar>
              <w:top w:w="80" w:type="dxa"/>
              <w:start w:w="90" w:type="dxa"/>
              <w:bottom w:w="80" w:type="dxa"/>
              <w:end w:w="90" w:type="dxa"/>
            </w:tcMar>
            <w:vAlign w:val="center"/>
          </w:tcPr>
          <w:p>
            <w:pPr>
              <w:jc w:val="center"/>
            </w:pPr>
            <w:r>
              <w:rPr>
                <w:rFonts w:ascii="Aptos" w:hAnsi="Aptos"/>
                <w:b w:val="0"/>
                <w:i w:val="0"/>
                <w:sz w:val="14"/>
              </w:rPr>
              <w:t>24</w:t>
            </w:r>
          </w:p>
        </w:tc>
        <w:tc>
          <w:tcPr>
            <w:tcW w:type="dxa" w:w="7370"/>
            <w:tcMar>
              <w:top w:w="80" w:type="dxa"/>
              <w:start w:w="90" w:type="dxa"/>
              <w:bottom w:w="80" w:type="dxa"/>
              <w:end w:w="90" w:type="dxa"/>
            </w:tcMar>
            <w:vAlign w:val="center"/>
          </w:tcPr>
          <w:p>
            <w:pPr>
              <w:jc w:val="left"/>
            </w:pPr>
            <w:r>
              <w:rPr>
                <w:rFonts w:ascii="Aptos" w:hAnsi="Aptos"/>
                <w:b w:val="0"/>
                <w:i w:val="0"/>
                <w:sz w:val="14"/>
              </w:rPr>
              <w:t>Composition in the CertKLT category.</w:t>
            </w:r>
          </w:p>
        </w:tc>
        <w:tc>
          <w:tcPr>
            <w:tcW w:type="dxa" w:w="964"/>
            <w:tcMar>
              <w:top w:w="80" w:type="dxa"/>
              <w:start w:w="90" w:type="dxa"/>
              <w:bottom w:w="80" w:type="dxa"/>
              <w:end w:w="90" w:type="dxa"/>
            </w:tcMar>
            <w:vAlign w:val="center"/>
          </w:tcPr>
          <w:p>
            <w:pPr>
              <w:jc w:val="center"/>
            </w:pPr>
            <w:r>
              <w:rPr>
                <w:rFonts w:ascii="Aptos" w:hAnsi="Aptos"/>
                <w:b w:val="0"/>
                <w:sz w:val="14"/>
              </w:rPr>
              <w:t>180</w:t>
            </w:r>
          </w:p>
        </w:tc>
      </w:tr>
      <w:tr>
        <w:tc>
          <w:tcPr>
            <w:tcW w:type="dxa" w:w="1020"/>
            <w:tcMar>
              <w:top w:w="80" w:type="dxa"/>
              <w:start w:w="90" w:type="dxa"/>
              <w:bottom w:w="80" w:type="dxa"/>
              <w:end w:w="90" w:type="dxa"/>
            </w:tcMar>
            <w:vAlign w:val="center"/>
          </w:tcPr>
          <w:p>
            <w:pPr>
              <w:jc w:val="center"/>
            </w:pPr>
            <w:r>
              <w:rPr>
                <w:rFonts w:ascii="Aptos" w:hAnsi="Aptos"/>
                <w:b w:val="0"/>
                <w:i w:val="0"/>
                <w:sz w:val="14"/>
              </w:rPr>
              <w:t>63</w:t>
            </w:r>
          </w:p>
        </w:tc>
        <w:tc>
          <w:tcPr>
            <w:tcW w:type="dxa" w:w="1020"/>
            <w:tcMar>
              <w:top w:w="80" w:type="dxa"/>
              <w:start w:w="90" w:type="dxa"/>
              <w:bottom w:w="80" w:type="dxa"/>
              <w:end w:w="90" w:type="dxa"/>
            </w:tcMar>
            <w:vAlign w:val="center"/>
          </w:tcPr>
          <w:p>
            <w:pPr>
              <w:jc w:val="center"/>
            </w:pPr>
            <w:r>
              <w:rPr>
                <w:rFonts w:ascii="Aptos" w:hAnsi="Aptos"/>
                <w:b w:val="0"/>
                <w:i w:val="0"/>
                <w:sz w:val="14"/>
              </w:rPr>
              <w:t>24</w:t>
            </w:r>
          </w:p>
        </w:tc>
        <w:tc>
          <w:tcPr>
            <w:tcW w:type="dxa" w:w="7370"/>
            <w:tcMar>
              <w:top w:w="80" w:type="dxa"/>
              <w:start w:w="90" w:type="dxa"/>
              <w:bottom w:w="80" w:type="dxa"/>
              <w:end w:w="90" w:type="dxa"/>
            </w:tcMar>
            <w:vAlign w:val="center"/>
          </w:tcPr>
          <w:p>
            <w:pPr>
              <w:jc w:val="left"/>
            </w:pPr>
            <w:r>
              <w:rPr>
                <w:rFonts w:ascii="Aptos" w:hAnsi="Aptos"/>
                <w:b w:val="0"/>
                <w:i w:val="0"/>
                <w:sz w:val="14"/>
              </w:rPr>
              <w:t>Falsifiability witnesses and release gate.</w:t>
            </w:r>
          </w:p>
        </w:tc>
        <w:tc>
          <w:tcPr>
            <w:tcW w:type="dxa" w:w="964"/>
            <w:tcMar>
              <w:top w:w="80" w:type="dxa"/>
              <w:start w:w="90" w:type="dxa"/>
              <w:bottom w:w="80" w:type="dxa"/>
              <w:end w:w="90" w:type="dxa"/>
            </w:tcMar>
            <w:vAlign w:val="center"/>
          </w:tcPr>
          <w:p>
            <w:pPr>
              <w:jc w:val="center"/>
            </w:pPr>
            <w:r>
              <w:rPr>
                <w:rFonts w:ascii="Aptos" w:hAnsi="Aptos"/>
                <w:b w:val="0"/>
                <w:sz w:val="14"/>
              </w:rPr>
              <w:t>188</w:t>
            </w:r>
          </w:p>
        </w:tc>
      </w:tr>
    </w:tbl>
    <w:p>
      <w:pPr>
        <w:pStyle w:val="Heading2"/>
        <w:keepNext/>
      </w:pPr>
      <w:r>
        <w:rPr>
          <w:rFonts w:ascii="Aptos" w:hAnsi="Aptos"/>
          <w:b/>
          <w:i w:val="0"/>
          <w:color w:val="1F4E78"/>
          <w:sz w:val="24"/>
        </w:rPr>
        <w:t>5. Table Inventory by Chapter and Appendix</w:t>
      </w:r>
    </w:p>
    <w:p>
      <w:pPr>
        <w:spacing w:after="100" w:line="259" w:lineRule="auto"/>
      </w:pPr>
      <w:r>
        <w:rPr>
          <w:rFonts w:ascii="Aptos" w:hAnsi="Aptos"/>
          <w:b w:val="0"/>
          <w:i w:val="0"/>
          <w:sz w:val="19"/>
        </w:rPr>
        <w:t>The inventory records every Word table by document order and assigns it to the nearest preceding chapter or appendix heading. Front-matter and assembly-control tables are separated from scientific tables.</w:t>
      </w:r>
    </w:p>
    <w:tbl>
      <w:tblPr>
        <w:tblStyle w:val="TableGrid"/>
        <w:tblW w:type="auto" w:w="0"/>
        <w:jc w:val="center"/>
        <w:tblLayout w:type="fixed"/>
        <w:tblLook w:firstColumn="1" w:firstRow="1" w:lastColumn="0" w:lastRow="0" w:noHBand="0" w:noVBand="1" w:val="04A0"/>
      </w:tblPr>
      <w:tblGrid>
        <w:gridCol w:w="4989"/>
        <w:gridCol w:w="4989"/>
      </w:tblGrid>
      <w:tr>
        <w:trPr>
          <w:tblHeader w:val="true"/>
        </w:trPr>
        <w:tc>
          <w:tcPr>
            <w:tcW w:type="dxa" w:w="5669"/>
            <w:shd w:fill="1F4E78"/>
            <w:tcMar>
              <w:top w:w="80" w:type="dxa"/>
              <w:start w:w="90" w:type="dxa"/>
              <w:bottom w:w="80" w:type="dxa"/>
              <w:end w:w="90" w:type="dxa"/>
            </w:tcMar>
            <w:vAlign w:val="center"/>
          </w:tcPr>
          <w:p>
            <w:pPr>
              <w:jc w:val="center"/>
            </w:pPr>
            <w:r>
              <w:rPr>
                <w:rFonts w:ascii="Aptos" w:hAnsi="Aptos"/>
                <w:b/>
                <w:i w:val="0"/>
                <w:color w:val="FFFFFF"/>
                <w:sz w:val="16"/>
              </w:rPr>
              <w:t>Section</w:t>
            </w:r>
          </w:p>
        </w:tc>
        <w:tc>
          <w:tcPr>
            <w:tcW w:type="dxa" w:w="1984"/>
            <w:shd w:fill="1F4E78"/>
            <w:tcMar>
              <w:top w:w="80" w:type="dxa"/>
              <w:start w:w="90" w:type="dxa"/>
              <w:bottom w:w="80" w:type="dxa"/>
              <w:end w:w="90" w:type="dxa"/>
            </w:tcMar>
            <w:vAlign w:val="center"/>
          </w:tcPr>
          <w:p>
            <w:pPr>
              <w:jc w:val="center"/>
            </w:pPr>
            <w:r>
              <w:rPr>
                <w:rFonts w:ascii="Aptos" w:hAnsi="Aptos"/>
                <w:b/>
                <w:i w:val="0"/>
                <w:color w:val="FFFFFF"/>
                <w:sz w:val="16"/>
              </w:rPr>
              <w:t>Table count</w:t>
            </w:r>
          </w:p>
        </w:tc>
      </w:tr>
      <w:tr>
        <w:tc>
          <w:tcPr>
            <w:tcW w:type="dxa" w:w="5669"/>
            <w:tcMar>
              <w:top w:w="80" w:type="dxa"/>
              <w:start w:w="90" w:type="dxa"/>
              <w:bottom w:w="80" w:type="dxa"/>
              <w:end w:w="90" w:type="dxa"/>
            </w:tcMar>
            <w:vAlign w:val="center"/>
          </w:tcPr>
          <w:p>
            <w:pPr>
              <w:jc w:val="center"/>
            </w:pPr>
            <w:r>
              <w:rPr>
                <w:rFonts w:ascii="Aptos" w:hAnsi="Aptos"/>
                <w:b w:val="0"/>
                <w:i w:val="0"/>
                <w:sz w:val="16"/>
              </w:rPr>
              <w:t>Front matter</w:t>
            </w:r>
          </w:p>
        </w:tc>
        <w:tc>
          <w:tcPr>
            <w:tcW w:type="dxa" w:w="1984"/>
            <w:tcMar>
              <w:top w:w="80" w:type="dxa"/>
              <w:start w:w="90" w:type="dxa"/>
              <w:bottom w:w="80" w:type="dxa"/>
              <w:end w:w="90" w:type="dxa"/>
            </w:tcMar>
            <w:vAlign w:val="center"/>
          </w:tcPr>
          <w:p>
            <w:pPr>
              <w:jc w:val="center"/>
            </w:pPr>
            <w:r>
              <w:rPr>
                <w:rFonts w:ascii="Aptos" w:hAnsi="Aptos"/>
                <w:b w:val="0"/>
                <w:i w:val="0"/>
                <w:sz w:val="16"/>
              </w:rPr>
              <w:t>5</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1</w:t>
            </w:r>
          </w:p>
        </w:tc>
        <w:tc>
          <w:tcPr>
            <w:tcW w:type="dxa" w:w="1984"/>
            <w:tcMar>
              <w:top w:w="80" w:type="dxa"/>
              <w:start w:w="90" w:type="dxa"/>
              <w:bottom w:w="80" w:type="dxa"/>
              <w:end w:w="90" w:type="dxa"/>
            </w:tcMar>
            <w:vAlign w:val="center"/>
          </w:tcPr>
          <w:p>
            <w:pPr>
              <w:jc w:val="center"/>
            </w:pPr>
            <w:r>
              <w:rPr>
                <w:rFonts w:ascii="Aptos" w:hAnsi="Aptos"/>
                <w:b w:val="0"/>
                <w:i w:val="0"/>
                <w:sz w:val="16"/>
              </w:rPr>
              <w:t>6</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2</w:t>
            </w:r>
          </w:p>
        </w:tc>
        <w:tc>
          <w:tcPr>
            <w:tcW w:type="dxa" w:w="1984"/>
            <w:tcMar>
              <w:top w:w="80" w:type="dxa"/>
              <w:start w:w="90" w:type="dxa"/>
              <w:bottom w:w="80" w:type="dxa"/>
              <w:end w:w="90" w:type="dxa"/>
            </w:tcMar>
            <w:vAlign w:val="center"/>
          </w:tcPr>
          <w:p>
            <w:pPr>
              <w:jc w:val="center"/>
            </w:pPr>
            <w:r>
              <w:rPr>
                <w:rFonts w:ascii="Aptos" w:hAnsi="Aptos"/>
                <w:b w:val="0"/>
                <w:i w:val="0"/>
                <w:sz w:val="16"/>
              </w:rPr>
              <w:t>12</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3</w:t>
            </w:r>
          </w:p>
        </w:tc>
        <w:tc>
          <w:tcPr>
            <w:tcW w:type="dxa" w:w="1984"/>
            <w:tcMar>
              <w:top w:w="80" w:type="dxa"/>
              <w:start w:w="90" w:type="dxa"/>
              <w:bottom w:w="80" w:type="dxa"/>
              <w:end w:w="90" w:type="dxa"/>
            </w:tcMar>
            <w:vAlign w:val="center"/>
          </w:tcPr>
          <w:p>
            <w:pPr>
              <w:jc w:val="center"/>
            </w:pPr>
            <w:r>
              <w:rPr>
                <w:rFonts w:ascii="Aptos" w:hAnsi="Aptos"/>
                <w:b w:val="0"/>
                <w:i w:val="0"/>
                <w:sz w:val="16"/>
              </w:rPr>
              <w:t>25</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4</w:t>
            </w:r>
          </w:p>
        </w:tc>
        <w:tc>
          <w:tcPr>
            <w:tcW w:type="dxa" w:w="1984"/>
            <w:tcMar>
              <w:top w:w="80" w:type="dxa"/>
              <w:start w:w="90" w:type="dxa"/>
              <w:bottom w:w="80" w:type="dxa"/>
              <w:end w:w="90" w:type="dxa"/>
            </w:tcMar>
            <w:vAlign w:val="center"/>
          </w:tcPr>
          <w:p>
            <w:pPr>
              <w:jc w:val="center"/>
            </w:pPr>
            <w:r>
              <w:rPr>
                <w:rFonts w:ascii="Aptos" w:hAnsi="Aptos"/>
                <w:b w:val="0"/>
                <w:i w:val="0"/>
                <w:sz w:val="16"/>
              </w:rPr>
              <w:t>39</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5</w:t>
            </w:r>
          </w:p>
        </w:tc>
        <w:tc>
          <w:tcPr>
            <w:tcW w:type="dxa" w:w="1984"/>
            <w:tcMar>
              <w:top w:w="80" w:type="dxa"/>
              <w:start w:w="90" w:type="dxa"/>
              <w:bottom w:w="80" w:type="dxa"/>
              <w:end w:w="90" w:type="dxa"/>
            </w:tcMar>
            <w:vAlign w:val="center"/>
          </w:tcPr>
          <w:p>
            <w:pPr>
              <w:jc w:val="center"/>
            </w:pPr>
            <w:r>
              <w:rPr>
                <w:rFonts w:ascii="Aptos" w:hAnsi="Aptos"/>
                <w:b w:val="0"/>
                <w:i w:val="0"/>
                <w:sz w:val="16"/>
              </w:rPr>
              <w:t>53</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6</w:t>
            </w:r>
          </w:p>
        </w:tc>
        <w:tc>
          <w:tcPr>
            <w:tcW w:type="dxa" w:w="1984"/>
            <w:tcMar>
              <w:top w:w="80" w:type="dxa"/>
              <w:start w:w="90" w:type="dxa"/>
              <w:bottom w:w="80" w:type="dxa"/>
              <w:end w:w="90" w:type="dxa"/>
            </w:tcMar>
            <w:vAlign w:val="center"/>
          </w:tcPr>
          <w:p>
            <w:pPr>
              <w:jc w:val="center"/>
            </w:pPr>
            <w:r>
              <w:rPr>
                <w:rFonts w:ascii="Aptos" w:hAnsi="Aptos"/>
                <w:b w:val="0"/>
                <w:i w:val="0"/>
                <w:sz w:val="16"/>
              </w:rPr>
              <w:t>80</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7</w:t>
            </w:r>
          </w:p>
        </w:tc>
        <w:tc>
          <w:tcPr>
            <w:tcW w:type="dxa" w:w="1984"/>
            <w:tcMar>
              <w:top w:w="80" w:type="dxa"/>
              <w:start w:w="90" w:type="dxa"/>
              <w:bottom w:w="80" w:type="dxa"/>
              <w:end w:w="90" w:type="dxa"/>
            </w:tcMar>
            <w:vAlign w:val="center"/>
          </w:tcPr>
          <w:p>
            <w:pPr>
              <w:jc w:val="center"/>
            </w:pPr>
            <w:r>
              <w:rPr>
                <w:rFonts w:ascii="Aptos" w:hAnsi="Aptos"/>
                <w:b w:val="0"/>
                <w:i w:val="0"/>
                <w:sz w:val="16"/>
              </w:rPr>
              <w:t>45</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8</w:t>
            </w:r>
          </w:p>
        </w:tc>
        <w:tc>
          <w:tcPr>
            <w:tcW w:type="dxa" w:w="1984"/>
            <w:tcMar>
              <w:top w:w="80" w:type="dxa"/>
              <w:start w:w="90" w:type="dxa"/>
              <w:bottom w:w="80" w:type="dxa"/>
              <w:end w:w="90" w:type="dxa"/>
            </w:tcMar>
            <w:vAlign w:val="center"/>
          </w:tcPr>
          <w:p>
            <w:pPr>
              <w:jc w:val="center"/>
            </w:pPr>
            <w:r>
              <w:rPr>
                <w:rFonts w:ascii="Aptos" w:hAnsi="Aptos"/>
                <w:b w:val="0"/>
                <w:i w:val="0"/>
                <w:sz w:val="16"/>
              </w:rPr>
              <w:t>38</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9</w:t>
            </w:r>
          </w:p>
        </w:tc>
        <w:tc>
          <w:tcPr>
            <w:tcW w:type="dxa" w:w="1984"/>
            <w:tcMar>
              <w:top w:w="80" w:type="dxa"/>
              <w:start w:w="90" w:type="dxa"/>
              <w:bottom w:w="80" w:type="dxa"/>
              <w:end w:w="90" w:type="dxa"/>
            </w:tcMar>
            <w:vAlign w:val="center"/>
          </w:tcPr>
          <w:p>
            <w:pPr>
              <w:jc w:val="center"/>
            </w:pPr>
            <w:r>
              <w:rPr>
                <w:rFonts w:ascii="Aptos" w:hAnsi="Aptos"/>
                <w:b w:val="0"/>
                <w:i w:val="0"/>
                <w:sz w:val="16"/>
              </w:rPr>
              <w:t>50</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10</w:t>
            </w:r>
          </w:p>
        </w:tc>
        <w:tc>
          <w:tcPr>
            <w:tcW w:type="dxa" w:w="1984"/>
            <w:tcMar>
              <w:top w:w="80" w:type="dxa"/>
              <w:start w:w="90" w:type="dxa"/>
              <w:bottom w:w="80" w:type="dxa"/>
              <w:end w:w="90" w:type="dxa"/>
            </w:tcMar>
            <w:vAlign w:val="center"/>
          </w:tcPr>
          <w:p>
            <w:pPr>
              <w:jc w:val="center"/>
            </w:pPr>
            <w:r>
              <w:rPr>
                <w:rFonts w:ascii="Aptos" w:hAnsi="Aptos"/>
                <w:b w:val="0"/>
                <w:i w:val="0"/>
                <w:sz w:val="16"/>
              </w:rPr>
              <w:t>34</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11</w:t>
            </w:r>
          </w:p>
        </w:tc>
        <w:tc>
          <w:tcPr>
            <w:tcW w:type="dxa" w:w="1984"/>
            <w:tcMar>
              <w:top w:w="80" w:type="dxa"/>
              <w:start w:w="90" w:type="dxa"/>
              <w:bottom w:w="80" w:type="dxa"/>
              <w:end w:w="90" w:type="dxa"/>
            </w:tcMar>
            <w:vAlign w:val="center"/>
          </w:tcPr>
          <w:p>
            <w:pPr>
              <w:jc w:val="center"/>
            </w:pPr>
            <w:r>
              <w:rPr>
                <w:rFonts w:ascii="Aptos" w:hAnsi="Aptos"/>
                <w:b w:val="0"/>
                <w:i w:val="0"/>
                <w:sz w:val="16"/>
              </w:rPr>
              <w:t>21</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12</w:t>
            </w:r>
          </w:p>
        </w:tc>
        <w:tc>
          <w:tcPr>
            <w:tcW w:type="dxa" w:w="1984"/>
            <w:tcMar>
              <w:top w:w="80" w:type="dxa"/>
              <w:start w:w="90" w:type="dxa"/>
              <w:bottom w:w="80" w:type="dxa"/>
              <w:end w:w="90" w:type="dxa"/>
            </w:tcMar>
            <w:vAlign w:val="center"/>
          </w:tcPr>
          <w:p>
            <w:pPr>
              <w:jc w:val="center"/>
            </w:pPr>
            <w:r>
              <w:rPr>
                <w:rFonts w:ascii="Aptos" w:hAnsi="Aptos"/>
                <w:b w:val="0"/>
                <w:i w:val="0"/>
                <w:sz w:val="16"/>
              </w:rPr>
              <w:t>33</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13</w:t>
            </w:r>
          </w:p>
        </w:tc>
        <w:tc>
          <w:tcPr>
            <w:tcW w:type="dxa" w:w="1984"/>
            <w:tcMar>
              <w:top w:w="80" w:type="dxa"/>
              <w:start w:w="90" w:type="dxa"/>
              <w:bottom w:w="80" w:type="dxa"/>
              <w:end w:w="90" w:type="dxa"/>
            </w:tcMar>
            <w:vAlign w:val="center"/>
          </w:tcPr>
          <w:p>
            <w:pPr>
              <w:jc w:val="center"/>
            </w:pPr>
            <w:r>
              <w:rPr>
                <w:rFonts w:ascii="Aptos" w:hAnsi="Aptos"/>
                <w:b w:val="0"/>
                <w:i w:val="0"/>
                <w:sz w:val="16"/>
              </w:rPr>
              <w:t>49</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14</w:t>
            </w:r>
          </w:p>
        </w:tc>
        <w:tc>
          <w:tcPr>
            <w:tcW w:type="dxa" w:w="1984"/>
            <w:tcMar>
              <w:top w:w="80" w:type="dxa"/>
              <w:start w:w="90" w:type="dxa"/>
              <w:bottom w:w="80" w:type="dxa"/>
              <w:end w:w="90" w:type="dxa"/>
            </w:tcMar>
            <w:vAlign w:val="center"/>
          </w:tcPr>
          <w:p>
            <w:pPr>
              <w:jc w:val="center"/>
            </w:pPr>
            <w:r>
              <w:rPr>
                <w:rFonts w:ascii="Aptos" w:hAnsi="Aptos"/>
                <w:b w:val="0"/>
                <w:i w:val="0"/>
                <w:sz w:val="16"/>
              </w:rPr>
              <w:t>38</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15</w:t>
            </w:r>
          </w:p>
        </w:tc>
        <w:tc>
          <w:tcPr>
            <w:tcW w:type="dxa" w:w="1984"/>
            <w:tcMar>
              <w:top w:w="80" w:type="dxa"/>
              <w:start w:w="90" w:type="dxa"/>
              <w:bottom w:w="80" w:type="dxa"/>
              <w:end w:w="90" w:type="dxa"/>
            </w:tcMar>
            <w:vAlign w:val="center"/>
          </w:tcPr>
          <w:p>
            <w:pPr>
              <w:jc w:val="center"/>
            </w:pPr>
            <w:r>
              <w:rPr>
                <w:rFonts w:ascii="Aptos" w:hAnsi="Aptos"/>
                <w:b w:val="0"/>
                <w:i w:val="0"/>
                <w:sz w:val="16"/>
              </w:rPr>
              <w:t>46</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16</w:t>
            </w:r>
          </w:p>
        </w:tc>
        <w:tc>
          <w:tcPr>
            <w:tcW w:type="dxa" w:w="1984"/>
            <w:tcMar>
              <w:top w:w="80" w:type="dxa"/>
              <w:start w:w="90" w:type="dxa"/>
              <w:bottom w:w="80" w:type="dxa"/>
              <w:end w:w="90" w:type="dxa"/>
            </w:tcMar>
            <w:vAlign w:val="center"/>
          </w:tcPr>
          <w:p>
            <w:pPr>
              <w:jc w:val="center"/>
            </w:pPr>
            <w:r>
              <w:rPr>
                <w:rFonts w:ascii="Aptos" w:hAnsi="Aptos"/>
                <w:b w:val="0"/>
                <w:i w:val="0"/>
                <w:sz w:val="16"/>
              </w:rPr>
              <w:t>45</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17</w:t>
            </w:r>
          </w:p>
        </w:tc>
        <w:tc>
          <w:tcPr>
            <w:tcW w:type="dxa" w:w="1984"/>
            <w:tcMar>
              <w:top w:w="80" w:type="dxa"/>
              <w:start w:w="90" w:type="dxa"/>
              <w:bottom w:w="80" w:type="dxa"/>
              <w:end w:w="90" w:type="dxa"/>
            </w:tcMar>
            <w:vAlign w:val="center"/>
          </w:tcPr>
          <w:p>
            <w:pPr>
              <w:jc w:val="center"/>
            </w:pPr>
            <w:r>
              <w:rPr>
                <w:rFonts w:ascii="Aptos" w:hAnsi="Aptos"/>
                <w:b w:val="0"/>
                <w:i w:val="0"/>
                <w:sz w:val="16"/>
              </w:rPr>
              <w:t>31</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18</w:t>
            </w:r>
          </w:p>
        </w:tc>
        <w:tc>
          <w:tcPr>
            <w:tcW w:type="dxa" w:w="1984"/>
            <w:tcMar>
              <w:top w:w="80" w:type="dxa"/>
              <w:start w:w="90" w:type="dxa"/>
              <w:bottom w:w="80" w:type="dxa"/>
              <w:end w:w="90" w:type="dxa"/>
            </w:tcMar>
            <w:vAlign w:val="center"/>
          </w:tcPr>
          <w:p>
            <w:pPr>
              <w:jc w:val="center"/>
            </w:pPr>
            <w:r>
              <w:rPr>
                <w:rFonts w:ascii="Aptos" w:hAnsi="Aptos"/>
                <w:b w:val="0"/>
                <w:i w:val="0"/>
                <w:sz w:val="16"/>
              </w:rPr>
              <w:t>34</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19</w:t>
            </w:r>
          </w:p>
        </w:tc>
        <w:tc>
          <w:tcPr>
            <w:tcW w:type="dxa" w:w="1984"/>
            <w:tcMar>
              <w:top w:w="80" w:type="dxa"/>
              <w:start w:w="90" w:type="dxa"/>
              <w:bottom w:w="80" w:type="dxa"/>
              <w:end w:w="90" w:type="dxa"/>
            </w:tcMar>
            <w:vAlign w:val="center"/>
          </w:tcPr>
          <w:p>
            <w:pPr>
              <w:jc w:val="center"/>
            </w:pPr>
            <w:r>
              <w:rPr>
                <w:rFonts w:ascii="Aptos" w:hAnsi="Aptos"/>
                <w:b w:val="0"/>
                <w:i w:val="0"/>
                <w:sz w:val="16"/>
              </w:rPr>
              <w:t>33</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20</w:t>
            </w:r>
          </w:p>
        </w:tc>
        <w:tc>
          <w:tcPr>
            <w:tcW w:type="dxa" w:w="1984"/>
            <w:tcMar>
              <w:top w:w="80" w:type="dxa"/>
              <w:start w:w="90" w:type="dxa"/>
              <w:bottom w:w="80" w:type="dxa"/>
              <w:end w:w="90" w:type="dxa"/>
            </w:tcMar>
            <w:vAlign w:val="center"/>
          </w:tcPr>
          <w:p>
            <w:pPr>
              <w:jc w:val="center"/>
            </w:pPr>
            <w:r>
              <w:rPr>
                <w:rFonts w:ascii="Aptos" w:hAnsi="Aptos"/>
                <w:b w:val="0"/>
                <w:i w:val="0"/>
                <w:sz w:val="16"/>
              </w:rPr>
              <w:t>38</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21</w:t>
            </w:r>
          </w:p>
        </w:tc>
        <w:tc>
          <w:tcPr>
            <w:tcW w:type="dxa" w:w="1984"/>
            <w:tcMar>
              <w:top w:w="80" w:type="dxa"/>
              <w:start w:w="90" w:type="dxa"/>
              <w:bottom w:w="80" w:type="dxa"/>
              <w:end w:w="90" w:type="dxa"/>
            </w:tcMar>
            <w:vAlign w:val="center"/>
          </w:tcPr>
          <w:p>
            <w:pPr>
              <w:jc w:val="center"/>
            </w:pPr>
            <w:r>
              <w:rPr>
                <w:rFonts w:ascii="Aptos" w:hAnsi="Aptos"/>
                <w:b w:val="0"/>
                <w:i w:val="0"/>
                <w:sz w:val="16"/>
              </w:rPr>
              <w:t>36</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22</w:t>
            </w:r>
          </w:p>
        </w:tc>
        <w:tc>
          <w:tcPr>
            <w:tcW w:type="dxa" w:w="1984"/>
            <w:tcMar>
              <w:top w:w="80" w:type="dxa"/>
              <w:start w:w="90" w:type="dxa"/>
              <w:bottom w:w="80" w:type="dxa"/>
              <w:end w:w="90" w:type="dxa"/>
            </w:tcMar>
            <w:vAlign w:val="center"/>
          </w:tcPr>
          <w:p>
            <w:pPr>
              <w:jc w:val="center"/>
            </w:pPr>
            <w:r>
              <w:rPr>
                <w:rFonts w:ascii="Aptos" w:hAnsi="Aptos"/>
                <w:b w:val="0"/>
                <w:i w:val="0"/>
                <w:sz w:val="16"/>
              </w:rPr>
              <w:t>37</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23</w:t>
            </w:r>
          </w:p>
        </w:tc>
        <w:tc>
          <w:tcPr>
            <w:tcW w:type="dxa" w:w="1984"/>
            <w:tcMar>
              <w:top w:w="80" w:type="dxa"/>
              <w:start w:w="90" w:type="dxa"/>
              <w:bottom w:w="80" w:type="dxa"/>
              <w:end w:w="90" w:type="dxa"/>
            </w:tcMar>
            <w:vAlign w:val="center"/>
          </w:tcPr>
          <w:p>
            <w:pPr>
              <w:jc w:val="center"/>
            </w:pPr>
            <w:r>
              <w:rPr>
                <w:rFonts w:ascii="Aptos" w:hAnsi="Aptos"/>
                <w:b w:val="0"/>
                <w:i w:val="0"/>
                <w:sz w:val="16"/>
              </w:rPr>
              <w:t>50</w:t>
            </w:r>
          </w:p>
        </w:tc>
      </w:tr>
      <w:tr>
        <w:tc>
          <w:tcPr>
            <w:tcW w:type="dxa" w:w="5669"/>
            <w:tcMar>
              <w:top w:w="80" w:type="dxa"/>
              <w:start w:w="90" w:type="dxa"/>
              <w:bottom w:w="80" w:type="dxa"/>
              <w:end w:w="90" w:type="dxa"/>
            </w:tcMar>
            <w:vAlign w:val="center"/>
          </w:tcPr>
          <w:p>
            <w:pPr>
              <w:jc w:val="center"/>
            </w:pPr>
            <w:r>
              <w:rPr>
                <w:rFonts w:ascii="Aptos" w:hAnsi="Aptos"/>
                <w:b w:val="0"/>
                <w:i w:val="0"/>
                <w:sz w:val="16"/>
              </w:rPr>
              <w:t>Chapter 24</w:t>
            </w:r>
          </w:p>
        </w:tc>
        <w:tc>
          <w:tcPr>
            <w:tcW w:type="dxa" w:w="1984"/>
            <w:tcMar>
              <w:top w:w="80" w:type="dxa"/>
              <w:start w:w="90" w:type="dxa"/>
              <w:bottom w:w="80" w:type="dxa"/>
              <w:end w:w="90" w:type="dxa"/>
            </w:tcMar>
            <w:vAlign w:val="center"/>
          </w:tcPr>
          <w:p>
            <w:pPr>
              <w:jc w:val="center"/>
            </w:pPr>
            <w:r>
              <w:rPr>
                <w:rFonts w:ascii="Aptos" w:hAnsi="Aptos"/>
                <w:b w:val="0"/>
                <w:i w:val="0"/>
                <w:sz w:val="16"/>
              </w:rPr>
              <w:t>45</w:t>
            </w:r>
          </w:p>
        </w:tc>
      </w:tr>
      <w:tr>
        <w:tc>
          <w:tcPr>
            <w:tcW w:type="dxa" w:w="5669"/>
            <w:tcMar>
              <w:top w:w="80" w:type="dxa"/>
              <w:start w:w="90" w:type="dxa"/>
              <w:bottom w:w="80" w:type="dxa"/>
              <w:end w:w="90" w:type="dxa"/>
            </w:tcMar>
            <w:vAlign w:val="center"/>
          </w:tcPr>
          <w:p>
            <w:pPr>
              <w:jc w:val="center"/>
            </w:pPr>
            <w:r>
              <w:rPr>
                <w:rFonts w:ascii="Aptos" w:hAnsi="Aptos"/>
                <w:b w:val="0"/>
                <w:i w:val="0"/>
                <w:sz w:val="16"/>
              </w:rPr>
              <w:t>Appendix T2-A</w:t>
            </w:r>
          </w:p>
        </w:tc>
        <w:tc>
          <w:tcPr>
            <w:tcW w:type="dxa" w:w="1984"/>
            <w:tcMar>
              <w:top w:w="80" w:type="dxa"/>
              <w:start w:w="90" w:type="dxa"/>
              <w:bottom w:w="80" w:type="dxa"/>
              <w:end w:w="90" w:type="dxa"/>
            </w:tcMar>
            <w:vAlign w:val="center"/>
          </w:tcPr>
          <w:p>
            <w:pPr>
              <w:jc w:val="center"/>
            </w:pPr>
            <w:r>
              <w:rPr>
                <w:rFonts w:ascii="Aptos" w:hAnsi="Aptos"/>
                <w:b w:val="0"/>
                <w:i w:val="0"/>
                <w:sz w:val="16"/>
              </w:rPr>
              <w:t>2</w:t>
            </w:r>
          </w:p>
        </w:tc>
      </w:tr>
      <w:tr>
        <w:tc>
          <w:tcPr>
            <w:tcW w:type="dxa" w:w="5669"/>
            <w:tcMar>
              <w:top w:w="80" w:type="dxa"/>
              <w:start w:w="90" w:type="dxa"/>
              <w:bottom w:w="80" w:type="dxa"/>
              <w:end w:w="90" w:type="dxa"/>
            </w:tcMar>
            <w:vAlign w:val="center"/>
          </w:tcPr>
          <w:p>
            <w:pPr>
              <w:jc w:val="center"/>
            </w:pPr>
            <w:r>
              <w:rPr>
                <w:rFonts w:ascii="Aptos" w:hAnsi="Aptos"/>
                <w:b w:val="0"/>
                <w:i w:val="0"/>
                <w:sz w:val="16"/>
              </w:rPr>
              <w:t>Appendix T2-B</w:t>
            </w:r>
          </w:p>
        </w:tc>
        <w:tc>
          <w:tcPr>
            <w:tcW w:type="dxa" w:w="1984"/>
            <w:tcMar>
              <w:top w:w="80" w:type="dxa"/>
              <w:start w:w="90" w:type="dxa"/>
              <w:bottom w:w="80" w:type="dxa"/>
              <w:end w:w="90" w:type="dxa"/>
            </w:tcMar>
            <w:vAlign w:val="center"/>
          </w:tcPr>
          <w:p>
            <w:pPr>
              <w:jc w:val="center"/>
            </w:pPr>
            <w:r>
              <w:rPr>
                <w:rFonts w:ascii="Aptos" w:hAnsi="Aptos"/>
                <w:b w:val="0"/>
                <w:i w:val="0"/>
                <w:sz w:val="16"/>
              </w:rPr>
              <w:t>2</w:t>
            </w:r>
          </w:p>
        </w:tc>
      </w:tr>
      <w:tr>
        <w:tc>
          <w:tcPr>
            <w:tcW w:type="dxa" w:w="5669"/>
            <w:tcMar>
              <w:top w:w="80" w:type="dxa"/>
              <w:start w:w="90" w:type="dxa"/>
              <w:bottom w:w="80" w:type="dxa"/>
              <w:end w:w="90" w:type="dxa"/>
            </w:tcMar>
            <w:vAlign w:val="center"/>
          </w:tcPr>
          <w:p>
            <w:pPr>
              <w:jc w:val="center"/>
            </w:pPr>
            <w:r>
              <w:rPr>
                <w:rFonts w:ascii="Aptos" w:hAnsi="Aptos"/>
                <w:b w:val="0"/>
                <w:i w:val="0"/>
                <w:sz w:val="16"/>
              </w:rPr>
              <w:t>Appendix T2-C</w:t>
            </w:r>
          </w:p>
        </w:tc>
        <w:tc>
          <w:tcPr>
            <w:tcW w:type="dxa" w:w="1984"/>
            <w:tcMar>
              <w:top w:w="80" w:type="dxa"/>
              <w:start w:w="90" w:type="dxa"/>
              <w:bottom w:w="80" w:type="dxa"/>
              <w:end w:w="90" w:type="dxa"/>
            </w:tcMar>
            <w:vAlign w:val="center"/>
          </w:tcPr>
          <w:p>
            <w:pPr>
              <w:jc w:val="center"/>
            </w:pPr>
            <w:r>
              <w:rPr>
                <w:rFonts w:ascii="Aptos" w:hAnsi="Aptos"/>
                <w:b w:val="0"/>
                <w:i w:val="0"/>
                <w:sz w:val="16"/>
              </w:rPr>
              <w:t>2</w:t>
            </w:r>
          </w:p>
        </w:tc>
      </w:tr>
      <w:tr>
        <w:tc>
          <w:tcPr>
            <w:tcW w:type="dxa" w:w="5669"/>
            <w:tcMar>
              <w:top w:w="80" w:type="dxa"/>
              <w:start w:w="90" w:type="dxa"/>
              <w:bottom w:w="80" w:type="dxa"/>
              <w:end w:w="90" w:type="dxa"/>
            </w:tcMar>
            <w:vAlign w:val="center"/>
          </w:tcPr>
          <w:p>
            <w:pPr>
              <w:jc w:val="center"/>
            </w:pPr>
            <w:r>
              <w:rPr>
                <w:rFonts w:ascii="Aptos" w:hAnsi="Aptos"/>
                <w:b w:val="0"/>
                <w:i w:val="0"/>
                <w:sz w:val="16"/>
              </w:rPr>
              <w:t>Appendix T2-D</w:t>
            </w:r>
          </w:p>
        </w:tc>
        <w:tc>
          <w:tcPr>
            <w:tcW w:type="dxa" w:w="1984"/>
            <w:tcMar>
              <w:top w:w="80" w:type="dxa"/>
              <w:start w:w="90" w:type="dxa"/>
              <w:bottom w:w="80" w:type="dxa"/>
              <w:end w:w="90" w:type="dxa"/>
            </w:tcMar>
            <w:vAlign w:val="center"/>
          </w:tcPr>
          <w:p>
            <w:pPr>
              <w:jc w:val="center"/>
            </w:pPr>
            <w:r>
              <w:rPr>
                <w:rFonts w:ascii="Aptos" w:hAnsi="Aptos"/>
                <w:b w:val="0"/>
                <w:i w:val="0"/>
                <w:sz w:val="16"/>
              </w:rPr>
              <w:t>2</w:t>
            </w:r>
          </w:p>
        </w:tc>
      </w:tr>
      <w:tr>
        <w:tc>
          <w:tcPr>
            <w:tcW w:type="dxa" w:w="5669"/>
            <w:tcMar>
              <w:top w:w="80" w:type="dxa"/>
              <w:start w:w="90" w:type="dxa"/>
              <w:bottom w:w="80" w:type="dxa"/>
              <w:end w:w="90" w:type="dxa"/>
            </w:tcMar>
            <w:vAlign w:val="center"/>
          </w:tcPr>
          <w:p>
            <w:pPr>
              <w:jc w:val="center"/>
            </w:pPr>
            <w:r>
              <w:rPr>
                <w:rFonts w:ascii="Aptos" w:hAnsi="Aptos"/>
                <w:b w:val="0"/>
                <w:i w:val="0"/>
                <w:sz w:val="16"/>
              </w:rPr>
              <w:t>Appendix T2-E</w:t>
            </w:r>
          </w:p>
        </w:tc>
        <w:tc>
          <w:tcPr>
            <w:tcW w:type="dxa" w:w="1984"/>
            <w:tcMar>
              <w:top w:w="80" w:type="dxa"/>
              <w:start w:w="90" w:type="dxa"/>
              <w:bottom w:w="80" w:type="dxa"/>
              <w:end w:w="90" w:type="dxa"/>
            </w:tcMar>
            <w:vAlign w:val="center"/>
          </w:tcPr>
          <w:p>
            <w:pPr>
              <w:jc w:val="center"/>
            </w:pPr>
            <w:r>
              <w:rPr>
                <w:rFonts w:ascii="Aptos" w:hAnsi="Aptos"/>
                <w:b w:val="0"/>
                <w:i w:val="0"/>
                <w:sz w:val="16"/>
              </w:rPr>
              <w:t>3</w:t>
            </w:r>
          </w:p>
        </w:tc>
      </w:tr>
      <w:tr>
        <w:tc>
          <w:tcPr>
            <w:tcW w:type="dxa" w:w="5669"/>
            <w:tcMar>
              <w:top w:w="80" w:type="dxa"/>
              <w:start w:w="90" w:type="dxa"/>
              <w:bottom w:w="80" w:type="dxa"/>
              <w:end w:w="90" w:type="dxa"/>
            </w:tcMar>
            <w:vAlign w:val="center"/>
          </w:tcPr>
          <w:p>
            <w:pPr>
              <w:jc w:val="center"/>
            </w:pPr>
            <w:r>
              <w:rPr>
                <w:rFonts w:ascii="Aptos" w:hAnsi="Aptos"/>
                <w:b w:val="0"/>
                <w:i w:val="0"/>
                <w:sz w:val="16"/>
              </w:rPr>
              <w:t>Assembly layer</w:t>
            </w:r>
          </w:p>
        </w:tc>
        <w:tc>
          <w:tcPr>
            <w:tcW w:type="dxa" w:w="1984"/>
            <w:tcMar>
              <w:top w:w="80" w:type="dxa"/>
              <w:start w:w="90" w:type="dxa"/>
              <w:bottom w:w="80" w:type="dxa"/>
              <w:end w:w="90" w:type="dxa"/>
            </w:tcMar>
            <w:vAlign w:val="center"/>
          </w:tcPr>
          <w:p>
            <w:pPr>
              <w:jc w:val="center"/>
            </w:pPr>
            <w:r>
              <w:rPr>
                <w:rFonts w:ascii="Aptos" w:hAnsi="Aptos"/>
                <w:b w:val="0"/>
                <w:i w:val="0"/>
                <w:sz w:val="16"/>
              </w:rPr>
              <w:t>4</w:t>
            </w:r>
          </w:p>
        </w:tc>
      </w:tr>
    </w:tbl>
    <w:p>
      <w:pPr>
        <w:pStyle w:val="Heading2"/>
        <w:keepNext/>
      </w:pPr>
      <w:r>
        <w:rPr>
          <w:rFonts w:ascii="Aptos" w:hAnsi="Aptos"/>
          <w:b/>
          <w:i w:val="0"/>
          <w:color w:val="1F4E78"/>
          <w:sz w:val="24"/>
        </w:rPr>
        <w:t>6. Consolidated Bibliography and Source-Card Ledger</w:t>
      </w:r>
    </w:p>
    <w:p>
      <w:pPr>
        <w:spacing w:after="100" w:line="259" w:lineRule="auto"/>
      </w:pPr>
      <w:r>
        <w:rPr>
          <w:rFonts w:ascii="Aptos" w:hAnsi="Aptos"/>
          <w:b w:val="0"/>
          <w:i w:val="0"/>
          <w:sz w:val="19"/>
        </w:rPr>
        <w:t>The unified bibliography contains 144 versioned source records extracted from the frozen Russian authority, supplemented by the seven core references already embedded in the English algebraic chapters. Original-language internal titles are retained as source-identification data.</w:t>
      </w:r>
    </w:p>
    <w:tbl>
      <w:tblPr>
        <w:tblStyle w:val="TableGrid"/>
        <w:tblW w:type="auto" w:w="0"/>
        <w:jc w:val="center"/>
        <w:tblLayout w:type="fixed"/>
        <w:tblLook w:firstColumn="1" w:firstRow="1" w:lastColumn="0" w:lastRow="0" w:noHBand="0" w:noVBand="1" w:val="04A0"/>
      </w:tblPr>
      <w:tblGrid>
        <w:gridCol w:w="4989"/>
        <w:gridCol w:w="4989"/>
      </w:tblGrid>
      <w:tr>
        <w:trPr>
          <w:tblHeader w:val="true"/>
        </w:trPr>
        <w:tc>
          <w:tcPr>
            <w:tcW w:type="dxa" w:w="1587"/>
            <w:shd w:fill="1F4E78"/>
            <w:tcMar>
              <w:top w:w="80" w:type="dxa"/>
              <w:start w:w="90" w:type="dxa"/>
              <w:bottom w:w="80" w:type="dxa"/>
              <w:end w:w="90" w:type="dxa"/>
            </w:tcMar>
            <w:vAlign w:val="center"/>
          </w:tcPr>
          <w:p>
            <w:pPr>
              <w:jc w:val="center"/>
            </w:pPr>
            <w:r>
              <w:rPr>
                <w:rFonts w:ascii="Aptos" w:hAnsi="Aptos"/>
                <w:b/>
                <w:i w:val="0"/>
                <w:color w:val="FFFFFF"/>
                <w:sz w:val="14"/>
              </w:rPr>
              <w:t>ID</w:t>
            </w:r>
          </w:p>
        </w:tc>
        <w:tc>
          <w:tcPr>
            <w:tcW w:type="dxa" w:w="8617"/>
            <w:shd w:fill="1F4E78"/>
            <w:tcMar>
              <w:top w:w="80" w:type="dxa"/>
              <w:start w:w="90" w:type="dxa"/>
              <w:bottom w:w="80" w:type="dxa"/>
              <w:end w:w="90" w:type="dxa"/>
            </w:tcMar>
            <w:vAlign w:val="center"/>
          </w:tcPr>
          <w:p>
            <w:pPr>
              <w:jc w:val="center"/>
            </w:pPr>
            <w:r>
              <w:rPr>
                <w:rFonts w:ascii="Aptos" w:hAnsi="Aptos"/>
                <w:b/>
                <w:i w:val="0"/>
                <w:color w:val="FFFFFF"/>
                <w:sz w:val="14"/>
              </w:rPr>
              <w:t>Bibliographic record</w:t>
            </w:r>
          </w:p>
        </w:tc>
      </w:tr>
      <w:tr>
        <w:tc>
          <w:tcPr>
            <w:tcW w:type="dxa" w:w="1587"/>
            <w:tcMar>
              <w:top w:w="80" w:type="dxa"/>
              <w:start w:w="90" w:type="dxa"/>
              <w:bottom w:w="80" w:type="dxa"/>
              <w:end w:w="90" w:type="dxa"/>
            </w:tcMar>
            <w:vAlign w:val="center"/>
          </w:tcPr>
          <w:p>
            <w:pPr>
              <w:jc w:val="center"/>
            </w:pPr>
            <w:r>
              <w:rPr>
                <w:rFonts w:ascii="Aptos" w:hAnsi="Aptos"/>
                <w:b w:val="0"/>
                <w:i w:val="0"/>
                <w:sz w:val="14"/>
              </w:rPr>
              <w:t>V0.5-1</w:t>
            </w:r>
          </w:p>
        </w:tc>
        <w:tc>
          <w:tcPr>
            <w:tcW w:type="dxa" w:w="8617"/>
            <w:tcMar>
              <w:top w:w="80" w:type="dxa"/>
              <w:start w:w="90" w:type="dxa"/>
              <w:bottom w:w="80" w:type="dxa"/>
              <w:end w:w="90" w:type="dxa"/>
            </w:tcMar>
            <w:vAlign w:val="center"/>
          </w:tcPr>
          <w:p>
            <w:pPr>
              <w:jc w:val="left"/>
            </w:pPr>
            <w:r>
              <w:rPr>
                <w:rFonts w:ascii="Aptos" w:hAnsi="Aptos"/>
                <w:b w:val="0"/>
                <w:i w:val="0"/>
                <w:sz w:val="14"/>
              </w:rPr>
              <w:t>Steenrod, N. E. The Topology of Fibre Bundles. Princeton Mathematical Series 14. Princeton University Press, 1951.</w:t>
            </w:r>
          </w:p>
        </w:tc>
      </w:tr>
      <w:tr>
        <w:tc>
          <w:tcPr>
            <w:tcW w:type="dxa" w:w="1587"/>
            <w:tcMar>
              <w:top w:w="80" w:type="dxa"/>
              <w:start w:w="90" w:type="dxa"/>
              <w:bottom w:w="80" w:type="dxa"/>
              <w:end w:w="90" w:type="dxa"/>
            </w:tcMar>
            <w:vAlign w:val="center"/>
          </w:tcPr>
          <w:p>
            <w:pPr>
              <w:jc w:val="center"/>
            </w:pPr>
            <w:r>
              <w:rPr>
                <w:rFonts w:ascii="Aptos" w:hAnsi="Aptos"/>
                <w:b w:val="0"/>
                <w:i w:val="0"/>
                <w:sz w:val="14"/>
              </w:rPr>
              <w:t>V0.5-2</w:t>
            </w:r>
          </w:p>
        </w:tc>
        <w:tc>
          <w:tcPr>
            <w:tcW w:type="dxa" w:w="8617"/>
            <w:tcMar>
              <w:top w:w="80" w:type="dxa"/>
              <w:start w:w="90" w:type="dxa"/>
              <w:bottom w:w="80" w:type="dxa"/>
              <w:end w:w="90" w:type="dxa"/>
            </w:tcMar>
            <w:vAlign w:val="center"/>
          </w:tcPr>
          <w:p>
            <w:pPr>
              <w:jc w:val="left"/>
            </w:pPr>
            <w:r>
              <w:rPr>
                <w:rFonts w:ascii="Aptos" w:hAnsi="Aptos"/>
                <w:b w:val="0"/>
                <w:i w:val="0"/>
                <w:sz w:val="14"/>
              </w:rPr>
              <w:t>Husemoller, D. Fibre Bundles. 3rd ed. Graduate Texts in Mathematics 20. Springer, 1994.</w:t>
            </w:r>
          </w:p>
        </w:tc>
      </w:tr>
      <w:tr>
        <w:tc>
          <w:tcPr>
            <w:tcW w:type="dxa" w:w="1587"/>
            <w:tcMar>
              <w:top w:w="80" w:type="dxa"/>
              <w:start w:w="90" w:type="dxa"/>
              <w:bottom w:w="80" w:type="dxa"/>
              <w:end w:w="90" w:type="dxa"/>
            </w:tcMar>
            <w:vAlign w:val="center"/>
          </w:tcPr>
          <w:p>
            <w:pPr>
              <w:jc w:val="center"/>
            </w:pPr>
            <w:r>
              <w:rPr>
                <w:rFonts w:ascii="Aptos" w:hAnsi="Aptos"/>
                <w:b w:val="0"/>
                <w:i w:val="0"/>
                <w:sz w:val="14"/>
              </w:rPr>
              <w:t>V0.5-3</w:t>
            </w:r>
          </w:p>
        </w:tc>
        <w:tc>
          <w:tcPr>
            <w:tcW w:type="dxa" w:w="8617"/>
            <w:tcMar>
              <w:top w:w="80" w:type="dxa"/>
              <w:start w:w="90" w:type="dxa"/>
              <w:bottom w:w="80" w:type="dxa"/>
              <w:end w:w="90" w:type="dxa"/>
            </w:tcMar>
            <w:vAlign w:val="center"/>
          </w:tcPr>
          <w:p>
            <w:pPr>
              <w:jc w:val="left"/>
            </w:pPr>
            <w:r>
              <w:rPr>
                <w:rFonts w:ascii="Aptos" w:hAnsi="Aptos"/>
                <w:b w:val="0"/>
                <w:i w:val="0"/>
                <w:sz w:val="14"/>
              </w:rPr>
              <w:t>Hatcher, A. Vector Bundles and K-Theory, Version 2.2, 2017.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V0.5-4</w:t>
            </w:r>
          </w:p>
        </w:tc>
        <w:tc>
          <w:tcPr>
            <w:tcW w:type="dxa" w:w="8617"/>
            <w:tcMar>
              <w:top w:w="80" w:type="dxa"/>
              <w:start w:w="90" w:type="dxa"/>
              <w:bottom w:w="80" w:type="dxa"/>
              <w:end w:w="90" w:type="dxa"/>
            </w:tcMar>
            <w:vAlign w:val="center"/>
          </w:tcPr>
          <w:p>
            <w:pPr>
              <w:jc w:val="left"/>
            </w:pPr>
            <w:r>
              <w:rPr>
                <w:rFonts w:ascii="Aptos" w:hAnsi="Aptos"/>
                <w:b w:val="0"/>
                <w:i w:val="0"/>
                <w:sz w:val="14"/>
              </w:rPr>
              <w:t>May, J. P. Classical Groups and Bundle Theory, Chapter I.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V0.5-5</w:t>
            </w:r>
          </w:p>
        </w:tc>
        <w:tc>
          <w:tcPr>
            <w:tcW w:type="dxa" w:w="8617"/>
            <w:tcMar>
              <w:top w:w="80" w:type="dxa"/>
              <w:start w:w="90" w:type="dxa"/>
              <w:bottom w:w="80" w:type="dxa"/>
              <w:end w:w="90" w:type="dxa"/>
            </w:tcMar>
            <w:vAlign w:val="center"/>
          </w:tcPr>
          <w:p>
            <w:pPr>
              <w:jc w:val="left"/>
            </w:pPr>
            <w:r>
              <w:rPr>
                <w:rFonts w:ascii="Aptos" w:hAnsi="Aptos"/>
                <w:b w:val="0"/>
                <w:i w:val="0"/>
                <w:sz w:val="14"/>
              </w:rPr>
              <w:t>The Stacks Project, Tag 02ZC: Descent data in fibred categories.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V0.5-6</w:t>
            </w:r>
          </w:p>
        </w:tc>
        <w:tc>
          <w:tcPr>
            <w:tcW w:type="dxa" w:w="8617"/>
            <w:tcMar>
              <w:top w:w="80" w:type="dxa"/>
              <w:start w:w="90" w:type="dxa"/>
              <w:bottom w:w="80" w:type="dxa"/>
              <w:end w:w="90" w:type="dxa"/>
            </w:tcMar>
            <w:vAlign w:val="center"/>
          </w:tcPr>
          <w:p>
            <w:pPr>
              <w:jc w:val="left"/>
            </w:pPr>
            <w:r>
              <w:rPr>
                <w:rFonts w:ascii="Aptos" w:hAnsi="Aptos"/>
                <w:b w:val="0"/>
                <w:i w:val="0"/>
                <w:sz w:val="14"/>
              </w:rPr>
              <w:t>The Stacks Project, Tag 0CJZ: Second cohomology and gerbes.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V0.5-7</w:t>
            </w:r>
          </w:p>
        </w:tc>
        <w:tc>
          <w:tcPr>
            <w:tcW w:type="dxa" w:w="8617"/>
            <w:tcMar>
              <w:top w:w="80" w:type="dxa"/>
              <w:start w:w="90" w:type="dxa"/>
              <w:bottom w:w="80" w:type="dxa"/>
              <w:end w:w="90" w:type="dxa"/>
            </w:tcMar>
            <w:vAlign w:val="center"/>
          </w:tcPr>
          <w:p>
            <w:pPr>
              <w:jc w:val="left"/>
            </w:pPr>
            <w:r>
              <w:rPr>
                <w:rFonts w:ascii="Aptos" w:hAnsi="Aptos"/>
                <w:b w:val="0"/>
                <w:i w:val="0"/>
                <w:sz w:val="14"/>
              </w:rPr>
              <w:t>Hermann, R. Obstruction theory for fibre spaces. Illinois Journal of Mathematics 4 (1960). DOI 10.1215/ijm/1255455733.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V0.5-8</w:t>
            </w:r>
          </w:p>
        </w:tc>
        <w:tc>
          <w:tcPr>
            <w:tcW w:type="dxa" w:w="8617"/>
            <w:tcMar>
              <w:top w:w="80" w:type="dxa"/>
              <w:start w:w="90" w:type="dxa"/>
              <w:bottom w:w="80" w:type="dxa"/>
              <w:end w:w="90" w:type="dxa"/>
            </w:tcMar>
            <w:vAlign w:val="center"/>
          </w:tcPr>
          <w:p>
            <w:pPr>
              <w:jc w:val="left"/>
            </w:pPr>
            <w:r>
              <w:rPr>
                <w:rFonts w:ascii="Aptos" w:hAnsi="Aptos"/>
                <w:b w:val="0"/>
                <w:i w:val="0"/>
                <w:sz w:val="14"/>
              </w:rPr>
              <w:t>Kurpishev, I. B. Базовый проект KLT-RBD. Том I v197 RU; Том II T2-RP-v0.1-v0.4. Канонические внутренние источники проекта.</w:t>
            </w:r>
          </w:p>
        </w:tc>
      </w:tr>
      <w:tr>
        <w:tc>
          <w:tcPr>
            <w:tcW w:type="dxa" w:w="1587"/>
            <w:tcMar>
              <w:top w:w="80" w:type="dxa"/>
              <w:start w:w="90" w:type="dxa"/>
              <w:bottom w:w="80" w:type="dxa"/>
              <w:end w:w="90" w:type="dxa"/>
            </w:tcMar>
            <w:vAlign w:val="center"/>
          </w:tcPr>
          <w:p>
            <w:pPr>
              <w:jc w:val="center"/>
            </w:pPr>
            <w:r>
              <w:rPr>
                <w:rFonts w:ascii="Aptos" w:hAnsi="Aptos"/>
                <w:b w:val="0"/>
                <w:i w:val="0"/>
                <w:sz w:val="14"/>
              </w:rPr>
              <w:t>V0.6-1</w:t>
            </w:r>
          </w:p>
        </w:tc>
        <w:tc>
          <w:tcPr>
            <w:tcW w:type="dxa" w:w="8617"/>
            <w:tcMar>
              <w:top w:w="80" w:type="dxa"/>
              <w:start w:w="90" w:type="dxa"/>
              <w:bottom w:w="80" w:type="dxa"/>
              <w:end w:w="90" w:type="dxa"/>
            </w:tcMar>
            <w:vAlign w:val="center"/>
          </w:tcPr>
          <w:p>
            <w:pPr>
              <w:jc w:val="left"/>
            </w:pPr>
            <w:r>
              <w:rPr>
                <w:rFonts w:ascii="Aptos" w:hAnsi="Aptos"/>
                <w:b w:val="0"/>
                <w:i w:val="0"/>
                <w:sz w:val="14"/>
              </w:rPr>
              <w:t>The Stacks Project, Tag 0B28: Tangent spaces.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V0.6-2</w:t>
            </w:r>
          </w:p>
        </w:tc>
        <w:tc>
          <w:tcPr>
            <w:tcW w:type="dxa" w:w="8617"/>
            <w:tcMar>
              <w:top w:w="80" w:type="dxa"/>
              <w:start w:w="90" w:type="dxa"/>
              <w:bottom w:w="80" w:type="dxa"/>
              <w:end w:w="90" w:type="dxa"/>
            </w:tcMar>
            <w:vAlign w:val="center"/>
          </w:tcPr>
          <w:p>
            <w:pPr>
              <w:jc w:val="left"/>
            </w:pPr>
            <w:r>
              <w:rPr>
                <w:rFonts w:ascii="Aptos" w:hAnsi="Aptos"/>
                <w:b w:val="0"/>
                <w:i w:val="0"/>
                <w:sz w:val="14"/>
              </w:rPr>
              <w:t>The Stacks Project, Tag 00RM: Kähler differentials and universal derivations.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V0.6-3</w:t>
            </w:r>
          </w:p>
        </w:tc>
        <w:tc>
          <w:tcPr>
            <w:tcW w:type="dxa" w:w="8617"/>
            <w:tcMar>
              <w:top w:w="80" w:type="dxa"/>
              <w:start w:w="90" w:type="dxa"/>
              <w:bottom w:w="80" w:type="dxa"/>
              <w:end w:w="90" w:type="dxa"/>
            </w:tcMar>
            <w:vAlign w:val="center"/>
          </w:tcPr>
          <w:p>
            <w:pPr>
              <w:jc w:val="left"/>
            </w:pPr>
            <w:r>
              <w:rPr>
                <w:rFonts w:ascii="Aptos" w:hAnsi="Aptos"/>
                <w:b w:val="0"/>
                <w:i w:val="0"/>
                <w:sz w:val="14"/>
              </w:rPr>
              <w:t>The Stacks Project, Chapter 92, Tag 08P5: The Cotangent Complex.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V0.6-4</w:t>
            </w:r>
          </w:p>
        </w:tc>
        <w:tc>
          <w:tcPr>
            <w:tcW w:type="dxa" w:w="8617"/>
            <w:tcMar>
              <w:top w:w="80" w:type="dxa"/>
              <w:start w:w="90" w:type="dxa"/>
              <w:bottom w:w="80" w:type="dxa"/>
              <w:end w:w="90" w:type="dxa"/>
            </w:tcMar>
            <w:vAlign w:val="center"/>
          </w:tcPr>
          <w:p>
            <w:pPr>
              <w:jc w:val="left"/>
            </w:pPr>
            <w:r>
              <w:rPr>
                <w:rFonts w:ascii="Aptos" w:hAnsi="Aptos"/>
                <w:b w:val="0"/>
                <w:i w:val="0"/>
                <w:sz w:val="14"/>
              </w:rPr>
              <w:t>The Stacks Project, Tag 06I2: Tangent spaces of functors.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V0.6-5</w:t>
            </w:r>
          </w:p>
        </w:tc>
        <w:tc>
          <w:tcPr>
            <w:tcW w:type="dxa" w:w="8617"/>
            <w:tcMar>
              <w:top w:w="80" w:type="dxa"/>
              <w:start w:w="90" w:type="dxa"/>
              <w:bottom w:w="80" w:type="dxa"/>
              <w:end w:w="90" w:type="dxa"/>
            </w:tcMar>
            <w:vAlign w:val="center"/>
          </w:tcPr>
          <w:p>
            <w:pPr>
              <w:jc w:val="left"/>
            </w:pPr>
            <w:r>
              <w:rPr>
                <w:rFonts w:ascii="Aptos" w:hAnsi="Aptos"/>
                <w:b w:val="0"/>
                <w:i w:val="0"/>
                <w:sz w:val="14"/>
              </w:rPr>
              <w:t>The Stacks Project, Tag 02GZ: Formally smooth morphisms.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V0.6-6</w:t>
            </w:r>
          </w:p>
        </w:tc>
        <w:tc>
          <w:tcPr>
            <w:tcW w:type="dxa" w:w="8617"/>
            <w:tcMar>
              <w:top w:w="80" w:type="dxa"/>
              <w:start w:w="90" w:type="dxa"/>
              <w:bottom w:w="80" w:type="dxa"/>
              <w:end w:w="90" w:type="dxa"/>
            </w:tcMar>
            <w:vAlign w:val="center"/>
          </w:tcPr>
          <w:p>
            <w:pPr>
              <w:jc w:val="left"/>
            </w:pPr>
            <w:r>
              <w:rPr>
                <w:rFonts w:ascii="Aptos" w:hAnsi="Aptos"/>
                <w:b w:val="0"/>
                <w:i w:val="0"/>
                <w:sz w:val="14"/>
              </w:rPr>
              <w:t>Schlessinger, M. Functors of Artin Rings. Transactions AMS 130 (1968), 208-222.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V0.6-7</w:t>
            </w:r>
          </w:p>
        </w:tc>
        <w:tc>
          <w:tcPr>
            <w:tcW w:type="dxa" w:w="8617"/>
            <w:tcMar>
              <w:top w:w="80" w:type="dxa"/>
              <w:start w:w="90" w:type="dxa"/>
              <w:bottom w:w="80" w:type="dxa"/>
              <w:end w:w="90" w:type="dxa"/>
            </w:tcMar>
            <w:vAlign w:val="center"/>
          </w:tcPr>
          <w:p>
            <w:pPr>
              <w:jc w:val="left"/>
            </w:pPr>
            <w:r>
              <w:rPr>
                <w:rFonts w:ascii="Aptos" w:hAnsi="Aptos"/>
                <w:b w:val="0"/>
                <w:i w:val="0"/>
                <w:sz w:val="14"/>
              </w:rPr>
              <w:t>Nijenhuis, A.; Richardson, R. W. Cohomology and Deformations of Algebraic Structures. Bull. AMS 70 (1964), 406-411.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V0.6-8</w:t>
            </w:r>
          </w:p>
        </w:tc>
        <w:tc>
          <w:tcPr>
            <w:tcW w:type="dxa" w:w="8617"/>
            <w:tcMar>
              <w:top w:w="80" w:type="dxa"/>
              <w:start w:w="90" w:type="dxa"/>
              <w:bottom w:w="80" w:type="dxa"/>
              <w:end w:w="90" w:type="dxa"/>
            </w:tcMar>
            <w:vAlign w:val="center"/>
          </w:tcPr>
          <w:p>
            <w:pPr>
              <w:jc w:val="left"/>
            </w:pPr>
            <w:r>
              <w:rPr>
                <w:rFonts w:ascii="Aptos" w:hAnsi="Aptos"/>
                <w:b w:val="0"/>
                <w:i w:val="0"/>
                <w:sz w:val="14"/>
              </w:rPr>
              <w:t>Nijenhuis, A.; Richardson, R. W. Cohomology and Deformations in Graded Lie Algebras. Bull. AMS 72 (1966), 1-29.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V0.6-9</w:t>
            </w:r>
          </w:p>
        </w:tc>
        <w:tc>
          <w:tcPr>
            <w:tcW w:type="dxa" w:w="8617"/>
            <w:tcMar>
              <w:top w:w="80" w:type="dxa"/>
              <w:start w:w="90" w:type="dxa"/>
              <w:bottom w:w="80" w:type="dxa"/>
              <w:end w:w="90" w:type="dxa"/>
            </w:tcMar>
            <w:vAlign w:val="center"/>
          </w:tcPr>
          <w:p>
            <w:pPr>
              <w:jc w:val="left"/>
            </w:pPr>
            <w:r>
              <w:rPr>
                <w:rFonts w:ascii="Aptos" w:hAnsi="Aptos"/>
                <w:b w:val="0"/>
                <w:i w:val="0"/>
                <w:sz w:val="14"/>
              </w:rPr>
              <w:t>Gerstenhaber, M. On the Deformation of Rings and Algebras II. Annals of Mathematics 84 (1966), 1-19.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V0.6-10</w:t>
            </w:r>
          </w:p>
        </w:tc>
        <w:tc>
          <w:tcPr>
            <w:tcW w:type="dxa" w:w="8617"/>
            <w:tcMar>
              <w:top w:w="80" w:type="dxa"/>
              <w:start w:w="90" w:type="dxa"/>
              <w:bottom w:w="80" w:type="dxa"/>
              <w:end w:w="90" w:type="dxa"/>
            </w:tcMar>
            <w:vAlign w:val="center"/>
          </w:tcPr>
          <w:p>
            <w:pPr>
              <w:jc w:val="left"/>
            </w:pPr>
            <w:r>
              <w:rPr>
                <w:rFonts w:ascii="Aptos" w:hAnsi="Aptos"/>
                <w:b w:val="0"/>
                <w:i w:val="0"/>
                <w:sz w:val="14"/>
              </w:rPr>
              <w:t>Kurpishev, I. B. Том I v197 RU; Том II T2-RP-v0.1-v0.5. Канонические внутренние источники проекта.</w:t>
            </w:r>
          </w:p>
        </w:tc>
      </w:tr>
      <w:tr>
        <w:tc>
          <w:tcPr>
            <w:tcW w:type="dxa" w:w="1587"/>
            <w:tcMar>
              <w:top w:w="80" w:type="dxa"/>
              <w:start w:w="90" w:type="dxa"/>
              <w:bottom w:w="80" w:type="dxa"/>
              <w:end w:w="90" w:type="dxa"/>
            </w:tcMar>
            <w:vAlign w:val="center"/>
          </w:tcPr>
          <w:p>
            <w:pPr>
              <w:jc w:val="center"/>
            </w:pPr>
            <w:r>
              <w:rPr>
                <w:rFonts w:ascii="Aptos" w:hAnsi="Aptos"/>
                <w:b w:val="0"/>
                <w:i w:val="0"/>
                <w:sz w:val="14"/>
              </w:rPr>
              <w:t>V0.7-1</w:t>
            </w:r>
          </w:p>
        </w:tc>
        <w:tc>
          <w:tcPr>
            <w:tcW w:type="dxa" w:w="8617"/>
            <w:tcMar>
              <w:top w:w="80" w:type="dxa"/>
              <w:start w:w="90" w:type="dxa"/>
              <w:bottom w:w="80" w:type="dxa"/>
              <w:end w:w="90" w:type="dxa"/>
            </w:tcMar>
            <w:vAlign w:val="center"/>
          </w:tcPr>
          <w:p>
            <w:pPr>
              <w:jc w:val="left"/>
            </w:pPr>
            <w:r>
              <w:rPr>
                <w:rFonts w:ascii="Aptos" w:hAnsi="Aptos"/>
                <w:b w:val="0"/>
                <w:i w:val="0"/>
                <w:sz w:val="14"/>
              </w:rPr>
              <w:t>Ehresmann, C. Les connexions infinitésimales dans un espace fibré différentiable. Séminaire Bourbaki, exposé 24, 1952, 153-168. Numdam.</w:t>
            </w:r>
          </w:p>
        </w:tc>
      </w:tr>
      <w:tr>
        <w:tc>
          <w:tcPr>
            <w:tcW w:type="dxa" w:w="1587"/>
            <w:tcMar>
              <w:top w:w="80" w:type="dxa"/>
              <w:start w:w="90" w:type="dxa"/>
              <w:bottom w:w="80" w:type="dxa"/>
              <w:end w:w="90" w:type="dxa"/>
            </w:tcMar>
            <w:vAlign w:val="center"/>
          </w:tcPr>
          <w:p>
            <w:pPr>
              <w:jc w:val="center"/>
            </w:pPr>
            <w:r>
              <w:rPr>
                <w:rFonts w:ascii="Aptos" w:hAnsi="Aptos"/>
                <w:b w:val="0"/>
                <w:i w:val="0"/>
                <w:sz w:val="14"/>
              </w:rPr>
              <w:t>V0.7-2</w:t>
            </w:r>
          </w:p>
        </w:tc>
        <w:tc>
          <w:tcPr>
            <w:tcW w:type="dxa" w:w="8617"/>
            <w:tcMar>
              <w:top w:w="80" w:type="dxa"/>
              <w:start w:w="90" w:type="dxa"/>
              <w:bottom w:w="80" w:type="dxa"/>
              <w:end w:w="90" w:type="dxa"/>
            </w:tcMar>
            <w:vAlign w:val="center"/>
          </w:tcPr>
          <w:p>
            <w:pPr>
              <w:jc w:val="left"/>
            </w:pPr>
            <w:r>
              <w:rPr>
                <w:rFonts w:ascii="Aptos" w:hAnsi="Aptos"/>
                <w:b w:val="0"/>
                <w:i w:val="0"/>
                <w:sz w:val="14"/>
              </w:rPr>
              <w:t>Cartan, E. Les groupes d’holonomie des espaces généralisés. Acta Mathematica 48 (1926), 1-42. DOI 10.1007/BF02629755.</w:t>
            </w:r>
          </w:p>
        </w:tc>
      </w:tr>
      <w:tr>
        <w:tc>
          <w:tcPr>
            <w:tcW w:type="dxa" w:w="1587"/>
            <w:tcMar>
              <w:top w:w="80" w:type="dxa"/>
              <w:start w:w="90" w:type="dxa"/>
              <w:bottom w:w="80" w:type="dxa"/>
              <w:end w:w="90" w:type="dxa"/>
            </w:tcMar>
            <w:vAlign w:val="center"/>
          </w:tcPr>
          <w:p>
            <w:pPr>
              <w:jc w:val="center"/>
            </w:pPr>
            <w:r>
              <w:rPr>
                <w:rFonts w:ascii="Aptos" w:hAnsi="Aptos"/>
                <w:b w:val="0"/>
                <w:i w:val="0"/>
                <w:sz w:val="14"/>
              </w:rPr>
              <w:t>V0.7-3</w:t>
            </w:r>
          </w:p>
        </w:tc>
        <w:tc>
          <w:tcPr>
            <w:tcW w:type="dxa" w:w="8617"/>
            <w:tcMar>
              <w:top w:w="80" w:type="dxa"/>
              <w:start w:w="90" w:type="dxa"/>
              <w:bottom w:w="80" w:type="dxa"/>
              <w:end w:w="90" w:type="dxa"/>
            </w:tcMar>
            <w:vAlign w:val="center"/>
          </w:tcPr>
          <w:p>
            <w:pPr>
              <w:jc w:val="left"/>
            </w:pPr>
            <w:r>
              <w:rPr>
                <w:rFonts w:ascii="Aptos" w:hAnsi="Aptos"/>
                <w:b w:val="0"/>
                <w:i w:val="0"/>
                <w:sz w:val="14"/>
              </w:rPr>
              <w:t>Ambrose, W.; Singer, I. M. A Theorem on Holonomy. Transactions of the AMS 75 (1953), 428-443. DOI 10.1090/S0002-9947-1953-0063739-1.</w:t>
            </w:r>
          </w:p>
        </w:tc>
      </w:tr>
      <w:tr>
        <w:tc>
          <w:tcPr>
            <w:tcW w:type="dxa" w:w="1587"/>
            <w:tcMar>
              <w:top w:w="80" w:type="dxa"/>
              <w:start w:w="90" w:type="dxa"/>
              <w:bottom w:w="80" w:type="dxa"/>
              <w:end w:w="90" w:type="dxa"/>
            </w:tcMar>
            <w:vAlign w:val="center"/>
          </w:tcPr>
          <w:p>
            <w:pPr>
              <w:jc w:val="center"/>
            </w:pPr>
            <w:r>
              <w:rPr>
                <w:rFonts w:ascii="Aptos" w:hAnsi="Aptos"/>
                <w:b w:val="0"/>
                <w:i w:val="0"/>
                <w:sz w:val="14"/>
              </w:rPr>
              <w:t>V0.7-4</w:t>
            </w:r>
          </w:p>
        </w:tc>
        <w:tc>
          <w:tcPr>
            <w:tcW w:type="dxa" w:w="8617"/>
            <w:tcMar>
              <w:top w:w="80" w:type="dxa"/>
              <w:start w:w="90" w:type="dxa"/>
              <w:bottom w:w="80" w:type="dxa"/>
              <w:end w:w="90" w:type="dxa"/>
            </w:tcMar>
            <w:vAlign w:val="center"/>
          </w:tcPr>
          <w:p>
            <w:pPr>
              <w:jc w:val="left"/>
            </w:pPr>
            <w:r>
              <w:rPr>
                <w:rFonts w:ascii="Aptos" w:hAnsi="Aptos"/>
                <w:b w:val="0"/>
                <w:i w:val="0"/>
                <w:sz w:val="14"/>
              </w:rPr>
              <w:t>Kobayashi, S.; Nomizu, K. Foundations of Differential Geometry, Vol. I. Wiley Classics Library.</w:t>
            </w:r>
          </w:p>
        </w:tc>
      </w:tr>
      <w:tr>
        <w:tc>
          <w:tcPr>
            <w:tcW w:type="dxa" w:w="1587"/>
            <w:tcMar>
              <w:top w:w="80" w:type="dxa"/>
              <w:start w:w="90" w:type="dxa"/>
              <w:bottom w:w="80" w:type="dxa"/>
              <w:end w:w="90" w:type="dxa"/>
            </w:tcMar>
            <w:vAlign w:val="center"/>
          </w:tcPr>
          <w:p>
            <w:pPr>
              <w:jc w:val="center"/>
            </w:pPr>
            <w:r>
              <w:rPr>
                <w:rFonts w:ascii="Aptos" w:hAnsi="Aptos"/>
                <w:b w:val="0"/>
                <w:i w:val="0"/>
                <w:sz w:val="14"/>
              </w:rPr>
              <w:t>V0.7-5</w:t>
            </w:r>
          </w:p>
        </w:tc>
        <w:tc>
          <w:tcPr>
            <w:tcW w:type="dxa" w:w="8617"/>
            <w:tcMar>
              <w:top w:w="80" w:type="dxa"/>
              <w:start w:w="90" w:type="dxa"/>
              <w:bottom w:w="80" w:type="dxa"/>
              <w:end w:w="90" w:type="dxa"/>
            </w:tcMar>
            <w:vAlign w:val="center"/>
          </w:tcPr>
          <w:p>
            <w:pPr>
              <w:jc w:val="left"/>
            </w:pPr>
            <w:r>
              <w:rPr>
                <w:rFonts w:ascii="Aptos" w:hAnsi="Aptos"/>
                <w:b w:val="0"/>
                <w:i w:val="0"/>
                <w:sz w:val="14"/>
              </w:rPr>
              <w:t>Akivis, M. A. Local algebras of a multidimensional three-web. Siberian Mathematical Journal 17 (1976), 3-8. DOI 10.1007/BF00969285.</w:t>
            </w:r>
          </w:p>
        </w:tc>
      </w:tr>
      <w:tr>
        <w:tc>
          <w:tcPr>
            <w:tcW w:type="dxa" w:w="1587"/>
            <w:tcMar>
              <w:top w:w="80" w:type="dxa"/>
              <w:start w:w="90" w:type="dxa"/>
              <w:bottom w:w="80" w:type="dxa"/>
              <w:end w:w="90" w:type="dxa"/>
            </w:tcMar>
            <w:vAlign w:val="center"/>
          </w:tcPr>
          <w:p>
            <w:pPr>
              <w:jc w:val="center"/>
            </w:pPr>
            <w:r>
              <w:rPr>
                <w:rFonts w:ascii="Aptos" w:hAnsi="Aptos"/>
                <w:b w:val="0"/>
                <w:i w:val="0"/>
                <w:sz w:val="14"/>
              </w:rPr>
              <w:t>V0.7-6</w:t>
            </w:r>
          </w:p>
        </w:tc>
        <w:tc>
          <w:tcPr>
            <w:tcW w:type="dxa" w:w="8617"/>
            <w:tcMar>
              <w:top w:w="80" w:type="dxa"/>
              <w:start w:w="90" w:type="dxa"/>
              <w:bottom w:w="80" w:type="dxa"/>
              <w:end w:w="90" w:type="dxa"/>
            </w:tcMar>
            <w:vAlign w:val="center"/>
          </w:tcPr>
          <w:p>
            <w:pPr>
              <w:jc w:val="left"/>
            </w:pPr>
            <w:r>
              <w:rPr>
                <w:rFonts w:ascii="Aptos" w:hAnsi="Aptos"/>
                <w:b w:val="0"/>
                <w:i w:val="0"/>
                <w:sz w:val="14"/>
              </w:rPr>
              <w:t>Sabinin, L. V. Smooth Quasigroups and Loops. Kluwer, 1999. DOI 10.1007/978-94-011-4491-9.</w:t>
            </w:r>
          </w:p>
        </w:tc>
      </w:tr>
      <w:tr>
        <w:tc>
          <w:tcPr>
            <w:tcW w:type="dxa" w:w="1587"/>
            <w:tcMar>
              <w:top w:w="80" w:type="dxa"/>
              <w:start w:w="90" w:type="dxa"/>
              <w:bottom w:w="80" w:type="dxa"/>
              <w:end w:w="90" w:type="dxa"/>
            </w:tcMar>
            <w:vAlign w:val="center"/>
          </w:tcPr>
          <w:p>
            <w:pPr>
              <w:jc w:val="center"/>
            </w:pPr>
            <w:r>
              <w:rPr>
                <w:rFonts w:ascii="Aptos" w:hAnsi="Aptos"/>
                <w:b w:val="0"/>
                <w:i w:val="0"/>
                <w:sz w:val="14"/>
              </w:rPr>
              <w:t>V0.7-7</w:t>
            </w:r>
          </w:p>
        </w:tc>
        <w:tc>
          <w:tcPr>
            <w:tcW w:type="dxa" w:w="8617"/>
            <w:tcMar>
              <w:top w:w="80" w:type="dxa"/>
              <w:start w:w="90" w:type="dxa"/>
              <w:bottom w:w="80" w:type="dxa"/>
              <w:end w:w="90" w:type="dxa"/>
            </w:tcMar>
            <w:vAlign w:val="center"/>
          </w:tcPr>
          <w:p>
            <w:pPr>
              <w:jc w:val="left"/>
            </w:pPr>
            <w:r>
              <w:rPr>
                <w:rFonts w:ascii="Aptos" w:hAnsi="Aptos"/>
                <w:b w:val="0"/>
                <w:i w:val="0"/>
                <w:sz w:val="14"/>
              </w:rPr>
              <w:t>Grigorian, S. G₂-structures and octonion bundles. Advances in Mathematics 308 (2017), 142-207; arXiv:1510.04226.</w:t>
            </w:r>
          </w:p>
        </w:tc>
      </w:tr>
      <w:tr>
        <w:tc>
          <w:tcPr>
            <w:tcW w:type="dxa" w:w="1587"/>
            <w:tcMar>
              <w:top w:w="80" w:type="dxa"/>
              <w:start w:w="90" w:type="dxa"/>
              <w:bottom w:w="80" w:type="dxa"/>
              <w:end w:w="90" w:type="dxa"/>
            </w:tcMar>
            <w:vAlign w:val="center"/>
          </w:tcPr>
          <w:p>
            <w:pPr>
              <w:jc w:val="center"/>
            </w:pPr>
            <w:r>
              <w:rPr>
                <w:rFonts w:ascii="Aptos" w:hAnsi="Aptos"/>
                <w:b w:val="0"/>
                <w:i w:val="0"/>
                <w:sz w:val="14"/>
              </w:rPr>
              <w:t>V0.7-8</w:t>
            </w:r>
          </w:p>
        </w:tc>
        <w:tc>
          <w:tcPr>
            <w:tcW w:type="dxa" w:w="8617"/>
            <w:tcMar>
              <w:top w:w="80" w:type="dxa"/>
              <w:start w:w="90" w:type="dxa"/>
              <w:bottom w:w="80" w:type="dxa"/>
              <w:end w:w="90" w:type="dxa"/>
            </w:tcMar>
            <w:vAlign w:val="center"/>
          </w:tcPr>
          <w:p>
            <w:pPr>
              <w:jc w:val="left"/>
            </w:pPr>
            <w:r>
              <w:rPr>
                <w:rFonts w:ascii="Aptos" w:hAnsi="Aptos"/>
                <w:b w:val="0"/>
                <w:i w:val="0"/>
                <w:sz w:val="14"/>
              </w:rPr>
              <w:t>Kurpishev, I. B. Том I v197 RU; Том II T2-RP-v0.1-v0.6; PILOT-01. Канонические внутренние источники проекта.</w:t>
            </w:r>
          </w:p>
        </w:tc>
      </w:tr>
      <w:tr>
        <w:tc>
          <w:tcPr>
            <w:tcW w:type="dxa" w:w="1587"/>
            <w:tcMar>
              <w:top w:w="80" w:type="dxa"/>
              <w:start w:w="90" w:type="dxa"/>
              <w:bottom w:w="80" w:type="dxa"/>
              <w:end w:w="90" w:type="dxa"/>
            </w:tcMar>
            <w:vAlign w:val="center"/>
          </w:tcPr>
          <w:p>
            <w:pPr>
              <w:jc w:val="center"/>
            </w:pPr>
            <w:r>
              <w:rPr>
                <w:rFonts w:ascii="Aptos" w:hAnsi="Aptos"/>
                <w:b w:val="0"/>
                <w:i w:val="0"/>
                <w:sz w:val="14"/>
              </w:rPr>
              <w:t>V0.8-1</w:t>
            </w:r>
          </w:p>
        </w:tc>
        <w:tc>
          <w:tcPr>
            <w:tcW w:type="dxa" w:w="8617"/>
            <w:tcMar>
              <w:top w:w="80" w:type="dxa"/>
              <w:start w:w="90" w:type="dxa"/>
              <w:bottom w:w="80" w:type="dxa"/>
              <w:end w:w="90" w:type="dxa"/>
            </w:tcMar>
            <w:vAlign w:val="center"/>
          </w:tcPr>
          <w:p>
            <w:pPr>
              <w:jc w:val="left"/>
            </w:pPr>
            <w:r>
              <w:rPr>
                <w:rFonts w:ascii="Aptos" w:hAnsi="Aptos"/>
                <w:b w:val="0"/>
                <w:i w:val="0"/>
                <w:sz w:val="14"/>
              </w:rPr>
              <w:t>The Stacks Project. The de Rham complex, Tags 0FKF, 07HX. Определения универсальных дифференциалов и комплекса.</w:t>
            </w:r>
          </w:p>
        </w:tc>
      </w:tr>
      <w:tr>
        <w:tc>
          <w:tcPr>
            <w:tcW w:type="dxa" w:w="1587"/>
            <w:tcMar>
              <w:top w:w="80" w:type="dxa"/>
              <w:start w:w="90" w:type="dxa"/>
              <w:bottom w:w="80" w:type="dxa"/>
              <w:end w:w="90" w:type="dxa"/>
            </w:tcMar>
            <w:vAlign w:val="center"/>
          </w:tcPr>
          <w:p>
            <w:pPr>
              <w:jc w:val="center"/>
            </w:pPr>
            <w:r>
              <w:rPr>
                <w:rFonts w:ascii="Aptos" w:hAnsi="Aptos"/>
                <w:b w:val="0"/>
                <w:i w:val="0"/>
                <w:sz w:val="14"/>
              </w:rPr>
              <w:t>V0.8-2</w:t>
            </w:r>
          </w:p>
        </w:tc>
        <w:tc>
          <w:tcPr>
            <w:tcW w:type="dxa" w:w="8617"/>
            <w:tcMar>
              <w:top w:w="80" w:type="dxa"/>
              <w:start w:w="90" w:type="dxa"/>
              <w:bottom w:w="80" w:type="dxa"/>
              <w:end w:w="90" w:type="dxa"/>
            </w:tcMar>
            <w:vAlign w:val="center"/>
          </w:tcPr>
          <w:p>
            <w:pPr>
              <w:jc w:val="left"/>
            </w:pPr>
            <w:r>
              <w:rPr>
                <w:rFonts w:ascii="Aptos" w:hAnsi="Aptos"/>
                <w:b w:val="0"/>
                <w:i w:val="0"/>
                <w:sz w:val="14"/>
              </w:rPr>
              <w:t>Cuntz, J.; Quillen, D. Algebra Extensions and Nonsingularity. Journal of the AMS 8 (1995), 251-289. DOI 10.1090/S0894-0347-1995-1303029-0.</w:t>
            </w:r>
          </w:p>
        </w:tc>
      </w:tr>
      <w:tr>
        <w:tc>
          <w:tcPr>
            <w:tcW w:type="dxa" w:w="1587"/>
            <w:tcMar>
              <w:top w:w="80" w:type="dxa"/>
              <w:start w:w="90" w:type="dxa"/>
              <w:bottom w:w="80" w:type="dxa"/>
              <w:end w:w="90" w:type="dxa"/>
            </w:tcMar>
            <w:vAlign w:val="center"/>
          </w:tcPr>
          <w:p>
            <w:pPr>
              <w:jc w:val="center"/>
            </w:pPr>
            <w:r>
              <w:rPr>
                <w:rFonts w:ascii="Aptos" w:hAnsi="Aptos"/>
                <w:b w:val="0"/>
                <w:i w:val="0"/>
                <w:sz w:val="14"/>
              </w:rPr>
              <w:t>V0.8-3</w:t>
            </w:r>
          </w:p>
        </w:tc>
        <w:tc>
          <w:tcPr>
            <w:tcW w:type="dxa" w:w="8617"/>
            <w:tcMar>
              <w:top w:w="80" w:type="dxa"/>
              <w:start w:w="90" w:type="dxa"/>
              <w:bottom w:w="80" w:type="dxa"/>
              <w:end w:w="90" w:type="dxa"/>
            </w:tcMar>
            <w:vAlign w:val="center"/>
          </w:tcPr>
          <w:p>
            <w:pPr>
              <w:jc w:val="left"/>
            </w:pPr>
            <w:r>
              <w:rPr>
                <w:rFonts w:ascii="Aptos" w:hAnsi="Aptos"/>
                <w:b w:val="0"/>
                <w:i w:val="0"/>
                <w:sz w:val="14"/>
              </w:rPr>
              <w:t>Dubois-Violette, M.; Kerner, R.; Madore, J. Non-commutative differential geometry of matrix algebras. Journal of Mathematical Physics 31 (1990), 316-322.</w:t>
            </w:r>
          </w:p>
        </w:tc>
      </w:tr>
      <w:tr>
        <w:tc>
          <w:tcPr>
            <w:tcW w:type="dxa" w:w="1587"/>
            <w:tcMar>
              <w:top w:w="80" w:type="dxa"/>
              <w:start w:w="90" w:type="dxa"/>
              <w:bottom w:w="80" w:type="dxa"/>
              <w:end w:w="90" w:type="dxa"/>
            </w:tcMar>
            <w:vAlign w:val="center"/>
          </w:tcPr>
          <w:p>
            <w:pPr>
              <w:jc w:val="center"/>
            </w:pPr>
            <w:r>
              <w:rPr>
                <w:rFonts w:ascii="Aptos" w:hAnsi="Aptos"/>
                <w:b w:val="0"/>
                <w:i w:val="0"/>
                <w:sz w:val="14"/>
              </w:rPr>
              <w:t>V0.8-4</w:t>
            </w:r>
          </w:p>
        </w:tc>
        <w:tc>
          <w:tcPr>
            <w:tcW w:type="dxa" w:w="8617"/>
            <w:tcMar>
              <w:top w:w="80" w:type="dxa"/>
              <w:start w:w="90" w:type="dxa"/>
              <w:bottom w:w="80" w:type="dxa"/>
              <w:end w:w="90" w:type="dxa"/>
            </w:tcMar>
            <w:vAlign w:val="center"/>
          </w:tcPr>
          <w:p>
            <w:pPr>
              <w:jc w:val="left"/>
            </w:pPr>
            <w:r>
              <w:rPr>
                <w:rFonts w:ascii="Aptos" w:hAnsi="Aptos"/>
                <w:b w:val="0"/>
                <w:i w:val="0"/>
                <w:sz w:val="14"/>
              </w:rPr>
              <w:t>Quillen, D. Superconnections and the Chern character. Topology 24 (1985), 89-95. DOI 10.1016/0040- 9383(85)90047-3.</w:t>
            </w:r>
          </w:p>
        </w:tc>
      </w:tr>
      <w:tr>
        <w:tc>
          <w:tcPr>
            <w:tcW w:type="dxa" w:w="1587"/>
            <w:tcMar>
              <w:top w:w="80" w:type="dxa"/>
              <w:start w:w="90" w:type="dxa"/>
              <w:bottom w:w="80" w:type="dxa"/>
              <w:end w:w="90" w:type="dxa"/>
            </w:tcMar>
            <w:vAlign w:val="center"/>
          </w:tcPr>
          <w:p>
            <w:pPr>
              <w:jc w:val="center"/>
            </w:pPr>
            <w:r>
              <w:rPr>
                <w:rFonts w:ascii="Aptos" w:hAnsi="Aptos"/>
                <w:b w:val="0"/>
                <w:i w:val="0"/>
                <w:sz w:val="14"/>
              </w:rPr>
              <w:t>V0.8-5</w:t>
            </w:r>
          </w:p>
        </w:tc>
        <w:tc>
          <w:tcPr>
            <w:tcW w:type="dxa" w:w="8617"/>
            <w:tcMar>
              <w:top w:w="80" w:type="dxa"/>
              <w:start w:w="90" w:type="dxa"/>
              <w:bottom w:w="80" w:type="dxa"/>
              <w:end w:w="90" w:type="dxa"/>
            </w:tcMar>
            <w:vAlign w:val="center"/>
          </w:tcPr>
          <w:p>
            <w:pPr>
              <w:jc w:val="left"/>
            </w:pPr>
            <w:r>
              <w:rPr>
                <w:rFonts w:ascii="Aptos" w:hAnsi="Aptos"/>
                <w:b w:val="0"/>
                <w:i w:val="0"/>
                <w:sz w:val="14"/>
              </w:rPr>
              <w:t>Dubois-Violette, M. Generalized differential spaces with d^N=0 and the q-differential calculus. Czech. Math. J. 46 (1996), 765-787. DOI 10.1007/BF01690337.</w:t>
            </w:r>
          </w:p>
        </w:tc>
      </w:tr>
      <w:tr>
        <w:tc>
          <w:tcPr>
            <w:tcW w:type="dxa" w:w="1587"/>
            <w:tcMar>
              <w:top w:w="80" w:type="dxa"/>
              <w:start w:w="90" w:type="dxa"/>
              <w:bottom w:w="80" w:type="dxa"/>
              <w:end w:w="90" w:type="dxa"/>
            </w:tcMar>
            <w:vAlign w:val="center"/>
          </w:tcPr>
          <w:p>
            <w:pPr>
              <w:jc w:val="center"/>
            </w:pPr>
            <w:r>
              <w:rPr>
                <w:rFonts w:ascii="Aptos" w:hAnsi="Aptos"/>
                <w:b w:val="0"/>
                <w:i w:val="0"/>
                <w:sz w:val="14"/>
              </w:rPr>
              <w:t>V0.8-6</w:t>
            </w:r>
          </w:p>
        </w:tc>
        <w:tc>
          <w:tcPr>
            <w:tcW w:type="dxa" w:w="8617"/>
            <w:tcMar>
              <w:top w:w="80" w:type="dxa"/>
              <w:start w:w="90" w:type="dxa"/>
              <w:bottom w:w="80" w:type="dxa"/>
              <w:end w:w="90" w:type="dxa"/>
            </w:tcMar>
            <w:vAlign w:val="center"/>
          </w:tcPr>
          <w:p>
            <w:pPr>
              <w:jc w:val="left"/>
            </w:pPr>
            <w:r>
              <w:rPr>
                <w:rFonts w:ascii="Aptos" w:hAnsi="Aptos"/>
                <w:b w:val="0"/>
                <w:i w:val="0"/>
                <w:sz w:val="14"/>
              </w:rPr>
              <w:t>Nijenhuis, A.; Richardson, R. W. Cohomology and deformations in graded Lie algebras. Bulletin AMS 72 (1966), 1-29.</w:t>
            </w:r>
          </w:p>
        </w:tc>
      </w:tr>
      <w:tr>
        <w:tc>
          <w:tcPr>
            <w:tcW w:type="dxa" w:w="1587"/>
            <w:tcMar>
              <w:top w:w="80" w:type="dxa"/>
              <w:start w:w="90" w:type="dxa"/>
              <w:bottom w:w="80" w:type="dxa"/>
              <w:end w:w="90" w:type="dxa"/>
            </w:tcMar>
            <w:vAlign w:val="center"/>
          </w:tcPr>
          <w:p>
            <w:pPr>
              <w:jc w:val="center"/>
            </w:pPr>
            <w:r>
              <w:rPr>
                <w:rFonts w:ascii="Aptos" w:hAnsi="Aptos"/>
                <w:b w:val="0"/>
                <w:i w:val="0"/>
                <w:sz w:val="14"/>
              </w:rPr>
              <w:t>V0.8-7</w:t>
            </w:r>
          </w:p>
        </w:tc>
        <w:tc>
          <w:tcPr>
            <w:tcW w:type="dxa" w:w="8617"/>
            <w:tcMar>
              <w:top w:w="80" w:type="dxa"/>
              <w:start w:w="90" w:type="dxa"/>
              <w:bottom w:w="80" w:type="dxa"/>
              <w:end w:w="90" w:type="dxa"/>
            </w:tcMar>
            <w:vAlign w:val="center"/>
          </w:tcPr>
          <w:p>
            <w:pPr>
              <w:jc w:val="left"/>
            </w:pPr>
            <w:r>
              <w:rPr>
                <w:rFonts w:ascii="Aptos" w:hAnsi="Aptos"/>
                <w:b w:val="0"/>
                <w:i w:val="0"/>
                <w:sz w:val="14"/>
              </w:rPr>
              <w:t>Hodge, W. V. D. The Theory and Applications of Harmonic Integrals. Cambridge University Press.</w:t>
            </w:r>
          </w:p>
        </w:tc>
      </w:tr>
      <w:tr>
        <w:tc>
          <w:tcPr>
            <w:tcW w:type="dxa" w:w="1587"/>
            <w:tcMar>
              <w:top w:w="80" w:type="dxa"/>
              <w:start w:w="90" w:type="dxa"/>
              <w:bottom w:w="80" w:type="dxa"/>
              <w:end w:w="90" w:type="dxa"/>
            </w:tcMar>
            <w:vAlign w:val="center"/>
          </w:tcPr>
          <w:p>
            <w:pPr>
              <w:jc w:val="center"/>
            </w:pPr>
            <w:r>
              <w:rPr>
                <w:rFonts w:ascii="Aptos" w:hAnsi="Aptos"/>
                <w:b w:val="0"/>
                <w:i w:val="0"/>
                <w:sz w:val="14"/>
              </w:rPr>
              <w:t>V0.8-8</w:t>
            </w:r>
          </w:p>
        </w:tc>
        <w:tc>
          <w:tcPr>
            <w:tcW w:type="dxa" w:w="8617"/>
            <w:tcMar>
              <w:top w:w="80" w:type="dxa"/>
              <w:start w:w="90" w:type="dxa"/>
              <w:bottom w:w="80" w:type="dxa"/>
              <w:end w:w="90" w:type="dxa"/>
            </w:tcMar>
            <w:vAlign w:val="center"/>
          </w:tcPr>
          <w:p>
            <w:pPr>
              <w:jc w:val="left"/>
            </w:pPr>
            <w:r>
              <w:rPr>
                <w:rFonts w:ascii="Aptos" w:hAnsi="Aptos"/>
                <w:b w:val="0"/>
                <w:i w:val="0"/>
                <w:sz w:val="14"/>
              </w:rPr>
              <w:t>Kurpishev, I. B. Том I v197 RU; Том II T2-RP-v0.1-v0.7; PILOT-01. Канонические внутренние источники проекта.</w:t>
            </w:r>
          </w:p>
        </w:tc>
      </w:tr>
      <w:tr>
        <w:tc>
          <w:tcPr>
            <w:tcW w:type="dxa" w:w="1587"/>
            <w:tcMar>
              <w:top w:w="80" w:type="dxa"/>
              <w:start w:w="90" w:type="dxa"/>
              <w:bottom w:w="80" w:type="dxa"/>
              <w:end w:w="90" w:type="dxa"/>
            </w:tcMar>
            <w:vAlign w:val="center"/>
          </w:tcPr>
          <w:p>
            <w:pPr>
              <w:jc w:val="center"/>
            </w:pPr>
            <w:r>
              <w:rPr>
                <w:rFonts w:ascii="Aptos" w:hAnsi="Aptos"/>
                <w:b w:val="0"/>
                <w:i w:val="0"/>
                <w:sz w:val="14"/>
              </w:rPr>
              <w:t>V0.9-1</w:t>
            </w:r>
          </w:p>
        </w:tc>
        <w:tc>
          <w:tcPr>
            <w:tcW w:type="dxa" w:w="8617"/>
            <w:tcMar>
              <w:top w:w="80" w:type="dxa"/>
              <w:start w:w="90" w:type="dxa"/>
              <w:bottom w:w="80" w:type="dxa"/>
              <w:end w:w="90" w:type="dxa"/>
            </w:tcMar>
            <w:vAlign w:val="center"/>
          </w:tcPr>
          <w:p>
            <w:pPr>
              <w:jc w:val="left"/>
            </w:pPr>
            <w:r>
              <w:rPr>
                <w:rFonts w:ascii="Aptos" w:hAnsi="Aptos"/>
                <w:b w:val="0"/>
                <w:i w:val="0"/>
                <w:sz w:val="14"/>
              </w:rPr>
              <w:t>Gerstenhaber, M. On the Deformation of Rings and Algebras. Annals of Mathematics 79 (1964), 59-103. JSTOR 1970484.</w:t>
            </w:r>
          </w:p>
        </w:tc>
      </w:tr>
      <w:tr>
        <w:tc>
          <w:tcPr>
            <w:tcW w:type="dxa" w:w="1587"/>
            <w:tcMar>
              <w:top w:w="80" w:type="dxa"/>
              <w:start w:w="90" w:type="dxa"/>
              <w:bottom w:w="80" w:type="dxa"/>
              <w:end w:w="90" w:type="dxa"/>
            </w:tcMar>
            <w:vAlign w:val="center"/>
          </w:tcPr>
          <w:p>
            <w:pPr>
              <w:jc w:val="center"/>
            </w:pPr>
            <w:r>
              <w:rPr>
                <w:rFonts w:ascii="Aptos" w:hAnsi="Aptos"/>
                <w:b w:val="0"/>
                <w:i w:val="0"/>
                <w:sz w:val="14"/>
              </w:rPr>
              <w:t>V0.9-2</w:t>
            </w:r>
          </w:p>
        </w:tc>
        <w:tc>
          <w:tcPr>
            <w:tcW w:type="dxa" w:w="8617"/>
            <w:tcMar>
              <w:top w:w="80" w:type="dxa"/>
              <w:start w:w="90" w:type="dxa"/>
              <w:bottom w:w="80" w:type="dxa"/>
              <w:end w:w="90" w:type="dxa"/>
            </w:tcMar>
            <w:vAlign w:val="center"/>
          </w:tcPr>
          <w:p>
            <w:pPr>
              <w:jc w:val="left"/>
            </w:pPr>
            <w:r>
              <w:rPr>
                <w:rFonts w:ascii="Aptos" w:hAnsi="Aptos"/>
                <w:b w:val="0"/>
                <w:i w:val="0"/>
                <w:sz w:val="14"/>
              </w:rPr>
              <w:t>Nijenhuis, A.; Richardson, R. W. Deformations of Lie Algebra Structures. Journal of Mathematics and Mechanics 17 (1968), 89-105.</w:t>
            </w:r>
          </w:p>
        </w:tc>
      </w:tr>
      <w:tr>
        <w:tc>
          <w:tcPr>
            <w:tcW w:type="dxa" w:w="1587"/>
            <w:tcMar>
              <w:top w:w="80" w:type="dxa"/>
              <w:start w:w="90" w:type="dxa"/>
              <w:bottom w:w="80" w:type="dxa"/>
              <w:end w:w="90" w:type="dxa"/>
            </w:tcMar>
            <w:vAlign w:val="center"/>
          </w:tcPr>
          <w:p>
            <w:pPr>
              <w:jc w:val="center"/>
            </w:pPr>
            <w:r>
              <w:rPr>
                <w:rFonts w:ascii="Aptos" w:hAnsi="Aptos"/>
                <w:b w:val="0"/>
                <w:i w:val="0"/>
                <w:sz w:val="14"/>
              </w:rPr>
              <w:t>V0.9-3</w:t>
            </w:r>
          </w:p>
        </w:tc>
        <w:tc>
          <w:tcPr>
            <w:tcW w:type="dxa" w:w="8617"/>
            <w:tcMar>
              <w:top w:w="80" w:type="dxa"/>
              <w:start w:w="90" w:type="dxa"/>
              <w:bottom w:w="80" w:type="dxa"/>
              <w:end w:w="90" w:type="dxa"/>
            </w:tcMar>
            <w:vAlign w:val="center"/>
          </w:tcPr>
          <w:p>
            <w:pPr>
              <w:jc w:val="left"/>
            </w:pPr>
            <w:r>
              <w:rPr>
                <w:rFonts w:ascii="Aptos" w:hAnsi="Aptos"/>
                <w:b w:val="0"/>
                <w:i w:val="0"/>
                <w:sz w:val="14"/>
              </w:rPr>
              <w:t>Schlessinger, M. Functors of Artin Rings. Transactions of the AMS 130 (1968), 208-222. DOI 10.1090/S0002-9947-1968-0217093-3.</w:t>
            </w:r>
          </w:p>
        </w:tc>
      </w:tr>
      <w:tr>
        <w:tc>
          <w:tcPr>
            <w:tcW w:type="dxa" w:w="1587"/>
            <w:tcMar>
              <w:top w:w="80" w:type="dxa"/>
              <w:start w:w="90" w:type="dxa"/>
              <w:bottom w:w="80" w:type="dxa"/>
              <w:end w:w="90" w:type="dxa"/>
            </w:tcMar>
            <w:vAlign w:val="center"/>
          </w:tcPr>
          <w:p>
            <w:pPr>
              <w:jc w:val="center"/>
            </w:pPr>
            <w:r>
              <w:rPr>
                <w:rFonts w:ascii="Aptos" w:hAnsi="Aptos"/>
                <w:b w:val="0"/>
                <w:i w:val="0"/>
                <w:sz w:val="14"/>
              </w:rPr>
              <w:t>V0.9-4</w:t>
            </w:r>
          </w:p>
        </w:tc>
        <w:tc>
          <w:tcPr>
            <w:tcW w:type="dxa" w:w="8617"/>
            <w:tcMar>
              <w:top w:w="80" w:type="dxa"/>
              <w:start w:w="90" w:type="dxa"/>
              <w:bottom w:w="80" w:type="dxa"/>
              <w:end w:w="90" w:type="dxa"/>
            </w:tcMar>
            <w:vAlign w:val="center"/>
          </w:tcPr>
          <w:p>
            <w:pPr>
              <w:jc w:val="left"/>
            </w:pPr>
            <w:r>
              <w:rPr>
                <w:rFonts w:ascii="Aptos" w:hAnsi="Aptos"/>
                <w:b w:val="0"/>
                <w:i w:val="0"/>
                <w:sz w:val="14"/>
              </w:rPr>
              <w:t>The Stacks Project. Part 6: Deformation Theory; Chapters 90-93, including Schlessinger conditions, lifts and cotangent complexes. Tag 0ELW.</w:t>
            </w:r>
          </w:p>
        </w:tc>
      </w:tr>
      <w:tr>
        <w:tc>
          <w:tcPr>
            <w:tcW w:type="dxa" w:w="1587"/>
            <w:tcMar>
              <w:top w:w="80" w:type="dxa"/>
              <w:start w:w="90" w:type="dxa"/>
              <w:bottom w:w="80" w:type="dxa"/>
              <w:end w:w="90" w:type="dxa"/>
            </w:tcMar>
            <w:vAlign w:val="center"/>
          </w:tcPr>
          <w:p>
            <w:pPr>
              <w:jc w:val="center"/>
            </w:pPr>
            <w:r>
              <w:rPr>
                <w:rFonts w:ascii="Aptos" w:hAnsi="Aptos"/>
                <w:b w:val="0"/>
                <w:i w:val="0"/>
                <w:sz w:val="14"/>
              </w:rPr>
              <w:t>V0.9-5</w:t>
            </w:r>
          </w:p>
        </w:tc>
        <w:tc>
          <w:tcPr>
            <w:tcW w:type="dxa" w:w="8617"/>
            <w:tcMar>
              <w:top w:w="80" w:type="dxa"/>
              <w:start w:w="90" w:type="dxa"/>
              <w:bottom w:w="80" w:type="dxa"/>
              <w:end w:w="90" w:type="dxa"/>
            </w:tcMar>
            <w:vAlign w:val="center"/>
          </w:tcPr>
          <w:p>
            <w:pPr>
              <w:jc w:val="left"/>
            </w:pPr>
            <w:r>
              <w:rPr>
                <w:rFonts w:ascii="Aptos" w:hAnsi="Aptos"/>
                <w:b w:val="0"/>
                <w:i w:val="0"/>
                <w:sz w:val="14"/>
              </w:rPr>
              <w:t>Kurpishev, I. B. Том I v197 RU, §§52.9-52.18 и статус 26.36; Том II T2-RP-v0.1-v0.8; PILOT-01. Граница новизны. Формулы H²=ker Ψ и H³=coker Ψ являются классической линейной алгеброй. Авторским результатом проекта является выбор конкретного квадратичного кадра NAPG_q, его функториальная связь с O_B, включение в предсказательный Reper-шлюз и доказательная дисциплина, запрещающая перенос внутреннего класса во внешний или физический слой без моста.</w:t>
            </w:r>
          </w:p>
        </w:tc>
      </w:tr>
      <w:tr>
        <w:tc>
          <w:tcPr>
            <w:tcW w:type="dxa" w:w="1587"/>
            <w:tcMar>
              <w:top w:w="80" w:type="dxa"/>
              <w:start w:w="90" w:type="dxa"/>
              <w:bottom w:w="80" w:type="dxa"/>
              <w:end w:w="90" w:type="dxa"/>
            </w:tcMar>
            <w:vAlign w:val="center"/>
          </w:tcPr>
          <w:p>
            <w:pPr>
              <w:jc w:val="center"/>
            </w:pPr>
            <w:r>
              <w:rPr>
                <w:rFonts w:ascii="Aptos" w:hAnsi="Aptos"/>
                <w:b w:val="0"/>
                <w:i w:val="0"/>
                <w:sz w:val="14"/>
              </w:rPr>
              <w:t>V0.10-1</w:t>
            </w:r>
          </w:p>
        </w:tc>
        <w:tc>
          <w:tcPr>
            <w:tcW w:type="dxa" w:w="8617"/>
            <w:tcMar>
              <w:top w:w="80" w:type="dxa"/>
              <w:start w:w="90" w:type="dxa"/>
              <w:bottom w:w="80" w:type="dxa"/>
              <w:end w:w="90" w:type="dxa"/>
            </w:tcMar>
            <w:vAlign w:val="center"/>
          </w:tcPr>
          <w:p>
            <w:pPr>
              <w:jc w:val="left"/>
            </w:pPr>
            <w:r>
              <w:rPr>
                <w:rFonts w:ascii="Aptos" w:hAnsi="Aptos"/>
                <w:b w:val="0"/>
                <w:i w:val="0"/>
                <w:sz w:val="14"/>
              </w:rPr>
              <w:t>The Stacks Project. Complexes and homotopies, Tag 010V; quasi-isomorphisms, Tag 0115.</w:t>
            </w:r>
          </w:p>
        </w:tc>
      </w:tr>
      <w:tr>
        <w:tc>
          <w:tcPr>
            <w:tcW w:type="dxa" w:w="1587"/>
            <w:tcMar>
              <w:top w:w="80" w:type="dxa"/>
              <w:start w:w="90" w:type="dxa"/>
              <w:bottom w:w="80" w:type="dxa"/>
              <w:end w:w="90" w:type="dxa"/>
            </w:tcMar>
            <w:vAlign w:val="center"/>
          </w:tcPr>
          <w:p>
            <w:pPr>
              <w:jc w:val="center"/>
            </w:pPr>
            <w:r>
              <w:rPr>
                <w:rFonts w:ascii="Aptos" w:hAnsi="Aptos"/>
                <w:b w:val="0"/>
                <w:i w:val="0"/>
                <w:sz w:val="14"/>
              </w:rPr>
              <w:t>V0.10-2</w:t>
            </w:r>
          </w:p>
        </w:tc>
        <w:tc>
          <w:tcPr>
            <w:tcW w:type="dxa" w:w="8617"/>
            <w:tcMar>
              <w:top w:w="80" w:type="dxa"/>
              <w:start w:w="90" w:type="dxa"/>
              <w:bottom w:w="80" w:type="dxa"/>
              <w:end w:w="90" w:type="dxa"/>
            </w:tcMar>
            <w:vAlign w:val="center"/>
          </w:tcPr>
          <w:p>
            <w:pPr>
              <w:jc w:val="left"/>
            </w:pPr>
            <w:r>
              <w:rPr>
                <w:rFonts w:ascii="Aptos" w:hAnsi="Aptos"/>
                <w:b w:val="0"/>
                <w:i w:val="0"/>
                <w:sz w:val="14"/>
              </w:rPr>
              <w:t>The Stacks Project. Cones, Tag 09K9; cones and termwise split sequences, Tag 014D.</w:t>
            </w:r>
          </w:p>
        </w:tc>
      </w:tr>
      <w:tr>
        <w:tc>
          <w:tcPr>
            <w:tcW w:type="dxa" w:w="1587"/>
            <w:tcMar>
              <w:top w:w="80" w:type="dxa"/>
              <w:start w:w="90" w:type="dxa"/>
              <w:bottom w:w="80" w:type="dxa"/>
              <w:end w:w="90" w:type="dxa"/>
            </w:tcMar>
            <w:vAlign w:val="center"/>
          </w:tcPr>
          <w:p>
            <w:pPr>
              <w:jc w:val="center"/>
            </w:pPr>
            <w:r>
              <w:rPr>
                <w:rFonts w:ascii="Aptos" w:hAnsi="Aptos"/>
                <w:b w:val="0"/>
                <w:i w:val="0"/>
                <w:sz w:val="14"/>
              </w:rPr>
              <w:t>V0.10-3</w:t>
            </w:r>
          </w:p>
        </w:tc>
        <w:tc>
          <w:tcPr>
            <w:tcW w:type="dxa" w:w="8617"/>
            <w:tcMar>
              <w:top w:w="80" w:type="dxa"/>
              <w:start w:w="90" w:type="dxa"/>
              <w:bottom w:w="80" w:type="dxa"/>
              <w:end w:w="90" w:type="dxa"/>
            </w:tcMar>
            <w:vAlign w:val="center"/>
          </w:tcPr>
          <w:p>
            <w:pPr>
              <w:jc w:val="left"/>
            </w:pPr>
            <w:r>
              <w:rPr>
                <w:rFonts w:ascii="Aptos" w:hAnsi="Aptos"/>
                <w:b w:val="0"/>
                <w:i w:val="0"/>
                <w:sz w:val="14"/>
              </w:rPr>
              <w:t>The Stacks Project. Long exact cohomology sequence, Tag 0117.</w:t>
            </w:r>
          </w:p>
        </w:tc>
      </w:tr>
      <w:tr>
        <w:tc>
          <w:tcPr>
            <w:tcW w:type="dxa" w:w="1587"/>
            <w:tcMar>
              <w:top w:w="80" w:type="dxa"/>
              <w:start w:w="90" w:type="dxa"/>
              <w:bottom w:w="80" w:type="dxa"/>
              <w:end w:w="90" w:type="dxa"/>
            </w:tcMar>
            <w:vAlign w:val="center"/>
          </w:tcPr>
          <w:p>
            <w:pPr>
              <w:jc w:val="center"/>
            </w:pPr>
            <w:r>
              <w:rPr>
                <w:rFonts w:ascii="Aptos" w:hAnsi="Aptos"/>
                <w:b w:val="0"/>
                <w:i w:val="0"/>
                <w:sz w:val="14"/>
              </w:rPr>
              <w:t>V0.10-4</w:t>
            </w:r>
          </w:p>
        </w:tc>
        <w:tc>
          <w:tcPr>
            <w:tcW w:type="dxa" w:w="8617"/>
            <w:tcMar>
              <w:top w:w="80" w:type="dxa"/>
              <w:start w:w="90" w:type="dxa"/>
              <w:bottom w:w="80" w:type="dxa"/>
              <w:end w:w="90" w:type="dxa"/>
            </w:tcMar>
            <w:vAlign w:val="center"/>
          </w:tcPr>
          <w:p>
            <w:pPr>
              <w:jc w:val="left"/>
            </w:pPr>
            <w:r>
              <w:rPr>
                <w:rFonts w:ascii="Aptos" w:hAnsi="Aptos"/>
                <w:b w:val="0"/>
                <w:i w:val="0"/>
                <w:sz w:val="14"/>
              </w:rPr>
              <w:t>Weibel, C. A. An Introduction to Homological Algebra. Cambridge Studies in Advanced Mathematics 38, 1994.</w:t>
            </w:r>
          </w:p>
        </w:tc>
      </w:tr>
      <w:tr>
        <w:tc>
          <w:tcPr>
            <w:tcW w:type="dxa" w:w="1587"/>
            <w:tcMar>
              <w:top w:w="80" w:type="dxa"/>
              <w:start w:w="90" w:type="dxa"/>
              <w:bottom w:w="80" w:type="dxa"/>
              <w:end w:w="90" w:type="dxa"/>
            </w:tcMar>
            <w:vAlign w:val="center"/>
          </w:tcPr>
          <w:p>
            <w:pPr>
              <w:jc w:val="center"/>
            </w:pPr>
            <w:r>
              <w:rPr>
                <w:rFonts w:ascii="Aptos" w:hAnsi="Aptos"/>
                <w:b w:val="0"/>
                <w:i w:val="0"/>
                <w:sz w:val="14"/>
              </w:rPr>
              <w:t>V0.10-5</w:t>
            </w:r>
          </w:p>
        </w:tc>
        <w:tc>
          <w:tcPr>
            <w:tcW w:type="dxa" w:w="8617"/>
            <w:tcMar>
              <w:top w:w="80" w:type="dxa"/>
              <w:start w:w="90" w:type="dxa"/>
              <w:bottom w:w="80" w:type="dxa"/>
              <w:end w:w="90" w:type="dxa"/>
            </w:tcMar>
            <w:vAlign w:val="center"/>
          </w:tcPr>
          <w:p>
            <w:pPr>
              <w:jc w:val="left"/>
            </w:pPr>
            <w:r>
              <w:rPr>
                <w:rFonts w:ascii="Aptos" w:hAnsi="Aptos"/>
                <w:b w:val="0"/>
                <w:i w:val="0"/>
                <w:sz w:val="14"/>
              </w:rPr>
              <w:t>Kurpishev, I. B. Том I v197 RU, §§26.32-26.36 и §§52.6-52.18; Том II T2-RP-v0.1-v0.9. Граница новизны. Ни mapping cone, ни chain homotopy, ни индуцированная карта когомологий не заявляются как новые общие конструкции. Новизна связывается с их конкретным типизированным применением в NAPG 3.0 и с доказательной дисциплиной KLT-RBD, запрещающей обратную, ассоциаторную и физическую интерпретацию без соответствующих мостов.</w:t>
            </w:r>
          </w:p>
        </w:tc>
      </w:tr>
      <w:tr>
        <w:tc>
          <w:tcPr>
            <w:tcW w:type="dxa" w:w="1587"/>
            <w:tcMar>
              <w:top w:w="80" w:type="dxa"/>
              <w:start w:w="90" w:type="dxa"/>
              <w:bottom w:w="80" w:type="dxa"/>
              <w:end w:w="90" w:type="dxa"/>
            </w:tcMar>
            <w:vAlign w:val="center"/>
          </w:tcPr>
          <w:p>
            <w:pPr>
              <w:jc w:val="center"/>
            </w:pPr>
            <w:r>
              <w:rPr>
                <w:rFonts w:ascii="Aptos" w:hAnsi="Aptos"/>
                <w:b w:val="0"/>
                <w:i w:val="0"/>
                <w:sz w:val="14"/>
              </w:rPr>
              <w:t>V0.11-1</w:t>
            </w:r>
          </w:p>
        </w:tc>
        <w:tc>
          <w:tcPr>
            <w:tcW w:type="dxa" w:w="8617"/>
            <w:tcMar>
              <w:top w:w="80" w:type="dxa"/>
              <w:start w:w="90" w:type="dxa"/>
              <w:bottom w:w="80" w:type="dxa"/>
              <w:end w:w="90" w:type="dxa"/>
            </w:tcMar>
            <w:vAlign w:val="center"/>
          </w:tcPr>
          <w:p>
            <w:pPr>
              <w:jc w:val="left"/>
            </w:pPr>
            <w:r>
              <w:rPr>
                <w:rFonts w:ascii="Aptos" w:hAnsi="Aptos"/>
                <w:b w:val="0"/>
                <w:i w:val="0"/>
                <w:sz w:val="14"/>
              </w:rPr>
              <w:t>Курпишев И. Б. Реперно-проективная архитектура формульных цепочек: PILOT-01. Разделы 5-9: vector obstruction carrier, projectivization и Fano ontological barrier.</w:t>
            </w:r>
          </w:p>
        </w:tc>
      </w:tr>
      <w:tr>
        <w:tc>
          <w:tcPr>
            <w:tcW w:type="dxa" w:w="1587"/>
            <w:tcMar>
              <w:top w:w="80" w:type="dxa"/>
              <w:start w:w="90" w:type="dxa"/>
              <w:bottom w:w="80" w:type="dxa"/>
              <w:end w:w="90" w:type="dxa"/>
            </w:tcMar>
            <w:vAlign w:val="center"/>
          </w:tcPr>
          <w:p>
            <w:pPr>
              <w:jc w:val="center"/>
            </w:pPr>
            <w:r>
              <w:rPr>
                <w:rFonts w:ascii="Aptos" w:hAnsi="Aptos"/>
                <w:b w:val="0"/>
                <w:i w:val="0"/>
                <w:sz w:val="14"/>
              </w:rPr>
              <w:t>V0.11-2</w:t>
            </w:r>
          </w:p>
        </w:tc>
        <w:tc>
          <w:tcPr>
            <w:tcW w:type="dxa" w:w="8617"/>
            <w:tcMar>
              <w:top w:w="80" w:type="dxa"/>
              <w:start w:w="90" w:type="dxa"/>
              <w:bottom w:w="80" w:type="dxa"/>
              <w:end w:w="90" w:type="dxa"/>
            </w:tcMar>
            <w:vAlign w:val="center"/>
          </w:tcPr>
          <w:p>
            <w:pPr>
              <w:jc w:val="left"/>
            </w:pPr>
            <w:r>
              <w:rPr>
                <w:rFonts w:ascii="Aptos" w:hAnsi="Aptos"/>
                <w:b w:val="0"/>
                <w:i w:val="0"/>
                <w:sz w:val="14"/>
              </w:rPr>
              <w:t>Hartshorne, R. Algebraic Geometry. Chapter I, projective varieties.</w:t>
            </w:r>
          </w:p>
        </w:tc>
      </w:tr>
      <w:tr>
        <w:tc>
          <w:tcPr>
            <w:tcW w:type="dxa" w:w="1587"/>
            <w:tcMar>
              <w:top w:w="80" w:type="dxa"/>
              <w:start w:w="90" w:type="dxa"/>
              <w:bottom w:w="80" w:type="dxa"/>
              <w:end w:w="90" w:type="dxa"/>
            </w:tcMar>
            <w:vAlign w:val="center"/>
          </w:tcPr>
          <w:p>
            <w:pPr>
              <w:jc w:val="center"/>
            </w:pPr>
            <w:r>
              <w:rPr>
                <w:rFonts w:ascii="Aptos" w:hAnsi="Aptos"/>
                <w:b w:val="0"/>
                <w:i w:val="0"/>
                <w:sz w:val="14"/>
              </w:rPr>
              <w:t>V0.11-3</w:t>
            </w:r>
          </w:p>
        </w:tc>
        <w:tc>
          <w:tcPr>
            <w:tcW w:type="dxa" w:w="8617"/>
            <w:tcMar>
              <w:top w:w="80" w:type="dxa"/>
              <w:start w:w="90" w:type="dxa"/>
              <w:bottom w:w="80" w:type="dxa"/>
              <w:end w:w="90" w:type="dxa"/>
            </w:tcMar>
            <w:vAlign w:val="center"/>
          </w:tcPr>
          <w:p>
            <w:pPr>
              <w:jc w:val="left"/>
            </w:pPr>
            <w:r>
              <w:rPr>
                <w:rFonts w:ascii="Aptos" w:hAnsi="Aptos"/>
                <w:b w:val="0"/>
                <w:i w:val="0"/>
                <w:sz w:val="14"/>
              </w:rPr>
              <w:t>Goresky, M.; MacPherson, R. Stratified Morse Theory. Springer, 1988.</w:t>
            </w:r>
          </w:p>
        </w:tc>
      </w:tr>
      <w:tr>
        <w:tc>
          <w:tcPr>
            <w:tcW w:type="dxa" w:w="1587"/>
            <w:tcMar>
              <w:top w:w="80" w:type="dxa"/>
              <w:start w:w="90" w:type="dxa"/>
              <w:bottom w:w="80" w:type="dxa"/>
              <w:end w:w="90" w:type="dxa"/>
            </w:tcMar>
            <w:vAlign w:val="center"/>
          </w:tcPr>
          <w:p>
            <w:pPr>
              <w:jc w:val="center"/>
            </w:pPr>
            <w:r>
              <w:rPr>
                <w:rFonts w:ascii="Aptos" w:hAnsi="Aptos"/>
                <w:b w:val="0"/>
                <w:i w:val="0"/>
                <w:sz w:val="14"/>
              </w:rPr>
              <w:t>V0.11-4</w:t>
            </w:r>
          </w:p>
        </w:tc>
        <w:tc>
          <w:tcPr>
            <w:tcW w:type="dxa" w:w="8617"/>
            <w:tcMar>
              <w:top w:w="80" w:type="dxa"/>
              <w:start w:w="90" w:type="dxa"/>
              <w:bottom w:w="80" w:type="dxa"/>
              <w:end w:w="90" w:type="dxa"/>
            </w:tcMar>
            <w:vAlign w:val="center"/>
          </w:tcPr>
          <w:p>
            <w:pPr>
              <w:jc w:val="left"/>
            </w:pPr>
            <w:r>
              <w:rPr>
                <w:rFonts w:ascii="Aptos" w:hAnsi="Aptos"/>
                <w:b w:val="0"/>
                <w:i w:val="0"/>
                <w:sz w:val="14"/>
              </w:rPr>
              <w:t>Whitney, H. Tangents to an analytic variety. Annals of Mathematics 81 (1965).</w:t>
            </w:r>
          </w:p>
        </w:tc>
      </w:tr>
      <w:tr>
        <w:tc>
          <w:tcPr>
            <w:tcW w:type="dxa" w:w="1587"/>
            <w:tcMar>
              <w:top w:w="80" w:type="dxa"/>
              <w:start w:w="90" w:type="dxa"/>
              <w:bottom w:w="80" w:type="dxa"/>
              <w:end w:w="90" w:type="dxa"/>
            </w:tcMar>
            <w:vAlign w:val="center"/>
          </w:tcPr>
          <w:p>
            <w:pPr>
              <w:jc w:val="center"/>
            </w:pPr>
            <w:r>
              <w:rPr>
                <w:rFonts w:ascii="Aptos" w:hAnsi="Aptos"/>
                <w:b w:val="0"/>
                <w:i w:val="0"/>
                <w:sz w:val="14"/>
              </w:rPr>
              <w:t>V0.11-5</w:t>
            </w:r>
          </w:p>
        </w:tc>
        <w:tc>
          <w:tcPr>
            <w:tcW w:type="dxa" w:w="8617"/>
            <w:tcMar>
              <w:top w:w="80" w:type="dxa"/>
              <w:start w:w="90" w:type="dxa"/>
              <w:bottom w:w="80" w:type="dxa"/>
              <w:end w:w="90" w:type="dxa"/>
            </w:tcMar>
            <w:vAlign w:val="center"/>
          </w:tcPr>
          <w:p>
            <w:pPr>
              <w:jc w:val="left"/>
            </w:pPr>
            <w:r>
              <w:rPr>
                <w:rFonts w:ascii="Aptos" w:hAnsi="Aptos"/>
                <w:b w:val="0"/>
                <w:i w:val="0"/>
                <w:sz w:val="14"/>
              </w:rPr>
              <w:t>Duistermaat, J. J.; Kolk, J. A. C. Lie Groups. Orbit-type decompositions.</w:t>
            </w:r>
          </w:p>
        </w:tc>
      </w:tr>
      <w:tr>
        <w:tc>
          <w:tcPr>
            <w:tcW w:type="dxa" w:w="1587"/>
            <w:tcMar>
              <w:top w:w="80" w:type="dxa"/>
              <w:start w:w="90" w:type="dxa"/>
              <w:bottom w:w="80" w:type="dxa"/>
              <w:end w:w="90" w:type="dxa"/>
            </w:tcMar>
            <w:vAlign w:val="center"/>
          </w:tcPr>
          <w:p>
            <w:pPr>
              <w:jc w:val="center"/>
            </w:pPr>
            <w:r>
              <w:rPr>
                <w:rFonts w:ascii="Aptos" w:hAnsi="Aptos"/>
                <w:b w:val="0"/>
                <w:i w:val="0"/>
                <w:sz w:val="14"/>
              </w:rPr>
              <w:t>V0.11-6</w:t>
            </w:r>
          </w:p>
        </w:tc>
        <w:tc>
          <w:tcPr>
            <w:tcW w:type="dxa" w:w="8617"/>
            <w:tcMar>
              <w:top w:w="80" w:type="dxa"/>
              <w:start w:w="90" w:type="dxa"/>
              <w:bottom w:w="80" w:type="dxa"/>
              <w:end w:w="90" w:type="dxa"/>
            </w:tcMar>
            <w:vAlign w:val="center"/>
          </w:tcPr>
          <w:p>
            <w:pPr>
              <w:jc w:val="left"/>
            </w:pPr>
            <w:r>
              <w:rPr>
                <w:rFonts w:ascii="Aptos" w:hAnsi="Aptos"/>
                <w:b w:val="0"/>
                <w:i w:val="0"/>
                <w:sz w:val="14"/>
              </w:rPr>
              <w:t>Том I v197 RU; Том II T2-RP-v0.1-v0.10. Граница новизны. Авторская линия Курпишева связывает внутренний obstruction carrier NAPG, D/Dom- дисциплину, Evidence-D, Reper-λ-авторизацию, Fano globalization firewall, projective information-loss ledger и отрицательный предсказательный вывод в едином вычислимом контуре KLT-RBD. Общие теоремы классической проективной и стратификационной геометрии атрибутируются prior art.</w:t>
            </w:r>
          </w:p>
        </w:tc>
      </w:tr>
      <w:tr>
        <w:tc>
          <w:tcPr>
            <w:tcW w:type="dxa" w:w="1587"/>
            <w:tcMar>
              <w:top w:w="80" w:type="dxa"/>
              <w:start w:w="90" w:type="dxa"/>
              <w:bottom w:w="80" w:type="dxa"/>
              <w:end w:w="90" w:type="dxa"/>
            </w:tcMar>
            <w:vAlign w:val="center"/>
          </w:tcPr>
          <w:p>
            <w:pPr>
              <w:jc w:val="center"/>
            </w:pPr>
            <w:r>
              <w:rPr>
                <w:rFonts w:ascii="Aptos" w:hAnsi="Aptos"/>
                <w:b w:val="0"/>
                <w:i w:val="0"/>
                <w:sz w:val="14"/>
              </w:rPr>
              <w:t>V0.12-1</w:t>
            </w:r>
          </w:p>
        </w:tc>
        <w:tc>
          <w:tcPr>
            <w:tcW w:type="dxa" w:w="8617"/>
            <w:tcMar>
              <w:top w:w="80" w:type="dxa"/>
              <w:start w:w="90" w:type="dxa"/>
              <w:bottom w:w="80" w:type="dxa"/>
              <w:end w:w="90" w:type="dxa"/>
            </w:tcMar>
            <w:vAlign w:val="center"/>
          </w:tcPr>
          <w:p>
            <w:pPr>
              <w:jc w:val="left"/>
            </w:pPr>
            <w:r>
              <w:rPr>
                <w:rFonts w:ascii="Aptos" w:hAnsi="Aptos"/>
                <w:b w:val="0"/>
                <w:i w:val="0"/>
                <w:sz w:val="14"/>
              </w:rPr>
              <w:t>Kodaira, K. Harmonic Fields in Riemannian Manifolds (Generalized Potential Theory). Annals of Mathematics 50(3), 587-665 (1949). DOI 10.2307/1969552.</w:t>
            </w:r>
          </w:p>
        </w:tc>
      </w:tr>
      <w:tr>
        <w:tc>
          <w:tcPr>
            <w:tcW w:type="dxa" w:w="1587"/>
            <w:tcMar>
              <w:top w:w="80" w:type="dxa"/>
              <w:start w:w="90" w:type="dxa"/>
              <w:bottom w:w="80" w:type="dxa"/>
              <w:end w:w="90" w:type="dxa"/>
            </w:tcMar>
            <w:vAlign w:val="center"/>
          </w:tcPr>
          <w:p>
            <w:pPr>
              <w:jc w:val="center"/>
            </w:pPr>
            <w:r>
              <w:rPr>
                <w:rFonts w:ascii="Aptos" w:hAnsi="Aptos"/>
                <w:b w:val="0"/>
                <w:i w:val="0"/>
                <w:sz w:val="14"/>
              </w:rPr>
              <w:t>V0.12-2</w:t>
            </w:r>
          </w:p>
        </w:tc>
        <w:tc>
          <w:tcPr>
            <w:tcW w:type="dxa" w:w="8617"/>
            <w:tcMar>
              <w:top w:w="80" w:type="dxa"/>
              <w:start w:w="90" w:type="dxa"/>
              <w:bottom w:w="80" w:type="dxa"/>
              <w:end w:w="90" w:type="dxa"/>
            </w:tcMar>
            <w:vAlign w:val="center"/>
          </w:tcPr>
          <w:p>
            <w:pPr>
              <w:jc w:val="left"/>
            </w:pPr>
            <w:r>
              <w:rPr>
                <w:rFonts w:ascii="Aptos" w:hAnsi="Aptos"/>
                <w:b w:val="0"/>
                <w:i w:val="0"/>
                <w:sz w:val="14"/>
              </w:rPr>
              <w:t>Gaffney, M. P. Hilbert Space Methods in the Theory of Harmonic Integrals. Transactions of the AMS 78(2), 426-444 (1955). DOI 10.1090/S0002-9947-1955-0068888-1.</w:t>
            </w:r>
          </w:p>
        </w:tc>
      </w:tr>
      <w:tr>
        <w:tc>
          <w:tcPr>
            <w:tcW w:type="dxa" w:w="1587"/>
            <w:tcMar>
              <w:top w:w="80" w:type="dxa"/>
              <w:start w:w="90" w:type="dxa"/>
              <w:bottom w:w="80" w:type="dxa"/>
              <w:end w:w="90" w:type="dxa"/>
            </w:tcMar>
            <w:vAlign w:val="center"/>
          </w:tcPr>
          <w:p>
            <w:pPr>
              <w:jc w:val="center"/>
            </w:pPr>
            <w:r>
              <w:rPr>
                <w:rFonts w:ascii="Aptos" w:hAnsi="Aptos"/>
                <w:b w:val="0"/>
                <w:i w:val="0"/>
                <w:sz w:val="14"/>
              </w:rPr>
              <w:t>V0.12-3</w:t>
            </w:r>
          </w:p>
        </w:tc>
        <w:tc>
          <w:tcPr>
            <w:tcW w:type="dxa" w:w="8617"/>
            <w:tcMar>
              <w:top w:w="80" w:type="dxa"/>
              <w:start w:w="90" w:type="dxa"/>
              <w:bottom w:w="80" w:type="dxa"/>
              <w:end w:w="90" w:type="dxa"/>
            </w:tcMar>
            <w:vAlign w:val="center"/>
          </w:tcPr>
          <w:p>
            <w:pPr>
              <w:jc w:val="left"/>
            </w:pPr>
            <w:r>
              <w:rPr>
                <w:rFonts w:ascii="Aptos" w:hAnsi="Aptos"/>
                <w:b w:val="0"/>
                <w:i w:val="0"/>
                <w:sz w:val="14"/>
              </w:rPr>
              <w:t>Brüning, J.; Lesch, M. Hilbert Complexes. Journal of Functional Analysis 108(1), 88-132 (1992). DOI 10.1016/0022-1236(92)90147-B.</w:t>
            </w:r>
          </w:p>
        </w:tc>
      </w:tr>
      <w:tr>
        <w:tc>
          <w:tcPr>
            <w:tcW w:type="dxa" w:w="1587"/>
            <w:tcMar>
              <w:top w:w="80" w:type="dxa"/>
              <w:start w:w="90" w:type="dxa"/>
              <w:bottom w:w="80" w:type="dxa"/>
              <w:end w:w="90" w:type="dxa"/>
            </w:tcMar>
            <w:vAlign w:val="center"/>
          </w:tcPr>
          <w:p>
            <w:pPr>
              <w:jc w:val="center"/>
            </w:pPr>
            <w:r>
              <w:rPr>
                <w:rFonts w:ascii="Aptos" w:hAnsi="Aptos"/>
                <w:b w:val="0"/>
                <w:i w:val="0"/>
                <w:sz w:val="14"/>
              </w:rPr>
              <w:t>V0.12-4</w:t>
            </w:r>
          </w:p>
        </w:tc>
        <w:tc>
          <w:tcPr>
            <w:tcW w:type="dxa" w:w="8617"/>
            <w:tcMar>
              <w:top w:w="80" w:type="dxa"/>
              <w:start w:w="90" w:type="dxa"/>
              <w:bottom w:w="80" w:type="dxa"/>
              <w:end w:w="90" w:type="dxa"/>
            </w:tcMar>
            <w:vAlign w:val="center"/>
          </w:tcPr>
          <w:p>
            <w:pPr>
              <w:jc w:val="left"/>
            </w:pPr>
            <w:r>
              <w:rPr>
                <w:rFonts w:ascii="Aptos" w:hAnsi="Aptos"/>
                <w:b w:val="0"/>
                <w:i w:val="0"/>
                <w:sz w:val="14"/>
              </w:rPr>
              <w:t>Atiyah, M. F.; Singer, I. M. The Index of Elliptic Operators I. Annals of Mathematics 87(3), 484-530 (1968). DOI 10.2307/1970715.</w:t>
            </w:r>
          </w:p>
        </w:tc>
      </w:tr>
      <w:tr>
        <w:tc>
          <w:tcPr>
            <w:tcW w:type="dxa" w:w="1587"/>
            <w:tcMar>
              <w:top w:w="80" w:type="dxa"/>
              <w:start w:w="90" w:type="dxa"/>
              <w:bottom w:w="80" w:type="dxa"/>
              <w:end w:w="90" w:type="dxa"/>
            </w:tcMar>
            <w:vAlign w:val="center"/>
          </w:tcPr>
          <w:p>
            <w:pPr>
              <w:jc w:val="center"/>
            </w:pPr>
            <w:r>
              <w:rPr>
                <w:rFonts w:ascii="Aptos" w:hAnsi="Aptos"/>
                <w:b w:val="0"/>
                <w:i w:val="0"/>
                <w:sz w:val="14"/>
              </w:rPr>
              <w:t>V0.12-5</w:t>
            </w:r>
          </w:p>
        </w:tc>
        <w:tc>
          <w:tcPr>
            <w:tcW w:type="dxa" w:w="8617"/>
            <w:tcMar>
              <w:top w:w="80" w:type="dxa"/>
              <w:start w:w="90" w:type="dxa"/>
              <w:bottom w:w="80" w:type="dxa"/>
              <w:end w:w="90" w:type="dxa"/>
            </w:tcMar>
            <w:vAlign w:val="center"/>
          </w:tcPr>
          <w:p>
            <w:pPr>
              <w:jc w:val="left"/>
            </w:pPr>
            <w:r>
              <w:rPr>
                <w:rFonts w:ascii="Aptos" w:hAnsi="Aptos"/>
                <w:b w:val="0"/>
                <w:i w:val="0"/>
                <w:sz w:val="14"/>
              </w:rPr>
              <w:t>Agmon, S.; Douglis, A.; Nirenberg, L. Estimates Near the Boundary for Solutions of Elliptic PDE Satisfying General Boundary Conditions I. CPAM 12(4), 623-727 (1959). DOI 10.1002/cpa.3160120405.</w:t>
            </w:r>
          </w:p>
        </w:tc>
      </w:tr>
      <w:tr>
        <w:tc>
          <w:tcPr>
            <w:tcW w:type="dxa" w:w="1587"/>
            <w:tcMar>
              <w:top w:w="80" w:type="dxa"/>
              <w:start w:w="90" w:type="dxa"/>
              <w:bottom w:w="80" w:type="dxa"/>
              <w:end w:w="90" w:type="dxa"/>
            </w:tcMar>
            <w:vAlign w:val="center"/>
          </w:tcPr>
          <w:p>
            <w:pPr>
              <w:jc w:val="center"/>
            </w:pPr>
            <w:r>
              <w:rPr>
                <w:rFonts w:ascii="Aptos" w:hAnsi="Aptos"/>
                <w:b w:val="0"/>
                <w:i w:val="0"/>
                <w:sz w:val="14"/>
              </w:rPr>
              <w:t>V0.12-6</w:t>
            </w:r>
          </w:p>
        </w:tc>
        <w:tc>
          <w:tcPr>
            <w:tcW w:type="dxa" w:w="8617"/>
            <w:tcMar>
              <w:top w:w="80" w:type="dxa"/>
              <w:start w:w="90" w:type="dxa"/>
              <w:bottom w:w="80" w:type="dxa"/>
              <w:end w:w="90" w:type="dxa"/>
            </w:tcMar>
            <w:vAlign w:val="center"/>
          </w:tcPr>
          <w:p>
            <w:pPr>
              <w:jc w:val="left"/>
            </w:pPr>
            <w:r>
              <w:rPr>
                <w:rFonts w:ascii="Aptos" w:hAnsi="Aptos"/>
                <w:b w:val="0"/>
                <w:i w:val="0"/>
                <w:sz w:val="14"/>
              </w:rPr>
              <w:t>Kato, T. Perturbation Theory for Linear Operators. 2nd ed., Springer, 1995. DOI 10.1007/978-3-642-66282- 9.</w:t>
            </w:r>
          </w:p>
        </w:tc>
      </w:tr>
      <w:tr>
        <w:tc>
          <w:tcPr>
            <w:tcW w:type="dxa" w:w="1587"/>
            <w:tcMar>
              <w:top w:w="80" w:type="dxa"/>
              <w:start w:w="90" w:type="dxa"/>
              <w:bottom w:w="80" w:type="dxa"/>
              <w:end w:w="90" w:type="dxa"/>
            </w:tcMar>
            <w:vAlign w:val="center"/>
          </w:tcPr>
          <w:p>
            <w:pPr>
              <w:jc w:val="center"/>
            </w:pPr>
            <w:r>
              <w:rPr>
                <w:rFonts w:ascii="Aptos" w:hAnsi="Aptos"/>
                <w:b w:val="0"/>
                <w:i w:val="0"/>
                <w:sz w:val="14"/>
              </w:rPr>
              <w:t>V0.12-7</w:t>
            </w:r>
          </w:p>
        </w:tc>
        <w:tc>
          <w:tcPr>
            <w:tcW w:type="dxa" w:w="8617"/>
            <w:tcMar>
              <w:top w:w="80" w:type="dxa"/>
              <w:start w:w="90" w:type="dxa"/>
              <w:bottom w:w="80" w:type="dxa"/>
              <w:end w:w="90" w:type="dxa"/>
            </w:tcMar>
            <w:vAlign w:val="center"/>
          </w:tcPr>
          <w:p>
            <w:pPr>
              <w:jc w:val="left"/>
            </w:pPr>
            <w:r>
              <w:rPr>
                <w:rFonts w:ascii="Aptos" w:hAnsi="Aptos"/>
                <w:b w:val="0"/>
                <w:i w:val="0"/>
                <w:sz w:val="14"/>
              </w:rPr>
              <w:t>Cheeger, J. On the Hodge Theory of Riemannian Pseudomanifolds. Proc. Sympos. Pure Math. 36, 91-146 (1980).</w:t>
            </w:r>
          </w:p>
        </w:tc>
      </w:tr>
      <w:tr>
        <w:tc>
          <w:tcPr>
            <w:tcW w:type="dxa" w:w="1587"/>
            <w:tcMar>
              <w:top w:w="80" w:type="dxa"/>
              <w:start w:w="90" w:type="dxa"/>
              <w:bottom w:w="80" w:type="dxa"/>
              <w:end w:w="90" w:type="dxa"/>
            </w:tcMar>
            <w:vAlign w:val="center"/>
          </w:tcPr>
          <w:p>
            <w:pPr>
              <w:jc w:val="center"/>
            </w:pPr>
            <w:r>
              <w:rPr>
                <w:rFonts w:ascii="Aptos" w:hAnsi="Aptos"/>
                <w:b w:val="0"/>
                <w:i w:val="0"/>
                <w:sz w:val="14"/>
              </w:rPr>
              <w:t>V0.12-8</w:t>
            </w:r>
          </w:p>
        </w:tc>
        <w:tc>
          <w:tcPr>
            <w:tcW w:type="dxa" w:w="8617"/>
            <w:tcMar>
              <w:top w:w="80" w:type="dxa"/>
              <w:start w:w="90" w:type="dxa"/>
              <w:bottom w:w="80" w:type="dxa"/>
              <w:end w:w="90" w:type="dxa"/>
            </w:tcMar>
            <w:vAlign w:val="center"/>
          </w:tcPr>
          <w:p>
            <w:pPr>
              <w:jc w:val="left"/>
            </w:pPr>
            <w:r>
              <w:rPr>
                <w:rFonts w:ascii="Aptos" w:hAnsi="Aptos"/>
                <w:b w:val="0"/>
                <w:i w:val="0"/>
                <w:sz w:val="14"/>
              </w:rPr>
              <w:t>Bär, C.; Ballmann, W. Boundary Value Problems for Elliptic Differential Operators of First Order. Surveys in Differential Geometry 17, 1-78 (2012). DOI 10.4310/SDG.2012.v17.n1.a1.</w:t>
            </w:r>
          </w:p>
        </w:tc>
      </w:tr>
      <w:tr>
        <w:tc>
          <w:tcPr>
            <w:tcW w:type="dxa" w:w="1587"/>
            <w:tcMar>
              <w:top w:w="80" w:type="dxa"/>
              <w:start w:w="90" w:type="dxa"/>
              <w:bottom w:w="80" w:type="dxa"/>
              <w:end w:w="90" w:type="dxa"/>
            </w:tcMar>
            <w:vAlign w:val="center"/>
          </w:tcPr>
          <w:p>
            <w:pPr>
              <w:jc w:val="center"/>
            </w:pPr>
            <w:r>
              <w:rPr>
                <w:rFonts w:ascii="Aptos" w:hAnsi="Aptos"/>
                <w:b w:val="0"/>
                <w:i w:val="0"/>
                <w:sz w:val="14"/>
              </w:rPr>
              <w:t>V0.12-9</w:t>
            </w:r>
          </w:p>
        </w:tc>
        <w:tc>
          <w:tcPr>
            <w:tcW w:type="dxa" w:w="8617"/>
            <w:tcMar>
              <w:top w:w="80" w:type="dxa"/>
              <w:start w:w="90" w:type="dxa"/>
              <w:bottom w:w="80" w:type="dxa"/>
              <w:end w:w="90" w:type="dxa"/>
            </w:tcMar>
            <w:vAlign w:val="center"/>
          </w:tcPr>
          <w:p>
            <w:pPr>
              <w:jc w:val="left"/>
            </w:pPr>
            <w:r>
              <w:rPr>
                <w:rFonts w:ascii="Aptos" w:hAnsi="Aptos"/>
                <w:b w:val="0"/>
                <w:i w:val="0"/>
                <w:sz w:val="14"/>
              </w:rPr>
              <w:t>Kurpishev, I. B. Том I v197 RU; Том II T2-RP-v0.1-v0.11. Граница новизны. Нельзя называть авторским открытием Hodge decomposition, ellipticity, Fredholm index или спектральную perturbation theory. Авторским является конкретный KLT-RBD/NAPG-контракт, в котором аналитический сертификат связывается с obstruction carriers, проективно-гармонической авторизацией, Evidence-D и трёхзначным выводом NO-TRANSITION / CANDIDATE / ABSTAIN.</w:t>
            </w:r>
          </w:p>
        </w:tc>
      </w:tr>
      <w:tr>
        <w:tc>
          <w:tcPr>
            <w:tcW w:type="dxa" w:w="1587"/>
            <w:tcMar>
              <w:top w:w="80" w:type="dxa"/>
              <w:start w:w="90" w:type="dxa"/>
              <w:bottom w:w="80" w:type="dxa"/>
              <w:end w:w="90" w:type="dxa"/>
            </w:tcMar>
            <w:vAlign w:val="center"/>
          </w:tcPr>
          <w:p>
            <w:pPr>
              <w:jc w:val="center"/>
            </w:pPr>
            <w:r>
              <w:rPr>
                <w:rFonts w:ascii="Aptos" w:hAnsi="Aptos"/>
                <w:b w:val="0"/>
                <w:i w:val="0"/>
                <w:sz w:val="14"/>
              </w:rPr>
              <w:t>V0.13-1</w:t>
            </w:r>
          </w:p>
        </w:tc>
        <w:tc>
          <w:tcPr>
            <w:tcW w:type="dxa" w:w="8617"/>
            <w:tcMar>
              <w:top w:w="80" w:type="dxa"/>
              <w:start w:w="90" w:type="dxa"/>
              <w:bottom w:w="80" w:type="dxa"/>
              <w:end w:w="90" w:type="dxa"/>
            </w:tcMar>
            <w:vAlign w:val="center"/>
          </w:tcPr>
          <w:p>
            <w:pPr>
              <w:jc w:val="left"/>
            </w:pPr>
            <w:r>
              <w:rPr>
                <w:rFonts w:ascii="Aptos" w:hAnsi="Aptos"/>
                <w:b w:val="0"/>
                <w:i w:val="0"/>
                <w:sz w:val="14"/>
              </w:rPr>
              <w:t>Schlessinger, M. Functors of Artin Rings. Transactions of the AMS 130 (1968), 208-222.</w:t>
            </w:r>
          </w:p>
        </w:tc>
      </w:tr>
      <w:tr>
        <w:tc>
          <w:tcPr>
            <w:tcW w:type="dxa" w:w="1587"/>
            <w:tcMar>
              <w:top w:w="80" w:type="dxa"/>
              <w:start w:w="90" w:type="dxa"/>
              <w:bottom w:w="80" w:type="dxa"/>
              <w:end w:w="90" w:type="dxa"/>
            </w:tcMar>
            <w:vAlign w:val="center"/>
          </w:tcPr>
          <w:p>
            <w:pPr>
              <w:jc w:val="center"/>
            </w:pPr>
            <w:r>
              <w:rPr>
                <w:rFonts w:ascii="Aptos" w:hAnsi="Aptos"/>
                <w:b w:val="0"/>
                <w:i w:val="0"/>
                <w:sz w:val="14"/>
              </w:rPr>
              <w:t>V0.13-2</w:t>
            </w:r>
          </w:p>
        </w:tc>
        <w:tc>
          <w:tcPr>
            <w:tcW w:type="dxa" w:w="8617"/>
            <w:tcMar>
              <w:top w:w="80" w:type="dxa"/>
              <w:start w:w="90" w:type="dxa"/>
              <w:bottom w:w="80" w:type="dxa"/>
              <w:end w:w="90" w:type="dxa"/>
            </w:tcMar>
            <w:vAlign w:val="center"/>
          </w:tcPr>
          <w:p>
            <w:pPr>
              <w:jc w:val="left"/>
            </w:pPr>
            <w:r>
              <w:rPr>
                <w:rFonts w:ascii="Aptos" w:hAnsi="Aptos"/>
                <w:b w:val="0"/>
                <w:i w:val="0"/>
                <w:sz w:val="14"/>
              </w:rPr>
              <w:t>Kodaira, K.; Spencer, D. C. On Deformations of Complex Analytic Structures I-II. Annals of Mathematics 67 (1958), 328-466. DOI 10.2307/1970009.</w:t>
            </w:r>
          </w:p>
        </w:tc>
      </w:tr>
      <w:tr>
        <w:tc>
          <w:tcPr>
            <w:tcW w:type="dxa" w:w="1587"/>
            <w:tcMar>
              <w:top w:w="80" w:type="dxa"/>
              <w:start w:w="90" w:type="dxa"/>
              <w:bottom w:w="80" w:type="dxa"/>
              <w:end w:w="90" w:type="dxa"/>
            </w:tcMar>
            <w:vAlign w:val="center"/>
          </w:tcPr>
          <w:p>
            <w:pPr>
              <w:jc w:val="center"/>
            </w:pPr>
            <w:r>
              <w:rPr>
                <w:rFonts w:ascii="Aptos" w:hAnsi="Aptos"/>
                <w:b w:val="0"/>
                <w:i w:val="0"/>
                <w:sz w:val="14"/>
              </w:rPr>
              <w:t>V0.13-3</w:t>
            </w:r>
          </w:p>
        </w:tc>
        <w:tc>
          <w:tcPr>
            <w:tcW w:type="dxa" w:w="8617"/>
            <w:tcMar>
              <w:top w:w="80" w:type="dxa"/>
              <w:start w:w="90" w:type="dxa"/>
              <w:bottom w:w="80" w:type="dxa"/>
              <w:end w:w="90" w:type="dxa"/>
            </w:tcMar>
            <w:vAlign w:val="center"/>
          </w:tcPr>
          <w:p>
            <w:pPr>
              <w:jc w:val="left"/>
            </w:pPr>
            <w:r>
              <w:rPr>
                <w:rFonts w:ascii="Aptos" w:hAnsi="Aptos"/>
                <w:b w:val="0"/>
                <w:i w:val="0"/>
                <w:sz w:val="14"/>
              </w:rPr>
              <w:t>Kuranishi, M. On the Locally Complete Families of Complex Analytic Structures. Annals of Mathematics 75 (1962), 536-577. DOI 10.2307/1970211.</w:t>
            </w:r>
          </w:p>
        </w:tc>
      </w:tr>
      <w:tr>
        <w:tc>
          <w:tcPr>
            <w:tcW w:type="dxa" w:w="1587"/>
            <w:tcMar>
              <w:top w:w="80" w:type="dxa"/>
              <w:start w:w="90" w:type="dxa"/>
              <w:bottom w:w="80" w:type="dxa"/>
              <w:end w:w="90" w:type="dxa"/>
            </w:tcMar>
            <w:vAlign w:val="center"/>
          </w:tcPr>
          <w:p>
            <w:pPr>
              <w:jc w:val="center"/>
            </w:pPr>
            <w:r>
              <w:rPr>
                <w:rFonts w:ascii="Aptos" w:hAnsi="Aptos"/>
                <w:b w:val="0"/>
                <w:i w:val="0"/>
                <w:sz w:val="14"/>
              </w:rPr>
              <w:t>V0.13-4</w:t>
            </w:r>
          </w:p>
        </w:tc>
        <w:tc>
          <w:tcPr>
            <w:tcW w:type="dxa" w:w="8617"/>
            <w:tcMar>
              <w:top w:w="80" w:type="dxa"/>
              <w:start w:w="90" w:type="dxa"/>
              <w:bottom w:w="80" w:type="dxa"/>
              <w:end w:w="90" w:type="dxa"/>
            </w:tcMar>
            <w:vAlign w:val="center"/>
          </w:tcPr>
          <w:p>
            <w:pPr>
              <w:jc w:val="left"/>
            </w:pPr>
            <w:r>
              <w:rPr>
                <w:rFonts w:ascii="Aptos" w:hAnsi="Aptos"/>
                <w:b w:val="0"/>
                <w:i w:val="0"/>
                <w:sz w:val="14"/>
              </w:rPr>
              <w:t>Kuranishi, M. New Proof for the Existence of Locally Complete Families of Complex Structures. Proc. Conf. Complex Analysis, Springer (1965), 142-154. DOI 10.1007/978-3-642-48016-4_13.</w:t>
            </w:r>
          </w:p>
        </w:tc>
      </w:tr>
      <w:tr>
        <w:tc>
          <w:tcPr>
            <w:tcW w:type="dxa" w:w="1587"/>
            <w:tcMar>
              <w:top w:w="80" w:type="dxa"/>
              <w:start w:w="90" w:type="dxa"/>
              <w:bottom w:w="80" w:type="dxa"/>
              <w:end w:w="90" w:type="dxa"/>
            </w:tcMar>
            <w:vAlign w:val="center"/>
          </w:tcPr>
          <w:p>
            <w:pPr>
              <w:jc w:val="center"/>
            </w:pPr>
            <w:r>
              <w:rPr>
                <w:rFonts w:ascii="Aptos" w:hAnsi="Aptos"/>
                <w:b w:val="0"/>
                <w:i w:val="0"/>
                <w:sz w:val="14"/>
              </w:rPr>
              <w:t>V0.13-5</w:t>
            </w:r>
          </w:p>
        </w:tc>
        <w:tc>
          <w:tcPr>
            <w:tcW w:type="dxa" w:w="8617"/>
            <w:tcMar>
              <w:top w:w="80" w:type="dxa"/>
              <w:start w:w="90" w:type="dxa"/>
              <w:bottom w:w="80" w:type="dxa"/>
              <w:end w:w="90" w:type="dxa"/>
            </w:tcMar>
            <w:vAlign w:val="center"/>
          </w:tcPr>
          <w:p>
            <w:pPr>
              <w:jc w:val="left"/>
            </w:pPr>
            <w:r>
              <w:rPr>
                <w:rFonts w:ascii="Aptos" w:hAnsi="Aptos"/>
                <w:b w:val="0"/>
                <w:i w:val="0"/>
                <w:sz w:val="14"/>
              </w:rPr>
              <w:t>Nijenhuis, A.; Richardson, R. W. Cohomology and Deformations in Graded Lie Algebras. Bull. AMS 72 (1966), 1-29. DOI 10.1090/S0002-9904-1966-11401-5.</w:t>
            </w:r>
          </w:p>
        </w:tc>
      </w:tr>
      <w:tr>
        <w:tc>
          <w:tcPr>
            <w:tcW w:type="dxa" w:w="1587"/>
            <w:tcMar>
              <w:top w:w="80" w:type="dxa"/>
              <w:start w:w="90" w:type="dxa"/>
              <w:bottom w:w="80" w:type="dxa"/>
              <w:end w:w="90" w:type="dxa"/>
            </w:tcMar>
            <w:vAlign w:val="center"/>
          </w:tcPr>
          <w:p>
            <w:pPr>
              <w:jc w:val="center"/>
            </w:pPr>
            <w:r>
              <w:rPr>
                <w:rFonts w:ascii="Aptos" w:hAnsi="Aptos"/>
                <w:b w:val="0"/>
                <w:i w:val="0"/>
                <w:sz w:val="14"/>
              </w:rPr>
              <w:t>V0.13-6</w:t>
            </w:r>
          </w:p>
        </w:tc>
        <w:tc>
          <w:tcPr>
            <w:tcW w:type="dxa" w:w="8617"/>
            <w:tcMar>
              <w:top w:w="80" w:type="dxa"/>
              <w:start w:w="90" w:type="dxa"/>
              <w:bottom w:w="80" w:type="dxa"/>
              <w:end w:w="90" w:type="dxa"/>
            </w:tcMar>
            <w:vAlign w:val="center"/>
          </w:tcPr>
          <w:p>
            <w:pPr>
              <w:jc w:val="left"/>
            </w:pPr>
            <w:r>
              <w:rPr>
                <w:rFonts w:ascii="Aptos" w:hAnsi="Aptos"/>
                <w:b w:val="0"/>
                <w:i w:val="0"/>
                <w:sz w:val="14"/>
              </w:rPr>
              <w:t>Goldman, W. M.; Millson, J. J. The Deformation Theory of Representations of Fundamental Groups of Compact Kähler Manifolds. Publ. Math. IHES 67 (1988), 43-96. DOI 10.1007/BF02699127.</w:t>
            </w:r>
          </w:p>
        </w:tc>
      </w:tr>
      <w:tr>
        <w:tc>
          <w:tcPr>
            <w:tcW w:type="dxa" w:w="1587"/>
            <w:tcMar>
              <w:top w:w="80" w:type="dxa"/>
              <w:start w:w="90" w:type="dxa"/>
              <w:bottom w:w="80" w:type="dxa"/>
              <w:end w:w="90" w:type="dxa"/>
            </w:tcMar>
            <w:vAlign w:val="center"/>
          </w:tcPr>
          <w:p>
            <w:pPr>
              <w:jc w:val="center"/>
            </w:pPr>
            <w:r>
              <w:rPr>
                <w:rFonts w:ascii="Aptos" w:hAnsi="Aptos"/>
                <w:b w:val="0"/>
                <w:i w:val="0"/>
                <w:sz w:val="14"/>
              </w:rPr>
              <w:t>V0.13-7</w:t>
            </w:r>
          </w:p>
        </w:tc>
        <w:tc>
          <w:tcPr>
            <w:tcW w:type="dxa" w:w="8617"/>
            <w:tcMar>
              <w:top w:w="80" w:type="dxa"/>
              <w:start w:w="90" w:type="dxa"/>
              <w:bottom w:w="80" w:type="dxa"/>
              <w:end w:w="90" w:type="dxa"/>
            </w:tcMar>
            <w:vAlign w:val="center"/>
          </w:tcPr>
          <w:p>
            <w:pPr>
              <w:jc w:val="left"/>
            </w:pPr>
            <w:r>
              <w:rPr>
                <w:rFonts w:ascii="Aptos" w:hAnsi="Aptos"/>
                <w:b w:val="0"/>
                <w:i w:val="0"/>
                <w:sz w:val="14"/>
              </w:rPr>
              <w:t>Pridham, J. P. Unifying Derived Deformation Theories. Advances in Mathematics 224 (2010), 772-826. arXiv:0705.0344.</w:t>
            </w:r>
          </w:p>
        </w:tc>
      </w:tr>
      <w:tr>
        <w:tc>
          <w:tcPr>
            <w:tcW w:type="dxa" w:w="1587"/>
            <w:tcMar>
              <w:top w:w="80" w:type="dxa"/>
              <w:start w:w="90" w:type="dxa"/>
              <w:bottom w:w="80" w:type="dxa"/>
              <w:end w:w="90" w:type="dxa"/>
            </w:tcMar>
            <w:vAlign w:val="center"/>
          </w:tcPr>
          <w:p>
            <w:pPr>
              <w:jc w:val="center"/>
            </w:pPr>
            <w:r>
              <w:rPr>
                <w:rFonts w:ascii="Aptos" w:hAnsi="Aptos"/>
                <w:b w:val="0"/>
                <w:i w:val="0"/>
                <w:sz w:val="14"/>
              </w:rPr>
              <w:t>V0.13-8</w:t>
            </w:r>
          </w:p>
        </w:tc>
        <w:tc>
          <w:tcPr>
            <w:tcW w:type="dxa" w:w="8617"/>
            <w:tcMar>
              <w:top w:w="80" w:type="dxa"/>
              <w:start w:w="90" w:type="dxa"/>
              <w:bottom w:w="80" w:type="dxa"/>
              <w:end w:w="90" w:type="dxa"/>
            </w:tcMar>
            <w:vAlign w:val="center"/>
          </w:tcPr>
          <w:p>
            <w:pPr>
              <w:jc w:val="left"/>
            </w:pPr>
            <w:r>
              <w:rPr>
                <w:rFonts w:ascii="Aptos" w:hAnsi="Aptos"/>
                <w:b w:val="0"/>
                <w:i w:val="0"/>
                <w:sz w:val="14"/>
              </w:rPr>
              <w:t>Lurie, J. Derived Algebraic Geometry IV: Deformation Theory. arXiv:0709.3091.</w:t>
            </w:r>
          </w:p>
        </w:tc>
      </w:tr>
      <w:tr>
        <w:tc>
          <w:tcPr>
            <w:tcW w:type="dxa" w:w="1587"/>
            <w:tcMar>
              <w:top w:w="80" w:type="dxa"/>
              <w:start w:w="90" w:type="dxa"/>
              <w:bottom w:w="80" w:type="dxa"/>
              <w:end w:w="90" w:type="dxa"/>
            </w:tcMar>
            <w:vAlign w:val="center"/>
          </w:tcPr>
          <w:p>
            <w:pPr>
              <w:jc w:val="center"/>
            </w:pPr>
            <w:r>
              <w:rPr>
                <w:rFonts w:ascii="Aptos" w:hAnsi="Aptos"/>
                <w:b w:val="0"/>
                <w:i w:val="0"/>
                <w:sz w:val="14"/>
              </w:rPr>
              <w:t>V0.13-9</w:t>
            </w:r>
          </w:p>
        </w:tc>
        <w:tc>
          <w:tcPr>
            <w:tcW w:type="dxa" w:w="8617"/>
            <w:tcMar>
              <w:top w:w="80" w:type="dxa"/>
              <w:start w:w="90" w:type="dxa"/>
              <w:bottom w:w="80" w:type="dxa"/>
              <w:end w:w="90" w:type="dxa"/>
            </w:tcMar>
            <w:vAlign w:val="center"/>
          </w:tcPr>
          <w:p>
            <w:pPr>
              <w:jc w:val="left"/>
            </w:pPr>
            <w:r>
              <w:rPr>
                <w:rFonts w:ascii="Aptos" w:hAnsi="Aptos"/>
                <w:b w:val="0"/>
                <w:i w:val="0"/>
                <w:sz w:val="14"/>
              </w:rPr>
              <w:t>Kurpishev, I. B. Том I v197 RU; Том II T2-RP-v0.1-v0.12. Глава 16 построила локальную модульную машину NAPG: от Artin deformation functor и small-extension obstruction calculus до derived tangent complex, Hodge-Green contraction, Kuranishi map, miniversal base, higher obstruction tower и moduli-safe predictive horizon. Главный отрицательный результат: равномерно ненулевой Kuranishi residual исключает интегрируемость выбранной ветви в сертифицированной локальной модели. Нулевой residual создаёт только candidate-lift, а не событие.</w:t>
            </w:r>
          </w:p>
        </w:tc>
      </w:tr>
      <w:tr>
        <w:tc>
          <w:tcPr>
            <w:tcW w:type="dxa" w:w="1587"/>
            <w:tcMar>
              <w:top w:w="80" w:type="dxa"/>
              <w:start w:w="90" w:type="dxa"/>
              <w:bottom w:w="80" w:type="dxa"/>
              <w:end w:w="90" w:type="dxa"/>
            </w:tcMar>
            <w:vAlign w:val="center"/>
          </w:tcPr>
          <w:p>
            <w:pPr>
              <w:jc w:val="center"/>
            </w:pPr>
            <w:r>
              <w:rPr>
                <w:rFonts w:ascii="Aptos" w:hAnsi="Aptos"/>
                <w:b w:val="0"/>
                <w:i w:val="0"/>
                <w:sz w:val="14"/>
              </w:rPr>
              <w:t>V0.14-1</w:t>
            </w:r>
          </w:p>
        </w:tc>
        <w:tc>
          <w:tcPr>
            <w:tcW w:type="dxa" w:w="8617"/>
            <w:tcMar>
              <w:top w:w="80" w:type="dxa"/>
              <w:start w:w="90" w:type="dxa"/>
              <w:bottom w:w="80" w:type="dxa"/>
              <w:end w:w="90" w:type="dxa"/>
            </w:tcMar>
            <w:vAlign w:val="center"/>
          </w:tcPr>
          <w:p>
            <w:pPr>
              <w:jc w:val="left"/>
            </w:pPr>
            <w:r>
              <w:rPr>
                <w:rFonts w:ascii="Aptos" w:hAnsi="Aptos"/>
                <w:b w:val="0"/>
                <w:i w:val="0"/>
                <w:sz w:val="14"/>
              </w:rPr>
              <w:t>Whitney, H. Tangents to an Analytic Variety. Annals of Mathematics 81 (1965), 496-549.</w:t>
            </w:r>
          </w:p>
        </w:tc>
      </w:tr>
      <w:tr>
        <w:tc>
          <w:tcPr>
            <w:tcW w:type="dxa" w:w="1587"/>
            <w:tcMar>
              <w:top w:w="80" w:type="dxa"/>
              <w:start w:w="90" w:type="dxa"/>
              <w:bottom w:w="80" w:type="dxa"/>
              <w:end w:w="90" w:type="dxa"/>
            </w:tcMar>
            <w:vAlign w:val="center"/>
          </w:tcPr>
          <w:p>
            <w:pPr>
              <w:jc w:val="center"/>
            </w:pPr>
            <w:r>
              <w:rPr>
                <w:rFonts w:ascii="Aptos" w:hAnsi="Aptos"/>
                <w:b w:val="0"/>
                <w:i w:val="0"/>
                <w:sz w:val="14"/>
              </w:rPr>
              <w:t>V0.14-2</w:t>
            </w:r>
          </w:p>
        </w:tc>
        <w:tc>
          <w:tcPr>
            <w:tcW w:type="dxa" w:w="8617"/>
            <w:tcMar>
              <w:top w:w="80" w:type="dxa"/>
              <w:start w:w="90" w:type="dxa"/>
              <w:bottom w:w="80" w:type="dxa"/>
              <w:end w:w="90" w:type="dxa"/>
            </w:tcMar>
            <w:vAlign w:val="center"/>
          </w:tcPr>
          <w:p>
            <w:pPr>
              <w:jc w:val="left"/>
            </w:pPr>
            <w:r>
              <w:rPr>
                <w:rFonts w:ascii="Aptos" w:hAnsi="Aptos"/>
                <w:b w:val="0"/>
                <w:i w:val="0"/>
                <w:sz w:val="14"/>
              </w:rPr>
              <w:t>Thom, R. Ensembles et morphismes stratifiés. Bulletin of the AMS 75 (1969), 240-284.</w:t>
            </w:r>
          </w:p>
        </w:tc>
      </w:tr>
      <w:tr>
        <w:tc>
          <w:tcPr>
            <w:tcW w:type="dxa" w:w="1587"/>
            <w:tcMar>
              <w:top w:w="80" w:type="dxa"/>
              <w:start w:w="90" w:type="dxa"/>
              <w:bottom w:w="80" w:type="dxa"/>
              <w:end w:w="90" w:type="dxa"/>
            </w:tcMar>
            <w:vAlign w:val="center"/>
          </w:tcPr>
          <w:p>
            <w:pPr>
              <w:jc w:val="center"/>
            </w:pPr>
            <w:r>
              <w:rPr>
                <w:rFonts w:ascii="Aptos" w:hAnsi="Aptos"/>
                <w:b w:val="0"/>
                <w:i w:val="0"/>
                <w:sz w:val="14"/>
              </w:rPr>
              <w:t>V0.14-3</w:t>
            </w:r>
          </w:p>
        </w:tc>
        <w:tc>
          <w:tcPr>
            <w:tcW w:type="dxa" w:w="8617"/>
            <w:tcMar>
              <w:top w:w="80" w:type="dxa"/>
              <w:start w:w="90" w:type="dxa"/>
              <w:bottom w:w="80" w:type="dxa"/>
              <w:end w:w="90" w:type="dxa"/>
            </w:tcMar>
            <w:vAlign w:val="center"/>
          </w:tcPr>
          <w:p>
            <w:pPr>
              <w:jc w:val="left"/>
            </w:pPr>
            <w:r>
              <w:rPr>
                <w:rFonts w:ascii="Aptos" w:hAnsi="Aptos"/>
                <w:b w:val="0"/>
                <w:i w:val="0"/>
                <w:sz w:val="14"/>
              </w:rPr>
              <w:t>Mather, J. N. Notes on Topological Stability. Harvard notes (1970); published survey editions.</w:t>
            </w:r>
          </w:p>
        </w:tc>
      </w:tr>
      <w:tr>
        <w:tc>
          <w:tcPr>
            <w:tcW w:type="dxa" w:w="1587"/>
            <w:tcMar>
              <w:top w:w="80" w:type="dxa"/>
              <w:start w:w="90" w:type="dxa"/>
              <w:bottom w:w="80" w:type="dxa"/>
              <w:end w:w="90" w:type="dxa"/>
            </w:tcMar>
            <w:vAlign w:val="center"/>
          </w:tcPr>
          <w:p>
            <w:pPr>
              <w:jc w:val="center"/>
            </w:pPr>
            <w:r>
              <w:rPr>
                <w:rFonts w:ascii="Aptos" w:hAnsi="Aptos"/>
                <w:b w:val="0"/>
                <w:i w:val="0"/>
                <w:sz w:val="14"/>
              </w:rPr>
              <w:t>V0.14-4</w:t>
            </w:r>
          </w:p>
        </w:tc>
        <w:tc>
          <w:tcPr>
            <w:tcW w:type="dxa" w:w="8617"/>
            <w:tcMar>
              <w:top w:w="80" w:type="dxa"/>
              <w:start w:w="90" w:type="dxa"/>
              <w:bottom w:w="80" w:type="dxa"/>
              <w:end w:w="90" w:type="dxa"/>
            </w:tcMar>
            <w:vAlign w:val="center"/>
          </w:tcPr>
          <w:p>
            <w:pPr>
              <w:jc w:val="left"/>
            </w:pPr>
            <w:r>
              <w:rPr>
                <w:rFonts w:ascii="Aptos" w:hAnsi="Aptos"/>
                <w:b w:val="0"/>
                <w:i w:val="0"/>
                <w:sz w:val="14"/>
              </w:rPr>
              <w:t>Milnor, J. Singular Points of Complex Hypersurfaces. Annals of Mathematics Studies 61, Princeton, 1968.</w:t>
            </w:r>
          </w:p>
        </w:tc>
      </w:tr>
      <w:tr>
        <w:tc>
          <w:tcPr>
            <w:tcW w:type="dxa" w:w="1587"/>
            <w:tcMar>
              <w:top w:w="80" w:type="dxa"/>
              <w:start w:w="90" w:type="dxa"/>
              <w:bottom w:w="80" w:type="dxa"/>
              <w:end w:w="90" w:type="dxa"/>
            </w:tcMar>
            <w:vAlign w:val="center"/>
          </w:tcPr>
          <w:p>
            <w:pPr>
              <w:jc w:val="center"/>
            </w:pPr>
            <w:r>
              <w:rPr>
                <w:rFonts w:ascii="Aptos" w:hAnsi="Aptos"/>
                <w:b w:val="0"/>
                <w:i w:val="0"/>
                <w:sz w:val="14"/>
              </w:rPr>
              <w:t>V0.14-5</w:t>
            </w:r>
          </w:p>
        </w:tc>
        <w:tc>
          <w:tcPr>
            <w:tcW w:type="dxa" w:w="8617"/>
            <w:tcMar>
              <w:top w:w="80" w:type="dxa"/>
              <w:start w:w="90" w:type="dxa"/>
              <w:bottom w:w="80" w:type="dxa"/>
              <w:end w:w="90" w:type="dxa"/>
            </w:tcMar>
            <w:vAlign w:val="center"/>
          </w:tcPr>
          <w:p>
            <w:pPr>
              <w:jc w:val="left"/>
            </w:pPr>
            <w:r>
              <w:rPr>
                <w:rFonts w:ascii="Aptos" w:hAnsi="Aptos"/>
                <w:b w:val="0"/>
                <w:i w:val="0"/>
                <w:sz w:val="14"/>
              </w:rPr>
              <w:t>Goresky, M.; MacPherson, R. Stratified Morse Theory. Springer, 1988.</w:t>
            </w:r>
          </w:p>
        </w:tc>
      </w:tr>
      <w:tr>
        <w:tc>
          <w:tcPr>
            <w:tcW w:type="dxa" w:w="1587"/>
            <w:tcMar>
              <w:top w:w="80" w:type="dxa"/>
              <w:start w:w="90" w:type="dxa"/>
              <w:bottom w:w="80" w:type="dxa"/>
              <w:end w:w="90" w:type="dxa"/>
            </w:tcMar>
            <w:vAlign w:val="center"/>
          </w:tcPr>
          <w:p>
            <w:pPr>
              <w:jc w:val="center"/>
            </w:pPr>
            <w:r>
              <w:rPr>
                <w:rFonts w:ascii="Aptos" w:hAnsi="Aptos"/>
                <w:b w:val="0"/>
                <w:i w:val="0"/>
                <w:sz w:val="14"/>
              </w:rPr>
              <w:t>V0.14-6</w:t>
            </w:r>
          </w:p>
        </w:tc>
        <w:tc>
          <w:tcPr>
            <w:tcW w:type="dxa" w:w="8617"/>
            <w:tcMar>
              <w:top w:w="80" w:type="dxa"/>
              <w:start w:w="90" w:type="dxa"/>
              <w:bottom w:w="80" w:type="dxa"/>
              <w:end w:w="90" w:type="dxa"/>
            </w:tcMar>
            <w:vAlign w:val="center"/>
          </w:tcPr>
          <w:p>
            <w:pPr>
              <w:jc w:val="left"/>
            </w:pPr>
            <w:r>
              <w:rPr>
                <w:rFonts w:ascii="Aptos" w:hAnsi="Aptos"/>
                <w:b w:val="0"/>
                <w:i w:val="0"/>
                <w:sz w:val="14"/>
              </w:rPr>
              <w:t>Dolgachev, I.; Hu, Y. Variation of Geometric Invariant Theory Quotients. IHES Publ. Math. 87 (1998), 5-56.</w:t>
            </w:r>
          </w:p>
        </w:tc>
      </w:tr>
      <w:tr>
        <w:tc>
          <w:tcPr>
            <w:tcW w:type="dxa" w:w="1587"/>
            <w:tcMar>
              <w:top w:w="80" w:type="dxa"/>
              <w:start w:w="90" w:type="dxa"/>
              <w:bottom w:w="80" w:type="dxa"/>
              <w:end w:w="90" w:type="dxa"/>
            </w:tcMar>
            <w:vAlign w:val="center"/>
          </w:tcPr>
          <w:p>
            <w:pPr>
              <w:jc w:val="center"/>
            </w:pPr>
            <w:r>
              <w:rPr>
                <w:rFonts w:ascii="Aptos" w:hAnsi="Aptos"/>
                <w:b w:val="0"/>
                <w:i w:val="0"/>
                <w:sz w:val="14"/>
              </w:rPr>
              <w:t>V0.14-7</w:t>
            </w:r>
          </w:p>
        </w:tc>
        <w:tc>
          <w:tcPr>
            <w:tcW w:type="dxa" w:w="8617"/>
            <w:tcMar>
              <w:top w:w="80" w:type="dxa"/>
              <w:start w:w="90" w:type="dxa"/>
              <w:bottom w:w="80" w:type="dxa"/>
              <w:end w:w="90" w:type="dxa"/>
            </w:tcMar>
            <w:vAlign w:val="center"/>
          </w:tcPr>
          <w:p>
            <w:pPr>
              <w:jc w:val="left"/>
            </w:pPr>
            <w:r>
              <w:rPr>
                <w:rFonts w:ascii="Aptos" w:hAnsi="Aptos"/>
                <w:b w:val="0"/>
                <w:i w:val="0"/>
                <w:sz w:val="14"/>
              </w:rPr>
              <w:t>Thaddeus, M. Geometric Invariant Theory and Flips. JAMS 9 (1996), 691-723.</w:t>
            </w:r>
          </w:p>
        </w:tc>
      </w:tr>
      <w:tr>
        <w:tc>
          <w:tcPr>
            <w:tcW w:type="dxa" w:w="1587"/>
            <w:tcMar>
              <w:top w:w="80" w:type="dxa"/>
              <w:start w:w="90" w:type="dxa"/>
              <w:bottom w:w="80" w:type="dxa"/>
              <w:end w:w="90" w:type="dxa"/>
            </w:tcMar>
            <w:vAlign w:val="center"/>
          </w:tcPr>
          <w:p>
            <w:pPr>
              <w:jc w:val="center"/>
            </w:pPr>
            <w:r>
              <w:rPr>
                <w:rFonts w:ascii="Aptos" w:hAnsi="Aptos"/>
                <w:b w:val="0"/>
                <w:i w:val="0"/>
                <w:sz w:val="14"/>
              </w:rPr>
              <w:t>V0.14-8</w:t>
            </w:r>
          </w:p>
        </w:tc>
        <w:tc>
          <w:tcPr>
            <w:tcW w:type="dxa" w:w="8617"/>
            <w:tcMar>
              <w:top w:w="80" w:type="dxa"/>
              <w:start w:w="90" w:type="dxa"/>
              <w:bottom w:w="80" w:type="dxa"/>
              <w:end w:w="90" w:type="dxa"/>
            </w:tcMar>
            <w:vAlign w:val="center"/>
          </w:tcPr>
          <w:p>
            <w:pPr>
              <w:jc w:val="left"/>
            </w:pPr>
            <w:r>
              <w:rPr>
                <w:rFonts w:ascii="Aptos" w:hAnsi="Aptos"/>
                <w:b w:val="0"/>
                <w:i w:val="0"/>
                <w:sz w:val="14"/>
              </w:rPr>
              <w:t>Golubitsky, M.; Schaeffer, D. Singularities and Groups in Bifurcation Theory. Springer, 1985.</w:t>
            </w:r>
          </w:p>
        </w:tc>
      </w:tr>
      <w:tr>
        <w:tc>
          <w:tcPr>
            <w:tcW w:type="dxa" w:w="1587"/>
            <w:tcMar>
              <w:top w:w="80" w:type="dxa"/>
              <w:start w:w="90" w:type="dxa"/>
              <w:bottom w:w="80" w:type="dxa"/>
              <w:end w:w="90" w:type="dxa"/>
            </w:tcMar>
            <w:vAlign w:val="center"/>
          </w:tcPr>
          <w:p>
            <w:pPr>
              <w:jc w:val="center"/>
            </w:pPr>
            <w:r>
              <w:rPr>
                <w:rFonts w:ascii="Aptos" w:hAnsi="Aptos"/>
                <w:b w:val="0"/>
                <w:i w:val="0"/>
                <w:sz w:val="14"/>
              </w:rPr>
              <w:t>V0.14-9</w:t>
            </w:r>
          </w:p>
        </w:tc>
        <w:tc>
          <w:tcPr>
            <w:tcW w:type="dxa" w:w="8617"/>
            <w:tcMar>
              <w:top w:w="80" w:type="dxa"/>
              <w:start w:w="90" w:type="dxa"/>
              <w:bottom w:w="80" w:type="dxa"/>
              <w:end w:w="90" w:type="dxa"/>
            </w:tcMar>
            <w:vAlign w:val="center"/>
          </w:tcPr>
          <w:p>
            <w:pPr>
              <w:jc w:val="left"/>
            </w:pPr>
            <w:r>
              <w:rPr>
                <w:rFonts w:ascii="Aptos" w:hAnsi="Aptos"/>
                <w:b w:val="0"/>
                <w:i w:val="0"/>
                <w:sz w:val="14"/>
              </w:rPr>
              <w:t>Kurpishev, I. B. Том I v197 RU; Том II T2-RP-v0.1-v0.13. Глава 17 построила стратифицированно-ветвящуюся машину предсказательного метода: chamber constancy, wall certificates, bifurcation loci, branch normalization, monodromy и transport stability сведены в единый blocker-safe контур. Главный доказательный результат остаётся отрицательным: вне сертифицированного горизонта переход данного типа невозможен внутри модели.</w:t>
            </w:r>
          </w:p>
        </w:tc>
      </w:tr>
      <w:tr>
        <w:tc>
          <w:tcPr>
            <w:tcW w:type="dxa" w:w="1587"/>
            <w:tcMar>
              <w:top w:w="80" w:type="dxa"/>
              <w:start w:w="90" w:type="dxa"/>
              <w:bottom w:w="80" w:type="dxa"/>
              <w:end w:w="90" w:type="dxa"/>
            </w:tcMar>
            <w:vAlign w:val="center"/>
          </w:tcPr>
          <w:p>
            <w:pPr>
              <w:jc w:val="center"/>
            </w:pPr>
            <w:r>
              <w:rPr>
                <w:rFonts w:ascii="Aptos" w:hAnsi="Aptos"/>
                <w:b w:val="0"/>
                <w:i w:val="0"/>
                <w:sz w:val="14"/>
              </w:rPr>
              <w:t>V0.15-1</w:t>
            </w:r>
          </w:p>
        </w:tc>
        <w:tc>
          <w:tcPr>
            <w:tcW w:type="dxa" w:w="8617"/>
            <w:tcMar>
              <w:top w:w="80" w:type="dxa"/>
              <w:start w:w="90" w:type="dxa"/>
              <w:bottom w:w="80" w:type="dxa"/>
              <w:end w:w="90" w:type="dxa"/>
            </w:tcMar>
            <w:vAlign w:val="center"/>
          </w:tcPr>
          <w:p>
            <w:pPr>
              <w:jc w:val="left"/>
            </w:pPr>
            <w:r>
              <w:rPr>
                <w:rFonts w:ascii="Aptos" w:hAnsi="Aptos"/>
                <w:b w:val="0"/>
                <w:i w:val="0"/>
                <w:sz w:val="14"/>
              </w:rPr>
              <w:t>Behrend, K.; Fantechi, B. The Intrinsic Normal Cone. Invent. Math. 128 (1997), 45-88. arXiv: alg-geom/9601010.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V0.15-2</w:t>
            </w:r>
          </w:p>
        </w:tc>
        <w:tc>
          <w:tcPr>
            <w:tcW w:type="dxa" w:w="8617"/>
            <w:tcMar>
              <w:top w:w="80" w:type="dxa"/>
              <w:start w:w="90" w:type="dxa"/>
              <w:bottom w:w="80" w:type="dxa"/>
              <w:end w:w="90" w:type="dxa"/>
            </w:tcMar>
            <w:vAlign w:val="center"/>
          </w:tcPr>
          <w:p>
            <w:pPr>
              <w:jc w:val="left"/>
            </w:pPr>
            <w:r>
              <w:rPr>
                <w:rFonts w:ascii="Aptos" w:hAnsi="Aptos"/>
                <w:b w:val="0"/>
                <w:i w:val="0"/>
                <w:sz w:val="14"/>
              </w:rPr>
              <w:t>Toën, B.; Vezzosi, G. Homotopical Algebraic Geometry II: Geometric Stacks and Applications. Mem. AMS 193 (2008), no. 902. arXiv: math/0404373.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V0.15-3</w:t>
            </w:r>
          </w:p>
        </w:tc>
        <w:tc>
          <w:tcPr>
            <w:tcW w:type="dxa" w:w="8617"/>
            <w:tcMar>
              <w:top w:w="80" w:type="dxa"/>
              <w:start w:w="90" w:type="dxa"/>
              <w:bottom w:w="80" w:type="dxa"/>
              <w:end w:w="90" w:type="dxa"/>
            </w:tcMar>
            <w:vAlign w:val="center"/>
          </w:tcPr>
          <w:p>
            <w:pPr>
              <w:jc w:val="left"/>
            </w:pPr>
            <w:r>
              <w:rPr>
                <w:rFonts w:ascii="Aptos" w:hAnsi="Aptos"/>
                <w:b w:val="0"/>
                <w:i w:val="0"/>
                <w:sz w:val="14"/>
              </w:rPr>
              <w:t>Spivak, D. I. Derived Smooth Manifolds. Duke Math. J. 153 (2010), 55-128. arXiv: 0810.5174.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V0.15-4</w:t>
            </w:r>
          </w:p>
        </w:tc>
        <w:tc>
          <w:tcPr>
            <w:tcW w:type="dxa" w:w="8617"/>
            <w:tcMar>
              <w:top w:w="80" w:type="dxa"/>
              <w:start w:w="90" w:type="dxa"/>
              <w:bottom w:w="80" w:type="dxa"/>
              <w:end w:w="90" w:type="dxa"/>
            </w:tcMar>
            <w:vAlign w:val="center"/>
          </w:tcPr>
          <w:p>
            <w:pPr>
              <w:jc w:val="left"/>
            </w:pPr>
            <w:r>
              <w:rPr>
                <w:rFonts w:ascii="Aptos" w:hAnsi="Aptos"/>
                <w:b w:val="0"/>
                <w:i w:val="0"/>
                <w:sz w:val="14"/>
              </w:rPr>
              <w:t>Joyce, D. A New Definition of Kuranishi Space. arXiv: 1409.6908.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V0.15-5</w:t>
            </w:r>
          </w:p>
        </w:tc>
        <w:tc>
          <w:tcPr>
            <w:tcW w:type="dxa" w:w="8617"/>
            <w:tcMar>
              <w:top w:w="80" w:type="dxa"/>
              <w:start w:w="90" w:type="dxa"/>
              <w:bottom w:w="80" w:type="dxa"/>
              <w:end w:w="90" w:type="dxa"/>
            </w:tcMar>
            <w:vAlign w:val="center"/>
          </w:tcPr>
          <w:p>
            <w:pPr>
              <w:jc w:val="left"/>
            </w:pPr>
            <w:r>
              <w:rPr>
                <w:rFonts w:ascii="Aptos" w:hAnsi="Aptos"/>
                <w:b w:val="0"/>
                <w:i w:val="0"/>
                <w:sz w:val="14"/>
              </w:rPr>
              <w:t>Joyce, D. Kuranishi Spaces as a 2-Category. arXiv: 1510.07444.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V0.15-6</w:t>
            </w:r>
          </w:p>
        </w:tc>
        <w:tc>
          <w:tcPr>
            <w:tcW w:type="dxa" w:w="8617"/>
            <w:tcMar>
              <w:top w:w="80" w:type="dxa"/>
              <w:start w:w="90" w:type="dxa"/>
              <w:bottom w:w="80" w:type="dxa"/>
              <w:end w:w="90" w:type="dxa"/>
            </w:tcMar>
            <w:vAlign w:val="center"/>
          </w:tcPr>
          <w:p>
            <w:pPr>
              <w:jc w:val="left"/>
            </w:pPr>
            <w:r>
              <w:rPr>
                <w:rFonts w:ascii="Aptos" w:hAnsi="Aptos"/>
                <w:b w:val="0"/>
                <w:i w:val="0"/>
                <w:sz w:val="14"/>
              </w:rPr>
              <w:t>McDuff, D.; Wehrheim, K. Smooth Kuranishi Atlases with Isotropy. arXiv: 1508.01556.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V0.15-7</w:t>
            </w:r>
          </w:p>
        </w:tc>
        <w:tc>
          <w:tcPr>
            <w:tcW w:type="dxa" w:w="8617"/>
            <w:tcMar>
              <w:top w:w="80" w:type="dxa"/>
              <w:start w:w="90" w:type="dxa"/>
              <w:bottom w:w="80" w:type="dxa"/>
              <w:end w:w="90" w:type="dxa"/>
            </w:tcMar>
            <w:vAlign w:val="center"/>
          </w:tcPr>
          <w:p>
            <w:pPr>
              <w:jc w:val="left"/>
            </w:pPr>
            <w:r>
              <w:rPr>
                <w:rFonts w:ascii="Aptos" w:hAnsi="Aptos"/>
                <w:b w:val="0"/>
                <w:i w:val="0"/>
                <w:sz w:val="14"/>
              </w:rPr>
              <w:t>Illusie, L. Complexe cotangent et déformations I-II. Lecture Notes in Mathematics 239, 283. Springer, 1971- 1972.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V0.15-8</w:t>
            </w:r>
          </w:p>
        </w:tc>
        <w:tc>
          <w:tcPr>
            <w:tcW w:type="dxa" w:w="8617"/>
            <w:tcMar>
              <w:top w:w="80" w:type="dxa"/>
              <w:start w:w="90" w:type="dxa"/>
              <w:bottom w:w="80" w:type="dxa"/>
              <w:end w:w="90" w:type="dxa"/>
            </w:tcMar>
            <w:vAlign w:val="center"/>
          </w:tcPr>
          <w:p>
            <w:pPr>
              <w:jc w:val="left"/>
            </w:pPr>
            <w:r>
              <w:rPr>
                <w:rFonts w:ascii="Aptos" w:hAnsi="Aptos"/>
                <w:b w:val="0"/>
                <w:i w:val="0"/>
                <w:sz w:val="14"/>
              </w:rPr>
              <w:t>Stacks Project. Cotangent Complex; Obstruction Theories; Algebraic Stacks.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V0.15-9</w:t>
            </w:r>
          </w:p>
        </w:tc>
        <w:tc>
          <w:tcPr>
            <w:tcW w:type="dxa" w:w="8617"/>
            <w:tcMar>
              <w:top w:w="80" w:type="dxa"/>
              <w:start w:w="90" w:type="dxa"/>
              <w:bottom w:w="80" w:type="dxa"/>
              <w:end w:w="90" w:type="dxa"/>
            </w:tcMar>
            <w:vAlign w:val="center"/>
          </w:tcPr>
          <w:p>
            <w:pPr>
              <w:jc w:val="left"/>
            </w:pPr>
            <w:r>
              <w:rPr>
                <w:rFonts w:ascii="Aptos" w:hAnsi="Aptos"/>
                <w:b w:val="0"/>
                <w:i w:val="0"/>
                <w:sz w:val="14"/>
              </w:rPr>
              <w:t>Kurpishev, I. B. Том I v197 RU; Том II T2-RP-v0.1-v0.14.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V0.16-1</w:t>
            </w:r>
          </w:p>
        </w:tc>
        <w:tc>
          <w:tcPr>
            <w:tcW w:type="dxa" w:w="8617"/>
            <w:tcMar>
              <w:top w:w="80" w:type="dxa"/>
              <w:start w:w="90" w:type="dxa"/>
              <w:bottom w:w="80" w:type="dxa"/>
              <w:end w:w="90" w:type="dxa"/>
            </w:tcMar>
            <w:vAlign w:val="center"/>
          </w:tcPr>
          <w:p>
            <w:pPr>
              <w:jc w:val="left"/>
            </w:pPr>
            <w:r>
              <w:rPr>
                <w:rFonts w:ascii="Aptos" w:hAnsi="Aptos"/>
                <w:b w:val="0"/>
                <w:i w:val="0"/>
                <w:sz w:val="14"/>
              </w:rPr>
              <w:t>Fulton, W. Intersection Theory. 2nd ed., Springer, 1998. DOI 10.1007/978-1-4612-1700-8. [classical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V0.16-2</w:t>
            </w:r>
          </w:p>
        </w:tc>
        <w:tc>
          <w:tcPr>
            <w:tcW w:type="dxa" w:w="8617"/>
            <w:tcMar>
              <w:top w:w="80" w:type="dxa"/>
              <w:start w:w="90" w:type="dxa"/>
              <w:bottom w:w="80" w:type="dxa"/>
              <w:end w:w="90" w:type="dxa"/>
            </w:tcMar>
            <w:vAlign w:val="center"/>
          </w:tcPr>
          <w:p>
            <w:pPr>
              <w:jc w:val="left"/>
            </w:pPr>
            <w:r>
              <w:rPr>
                <w:rFonts w:ascii="Aptos" w:hAnsi="Aptos"/>
                <w:b w:val="0"/>
                <w:i w:val="0"/>
                <w:sz w:val="14"/>
              </w:rPr>
              <w:t>Behrend, K.; Fantechi, B. The Intrinsic Normal Cone. Invent. Math. 128 (1997), 45-88. arXiv: alg-geom/9601010.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V0.16-3</w:t>
            </w:r>
          </w:p>
        </w:tc>
        <w:tc>
          <w:tcPr>
            <w:tcW w:type="dxa" w:w="8617"/>
            <w:tcMar>
              <w:top w:w="80" w:type="dxa"/>
              <w:start w:w="90" w:type="dxa"/>
              <w:bottom w:w="80" w:type="dxa"/>
              <w:end w:w="90" w:type="dxa"/>
            </w:tcMar>
            <w:vAlign w:val="center"/>
          </w:tcPr>
          <w:p>
            <w:pPr>
              <w:jc w:val="left"/>
            </w:pPr>
            <w:r>
              <w:rPr>
                <w:rFonts w:ascii="Aptos" w:hAnsi="Aptos"/>
                <w:b w:val="0"/>
                <w:i w:val="0"/>
                <w:sz w:val="14"/>
              </w:rPr>
              <w:t>Li, J.; Tian, G. Virtual Moduli Cycles and Gromov-Witten Invariants of Algebraic Varieties. JAMS 11 (1998), 119-174. arXiv: alg-geom/9602007.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V0.16-4</w:t>
            </w:r>
          </w:p>
        </w:tc>
        <w:tc>
          <w:tcPr>
            <w:tcW w:type="dxa" w:w="8617"/>
            <w:tcMar>
              <w:top w:w="80" w:type="dxa"/>
              <w:start w:w="90" w:type="dxa"/>
              <w:bottom w:w="80" w:type="dxa"/>
              <w:end w:w="90" w:type="dxa"/>
            </w:tcMar>
            <w:vAlign w:val="center"/>
          </w:tcPr>
          <w:p>
            <w:pPr>
              <w:jc w:val="left"/>
            </w:pPr>
            <w:r>
              <w:rPr>
                <w:rFonts w:ascii="Aptos" w:hAnsi="Aptos"/>
                <w:b w:val="0"/>
                <w:i w:val="0"/>
                <w:sz w:val="14"/>
              </w:rPr>
              <w:t>Kontsevich, M.; Manin, Yu. Gromov-Witten Classes, Quantum Cohomology, and Enumerative Geometry. Comm. Math. Phys. 164 (1994), 525-562. arXiv: hep-th/9402147.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V0.16-5</w:t>
            </w:r>
          </w:p>
        </w:tc>
        <w:tc>
          <w:tcPr>
            <w:tcW w:type="dxa" w:w="8617"/>
            <w:tcMar>
              <w:top w:w="80" w:type="dxa"/>
              <w:start w:w="90" w:type="dxa"/>
              <w:bottom w:w="80" w:type="dxa"/>
              <w:end w:w="90" w:type="dxa"/>
            </w:tcMar>
            <w:vAlign w:val="center"/>
          </w:tcPr>
          <w:p>
            <w:pPr>
              <w:jc w:val="left"/>
            </w:pPr>
            <w:r>
              <w:rPr>
                <w:rFonts w:ascii="Aptos" w:hAnsi="Aptos"/>
                <w:b w:val="0"/>
                <w:i w:val="0"/>
                <w:sz w:val="14"/>
              </w:rPr>
              <w:t>Graber, T.; Pandharipande, R. Localization of Virtual Classes. Invent. Math. 135 (1999), 487-518. arXiv: alg-geom/9708001.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V0.16-6</w:t>
            </w:r>
          </w:p>
        </w:tc>
        <w:tc>
          <w:tcPr>
            <w:tcW w:type="dxa" w:w="8617"/>
            <w:tcMar>
              <w:top w:w="80" w:type="dxa"/>
              <w:start w:w="90" w:type="dxa"/>
              <w:bottom w:w="80" w:type="dxa"/>
              <w:end w:w="90" w:type="dxa"/>
            </w:tcMar>
            <w:vAlign w:val="center"/>
          </w:tcPr>
          <w:p>
            <w:pPr>
              <w:jc w:val="left"/>
            </w:pPr>
            <w:r>
              <w:rPr>
                <w:rFonts w:ascii="Aptos" w:hAnsi="Aptos"/>
                <w:b w:val="0"/>
                <w:i w:val="0"/>
                <w:sz w:val="14"/>
              </w:rPr>
              <w:t>Behrend, K. Donaldson-Thomas Type Invariants via Microlocal Geometry. Ann. Math. 170 (2009), 1307- 1338. arXiv: math/0507523.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V0.16-7</w:t>
            </w:r>
          </w:p>
        </w:tc>
        <w:tc>
          <w:tcPr>
            <w:tcW w:type="dxa" w:w="8617"/>
            <w:tcMar>
              <w:top w:w="80" w:type="dxa"/>
              <w:start w:w="90" w:type="dxa"/>
              <w:bottom w:w="80" w:type="dxa"/>
              <w:end w:w="90" w:type="dxa"/>
            </w:tcMar>
            <w:vAlign w:val="center"/>
          </w:tcPr>
          <w:p>
            <w:pPr>
              <w:jc w:val="left"/>
            </w:pPr>
            <w:r>
              <w:rPr>
                <w:rFonts w:ascii="Aptos" w:hAnsi="Aptos"/>
                <w:b w:val="0"/>
                <w:i w:val="0"/>
                <w:sz w:val="14"/>
              </w:rPr>
              <w:t>Behrend, K.; Fantechi, B. Symmetric Obstruction Theories and Hilbert Schemes of Points on Threefolds. Algebra Number Theory 2 (2008), 313-345.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V0.16-8</w:t>
            </w:r>
          </w:p>
        </w:tc>
        <w:tc>
          <w:tcPr>
            <w:tcW w:type="dxa" w:w="8617"/>
            <w:tcMar>
              <w:top w:w="80" w:type="dxa"/>
              <w:start w:w="90" w:type="dxa"/>
              <w:bottom w:w="80" w:type="dxa"/>
              <w:end w:w="90" w:type="dxa"/>
            </w:tcMar>
            <w:vAlign w:val="center"/>
          </w:tcPr>
          <w:p>
            <w:pPr>
              <w:jc w:val="left"/>
            </w:pPr>
            <w:r>
              <w:rPr>
                <w:rFonts w:ascii="Aptos" w:hAnsi="Aptos"/>
                <w:b w:val="0"/>
                <w:i w:val="0"/>
                <w:sz w:val="14"/>
              </w:rPr>
              <w:t>Stacks Project. Chow Groups of Spaces; Cotangent Complex; Obstruction Theories; Gysin Maps. [справочный первичный корпус]</w:t>
            </w:r>
          </w:p>
        </w:tc>
      </w:tr>
      <w:tr>
        <w:tc>
          <w:tcPr>
            <w:tcW w:type="dxa" w:w="1587"/>
            <w:tcMar>
              <w:top w:w="80" w:type="dxa"/>
              <w:start w:w="90" w:type="dxa"/>
              <w:bottom w:w="80" w:type="dxa"/>
              <w:end w:w="90" w:type="dxa"/>
            </w:tcMar>
            <w:vAlign w:val="center"/>
          </w:tcPr>
          <w:p>
            <w:pPr>
              <w:jc w:val="center"/>
            </w:pPr>
            <w:r>
              <w:rPr>
                <w:rFonts w:ascii="Aptos" w:hAnsi="Aptos"/>
                <w:b w:val="0"/>
                <w:i w:val="0"/>
                <w:sz w:val="14"/>
              </w:rPr>
              <w:t>V0.16-9</w:t>
            </w:r>
          </w:p>
        </w:tc>
        <w:tc>
          <w:tcPr>
            <w:tcW w:type="dxa" w:w="8617"/>
            <w:tcMar>
              <w:top w:w="80" w:type="dxa"/>
              <w:start w:w="90" w:type="dxa"/>
              <w:bottom w:w="80" w:type="dxa"/>
              <w:end w:w="90" w:type="dxa"/>
            </w:tcMar>
            <w:vAlign w:val="center"/>
          </w:tcPr>
          <w:p>
            <w:pPr>
              <w:jc w:val="left"/>
            </w:pPr>
            <w:r>
              <w:rPr>
                <w:rFonts w:ascii="Aptos" w:hAnsi="Aptos"/>
                <w:b w:val="0"/>
                <w:i w:val="0"/>
                <w:sz w:val="14"/>
              </w:rPr>
              <w:t>Kurpishev, I. B. Том I v197 RU; Том II T2-RP-v0.1-v0.15. [internal authorial corpus]</w:t>
            </w:r>
          </w:p>
        </w:tc>
      </w:tr>
      <w:tr>
        <w:tc>
          <w:tcPr>
            <w:tcW w:type="dxa" w:w="1587"/>
            <w:tcMar>
              <w:top w:w="80" w:type="dxa"/>
              <w:start w:w="90" w:type="dxa"/>
              <w:bottom w:w="80" w:type="dxa"/>
              <w:end w:w="90" w:type="dxa"/>
            </w:tcMar>
            <w:vAlign w:val="center"/>
          </w:tcPr>
          <w:p>
            <w:pPr>
              <w:jc w:val="center"/>
            </w:pPr>
            <w:r>
              <w:rPr>
                <w:rFonts w:ascii="Aptos" w:hAnsi="Aptos"/>
                <w:b w:val="0"/>
                <w:i w:val="0"/>
                <w:sz w:val="14"/>
              </w:rPr>
              <w:t>V0.17-1</w:t>
            </w:r>
          </w:p>
        </w:tc>
        <w:tc>
          <w:tcPr>
            <w:tcW w:type="dxa" w:w="8617"/>
            <w:tcMar>
              <w:top w:w="80" w:type="dxa"/>
              <w:start w:w="90" w:type="dxa"/>
              <w:bottom w:w="80" w:type="dxa"/>
              <w:end w:w="90" w:type="dxa"/>
            </w:tcMar>
            <w:vAlign w:val="center"/>
          </w:tcPr>
          <w:p>
            <w:pPr>
              <w:jc w:val="left"/>
            </w:pPr>
            <w:r>
              <w:rPr>
                <w:rFonts w:ascii="Aptos" w:hAnsi="Aptos"/>
                <w:b w:val="0"/>
                <w:i w:val="0"/>
                <w:sz w:val="14"/>
              </w:rPr>
              <w:t>Kontsevich, M.; Soibelman, Y. Stability structures, motivic Donaldson–Thomas invariants and cluster transformations. arXiv:0811.2435.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V0.17-2</w:t>
            </w:r>
          </w:p>
        </w:tc>
        <w:tc>
          <w:tcPr>
            <w:tcW w:type="dxa" w:w="8617"/>
            <w:tcMar>
              <w:top w:w="80" w:type="dxa"/>
              <w:start w:w="90" w:type="dxa"/>
              <w:bottom w:w="80" w:type="dxa"/>
              <w:end w:w="90" w:type="dxa"/>
            </w:tcMar>
            <w:vAlign w:val="center"/>
          </w:tcPr>
          <w:p>
            <w:pPr>
              <w:jc w:val="left"/>
            </w:pPr>
            <w:r>
              <w:rPr>
                <w:rFonts w:ascii="Aptos" w:hAnsi="Aptos"/>
                <w:b w:val="0"/>
                <w:i w:val="0"/>
                <w:sz w:val="14"/>
              </w:rPr>
              <w:t>Kontsevich, M.; Soibelman, Y. Cohomological Hall algebra, exponential Hodge structures and motivic Donaldson–Thomas invariants. arXiv:1006.2706.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V0.17-3</w:t>
            </w:r>
          </w:p>
        </w:tc>
        <w:tc>
          <w:tcPr>
            <w:tcW w:type="dxa" w:w="8617"/>
            <w:tcMar>
              <w:top w:w="80" w:type="dxa"/>
              <w:start w:w="90" w:type="dxa"/>
              <w:bottom w:w="80" w:type="dxa"/>
              <w:end w:w="90" w:type="dxa"/>
            </w:tcMar>
            <w:vAlign w:val="center"/>
          </w:tcPr>
          <w:p>
            <w:pPr>
              <w:jc w:val="left"/>
            </w:pPr>
            <w:r>
              <w:rPr>
                <w:rFonts w:ascii="Aptos" w:hAnsi="Aptos"/>
                <w:b w:val="0"/>
                <w:i w:val="0"/>
                <w:sz w:val="14"/>
              </w:rPr>
              <w:t>Joyce, D.; Song, Y. A theory of generalized Donaldson–Thomas invariants. arXiv:0810.5645.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V0.17-4</w:t>
            </w:r>
          </w:p>
        </w:tc>
        <w:tc>
          <w:tcPr>
            <w:tcW w:type="dxa" w:w="8617"/>
            <w:tcMar>
              <w:top w:w="80" w:type="dxa"/>
              <w:start w:w="90" w:type="dxa"/>
              <w:bottom w:w="80" w:type="dxa"/>
              <w:end w:w="90" w:type="dxa"/>
            </w:tcMar>
            <w:vAlign w:val="center"/>
          </w:tcPr>
          <w:p>
            <w:pPr>
              <w:jc w:val="left"/>
            </w:pPr>
            <w:r>
              <w:rPr>
                <w:rFonts w:ascii="Aptos" w:hAnsi="Aptos"/>
                <w:b w:val="0"/>
                <w:i w:val="0"/>
                <w:sz w:val="14"/>
              </w:rPr>
              <w:t>Bridgeland, T. Hall algebras and curve-counting invariants. arXiv:1002.4374.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V0.17-5</w:t>
            </w:r>
          </w:p>
        </w:tc>
        <w:tc>
          <w:tcPr>
            <w:tcW w:type="dxa" w:w="8617"/>
            <w:tcMar>
              <w:top w:w="80" w:type="dxa"/>
              <w:start w:w="90" w:type="dxa"/>
              <w:bottom w:w="80" w:type="dxa"/>
              <w:end w:w="90" w:type="dxa"/>
            </w:tcMar>
            <w:vAlign w:val="center"/>
          </w:tcPr>
          <w:p>
            <w:pPr>
              <w:jc w:val="left"/>
            </w:pPr>
            <w:r>
              <w:rPr>
                <w:rFonts w:ascii="Aptos" w:hAnsi="Aptos"/>
                <w:b w:val="0"/>
                <w:i w:val="0"/>
                <w:sz w:val="14"/>
              </w:rPr>
              <w:t>Davison, B.; Meinhardt, S. Cohomological Donaldson–Thomas theory of a quiver with potential and quantum enveloping algebras. arXiv:1601.02479.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V0.17-6</w:t>
            </w:r>
          </w:p>
        </w:tc>
        <w:tc>
          <w:tcPr>
            <w:tcW w:type="dxa" w:w="8617"/>
            <w:tcMar>
              <w:top w:w="80" w:type="dxa"/>
              <w:start w:w="90" w:type="dxa"/>
              <w:bottom w:w="80" w:type="dxa"/>
              <w:end w:w="90" w:type="dxa"/>
            </w:tcMar>
            <w:vAlign w:val="center"/>
          </w:tcPr>
          <w:p>
            <w:pPr>
              <w:jc w:val="left"/>
            </w:pPr>
            <w:r>
              <w:rPr>
                <w:rFonts w:ascii="Aptos" w:hAnsi="Aptos"/>
                <w:b w:val="0"/>
                <w:i w:val="0"/>
                <w:sz w:val="14"/>
              </w:rPr>
              <w:t>Bussi, V.; Joyce, D.; Meinhardt, S. On motivic vanishing cycles of critical loci. arXiv:1305.6428.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V0.17-7</w:t>
            </w:r>
          </w:p>
        </w:tc>
        <w:tc>
          <w:tcPr>
            <w:tcW w:type="dxa" w:w="8617"/>
            <w:tcMar>
              <w:top w:w="80" w:type="dxa"/>
              <w:start w:w="90" w:type="dxa"/>
              <w:bottom w:w="80" w:type="dxa"/>
              <w:end w:w="90" w:type="dxa"/>
            </w:tcMar>
            <w:vAlign w:val="center"/>
          </w:tcPr>
          <w:p>
            <w:pPr>
              <w:jc w:val="left"/>
            </w:pPr>
            <w:r>
              <w:rPr>
                <w:rFonts w:ascii="Aptos" w:hAnsi="Aptos"/>
                <w:b w:val="0"/>
                <w:i w:val="0"/>
                <w:sz w:val="14"/>
              </w:rPr>
              <w:t>Denef, J.; Loeser, F. Motivic Igusa zeta functions. arXiv:math/9803040.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V0.17-8</w:t>
            </w:r>
          </w:p>
        </w:tc>
        <w:tc>
          <w:tcPr>
            <w:tcW w:type="dxa" w:w="8617"/>
            <w:tcMar>
              <w:top w:w="80" w:type="dxa"/>
              <w:start w:w="90" w:type="dxa"/>
              <w:bottom w:w="80" w:type="dxa"/>
              <w:end w:w="90" w:type="dxa"/>
            </w:tcMar>
            <w:vAlign w:val="center"/>
          </w:tcPr>
          <w:p>
            <w:pPr>
              <w:jc w:val="left"/>
            </w:pPr>
            <w:r>
              <w:rPr>
                <w:rFonts w:ascii="Aptos" w:hAnsi="Aptos"/>
                <w:b w:val="0"/>
                <w:i w:val="0"/>
                <w:sz w:val="14"/>
              </w:rPr>
              <w:t>Gusein-Zade, S. M.; Luengo, I.; Melle-Hernández, A. On the power structure over the Grothendieck ring of varieties and its applications. arXiv:math/0605467.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V0.17-9</w:t>
            </w:r>
          </w:p>
        </w:tc>
        <w:tc>
          <w:tcPr>
            <w:tcW w:type="dxa" w:w="8617"/>
            <w:tcMar>
              <w:top w:w="80" w:type="dxa"/>
              <w:start w:w="90" w:type="dxa"/>
              <w:bottom w:w="80" w:type="dxa"/>
              <w:end w:w="90" w:type="dxa"/>
            </w:tcMar>
            <w:vAlign w:val="center"/>
          </w:tcPr>
          <w:p>
            <w:pPr>
              <w:jc w:val="left"/>
            </w:pPr>
            <w:r>
              <w:rPr>
                <w:rFonts w:ascii="Aptos" w:hAnsi="Aptos"/>
                <w:b w:val="0"/>
                <w:i w:val="0"/>
                <w:sz w:val="14"/>
              </w:rPr>
              <w:t>Behrend, K. Donaldson–Thomas type invariants via microlocal geometry. arXiv:math/0507523.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V0.17-10</w:t>
            </w:r>
          </w:p>
        </w:tc>
        <w:tc>
          <w:tcPr>
            <w:tcW w:type="dxa" w:w="8617"/>
            <w:tcMar>
              <w:top w:w="80" w:type="dxa"/>
              <w:start w:w="90" w:type="dxa"/>
              <w:bottom w:w="80" w:type="dxa"/>
              <w:end w:w="90" w:type="dxa"/>
            </w:tcMar>
            <w:vAlign w:val="center"/>
          </w:tcPr>
          <w:p>
            <w:pPr>
              <w:jc w:val="left"/>
            </w:pPr>
            <w:r>
              <w:rPr>
                <w:rFonts w:ascii="Aptos" w:hAnsi="Aptos"/>
                <w:b w:val="0"/>
                <w:i w:val="0"/>
                <w:sz w:val="14"/>
              </w:rPr>
              <w:t>Kurpishev, I. B. Том I v197 RU; Том II T2-RP-v0.1–v0.16. [internal authorial corpus]</w:t>
            </w:r>
          </w:p>
        </w:tc>
      </w:tr>
      <w:tr>
        <w:tc>
          <w:tcPr>
            <w:tcW w:type="dxa" w:w="1587"/>
            <w:tcMar>
              <w:top w:w="80" w:type="dxa"/>
              <w:start w:w="90" w:type="dxa"/>
              <w:bottom w:w="80" w:type="dxa"/>
              <w:end w:w="90" w:type="dxa"/>
            </w:tcMar>
            <w:vAlign w:val="center"/>
          </w:tcPr>
          <w:p>
            <w:pPr>
              <w:jc w:val="center"/>
            </w:pPr>
            <w:r>
              <w:rPr>
                <w:rFonts w:ascii="Aptos" w:hAnsi="Aptos"/>
                <w:b w:val="0"/>
                <w:i w:val="0"/>
                <w:sz w:val="14"/>
              </w:rPr>
              <w:t>V0.18-1</w:t>
            </w:r>
          </w:p>
        </w:tc>
        <w:tc>
          <w:tcPr>
            <w:tcW w:type="dxa" w:w="8617"/>
            <w:tcMar>
              <w:top w:w="80" w:type="dxa"/>
              <w:start w:w="90" w:type="dxa"/>
              <w:bottom w:w="80" w:type="dxa"/>
              <w:end w:w="90" w:type="dxa"/>
            </w:tcMar>
            <w:vAlign w:val="center"/>
          </w:tcPr>
          <w:p>
            <w:pPr>
              <w:jc w:val="left"/>
            </w:pPr>
            <w:r>
              <w:rPr>
                <w:rFonts w:ascii="Aptos" w:hAnsi="Aptos"/>
                <w:b w:val="0"/>
                <w:i w:val="0"/>
                <w:sz w:val="14"/>
              </w:rPr>
              <w:t>Crandall, M. G.; Liggett, T. M. Generation of semi-groups of nonlinear transformations on general Banach spaces. American Journal of Mathematics 93 (1971), 265–298. DOI 10.2307/2373376.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V0.18-2</w:t>
            </w:r>
          </w:p>
        </w:tc>
        <w:tc>
          <w:tcPr>
            <w:tcW w:type="dxa" w:w="8617"/>
            <w:tcMar>
              <w:top w:w="80" w:type="dxa"/>
              <w:start w:w="90" w:type="dxa"/>
              <w:bottom w:w="80" w:type="dxa"/>
              <w:end w:w="90" w:type="dxa"/>
            </w:tcMar>
            <w:vAlign w:val="center"/>
          </w:tcPr>
          <w:p>
            <w:pPr>
              <w:jc w:val="left"/>
            </w:pPr>
            <w:r>
              <w:rPr>
                <w:rFonts w:ascii="Aptos" w:hAnsi="Aptos"/>
                <w:b w:val="0"/>
                <w:i w:val="0"/>
                <w:sz w:val="14"/>
              </w:rPr>
              <w:t>Kato, T. Integration of the equation of evolution in a Banach space. Journal of the Mathematical Society of Japan 5 (1953), 208–234. DOI 10.2969/jmsj/00520208.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V0.18-3</w:t>
            </w:r>
          </w:p>
        </w:tc>
        <w:tc>
          <w:tcPr>
            <w:tcW w:type="dxa" w:w="8617"/>
            <w:tcMar>
              <w:top w:w="80" w:type="dxa"/>
              <w:start w:w="90" w:type="dxa"/>
              <w:bottom w:w="80" w:type="dxa"/>
              <w:end w:w="90" w:type="dxa"/>
            </w:tcMar>
            <w:vAlign w:val="center"/>
          </w:tcPr>
          <w:p>
            <w:pPr>
              <w:jc w:val="left"/>
            </w:pPr>
            <w:r>
              <w:rPr>
                <w:rFonts w:ascii="Aptos" w:hAnsi="Aptos"/>
                <w:b w:val="0"/>
                <w:i w:val="0"/>
                <w:sz w:val="14"/>
              </w:rPr>
              <w:t>Koopman, B. O. Hamiltonian systems and transformation in Hilbert space. PNAS 17 (1931), 315–318. DOI 10.1073/pnas.17.5.315.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V0.18-4</w:t>
            </w:r>
          </w:p>
        </w:tc>
        <w:tc>
          <w:tcPr>
            <w:tcW w:type="dxa" w:w="8617"/>
            <w:tcMar>
              <w:top w:w="80" w:type="dxa"/>
              <w:start w:w="90" w:type="dxa"/>
              <w:bottom w:w="80" w:type="dxa"/>
              <w:end w:w="90" w:type="dxa"/>
            </w:tcMar>
            <w:vAlign w:val="center"/>
          </w:tcPr>
          <w:p>
            <w:pPr>
              <w:jc w:val="left"/>
            </w:pPr>
            <w:r>
              <w:rPr>
                <w:rFonts w:ascii="Aptos" w:hAnsi="Aptos"/>
                <w:b w:val="0"/>
                <w:i w:val="0"/>
                <w:sz w:val="14"/>
              </w:rPr>
              <w:t>Ruelle, D. Generalized zeta-functions for Axiom A basic sets. Bulletin of the AMS 82 (1976), 153–156; IHES prepublication P/75/104.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V0.18-5</w:t>
            </w:r>
          </w:p>
        </w:tc>
        <w:tc>
          <w:tcPr>
            <w:tcW w:type="dxa" w:w="8617"/>
            <w:tcMar>
              <w:top w:w="80" w:type="dxa"/>
              <w:start w:w="90" w:type="dxa"/>
              <w:bottom w:w="80" w:type="dxa"/>
              <w:end w:w="90" w:type="dxa"/>
            </w:tcMar>
            <w:vAlign w:val="center"/>
          </w:tcPr>
          <w:p>
            <w:pPr>
              <w:jc w:val="left"/>
            </w:pPr>
            <w:r>
              <w:rPr>
                <w:rFonts w:ascii="Aptos" w:hAnsi="Aptos"/>
                <w:b w:val="0"/>
                <w:i w:val="0"/>
                <w:sz w:val="14"/>
              </w:rPr>
              <w:t>Lasota, A.; Yorke, J. A. On the existence of invariant measures for piecewise monotonic transformations. Transactions AMS 186 (1973), 481–488. DOI 10.1090/S0002-9947-1973-0335758-1.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V0.18-6</w:t>
            </w:r>
          </w:p>
        </w:tc>
        <w:tc>
          <w:tcPr>
            <w:tcW w:type="dxa" w:w="8617"/>
            <w:tcMar>
              <w:top w:w="80" w:type="dxa"/>
              <w:start w:w="90" w:type="dxa"/>
              <w:bottom w:w="80" w:type="dxa"/>
              <w:end w:w="90" w:type="dxa"/>
            </w:tcMar>
            <w:vAlign w:val="center"/>
          </w:tcPr>
          <w:p>
            <w:pPr>
              <w:jc w:val="left"/>
            </w:pPr>
            <w:r>
              <w:rPr>
                <w:rFonts w:ascii="Aptos" w:hAnsi="Aptos"/>
                <w:b w:val="0"/>
                <w:i w:val="0"/>
                <w:sz w:val="14"/>
              </w:rPr>
              <w:t>Kolmogorov, A. N. Grundbegriffe der Wahrscheinlichkeitsrechnung. Springer, 1933; и On the analytic methods of probability theory, 1938.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V0.18-7</w:t>
            </w:r>
          </w:p>
        </w:tc>
        <w:tc>
          <w:tcPr>
            <w:tcW w:type="dxa" w:w="8617"/>
            <w:tcMar>
              <w:top w:w="80" w:type="dxa"/>
              <w:start w:w="90" w:type="dxa"/>
              <w:bottom w:w="80" w:type="dxa"/>
              <w:end w:w="90" w:type="dxa"/>
            </w:tcMar>
            <w:vAlign w:val="center"/>
          </w:tcPr>
          <w:p>
            <w:pPr>
              <w:jc w:val="left"/>
            </w:pPr>
            <w:r>
              <w:rPr>
                <w:rFonts w:ascii="Aptos" w:hAnsi="Aptos"/>
                <w:b w:val="0"/>
                <w:i w:val="0"/>
                <w:sz w:val="14"/>
              </w:rPr>
              <w:t>Nagy, J.; Nováková, E. Concerning resolvent kernels of Volterra integral equations. Comment. Math. Univ. Carolinae 12 (1971), 737–752.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V0.18-8</w:t>
            </w:r>
          </w:p>
        </w:tc>
        <w:tc>
          <w:tcPr>
            <w:tcW w:type="dxa" w:w="8617"/>
            <w:tcMar>
              <w:top w:w="80" w:type="dxa"/>
              <w:start w:w="90" w:type="dxa"/>
              <w:bottom w:w="80" w:type="dxa"/>
              <w:end w:w="90" w:type="dxa"/>
            </w:tcMar>
            <w:vAlign w:val="center"/>
          </w:tcPr>
          <w:p>
            <w:pPr>
              <w:jc w:val="left"/>
            </w:pPr>
            <w:r>
              <w:rPr>
                <w:rFonts w:ascii="Aptos" w:hAnsi="Aptos"/>
                <w:b w:val="0"/>
                <w:i w:val="0"/>
                <w:sz w:val="14"/>
              </w:rPr>
              <w:t>Kurpishev, I. B. Том I v197 RU; Том II T2-RP-v0.1–v0.17. [internal authorial corpus] В Том I уже закреплены blocker-safe домены, независимая проверка и главная условная теорема предсказательного метода; настоящая глава не повышает их статус, а добавляет временной carrier и operator/path obligations. filecite turn5file9 </w:t>
            </w:r>
          </w:p>
        </w:tc>
      </w:tr>
      <w:tr>
        <w:tc>
          <w:tcPr>
            <w:tcW w:type="dxa" w:w="1587"/>
            <w:tcMar>
              <w:top w:w="80" w:type="dxa"/>
              <w:start w:w="90" w:type="dxa"/>
              <w:bottom w:w="80" w:type="dxa"/>
              <w:end w:w="90" w:type="dxa"/>
            </w:tcMar>
            <w:vAlign w:val="center"/>
          </w:tcPr>
          <w:p>
            <w:pPr>
              <w:jc w:val="center"/>
            </w:pPr>
            <w:r>
              <w:rPr>
                <w:rFonts w:ascii="Aptos" w:hAnsi="Aptos"/>
                <w:b w:val="0"/>
                <w:i w:val="0"/>
                <w:sz w:val="14"/>
              </w:rPr>
              <w:t>V0.19-1</w:t>
            </w:r>
          </w:p>
        </w:tc>
        <w:tc>
          <w:tcPr>
            <w:tcW w:type="dxa" w:w="8617"/>
            <w:tcMar>
              <w:top w:w="80" w:type="dxa"/>
              <w:start w:w="90" w:type="dxa"/>
              <w:bottom w:w="80" w:type="dxa"/>
              <w:end w:w="90" w:type="dxa"/>
            </w:tcMar>
            <w:vAlign w:val="center"/>
          </w:tcPr>
          <w:p>
            <w:pPr>
              <w:jc w:val="left"/>
            </w:pPr>
            <w:r>
              <w:rPr>
                <w:rFonts w:ascii="Aptos" w:hAnsi="Aptos"/>
                <w:b w:val="0"/>
                <w:i w:val="0"/>
                <w:sz w:val="14"/>
              </w:rPr>
              <w:t>Feller, W. Semi-groups of transformations in general weak topologies. Annals of Mathematics 57 (1953), 287–308.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V0.19-2</w:t>
            </w:r>
          </w:p>
        </w:tc>
        <w:tc>
          <w:tcPr>
            <w:tcW w:type="dxa" w:w="8617"/>
            <w:tcMar>
              <w:top w:w="80" w:type="dxa"/>
              <w:start w:w="90" w:type="dxa"/>
              <w:bottom w:w="80" w:type="dxa"/>
              <w:end w:w="90" w:type="dxa"/>
            </w:tcMar>
            <w:vAlign w:val="center"/>
          </w:tcPr>
          <w:p>
            <w:pPr>
              <w:jc w:val="left"/>
            </w:pPr>
            <w:r>
              <w:rPr>
                <w:rFonts w:ascii="Aptos" w:hAnsi="Aptos"/>
                <w:b w:val="0"/>
                <w:i w:val="0"/>
                <w:sz w:val="14"/>
              </w:rPr>
              <w:t>Dynkin, E. B. Markov processes and semigroups of operators. Theory of Probability and Its Applications 1 (1956), 22–33. DOI 10.1137/1101003.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V0.19-3</w:t>
            </w:r>
          </w:p>
        </w:tc>
        <w:tc>
          <w:tcPr>
            <w:tcW w:type="dxa" w:w="8617"/>
            <w:tcMar>
              <w:top w:w="80" w:type="dxa"/>
              <w:start w:w="90" w:type="dxa"/>
              <w:bottom w:w="80" w:type="dxa"/>
              <w:end w:w="90" w:type="dxa"/>
            </w:tcMar>
            <w:vAlign w:val="center"/>
          </w:tcPr>
          <w:p>
            <w:pPr>
              <w:jc w:val="left"/>
            </w:pPr>
            <w:r>
              <w:rPr>
                <w:rFonts w:ascii="Aptos" w:hAnsi="Aptos"/>
                <w:b w:val="0"/>
                <w:i w:val="0"/>
                <w:sz w:val="14"/>
              </w:rPr>
              <w:t>Stroock, D. W.; Varadhan, S. R. S. Diffusion processes with continuous coefficients I–II. Communications on Pure and Applied Mathematics 22 (1969), 345–400, 479–530. DOI 10.1002/cpa.3160220304; 10.1002/cpa.3160220404.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V0.19-4</w:t>
            </w:r>
          </w:p>
        </w:tc>
        <w:tc>
          <w:tcPr>
            <w:tcW w:type="dxa" w:w="8617"/>
            <w:tcMar>
              <w:top w:w="80" w:type="dxa"/>
              <w:start w:w="90" w:type="dxa"/>
              <w:bottom w:w="80" w:type="dxa"/>
              <w:end w:w="90" w:type="dxa"/>
            </w:tcMar>
            <w:vAlign w:val="center"/>
          </w:tcPr>
          <w:p>
            <w:pPr>
              <w:jc w:val="left"/>
            </w:pPr>
            <w:r>
              <w:rPr>
                <w:rFonts w:ascii="Aptos" w:hAnsi="Aptos"/>
                <w:b w:val="0"/>
                <w:i w:val="0"/>
                <w:sz w:val="14"/>
              </w:rPr>
              <w:t>Itô, K. On stochastic differential equations. Memoirs, American Mathematical Society 4 (1951).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V0.19-5</w:t>
            </w:r>
          </w:p>
        </w:tc>
        <w:tc>
          <w:tcPr>
            <w:tcW w:type="dxa" w:w="8617"/>
            <w:tcMar>
              <w:top w:w="80" w:type="dxa"/>
              <w:start w:w="90" w:type="dxa"/>
              <w:bottom w:w="80" w:type="dxa"/>
              <w:end w:w="90" w:type="dxa"/>
            </w:tcMar>
            <w:vAlign w:val="center"/>
          </w:tcPr>
          <w:p>
            <w:pPr>
              <w:jc w:val="left"/>
            </w:pPr>
            <w:r>
              <w:rPr>
                <w:rFonts w:ascii="Aptos" w:hAnsi="Aptos"/>
                <w:b w:val="0"/>
                <w:i w:val="0"/>
                <w:sz w:val="14"/>
              </w:rPr>
              <w:t>Girsanov, I. V. On transforming a certain class of stochastic processes by absolutely continuous substitution of measures. Theory of Probability and Its Applications 5 (1960), 285–301.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V0.19-6</w:t>
            </w:r>
          </w:p>
        </w:tc>
        <w:tc>
          <w:tcPr>
            <w:tcW w:type="dxa" w:w="8617"/>
            <w:tcMar>
              <w:top w:w="80" w:type="dxa"/>
              <w:start w:w="90" w:type="dxa"/>
              <w:bottom w:w="80" w:type="dxa"/>
              <w:end w:w="90" w:type="dxa"/>
            </w:tcMar>
            <w:vAlign w:val="center"/>
          </w:tcPr>
          <w:p>
            <w:pPr>
              <w:jc w:val="left"/>
            </w:pPr>
            <w:r>
              <w:rPr>
                <w:rFonts w:ascii="Aptos" w:hAnsi="Aptos"/>
                <w:b w:val="0"/>
                <w:i w:val="0"/>
                <w:sz w:val="14"/>
              </w:rPr>
              <w:t>Doob, J. L. Stochastic Processes. Wiley, 1953. [первичная монография]</w:t>
            </w:r>
          </w:p>
        </w:tc>
      </w:tr>
      <w:tr>
        <w:tc>
          <w:tcPr>
            <w:tcW w:type="dxa" w:w="1587"/>
            <w:tcMar>
              <w:top w:w="80" w:type="dxa"/>
              <w:start w:w="90" w:type="dxa"/>
              <w:bottom w:w="80" w:type="dxa"/>
              <w:end w:w="90" w:type="dxa"/>
            </w:tcMar>
            <w:vAlign w:val="center"/>
          </w:tcPr>
          <w:p>
            <w:pPr>
              <w:jc w:val="center"/>
            </w:pPr>
            <w:r>
              <w:rPr>
                <w:rFonts w:ascii="Aptos" w:hAnsi="Aptos"/>
                <w:b w:val="0"/>
                <w:i w:val="0"/>
                <w:sz w:val="14"/>
              </w:rPr>
              <w:t>V0.19-7</w:t>
            </w:r>
          </w:p>
        </w:tc>
        <w:tc>
          <w:tcPr>
            <w:tcW w:type="dxa" w:w="8617"/>
            <w:tcMar>
              <w:top w:w="80" w:type="dxa"/>
              <w:start w:w="90" w:type="dxa"/>
              <w:bottom w:w="80" w:type="dxa"/>
              <w:end w:w="90" w:type="dxa"/>
            </w:tcMar>
            <w:vAlign w:val="center"/>
          </w:tcPr>
          <w:p>
            <w:pPr>
              <w:jc w:val="left"/>
            </w:pPr>
            <w:r>
              <w:rPr>
                <w:rFonts w:ascii="Aptos" w:hAnsi="Aptos"/>
                <w:b w:val="0"/>
                <w:i w:val="0"/>
                <w:sz w:val="14"/>
              </w:rPr>
              <w:t>Bellman, R. Dynamic Programming. Princeton University Press, 1957. [первичная монография]</w:t>
            </w:r>
          </w:p>
        </w:tc>
      </w:tr>
      <w:tr>
        <w:tc>
          <w:tcPr>
            <w:tcW w:type="dxa" w:w="1587"/>
            <w:tcMar>
              <w:top w:w="80" w:type="dxa"/>
              <w:start w:w="90" w:type="dxa"/>
              <w:bottom w:w="80" w:type="dxa"/>
              <w:end w:w="90" w:type="dxa"/>
            </w:tcMar>
            <w:vAlign w:val="center"/>
          </w:tcPr>
          <w:p>
            <w:pPr>
              <w:jc w:val="center"/>
            </w:pPr>
            <w:r>
              <w:rPr>
                <w:rFonts w:ascii="Aptos" w:hAnsi="Aptos"/>
                <w:b w:val="0"/>
                <w:i w:val="0"/>
                <w:sz w:val="14"/>
              </w:rPr>
              <w:t>V0.19-8</w:t>
            </w:r>
          </w:p>
        </w:tc>
        <w:tc>
          <w:tcPr>
            <w:tcW w:type="dxa" w:w="8617"/>
            <w:tcMar>
              <w:top w:w="80" w:type="dxa"/>
              <w:start w:w="90" w:type="dxa"/>
              <w:bottom w:w="80" w:type="dxa"/>
              <w:end w:w="90" w:type="dxa"/>
            </w:tcMar>
            <w:vAlign w:val="center"/>
          </w:tcPr>
          <w:p>
            <w:pPr>
              <w:jc w:val="left"/>
            </w:pPr>
            <w:r>
              <w:rPr>
                <w:rFonts w:ascii="Aptos" w:hAnsi="Aptos"/>
                <w:b w:val="0"/>
                <w:i w:val="0"/>
                <w:sz w:val="14"/>
              </w:rPr>
              <w:t>Robins, J. M. The role of model selection in causal inference from nonexperimental data. American Journal of Epidemiology 123 (1986), 392–402. DOI 10.1093/oxfordjournals.aje.a114254.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V0.19-9</w:t>
            </w:r>
          </w:p>
        </w:tc>
        <w:tc>
          <w:tcPr>
            <w:tcW w:type="dxa" w:w="8617"/>
            <w:tcMar>
              <w:top w:w="80" w:type="dxa"/>
              <w:start w:w="90" w:type="dxa"/>
              <w:bottom w:w="80" w:type="dxa"/>
              <w:end w:w="90" w:type="dxa"/>
            </w:tcMar>
            <w:vAlign w:val="center"/>
          </w:tcPr>
          <w:p>
            <w:pPr>
              <w:jc w:val="left"/>
            </w:pPr>
            <w:r>
              <w:rPr>
                <w:rFonts w:ascii="Aptos" w:hAnsi="Aptos"/>
                <w:b w:val="0"/>
                <w:i w:val="0"/>
                <w:sz w:val="14"/>
              </w:rPr>
              <w:t>Pearl, J. Causal diagrams for empirical research. Biometrika 82 (1995), 669–688.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V0.19-10</w:t>
            </w:r>
          </w:p>
        </w:tc>
        <w:tc>
          <w:tcPr>
            <w:tcW w:type="dxa" w:w="8617"/>
            <w:tcMar>
              <w:top w:w="80" w:type="dxa"/>
              <w:start w:w="90" w:type="dxa"/>
              <w:bottom w:w="80" w:type="dxa"/>
              <w:end w:w="90" w:type="dxa"/>
            </w:tcMar>
            <w:vAlign w:val="center"/>
          </w:tcPr>
          <w:p>
            <w:pPr>
              <w:jc w:val="left"/>
            </w:pPr>
            <w:r>
              <w:rPr>
                <w:rFonts w:ascii="Aptos" w:hAnsi="Aptos"/>
                <w:b w:val="0"/>
                <w:i w:val="0"/>
                <w:sz w:val="14"/>
              </w:rPr>
              <w:t>Kurpishev, I. B. Том I v197 RU; Том II T2-RP-v0.1–v0.18. [internal authorial corpus] Замороженный Том I v197 RU уже фиксирует независимую проверку, sequential validity и causal-limit discipline; настоящая глава добавляет stochastic generator, stopping/control и intervention carriers, не повышая статусов.</w:t>
            </w:r>
          </w:p>
        </w:tc>
      </w:tr>
      <w:tr>
        <w:tc>
          <w:tcPr>
            <w:tcW w:type="dxa" w:w="1587"/>
            <w:tcMar>
              <w:top w:w="80" w:type="dxa"/>
              <w:start w:w="90" w:type="dxa"/>
              <w:bottom w:w="80" w:type="dxa"/>
              <w:end w:w="90" w:type="dxa"/>
            </w:tcMar>
            <w:vAlign w:val="center"/>
          </w:tcPr>
          <w:p>
            <w:pPr>
              <w:jc w:val="center"/>
            </w:pPr>
            <w:r>
              <w:rPr>
                <w:rFonts w:ascii="Aptos" w:hAnsi="Aptos"/>
                <w:b w:val="0"/>
                <w:i w:val="0"/>
                <w:sz w:val="14"/>
              </w:rPr>
              <w:t>V0.20-1</w:t>
            </w:r>
          </w:p>
        </w:tc>
        <w:tc>
          <w:tcPr>
            <w:tcW w:type="dxa" w:w="8617"/>
            <w:tcMar>
              <w:top w:w="80" w:type="dxa"/>
              <w:start w:w="90" w:type="dxa"/>
              <w:bottom w:w="80" w:type="dxa"/>
              <w:end w:w="90" w:type="dxa"/>
            </w:tcMar>
            <w:vAlign w:val="center"/>
          </w:tcPr>
          <w:p>
            <w:pPr>
              <w:jc w:val="left"/>
            </w:pPr>
            <w:r>
              <w:rPr>
                <w:rFonts w:ascii="Aptos" w:hAnsi="Aptos"/>
                <w:b w:val="0"/>
                <w:i w:val="0"/>
                <w:sz w:val="14"/>
              </w:rPr>
              <w:t>Sanov, I. N. On the probability of large deviations of random magnitudes. Mat. Sb. (N.S.) 42(84):1 (1957), 11-44.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V0.20-2</w:t>
            </w:r>
          </w:p>
        </w:tc>
        <w:tc>
          <w:tcPr>
            <w:tcW w:type="dxa" w:w="8617"/>
            <w:tcMar>
              <w:top w:w="80" w:type="dxa"/>
              <w:start w:w="90" w:type="dxa"/>
              <w:bottom w:w="80" w:type="dxa"/>
              <w:end w:w="90" w:type="dxa"/>
            </w:tcMar>
            <w:vAlign w:val="center"/>
          </w:tcPr>
          <w:p>
            <w:pPr>
              <w:jc w:val="left"/>
            </w:pPr>
            <w:r>
              <w:rPr>
                <w:rFonts w:ascii="Aptos" w:hAnsi="Aptos"/>
                <w:b w:val="0"/>
                <w:i w:val="0"/>
                <w:sz w:val="14"/>
              </w:rPr>
              <w:t>Varadhan, S. R. S. Asymptotic probabilities and differential equations. Comm. Pure Appl. Math. 19 (1966), 261-286. DOI 10.1002/cpa.3160190303.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V0.20-3</w:t>
            </w:r>
          </w:p>
        </w:tc>
        <w:tc>
          <w:tcPr>
            <w:tcW w:type="dxa" w:w="8617"/>
            <w:tcMar>
              <w:top w:w="80" w:type="dxa"/>
              <w:start w:w="90" w:type="dxa"/>
              <w:bottom w:w="80" w:type="dxa"/>
              <w:end w:w="90" w:type="dxa"/>
            </w:tcMar>
            <w:vAlign w:val="center"/>
          </w:tcPr>
          <w:p>
            <w:pPr>
              <w:jc w:val="left"/>
            </w:pPr>
            <w:r>
              <w:rPr>
                <w:rFonts w:ascii="Aptos" w:hAnsi="Aptos"/>
                <w:b w:val="0"/>
                <w:i w:val="0"/>
                <w:sz w:val="14"/>
              </w:rPr>
              <w:t>Donsker, M. D.; Varadhan, S. R. S. Asymptotic evaluation of certain Markov process expectations for large time I-IV. Comm. Pure Appl. Math. 28-36 (1975-1983). [primary series]</w:t>
            </w:r>
          </w:p>
        </w:tc>
      </w:tr>
      <w:tr>
        <w:tc>
          <w:tcPr>
            <w:tcW w:type="dxa" w:w="1587"/>
            <w:tcMar>
              <w:top w:w="80" w:type="dxa"/>
              <w:start w:w="90" w:type="dxa"/>
              <w:bottom w:w="80" w:type="dxa"/>
              <w:end w:w="90" w:type="dxa"/>
            </w:tcMar>
            <w:vAlign w:val="center"/>
          </w:tcPr>
          <w:p>
            <w:pPr>
              <w:jc w:val="center"/>
            </w:pPr>
            <w:r>
              <w:rPr>
                <w:rFonts w:ascii="Aptos" w:hAnsi="Aptos"/>
                <w:b w:val="0"/>
                <w:i w:val="0"/>
                <w:sz w:val="14"/>
              </w:rPr>
              <w:t>V0.20-4</w:t>
            </w:r>
          </w:p>
        </w:tc>
        <w:tc>
          <w:tcPr>
            <w:tcW w:type="dxa" w:w="8617"/>
            <w:tcMar>
              <w:top w:w="80" w:type="dxa"/>
              <w:start w:w="90" w:type="dxa"/>
              <w:bottom w:w="80" w:type="dxa"/>
              <w:end w:w="90" w:type="dxa"/>
            </w:tcMar>
            <w:vAlign w:val="center"/>
          </w:tcPr>
          <w:p>
            <w:pPr>
              <w:jc w:val="left"/>
            </w:pPr>
            <w:r>
              <w:rPr>
                <w:rFonts w:ascii="Aptos" w:hAnsi="Aptos"/>
                <w:b w:val="0"/>
                <w:i w:val="0"/>
                <w:sz w:val="14"/>
              </w:rPr>
              <w:t>Gärtner, J. On large deviations from the invariant measure. Theory Probab. Appl. 22 (1977), 24-39. DOI 10.1137/1122003.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V0.20-5</w:t>
            </w:r>
          </w:p>
        </w:tc>
        <w:tc>
          <w:tcPr>
            <w:tcW w:type="dxa" w:w="8617"/>
            <w:tcMar>
              <w:top w:w="80" w:type="dxa"/>
              <w:start w:w="90" w:type="dxa"/>
              <w:bottom w:w="80" w:type="dxa"/>
              <w:end w:w="90" w:type="dxa"/>
            </w:tcMar>
            <w:vAlign w:val="center"/>
          </w:tcPr>
          <w:p>
            <w:pPr>
              <w:jc w:val="left"/>
            </w:pPr>
            <w:r>
              <w:rPr>
                <w:rFonts w:ascii="Aptos" w:hAnsi="Aptos"/>
                <w:b w:val="0"/>
                <w:i w:val="0"/>
                <w:sz w:val="14"/>
              </w:rPr>
              <w:t>Ellis, R. S. Large deviations for a general class of random vectors. Ann. Probab. 12 (1984), 1-12. DOI 10.1214/aop/1176993370. [primary source]</w:t>
            </w:r>
          </w:p>
        </w:tc>
      </w:tr>
      <w:tr>
        <w:tc>
          <w:tcPr>
            <w:tcW w:type="dxa" w:w="1587"/>
            <w:tcMar>
              <w:top w:w="80" w:type="dxa"/>
              <w:start w:w="90" w:type="dxa"/>
              <w:bottom w:w="80" w:type="dxa"/>
              <w:end w:w="90" w:type="dxa"/>
            </w:tcMar>
            <w:vAlign w:val="center"/>
          </w:tcPr>
          <w:p>
            <w:pPr>
              <w:jc w:val="center"/>
            </w:pPr>
            <w:r>
              <w:rPr>
                <w:rFonts w:ascii="Aptos" w:hAnsi="Aptos"/>
                <w:b w:val="0"/>
                <w:i w:val="0"/>
                <w:sz w:val="14"/>
              </w:rPr>
              <w:t>V0.20-6</w:t>
            </w:r>
          </w:p>
        </w:tc>
        <w:tc>
          <w:tcPr>
            <w:tcW w:type="dxa" w:w="8617"/>
            <w:tcMar>
              <w:top w:w="80" w:type="dxa"/>
              <w:start w:w="90" w:type="dxa"/>
              <w:bottom w:w="80" w:type="dxa"/>
              <w:end w:w="90" w:type="dxa"/>
            </w:tcMar>
            <w:vAlign w:val="center"/>
          </w:tcPr>
          <w:p>
            <w:pPr>
              <w:jc w:val="left"/>
            </w:pPr>
            <w:r>
              <w:rPr>
                <w:rFonts w:ascii="Aptos" w:hAnsi="Aptos"/>
                <w:b w:val="0"/>
                <w:i w:val="0"/>
                <w:sz w:val="14"/>
              </w:rPr>
              <w:t>Freidlin, M. I.; Wentzell, A. D. Random Perturbations of Dynamical Systems. Springer, 1984/1998/2012. [principal monograph]</w:t>
            </w:r>
          </w:p>
        </w:tc>
      </w:tr>
      <w:tr>
        <w:tc>
          <w:tcPr>
            <w:tcW w:type="dxa" w:w="1587"/>
            <w:tcMar>
              <w:top w:w="80" w:type="dxa"/>
              <w:start w:w="90" w:type="dxa"/>
              <w:bottom w:w="80" w:type="dxa"/>
              <w:end w:w="90" w:type="dxa"/>
            </w:tcMar>
            <w:vAlign w:val="center"/>
          </w:tcPr>
          <w:p>
            <w:pPr>
              <w:jc w:val="center"/>
            </w:pPr>
            <w:r>
              <w:rPr>
                <w:rFonts w:ascii="Aptos" w:hAnsi="Aptos"/>
                <w:b w:val="0"/>
                <w:i w:val="0"/>
                <w:sz w:val="14"/>
              </w:rPr>
              <w:t>V0.20-7</w:t>
            </w:r>
          </w:p>
        </w:tc>
        <w:tc>
          <w:tcPr>
            <w:tcW w:type="dxa" w:w="8617"/>
            <w:tcMar>
              <w:top w:w="80" w:type="dxa"/>
              <w:start w:w="90" w:type="dxa"/>
              <w:bottom w:w="80" w:type="dxa"/>
              <w:end w:w="90" w:type="dxa"/>
            </w:tcMar>
            <w:vAlign w:val="center"/>
          </w:tcPr>
          <w:p>
            <w:pPr>
              <w:jc w:val="left"/>
            </w:pPr>
            <w:r>
              <w:rPr>
                <w:rFonts w:ascii="Aptos" w:hAnsi="Aptos"/>
                <w:b w:val="0"/>
                <w:i w:val="0"/>
                <w:sz w:val="14"/>
              </w:rPr>
              <w:t>Dupuis, P.; Ellis, R. S. A Weak Convergence Approach to the Theory of Large Deviations. Wiley, 1997. DOI 10.1002/9781118165904.</w:t>
            </w:r>
          </w:p>
        </w:tc>
      </w:tr>
      <w:tr>
        <w:tc>
          <w:tcPr>
            <w:tcW w:type="dxa" w:w="1587"/>
            <w:tcMar>
              <w:top w:w="80" w:type="dxa"/>
              <w:start w:w="90" w:type="dxa"/>
              <w:bottom w:w="80" w:type="dxa"/>
              <w:end w:w="90" w:type="dxa"/>
            </w:tcMar>
            <w:vAlign w:val="center"/>
          </w:tcPr>
          <w:p>
            <w:pPr>
              <w:jc w:val="center"/>
            </w:pPr>
            <w:r>
              <w:rPr>
                <w:rFonts w:ascii="Aptos" w:hAnsi="Aptos"/>
                <w:b w:val="0"/>
                <w:i w:val="0"/>
                <w:sz w:val="14"/>
              </w:rPr>
              <w:t>V0.20-8</w:t>
            </w:r>
          </w:p>
        </w:tc>
        <w:tc>
          <w:tcPr>
            <w:tcW w:type="dxa" w:w="8617"/>
            <w:tcMar>
              <w:top w:w="80" w:type="dxa"/>
              <w:start w:w="90" w:type="dxa"/>
              <w:bottom w:w="80" w:type="dxa"/>
              <w:end w:w="90" w:type="dxa"/>
            </w:tcMar>
            <w:vAlign w:val="center"/>
          </w:tcPr>
          <w:p>
            <w:pPr>
              <w:jc w:val="left"/>
            </w:pPr>
            <w:r>
              <w:rPr>
                <w:rFonts w:ascii="Aptos" w:hAnsi="Aptos"/>
                <w:b w:val="0"/>
                <w:i w:val="0"/>
                <w:sz w:val="14"/>
              </w:rPr>
              <w:t>Fleming, W. H.; Sheu, S. J. Risk-Sensitive Control and an Optimal Investment Model. Mathematical Finance 10 (2000), 197-213. DOI 10.1111/1467-9965.00089.</w:t>
            </w:r>
          </w:p>
        </w:tc>
      </w:tr>
      <w:tr>
        <w:tc>
          <w:tcPr>
            <w:tcW w:type="dxa" w:w="1587"/>
            <w:tcMar>
              <w:top w:w="80" w:type="dxa"/>
              <w:start w:w="90" w:type="dxa"/>
              <w:bottom w:w="80" w:type="dxa"/>
              <w:end w:w="90" w:type="dxa"/>
            </w:tcMar>
            <w:vAlign w:val="center"/>
          </w:tcPr>
          <w:p>
            <w:pPr>
              <w:jc w:val="center"/>
            </w:pPr>
            <w:r>
              <w:rPr>
                <w:rFonts w:ascii="Aptos" w:hAnsi="Aptos"/>
                <w:b w:val="0"/>
                <w:i w:val="0"/>
                <w:sz w:val="14"/>
              </w:rPr>
              <w:t>V0.20-9</w:t>
            </w:r>
          </w:p>
        </w:tc>
        <w:tc>
          <w:tcPr>
            <w:tcW w:type="dxa" w:w="8617"/>
            <w:tcMar>
              <w:top w:w="80" w:type="dxa"/>
              <w:start w:w="90" w:type="dxa"/>
              <w:bottom w:w="80" w:type="dxa"/>
              <w:end w:w="90" w:type="dxa"/>
            </w:tcMar>
            <w:vAlign w:val="center"/>
          </w:tcPr>
          <w:p>
            <w:pPr>
              <w:jc w:val="left"/>
            </w:pPr>
            <w:r>
              <w:rPr>
                <w:rFonts w:ascii="Aptos" w:hAnsi="Aptos"/>
                <w:b w:val="0"/>
                <w:i w:val="0"/>
                <w:sz w:val="14"/>
              </w:rPr>
              <w:t>Mohajerin Esfahani, P.; Kuhn, D. Data-driven distributionally robust optimization using the Wasserstein metric. Math. Programming 171 (2018), 115-166; arXiv:1505.05116.</w:t>
            </w:r>
          </w:p>
        </w:tc>
      </w:tr>
      <w:tr>
        <w:tc>
          <w:tcPr>
            <w:tcW w:type="dxa" w:w="1587"/>
            <w:tcMar>
              <w:top w:w="80" w:type="dxa"/>
              <w:start w:w="90" w:type="dxa"/>
              <w:bottom w:w="80" w:type="dxa"/>
              <w:end w:w="90" w:type="dxa"/>
            </w:tcMar>
            <w:vAlign w:val="center"/>
          </w:tcPr>
          <w:p>
            <w:pPr>
              <w:jc w:val="center"/>
            </w:pPr>
            <w:r>
              <w:rPr>
                <w:rFonts w:ascii="Aptos" w:hAnsi="Aptos"/>
                <w:b w:val="0"/>
                <w:i w:val="0"/>
                <w:sz w:val="14"/>
              </w:rPr>
              <w:t>V0.20-10</w:t>
            </w:r>
          </w:p>
        </w:tc>
        <w:tc>
          <w:tcPr>
            <w:tcW w:type="dxa" w:w="8617"/>
            <w:tcMar>
              <w:top w:w="80" w:type="dxa"/>
              <w:start w:w="90" w:type="dxa"/>
              <w:bottom w:w="80" w:type="dxa"/>
              <w:end w:w="90" w:type="dxa"/>
            </w:tcMar>
            <w:vAlign w:val="center"/>
          </w:tcPr>
          <w:p>
            <w:pPr>
              <w:jc w:val="left"/>
            </w:pPr>
            <w:r>
              <w:rPr>
                <w:rFonts w:ascii="Aptos" w:hAnsi="Aptos"/>
                <w:b w:val="0"/>
                <w:i w:val="0"/>
                <w:sz w:val="14"/>
              </w:rPr>
              <w:t>Kurpishev, I. B. Том I v197 RU; Том II T2-RP-v0.1-v0.19. [internal authorial corpus] Замороженный Том I v197 RU фиксирует blocker-safe прогнозные коридоры, e-processes, finite-sample power и causal-limit discipline. Настоящая глава добавляет large-deviation action, risk-sensitive и robust rare-event carriers без изменения статуса ПН.2 или F-1-F-14.</w:t>
            </w:r>
          </w:p>
        </w:tc>
      </w:tr>
      <w:tr>
        <w:tc>
          <w:tcPr>
            <w:tcW w:type="dxa" w:w="1587"/>
            <w:tcMar>
              <w:top w:w="80" w:type="dxa"/>
              <w:start w:w="90" w:type="dxa"/>
              <w:bottom w:w="80" w:type="dxa"/>
              <w:end w:w="90" w:type="dxa"/>
            </w:tcMar>
            <w:vAlign w:val="center"/>
          </w:tcPr>
          <w:p>
            <w:pPr>
              <w:jc w:val="center"/>
            </w:pPr>
            <w:r>
              <w:rPr>
                <w:rFonts w:ascii="Aptos" w:hAnsi="Aptos"/>
                <w:b w:val="0"/>
                <w:i w:val="0"/>
                <w:sz w:val="14"/>
              </w:rPr>
              <w:t>V0.21-1</w:t>
            </w:r>
          </w:p>
        </w:tc>
        <w:tc>
          <w:tcPr>
            <w:tcW w:type="dxa" w:w="8617"/>
            <w:tcMar>
              <w:top w:w="80" w:type="dxa"/>
              <w:start w:w="90" w:type="dxa"/>
              <w:bottom w:w="80" w:type="dxa"/>
              <w:end w:w="90" w:type="dxa"/>
            </w:tcMar>
            <w:vAlign w:val="center"/>
          </w:tcPr>
          <w:p>
            <w:pPr>
              <w:jc w:val="left"/>
            </w:pPr>
            <w:r>
              <w:rPr>
                <w:rFonts w:ascii="Aptos" w:hAnsi="Aptos"/>
                <w:b w:val="0"/>
                <w:i w:val="0"/>
                <w:sz w:val="14"/>
              </w:rPr>
              <w:t>Hoare, C. A. R. An Axiomatic Basis for Computer Programming. Communications of the ACM 12(10), 576- 580 (1969). DOI 10.1145/363235.363259.</w:t>
            </w:r>
          </w:p>
        </w:tc>
      </w:tr>
      <w:tr>
        <w:tc>
          <w:tcPr>
            <w:tcW w:type="dxa" w:w="1587"/>
            <w:tcMar>
              <w:top w:w="80" w:type="dxa"/>
              <w:start w:w="90" w:type="dxa"/>
              <w:bottom w:w="80" w:type="dxa"/>
              <w:end w:w="90" w:type="dxa"/>
            </w:tcMar>
            <w:vAlign w:val="center"/>
          </w:tcPr>
          <w:p>
            <w:pPr>
              <w:jc w:val="center"/>
            </w:pPr>
            <w:r>
              <w:rPr>
                <w:rFonts w:ascii="Aptos" w:hAnsi="Aptos"/>
                <w:b w:val="0"/>
                <w:i w:val="0"/>
                <w:sz w:val="14"/>
              </w:rPr>
              <w:t>V0.21-2</w:t>
            </w:r>
          </w:p>
        </w:tc>
        <w:tc>
          <w:tcPr>
            <w:tcW w:type="dxa" w:w="8617"/>
            <w:tcMar>
              <w:top w:w="80" w:type="dxa"/>
              <w:start w:w="90" w:type="dxa"/>
              <w:bottom w:w="80" w:type="dxa"/>
              <w:end w:w="90" w:type="dxa"/>
            </w:tcMar>
            <w:vAlign w:val="center"/>
          </w:tcPr>
          <w:p>
            <w:pPr>
              <w:jc w:val="left"/>
            </w:pPr>
            <w:r>
              <w:rPr>
                <w:rFonts w:ascii="Aptos" w:hAnsi="Aptos"/>
                <w:b w:val="0"/>
                <w:i w:val="0"/>
                <w:sz w:val="14"/>
              </w:rPr>
              <w:t>Dijkstra, E. W. Guarded Commands, Nondeterminacy and Formal Derivation of Programs. Communications of the ACM 18(8), 453-457 (1975). DOI 10.1145/360933.360975.</w:t>
            </w:r>
          </w:p>
        </w:tc>
      </w:tr>
      <w:tr>
        <w:tc>
          <w:tcPr>
            <w:tcW w:type="dxa" w:w="1587"/>
            <w:tcMar>
              <w:top w:w="80" w:type="dxa"/>
              <w:start w:w="90" w:type="dxa"/>
              <w:bottom w:w="80" w:type="dxa"/>
              <w:end w:w="90" w:type="dxa"/>
            </w:tcMar>
            <w:vAlign w:val="center"/>
          </w:tcPr>
          <w:p>
            <w:pPr>
              <w:jc w:val="center"/>
            </w:pPr>
            <w:r>
              <w:rPr>
                <w:rFonts w:ascii="Aptos" w:hAnsi="Aptos"/>
                <w:b w:val="0"/>
                <w:i w:val="0"/>
                <w:sz w:val="14"/>
              </w:rPr>
              <w:t>V0.21-3</w:t>
            </w:r>
          </w:p>
        </w:tc>
        <w:tc>
          <w:tcPr>
            <w:tcW w:type="dxa" w:w="8617"/>
            <w:tcMar>
              <w:top w:w="80" w:type="dxa"/>
              <w:start w:w="90" w:type="dxa"/>
              <w:bottom w:w="80" w:type="dxa"/>
              <w:end w:w="90" w:type="dxa"/>
            </w:tcMar>
            <w:vAlign w:val="center"/>
          </w:tcPr>
          <w:p>
            <w:pPr>
              <w:jc w:val="left"/>
            </w:pPr>
            <w:r>
              <w:rPr>
                <w:rFonts w:ascii="Aptos" w:hAnsi="Aptos"/>
                <w:b w:val="0"/>
                <w:i w:val="0"/>
                <w:sz w:val="14"/>
              </w:rPr>
              <w:t>Cousot, P.; Cousot, R. Abstract Interpretation: A Unified Lattice Model for Static Analysis of Programs by Construction or Approximation of Fixpoints. POPL 1977, 238-252. DOI 10.1145/512950.512973.</w:t>
            </w:r>
          </w:p>
        </w:tc>
      </w:tr>
      <w:tr>
        <w:tc>
          <w:tcPr>
            <w:tcW w:type="dxa" w:w="1587"/>
            <w:tcMar>
              <w:top w:w="80" w:type="dxa"/>
              <w:start w:w="90" w:type="dxa"/>
              <w:bottom w:w="80" w:type="dxa"/>
              <w:end w:w="90" w:type="dxa"/>
            </w:tcMar>
            <w:vAlign w:val="center"/>
          </w:tcPr>
          <w:p>
            <w:pPr>
              <w:jc w:val="center"/>
            </w:pPr>
            <w:r>
              <w:rPr>
                <w:rFonts w:ascii="Aptos" w:hAnsi="Aptos"/>
                <w:b w:val="0"/>
                <w:i w:val="0"/>
                <w:sz w:val="14"/>
              </w:rPr>
              <w:t>V0.21-4</w:t>
            </w:r>
          </w:p>
        </w:tc>
        <w:tc>
          <w:tcPr>
            <w:tcW w:type="dxa" w:w="8617"/>
            <w:tcMar>
              <w:top w:w="80" w:type="dxa"/>
              <w:start w:w="90" w:type="dxa"/>
              <w:bottom w:w="80" w:type="dxa"/>
              <w:end w:w="90" w:type="dxa"/>
            </w:tcMar>
            <w:vAlign w:val="center"/>
          </w:tcPr>
          <w:p>
            <w:pPr>
              <w:jc w:val="left"/>
            </w:pPr>
            <w:r>
              <w:rPr>
                <w:rFonts w:ascii="Aptos" w:hAnsi="Aptos"/>
                <w:b w:val="0"/>
                <w:i w:val="0"/>
                <w:sz w:val="14"/>
              </w:rPr>
              <w:t>Cockett, J. R. B.; Lack, S. Restriction Categories I: Categories of Partial Maps. Theoretical Computer Science 270, 223-259 (2002). DOI 10.1016/S0304-3975(00)00382-0.</w:t>
            </w:r>
          </w:p>
        </w:tc>
      </w:tr>
      <w:tr>
        <w:tc>
          <w:tcPr>
            <w:tcW w:type="dxa" w:w="1587"/>
            <w:tcMar>
              <w:top w:w="80" w:type="dxa"/>
              <w:start w:w="90" w:type="dxa"/>
              <w:bottom w:w="80" w:type="dxa"/>
              <w:end w:w="90" w:type="dxa"/>
            </w:tcMar>
            <w:vAlign w:val="center"/>
          </w:tcPr>
          <w:p>
            <w:pPr>
              <w:jc w:val="center"/>
            </w:pPr>
            <w:r>
              <w:rPr>
                <w:rFonts w:ascii="Aptos" w:hAnsi="Aptos"/>
                <w:b w:val="0"/>
                <w:i w:val="0"/>
                <w:sz w:val="14"/>
              </w:rPr>
              <w:t>V0.21-5</w:t>
            </w:r>
          </w:p>
        </w:tc>
        <w:tc>
          <w:tcPr>
            <w:tcW w:type="dxa" w:w="8617"/>
            <w:tcMar>
              <w:top w:w="80" w:type="dxa"/>
              <w:start w:w="90" w:type="dxa"/>
              <w:bottom w:w="80" w:type="dxa"/>
              <w:end w:w="90" w:type="dxa"/>
            </w:tcMar>
            <w:vAlign w:val="center"/>
          </w:tcPr>
          <w:p>
            <w:pPr>
              <w:jc w:val="left"/>
            </w:pPr>
            <w:r>
              <w:rPr>
                <w:rFonts w:ascii="Aptos" w:hAnsi="Aptos"/>
                <w:b w:val="0"/>
                <w:i w:val="0"/>
                <w:sz w:val="14"/>
              </w:rPr>
              <w:t>Necula, G. C. Proof-Carrying Code. POPL 1997, 106-119. DOI 10.1145/263699.263712.</w:t>
            </w:r>
          </w:p>
        </w:tc>
      </w:tr>
      <w:tr>
        <w:tc>
          <w:tcPr>
            <w:tcW w:type="dxa" w:w="1587"/>
            <w:tcMar>
              <w:top w:w="80" w:type="dxa"/>
              <w:start w:w="90" w:type="dxa"/>
              <w:bottom w:w="80" w:type="dxa"/>
              <w:end w:w="90" w:type="dxa"/>
            </w:tcMar>
            <w:vAlign w:val="center"/>
          </w:tcPr>
          <w:p>
            <w:pPr>
              <w:jc w:val="center"/>
            </w:pPr>
            <w:r>
              <w:rPr>
                <w:rFonts w:ascii="Aptos" w:hAnsi="Aptos"/>
                <w:b w:val="0"/>
                <w:i w:val="0"/>
                <w:sz w:val="14"/>
              </w:rPr>
              <w:t>V0.21-6</w:t>
            </w:r>
          </w:p>
        </w:tc>
        <w:tc>
          <w:tcPr>
            <w:tcW w:type="dxa" w:w="8617"/>
            <w:tcMar>
              <w:top w:w="80" w:type="dxa"/>
              <w:start w:w="90" w:type="dxa"/>
              <w:bottom w:w="80" w:type="dxa"/>
              <w:end w:w="90" w:type="dxa"/>
            </w:tcMar>
            <w:vAlign w:val="center"/>
          </w:tcPr>
          <w:p>
            <w:pPr>
              <w:jc w:val="left"/>
            </w:pPr>
            <w:r>
              <w:rPr>
                <w:rFonts w:ascii="Aptos" w:hAnsi="Aptos"/>
                <w:b w:val="0"/>
                <w:i w:val="0"/>
                <w:sz w:val="14"/>
              </w:rPr>
              <w:t>Bonferroni, C. E. Teoria statistica delle classi e calcolo delle probabilità. Firenze: Seeber, 1936.</w:t>
            </w:r>
          </w:p>
        </w:tc>
      </w:tr>
      <w:tr>
        <w:tc>
          <w:tcPr>
            <w:tcW w:type="dxa" w:w="1587"/>
            <w:tcMar>
              <w:top w:w="80" w:type="dxa"/>
              <w:start w:w="90" w:type="dxa"/>
              <w:bottom w:w="80" w:type="dxa"/>
              <w:end w:w="90" w:type="dxa"/>
            </w:tcMar>
            <w:vAlign w:val="center"/>
          </w:tcPr>
          <w:p>
            <w:pPr>
              <w:jc w:val="center"/>
            </w:pPr>
            <w:r>
              <w:rPr>
                <w:rFonts w:ascii="Aptos" w:hAnsi="Aptos"/>
                <w:b w:val="0"/>
                <w:i w:val="0"/>
                <w:sz w:val="14"/>
              </w:rPr>
              <w:t>V0.21-7</w:t>
            </w:r>
          </w:p>
        </w:tc>
        <w:tc>
          <w:tcPr>
            <w:tcW w:type="dxa" w:w="8617"/>
            <w:tcMar>
              <w:top w:w="80" w:type="dxa"/>
              <w:start w:w="90" w:type="dxa"/>
              <w:bottom w:w="80" w:type="dxa"/>
              <w:end w:w="90" w:type="dxa"/>
            </w:tcMar>
            <w:vAlign w:val="center"/>
          </w:tcPr>
          <w:p>
            <w:pPr>
              <w:jc w:val="left"/>
            </w:pPr>
            <w:r>
              <w:rPr>
                <w:rFonts w:ascii="Aptos" w:hAnsi="Aptos"/>
                <w:b w:val="0"/>
                <w:i w:val="0"/>
                <w:sz w:val="14"/>
              </w:rPr>
              <w:t>Ville, J. Étude critique de la notion de collectif. Paris: Gauthier-Villars, 1939.</w:t>
            </w:r>
          </w:p>
        </w:tc>
      </w:tr>
      <w:tr>
        <w:tc>
          <w:tcPr>
            <w:tcW w:type="dxa" w:w="1587"/>
            <w:tcMar>
              <w:top w:w="80" w:type="dxa"/>
              <w:start w:w="90" w:type="dxa"/>
              <w:bottom w:w="80" w:type="dxa"/>
              <w:end w:w="90" w:type="dxa"/>
            </w:tcMar>
            <w:vAlign w:val="center"/>
          </w:tcPr>
          <w:p>
            <w:pPr>
              <w:jc w:val="center"/>
            </w:pPr>
            <w:r>
              <w:rPr>
                <w:rFonts w:ascii="Aptos" w:hAnsi="Aptos"/>
                <w:b w:val="0"/>
                <w:i w:val="0"/>
                <w:sz w:val="14"/>
              </w:rPr>
              <w:t>V0.21-8</w:t>
            </w:r>
          </w:p>
        </w:tc>
        <w:tc>
          <w:tcPr>
            <w:tcW w:type="dxa" w:w="8617"/>
            <w:tcMar>
              <w:top w:w="80" w:type="dxa"/>
              <w:start w:w="90" w:type="dxa"/>
              <w:bottom w:w="80" w:type="dxa"/>
              <w:end w:w="90" w:type="dxa"/>
            </w:tcMar>
            <w:vAlign w:val="center"/>
          </w:tcPr>
          <w:p>
            <w:pPr>
              <w:jc w:val="left"/>
            </w:pPr>
            <w:r>
              <w:rPr>
                <w:rFonts w:ascii="Aptos" w:hAnsi="Aptos"/>
                <w:b w:val="0"/>
                <w:i w:val="0"/>
                <w:sz w:val="14"/>
              </w:rPr>
              <w:t>Howard, S. R.; Ramdas, A.; McAuliffe, J.; Sekhon, J. Time-uniform Chernoff bounds via nonnegative supermartingales. arXiv:1808.03204; Annals of Statistics publication line.</w:t>
            </w:r>
          </w:p>
        </w:tc>
      </w:tr>
      <w:tr>
        <w:tc>
          <w:tcPr>
            <w:tcW w:type="dxa" w:w="1587"/>
            <w:tcMar>
              <w:top w:w="80" w:type="dxa"/>
              <w:start w:w="90" w:type="dxa"/>
              <w:bottom w:w="80" w:type="dxa"/>
              <w:end w:w="90" w:type="dxa"/>
            </w:tcMar>
            <w:vAlign w:val="center"/>
          </w:tcPr>
          <w:p>
            <w:pPr>
              <w:jc w:val="center"/>
            </w:pPr>
            <w:r>
              <w:rPr>
                <w:rFonts w:ascii="Aptos" w:hAnsi="Aptos"/>
                <w:b w:val="0"/>
                <w:i w:val="0"/>
                <w:sz w:val="14"/>
              </w:rPr>
              <w:t>V0.21-9</w:t>
            </w:r>
          </w:p>
        </w:tc>
        <w:tc>
          <w:tcPr>
            <w:tcW w:type="dxa" w:w="8617"/>
            <w:tcMar>
              <w:top w:w="80" w:type="dxa"/>
              <w:start w:w="90" w:type="dxa"/>
              <w:bottom w:w="80" w:type="dxa"/>
              <w:end w:w="90" w:type="dxa"/>
            </w:tcMar>
            <w:vAlign w:val="center"/>
          </w:tcPr>
          <w:p>
            <w:pPr>
              <w:jc w:val="left"/>
            </w:pPr>
            <w:r>
              <w:rPr>
                <w:rFonts w:ascii="Aptos" w:hAnsi="Aptos"/>
                <w:b w:val="0"/>
                <w:i w:val="0"/>
                <w:sz w:val="14"/>
              </w:rPr>
              <w:t>Vovk, V.; Gammerman, A.; Shafer, G. Algorithmic Learning in a Random World. Springer, 2005. DOI 10.1007/b106715.</w:t>
            </w:r>
          </w:p>
        </w:tc>
      </w:tr>
      <w:tr>
        <w:tc>
          <w:tcPr>
            <w:tcW w:type="dxa" w:w="1587"/>
            <w:tcMar>
              <w:top w:w="80" w:type="dxa"/>
              <w:start w:w="90" w:type="dxa"/>
              <w:bottom w:w="80" w:type="dxa"/>
              <w:end w:w="90" w:type="dxa"/>
            </w:tcMar>
            <w:vAlign w:val="center"/>
          </w:tcPr>
          <w:p>
            <w:pPr>
              <w:jc w:val="center"/>
            </w:pPr>
            <w:r>
              <w:rPr>
                <w:rFonts w:ascii="Aptos" w:hAnsi="Aptos"/>
                <w:b w:val="0"/>
                <w:i w:val="0"/>
                <w:sz w:val="14"/>
              </w:rPr>
              <w:t>V0.21-10</w:t>
            </w:r>
          </w:p>
        </w:tc>
        <w:tc>
          <w:tcPr>
            <w:tcW w:type="dxa" w:w="8617"/>
            <w:tcMar>
              <w:top w:w="80" w:type="dxa"/>
              <w:start w:w="90" w:type="dxa"/>
              <w:bottom w:w="80" w:type="dxa"/>
              <w:end w:w="90" w:type="dxa"/>
            </w:tcMar>
            <w:vAlign w:val="center"/>
          </w:tcPr>
          <w:p>
            <w:pPr>
              <w:jc w:val="left"/>
            </w:pPr>
            <w:r>
              <w:rPr>
                <w:rFonts w:ascii="Aptos" w:hAnsi="Aptos"/>
                <w:b w:val="0"/>
                <w:i w:val="0"/>
                <w:sz w:val="14"/>
              </w:rPr>
              <w:t>Mohajerin Esfahani, P.; Kuhn, D. Data-driven distributionally robust optimization using the Wasserstein metric. Mathematical Programming 171, 115-166 (2018).</w:t>
            </w:r>
          </w:p>
        </w:tc>
      </w:tr>
      <w:tr>
        <w:tc>
          <w:tcPr>
            <w:tcW w:type="dxa" w:w="1587"/>
            <w:tcMar>
              <w:top w:w="80" w:type="dxa"/>
              <w:start w:w="90" w:type="dxa"/>
              <w:bottom w:w="80" w:type="dxa"/>
              <w:end w:w="90" w:type="dxa"/>
            </w:tcMar>
            <w:vAlign w:val="center"/>
          </w:tcPr>
          <w:p>
            <w:pPr>
              <w:jc w:val="center"/>
            </w:pPr>
            <w:r>
              <w:rPr>
                <w:rFonts w:ascii="Aptos" w:hAnsi="Aptos"/>
                <w:b w:val="0"/>
                <w:i w:val="0"/>
                <w:sz w:val="14"/>
              </w:rPr>
              <w:t>V0.21-11</w:t>
            </w:r>
          </w:p>
        </w:tc>
        <w:tc>
          <w:tcPr>
            <w:tcW w:type="dxa" w:w="8617"/>
            <w:tcMar>
              <w:top w:w="80" w:type="dxa"/>
              <w:start w:w="90" w:type="dxa"/>
              <w:bottom w:w="80" w:type="dxa"/>
              <w:end w:w="90" w:type="dxa"/>
            </w:tcMar>
            <w:vAlign w:val="center"/>
          </w:tcPr>
          <w:p>
            <w:pPr>
              <w:jc w:val="left"/>
            </w:pPr>
            <w:r>
              <w:rPr>
                <w:rFonts w:ascii="Aptos" w:hAnsi="Aptos"/>
                <w:b w:val="0"/>
                <w:i w:val="0"/>
                <w:sz w:val="14"/>
              </w:rPr>
              <w:t>Kurpishev, I. B. Том I v197 RU; Том II T2-RP-v0.1-v0.20. Внутренний авторский корпус и proof ledgers. Граница новизны: «сертифицированная частичная категория» в настоящем тексте является авторским прикладным синтезом над классическими идеями partial maps, contracts и proof-carrying computation; её нельзя представлять как замену соответствующих общих теорий без отдельной сравнительной статьи и формальной эквивалентности.</w:t>
            </w:r>
          </w:p>
        </w:tc>
      </w:tr>
      <w:tr>
        <w:tc>
          <w:tcPr>
            <w:tcW w:type="dxa" w:w="1587"/>
            <w:tcMar>
              <w:top w:w="80" w:type="dxa"/>
              <w:start w:w="90" w:type="dxa"/>
              <w:bottom w:w="80" w:type="dxa"/>
              <w:end w:w="90" w:type="dxa"/>
            </w:tcMar>
            <w:vAlign w:val="center"/>
          </w:tcPr>
          <w:p>
            <w:pPr>
              <w:jc w:val="center"/>
            </w:pPr>
            <w:r>
              <w:rPr>
                <w:rFonts w:ascii="Aptos" w:hAnsi="Aptos"/>
                <w:b w:val="0"/>
                <w:i w:val="0"/>
                <w:sz w:val="14"/>
              </w:rPr>
              <w:t>CORE-01</w:t>
            </w:r>
          </w:p>
        </w:tc>
        <w:tc>
          <w:tcPr>
            <w:tcW w:type="dxa" w:w="8617"/>
            <w:tcMar>
              <w:top w:w="80" w:type="dxa"/>
              <w:start w:w="90" w:type="dxa"/>
              <w:bottom w:w="80" w:type="dxa"/>
              <w:end w:w="90" w:type="dxa"/>
            </w:tcMar>
            <w:vAlign w:val="center"/>
          </w:tcPr>
          <w:p>
            <w:pPr>
              <w:jc w:val="left"/>
            </w:pPr>
            <w:r>
              <w:rPr>
                <w:rFonts w:ascii="Aptos" w:hAnsi="Aptos"/>
                <w:b w:val="0"/>
                <w:i w:val="0"/>
                <w:sz w:val="14"/>
              </w:rPr>
              <w:t>[S1] Eilenberg, S.; Mac Lane, S. General Theory of Natural Equivalences. Transactions of the AMS 58 (1945), 231-294. DOI 10.1090/S0002-9947-1945-0013131-6.</w:t>
            </w:r>
          </w:p>
        </w:tc>
      </w:tr>
      <w:tr>
        <w:tc>
          <w:tcPr>
            <w:tcW w:type="dxa" w:w="1587"/>
            <w:tcMar>
              <w:top w:w="80" w:type="dxa"/>
              <w:start w:w="90" w:type="dxa"/>
              <w:bottom w:w="80" w:type="dxa"/>
              <w:end w:w="90" w:type="dxa"/>
            </w:tcMar>
            <w:vAlign w:val="center"/>
          </w:tcPr>
          <w:p>
            <w:pPr>
              <w:jc w:val="center"/>
            </w:pPr>
            <w:r>
              <w:rPr>
                <w:rFonts w:ascii="Aptos" w:hAnsi="Aptos"/>
                <w:b w:val="0"/>
                <w:i w:val="0"/>
                <w:sz w:val="14"/>
              </w:rPr>
              <w:t>CORE-02</w:t>
            </w:r>
          </w:p>
        </w:tc>
        <w:tc>
          <w:tcPr>
            <w:tcW w:type="dxa" w:w="8617"/>
            <w:tcMar>
              <w:top w:w="80" w:type="dxa"/>
              <w:start w:w="90" w:type="dxa"/>
              <w:bottom w:w="80" w:type="dxa"/>
              <w:end w:w="90" w:type="dxa"/>
            </w:tcMar>
            <w:vAlign w:val="center"/>
          </w:tcPr>
          <w:p>
            <w:pPr>
              <w:jc w:val="left"/>
            </w:pPr>
            <w:r>
              <w:rPr>
                <w:rFonts w:ascii="Aptos" w:hAnsi="Aptos"/>
                <w:b w:val="0"/>
                <w:i w:val="0"/>
                <w:sz w:val="14"/>
              </w:rPr>
              <w:t>[S2] Mac Lane, S. Categories for the Working Mathematician. 2nd ed. Springer. DOI 10.1007/978-1-4757-4721-8.</w:t>
            </w:r>
          </w:p>
        </w:tc>
      </w:tr>
      <w:tr>
        <w:tc>
          <w:tcPr>
            <w:tcW w:type="dxa" w:w="1587"/>
            <w:tcMar>
              <w:top w:w="80" w:type="dxa"/>
              <w:start w:w="90" w:type="dxa"/>
              <w:bottom w:w="80" w:type="dxa"/>
              <w:end w:w="90" w:type="dxa"/>
            </w:tcMar>
            <w:vAlign w:val="center"/>
          </w:tcPr>
          <w:p>
            <w:pPr>
              <w:jc w:val="center"/>
            </w:pPr>
            <w:r>
              <w:rPr>
                <w:rFonts w:ascii="Aptos" w:hAnsi="Aptos"/>
                <w:b w:val="0"/>
                <w:i w:val="0"/>
                <w:sz w:val="14"/>
              </w:rPr>
              <w:t>CORE-03</w:t>
            </w:r>
          </w:p>
        </w:tc>
        <w:tc>
          <w:tcPr>
            <w:tcW w:type="dxa" w:w="8617"/>
            <w:tcMar>
              <w:top w:w="80" w:type="dxa"/>
              <w:start w:w="90" w:type="dxa"/>
              <w:bottom w:w="80" w:type="dxa"/>
              <w:end w:w="90" w:type="dxa"/>
            </w:tcMar>
            <w:vAlign w:val="center"/>
          </w:tcPr>
          <w:p>
            <w:pPr>
              <w:jc w:val="left"/>
            </w:pPr>
            <w:r>
              <w:rPr>
                <w:rFonts w:ascii="Aptos" w:hAnsi="Aptos"/>
                <w:b w:val="0"/>
                <w:i w:val="0"/>
                <w:sz w:val="14"/>
              </w:rPr>
              <w:t>[S3] Gerstenhaber, M. On the Deformation of Rings and Algebras. Annals of Mathematics 79 (1964), 59-103. DOI 10.2307/1970484.</w:t>
            </w:r>
          </w:p>
        </w:tc>
      </w:tr>
      <w:tr>
        <w:tc>
          <w:tcPr>
            <w:tcW w:type="dxa" w:w="1587"/>
            <w:tcMar>
              <w:top w:w="80" w:type="dxa"/>
              <w:start w:w="90" w:type="dxa"/>
              <w:bottom w:w="80" w:type="dxa"/>
              <w:end w:w="90" w:type="dxa"/>
            </w:tcMar>
            <w:vAlign w:val="center"/>
          </w:tcPr>
          <w:p>
            <w:pPr>
              <w:jc w:val="center"/>
            </w:pPr>
            <w:r>
              <w:rPr>
                <w:rFonts w:ascii="Aptos" w:hAnsi="Aptos"/>
                <w:b w:val="0"/>
                <w:i w:val="0"/>
                <w:sz w:val="14"/>
              </w:rPr>
              <w:t>CORE-04</w:t>
            </w:r>
          </w:p>
        </w:tc>
        <w:tc>
          <w:tcPr>
            <w:tcW w:type="dxa" w:w="8617"/>
            <w:tcMar>
              <w:top w:w="80" w:type="dxa"/>
              <w:start w:w="90" w:type="dxa"/>
              <w:bottom w:w="80" w:type="dxa"/>
              <w:end w:w="90" w:type="dxa"/>
            </w:tcMar>
            <w:vAlign w:val="center"/>
          </w:tcPr>
          <w:p>
            <w:pPr>
              <w:jc w:val="left"/>
            </w:pPr>
            <w:r>
              <w:rPr>
                <w:rFonts w:ascii="Aptos" w:hAnsi="Aptos"/>
                <w:b w:val="0"/>
                <w:i w:val="0"/>
                <w:sz w:val="14"/>
              </w:rPr>
              <w:t>[S4] Veblen, O.; Young, J. W. Projective Geometry. Vol. I. Ginn, 1910.</w:t>
            </w:r>
          </w:p>
        </w:tc>
      </w:tr>
      <w:tr>
        <w:tc>
          <w:tcPr>
            <w:tcW w:type="dxa" w:w="1587"/>
            <w:tcMar>
              <w:top w:w="80" w:type="dxa"/>
              <w:start w:w="90" w:type="dxa"/>
              <w:bottom w:w="80" w:type="dxa"/>
              <w:end w:w="90" w:type="dxa"/>
            </w:tcMar>
            <w:vAlign w:val="center"/>
          </w:tcPr>
          <w:p>
            <w:pPr>
              <w:jc w:val="center"/>
            </w:pPr>
            <w:r>
              <w:rPr>
                <w:rFonts w:ascii="Aptos" w:hAnsi="Aptos"/>
                <w:b w:val="0"/>
                <w:i w:val="0"/>
                <w:sz w:val="14"/>
              </w:rPr>
              <w:t>CORE-05</w:t>
            </w:r>
          </w:p>
        </w:tc>
        <w:tc>
          <w:tcPr>
            <w:tcW w:type="dxa" w:w="8617"/>
            <w:tcMar>
              <w:top w:w="80" w:type="dxa"/>
              <w:start w:w="90" w:type="dxa"/>
              <w:bottom w:w="80" w:type="dxa"/>
              <w:end w:w="90" w:type="dxa"/>
            </w:tcMar>
            <w:vAlign w:val="center"/>
          </w:tcPr>
          <w:p>
            <w:pPr>
              <w:jc w:val="left"/>
            </w:pPr>
            <w:r>
              <w:rPr>
                <w:rFonts w:ascii="Aptos" w:hAnsi="Aptos"/>
                <w:b w:val="0"/>
                <w:i w:val="0"/>
                <w:sz w:val="14"/>
              </w:rPr>
              <w:t>[S5] Kurpishev, I. B. Basic KLT-RBD Project. Volume I. Edition v197 RU. §§26.5, 52.9-52.18. 2026.</w:t>
            </w:r>
          </w:p>
        </w:tc>
      </w:tr>
      <w:tr>
        <w:tc>
          <w:tcPr>
            <w:tcW w:type="dxa" w:w="1587"/>
            <w:tcMar>
              <w:top w:w="80" w:type="dxa"/>
              <w:start w:w="90" w:type="dxa"/>
              <w:bottom w:w="80" w:type="dxa"/>
              <w:end w:w="90" w:type="dxa"/>
            </w:tcMar>
            <w:vAlign w:val="center"/>
          </w:tcPr>
          <w:p>
            <w:pPr>
              <w:jc w:val="center"/>
            </w:pPr>
            <w:r>
              <w:rPr>
                <w:rFonts w:ascii="Aptos" w:hAnsi="Aptos"/>
                <w:b w:val="0"/>
                <w:i w:val="0"/>
                <w:sz w:val="14"/>
              </w:rPr>
              <w:t>CORE-06</w:t>
            </w:r>
          </w:p>
        </w:tc>
        <w:tc>
          <w:tcPr>
            <w:tcW w:type="dxa" w:w="8617"/>
            <w:tcMar>
              <w:top w:w="80" w:type="dxa"/>
              <w:start w:w="90" w:type="dxa"/>
              <w:bottom w:w="80" w:type="dxa"/>
              <w:end w:w="90" w:type="dxa"/>
            </w:tcMar>
            <w:vAlign w:val="center"/>
          </w:tcPr>
          <w:p>
            <w:pPr>
              <w:jc w:val="left"/>
            </w:pPr>
            <w:r>
              <w:rPr>
                <w:rFonts w:ascii="Aptos" w:hAnsi="Aptos"/>
                <w:b w:val="0"/>
                <w:i w:val="0"/>
                <w:sz w:val="14"/>
              </w:rPr>
              <w:t>[S6] Kurpishev, I. B. Reper-Projective Architecture of Formula Chains: PILOT-01. 2026.</w:t>
            </w:r>
          </w:p>
        </w:tc>
      </w:tr>
      <w:tr>
        <w:tc>
          <w:tcPr>
            <w:tcW w:type="dxa" w:w="1587"/>
            <w:tcMar>
              <w:top w:w="80" w:type="dxa"/>
              <w:start w:w="90" w:type="dxa"/>
              <w:bottom w:w="80" w:type="dxa"/>
              <w:end w:w="90" w:type="dxa"/>
            </w:tcMar>
            <w:vAlign w:val="center"/>
          </w:tcPr>
          <w:p>
            <w:pPr>
              <w:jc w:val="center"/>
            </w:pPr>
            <w:r>
              <w:rPr>
                <w:rFonts w:ascii="Aptos" w:hAnsi="Aptos"/>
                <w:b w:val="0"/>
                <w:i w:val="0"/>
                <w:sz w:val="14"/>
              </w:rPr>
              <w:t>CORE-07</w:t>
            </w:r>
          </w:p>
        </w:tc>
        <w:tc>
          <w:tcPr>
            <w:tcW w:type="dxa" w:w="8617"/>
            <w:tcMar>
              <w:top w:w="80" w:type="dxa"/>
              <w:start w:w="90" w:type="dxa"/>
              <w:bottom w:w="80" w:type="dxa"/>
              <w:end w:w="90" w:type="dxa"/>
            </w:tcMar>
            <w:vAlign w:val="center"/>
          </w:tcPr>
          <w:p>
            <w:pPr>
              <w:jc w:val="left"/>
            </w:pPr>
            <w:r>
              <w:rPr>
                <w:rFonts w:ascii="Aptos" w:hAnsi="Aptos"/>
                <w:b w:val="0"/>
                <w:i w:val="0"/>
                <w:sz w:val="14"/>
              </w:rPr>
              <w:t>[S7] Kurpishev, I. B. Kurpishev’s Theory of Stratified Time: Associator Rigidity and Nonassociative Packet Geometry. Canonical SIGMA corpus of the project, 2026.</w:t>
            </w:r>
          </w:p>
        </w:tc>
      </w:tr>
      <w:tr>
        <w:tc>
          <w:tcPr>
            <w:tcW w:type="dxa" w:w="1587"/>
            <w:tcMar>
              <w:top w:w="80" w:type="dxa"/>
              <w:start w:w="90" w:type="dxa"/>
              <w:bottom w:w="80" w:type="dxa"/>
              <w:end w:w="90" w:type="dxa"/>
            </w:tcMar>
            <w:vAlign w:val="center"/>
          </w:tcPr>
          <w:p>
            <w:pPr>
              <w:jc w:val="center"/>
            </w:pPr>
            <w:r>
              <w:rPr>
                <w:rFonts w:ascii="Aptos" w:hAnsi="Aptos"/>
                <w:b w:val="0"/>
                <w:i w:val="0"/>
                <w:sz w:val="14"/>
              </w:rPr>
              <w:t>CORE-08</w:t>
            </w:r>
          </w:p>
        </w:tc>
        <w:tc>
          <w:tcPr>
            <w:tcW w:type="dxa" w:w="8617"/>
            <w:tcMar>
              <w:top w:w="80" w:type="dxa"/>
              <w:start w:w="90" w:type="dxa"/>
              <w:bottom w:w="80" w:type="dxa"/>
              <w:end w:w="90" w:type="dxa"/>
            </w:tcMar>
            <w:vAlign w:val="center"/>
          </w:tcPr>
          <w:p>
            <w:pPr>
              <w:jc w:val="left"/>
            </w:pPr>
            <w:r>
              <w:rPr>
                <w:rFonts w:ascii="Aptos" w:hAnsi="Aptos"/>
                <w:b w:val="0"/>
                <w:i w:val="0"/>
                <w:sz w:val="14"/>
              </w:rPr>
              <w:t>[1] Schafer, R. D. Structure and Representation of Nonassociative Algebras. Bulletin of the American Mathematical Society 61 (1955), 469-484.</w:t>
            </w:r>
          </w:p>
        </w:tc>
      </w:tr>
      <w:tr>
        <w:tc>
          <w:tcPr>
            <w:tcW w:type="dxa" w:w="1587"/>
            <w:tcMar>
              <w:top w:w="80" w:type="dxa"/>
              <w:start w:w="90" w:type="dxa"/>
              <w:bottom w:w="80" w:type="dxa"/>
              <w:end w:w="90" w:type="dxa"/>
            </w:tcMar>
            <w:vAlign w:val="center"/>
          </w:tcPr>
          <w:p>
            <w:pPr>
              <w:jc w:val="center"/>
            </w:pPr>
            <w:r>
              <w:rPr>
                <w:rFonts w:ascii="Aptos" w:hAnsi="Aptos"/>
                <w:b w:val="0"/>
                <w:i w:val="0"/>
                <w:sz w:val="14"/>
              </w:rPr>
              <w:t>CORE-09</w:t>
            </w:r>
          </w:p>
        </w:tc>
        <w:tc>
          <w:tcPr>
            <w:tcW w:type="dxa" w:w="8617"/>
            <w:tcMar>
              <w:top w:w="80" w:type="dxa"/>
              <w:start w:w="90" w:type="dxa"/>
              <w:bottom w:w="80" w:type="dxa"/>
              <w:end w:w="90" w:type="dxa"/>
            </w:tcMar>
            <w:vAlign w:val="center"/>
          </w:tcPr>
          <w:p>
            <w:pPr>
              <w:jc w:val="left"/>
            </w:pPr>
            <w:r>
              <w:rPr>
                <w:rFonts w:ascii="Aptos" w:hAnsi="Aptos"/>
                <w:b w:val="0"/>
                <w:i w:val="0"/>
                <w:sz w:val="14"/>
              </w:rPr>
              <w:t>[2] Baez, J. C. The Octonions. Bulletin of the American Mathematical Society 39 (2002), 145-205; arXiv:math/0105155.</w:t>
            </w:r>
          </w:p>
        </w:tc>
      </w:tr>
      <w:tr>
        <w:tc>
          <w:tcPr>
            <w:tcW w:type="dxa" w:w="1587"/>
            <w:tcMar>
              <w:top w:w="80" w:type="dxa"/>
              <w:start w:w="90" w:type="dxa"/>
              <w:bottom w:w="80" w:type="dxa"/>
              <w:end w:w="90" w:type="dxa"/>
            </w:tcMar>
            <w:vAlign w:val="center"/>
          </w:tcPr>
          <w:p>
            <w:pPr>
              <w:jc w:val="center"/>
            </w:pPr>
            <w:r>
              <w:rPr>
                <w:rFonts w:ascii="Aptos" w:hAnsi="Aptos"/>
                <w:b w:val="0"/>
                <w:i w:val="0"/>
                <w:sz w:val="14"/>
              </w:rPr>
              <w:t>CORE-10</w:t>
            </w:r>
          </w:p>
        </w:tc>
        <w:tc>
          <w:tcPr>
            <w:tcW w:type="dxa" w:w="8617"/>
            <w:tcMar>
              <w:top w:w="80" w:type="dxa"/>
              <w:start w:w="90" w:type="dxa"/>
              <w:bottom w:w="80" w:type="dxa"/>
              <w:end w:w="90" w:type="dxa"/>
            </w:tcMar>
            <w:vAlign w:val="center"/>
          </w:tcPr>
          <w:p>
            <w:pPr>
              <w:jc w:val="left"/>
            </w:pPr>
            <w:r>
              <w:rPr>
                <w:rFonts w:ascii="Aptos" w:hAnsi="Aptos"/>
                <w:b w:val="0"/>
                <w:i w:val="0"/>
                <w:sz w:val="14"/>
              </w:rPr>
              <w:t>[3] Glassman, N. D. Cohomologicaly of Nonassociative Algebras. Pacific Journal of Mathematics 33 (1970), 617-631.</w:t>
            </w:r>
          </w:p>
        </w:tc>
      </w:tr>
      <w:tr>
        <w:tc>
          <w:tcPr>
            <w:tcW w:type="dxa" w:w="1587"/>
            <w:tcMar>
              <w:top w:w="80" w:type="dxa"/>
              <w:start w:w="90" w:type="dxa"/>
              <w:bottom w:w="80" w:type="dxa"/>
              <w:end w:w="90" w:type="dxa"/>
            </w:tcMar>
            <w:vAlign w:val="center"/>
          </w:tcPr>
          <w:p>
            <w:pPr>
              <w:jc w:val="center"/>
            </w:pPr>
            <w:r>
              <w:rPr>
                <w:rFonts w:ascii="Aptos" w:hAnsi="Aptos"/>
                <w:b w:val="0"/>
                <w:i w:val="0"/>
                <w:sz w:val="14"/>
              </w:rPr>
              <w:t>CORE-11</w:t>
            </w:r>
          </w:p>
        </w:tc>
        <w:tc>
          <w:tcPr>
            <w:tcW w:type="dxa" w:w="8617"/>
            <w:tcMar>
              <w:top w:w="80" w:type="dxa"/>
              <w:start w:w="90" w:type="dxa"/>
              <w:bottom w:w="80" w:type="dxa"/>
              <w:end w:w="90" w:type="dxa"/>
            </w:tcMar>
            <w:vAlign w:val="center"/>
          </w:tcPr>
          <w:p>
            <w:pPr>
              <w:jc w:val="left"/>
            </w:pPr>
            <w:r>
              <w:rPr>
                <w:rFonts w:ascii="Aptos" w:hAnsi="Aptos"/>
                <w:b w:val="0"/>
                <w:i w:val="0"/>
                <w:sz w:val="14"/>
              </w:rPr>
              <w:t>[4] Salzmann, H. et al. The Role of Nonassociative Algebra in Projective Geometry. Graduate Studies in Mathematics 159, AMS, 2014.</w:t>
            </w:r>
          </w:p>
        </w:tc>
      </w:tr>
      <w:tr>
        <w:tc>
          <w:tcPr>
            <w:tcW w:type="dxa" w:w="1587"/>
            <w:tcMar>
              <w:top w:w="80" w:type="dxa"/>
              <w:start w:w="90" w:type="dxa"/>
              <w:bottom w:w="80" w:type="dxa"/>
              <w:end w:w="90" w:type="dxa"/>
            </w:tcMar>
            <w:vAlign w:val="center"/>
          </w:tcPr>
          <w:p>
            <w:pPr>
              <w:jc w:val="center"/>
            </w:pPr>
            <w:r>
              <w:rPr>
                <w:rFonts w:ascii="Aptos" w:hAnsi="Aptos"/>
                <w:b w:val="0"/>
                <w:i w:val="0"/>
                <w:sz w:val="14"/>
              </w:rPr>
              <w:t>CORE-12</w:t>
            </w:r>
          </w:p>
        </w:tc>
        <w:tc>
          <w:tcPr>
            <w:tcW w:type="dxa" w:w="8617"/>
            <w:tcMar>
              <w:top w:w="80" w:type="dxa"/>
              <w:start w:w="90" w:type="dxa"/>
              <w:bottom w:w="80" w:type="dxa"/>
              <w:end w:w="90" w:type="dxa"/>
            </w:tcMar>
            <w:vAlign w:val="center"/>
          </w:tcPr>
          <w:p>
            <w:pPr>
              <w:jc w:val="left"/>
            </w:pPr>
            <w:r>
              <w:rPr>
                <w:rFonts w:ascii="Aptos" w:hAnsi="Aptos"/>
                <w:b w:val="0"/>
                <w:i w:val="0"/>
                <w:sz w:val="14"/>
              </w:rPr>
              <w:t>[5] Kaygorodov, I. Non-associative Algebraic Structures: Classification and Structure. arXiv:2306.00425, revised 2023.</w:t>
            </w:r>
          </w:p>
        </w:tc>
      </w:tr>
      <w:tr>
        <w:tc>
          <w:tcPr>
            <w:tcW w:type="dxa" w:w="1587"/>
            <w:tcMar>
              <w:top w:w="80" w:type="dxa"/>
              <w:start w:w="90" w:type="dxa"/>
              <w:bottom w:w="80" w:type="dxa"/>
              <w:end w:w="90" w:type="dxa"/>
            </w:tcMar>
            <w:vAlign w:val="center"/>
          </w:tcPr>
          <w:p>
            <w:pPr>
              <w:jc w:val="center"/>
            </w:pPr>
            <w:r>
              <w:rPr>
                <w:rFonts w:ascii="Aptos" w:hAnsi="Aptos"/>
                <w:b w:val="0"/>
                <w:i w:val="0"/>
                <w:sz w:val="14"/>
              </w:rPr>
              <w:t>CORE-13</w:t>
            </w:r>
          </w:p>
        </w:tc>
        <w:tc>
          <w:tcPr>
            <w:tcW w:type="dxa" w:w="8617"/>
            <w:tcMar>
              <w:top w:w="80" w:type="dxa"/>
              <w:start w:w="90" w:type="dxa"/>
              <w:bottom w:w="80" w:type="dxa"/>
              <w:end w:w="90" w:type="dxa"/>
            </w:tcMar>
            <w:vAlign w:val="center"/>
          </w:tcPr>
          <w:p>
            <w:pPr>
              <w:jc w:val="left"/>
            </w:pPr>
            <w:r>
              <w:rPr>
                <w:rFonts w:ascii="Aptos" w:hAnsi="Aptos"/>
                <w:b w:val="0"/>
                <w:i w:val="0"/>
                <w:sz w:val="14"/>
              </w:rPr>
              <w:t>[6] Kurpishev, I. B. Volume I v197 RU and T2-RP-v0.2: canonical internal sources of this edition.</w:t>
            </w:r>
          </w:p>
        </w:tc>
      </w:tr>
    </w:tbl>
    <w:p>
      <w:pPr>
        <w:pStyle w:val="Heading2"/>
        <w:keepNext/>
      </w:pPr>
      <w:r>
        <w:rPr>
          <w:rFonts w:ascii="Aptos" w:hAnsi="Aptos"/>
          <w:b/>
          <w:i w:val="0"/>
          <w:color w:val="1F4E78"/>
          <w:sz w:val="24"/>
        </w:rPr>
        <w:t>7. Source-Card Hash Ledger</w:t>
      </w:r>
    </w:p>
    <w:tbl>
      <w:tblPr>
        <w:tblStyle w:val="TableGrid"/>
        <w:tblW w:type="auto" w:w="0"/>
        <w:jc w:val="center"/>
        <w:tblLayout w:type="fixed"/>
        <w:tblLook w:firstColumn="1" w:firstRow="1" w:lastColumn="0" w:lastRow="0" w:noHBand="0" w:noVBand="1" w:val="04A0"/>
      </w:tblPr>
      <w:tblGrid>
        <w:gridCol w:w="1996"/>
        <w:gridCol w:w="1996"/>
        <w:gridCol w:w="1996"/>
        <w:gridCol w:w="1996"/>
        <w:gridCol w:w="1996"/>
      </w:tblGrid>
      <w:tr>
        <w:trPr>
          <w:tblHeader w:val="true"/>
        </w:trPr>
        <w:tc>
          <w:tcPr>
            <w:tcW w:type="dxa" w:w="1417"/>
            <w:shd w:fill="1F4E78"/>
            <w:tcMar>
              <w:top w:w="80" w:type="dxa"/>
              <w:start w:w="90" w:type="dxa"/>
              <w:bottom w:w="80" w:type="dxa"/>
              <w:end w:w="90" w:type="dxa"/>
            </w:tcMar>
            <w:vAlign w:val="center"/>
          </w:tcPr>
          <w:p>
            <w:pPr>
              <w:jc w:val="center"/>
            </w:pPr>
            <w:r>
              <w:rPr>
                <w:rFonts w:ascii="Aptos" w:hAnsi="Aptos"/>
                <w:b/>
                <w:i w:val="0"/>
                <w:color w:val="FFFFFF"/>
                <w:sz w:val="13"/>
              </w:rPr>
              <w:t>Card</w:t>
            </w:r>
          </w:p>
        </w:tc>
        <w:tc>
          <w:tcPr>
            <w:tcW w:type="dxa" w:w="2438"/>
            <w:shd w:fill="1F4E78"/>
            <w:tcMar>
              <w:top w:w="80" w:type="dxa"/>
              <w:start w:w="90" w:type="dxa"/>
              <w:bottom w:w="80" w:type="dxa"/>
              <w:end w:w="90" w:type="dxa"/>
            </w:tcMar>
            <w:vAlign w:val="center"/>
          </w:tcPr>
          <w:p>
            <w:pPr>
              <w:jc w:val="center"/>
            </w:pPr>
            <w:r>
              <w:rPr>
                <w:rFonts w:ascii="Aptos" w:hAnsi="Aptos"/>
                <w:b/>
                <w:i w:val="0"/>
                <w:color w:val="FFFFFF"/>
                <w:sz w:val="13"/>
              </w:rPr>
              <w:t>File</w:t>
            </w:r>
          </w:p>
        </w:tc>
        <w:tc>
          <w:tcPr>
            <w:tcW w:type="dxa" w:w="1247"/>
            <w:shd w:fill="1F4E78"/>
            <w:tcMar>
              <w:top w:w="80" w:type="dxa"/>
              <w:start w:w="90" w:type="dxa"/>
              <w:bottom w:w="80" w:type="dxa"/>
              <w:end w:w="90" w:type="dxa"/>
            </w:tcMar>
            <w:vAlign w:val="center"/>
          </w:tcPr>
          <w:p>
            <w:pPr>
              <w:jc w:val="center"/>
            </w:pPr>
            <w:r>
              <w:rPr>
                <w:rFonts w:ascii="Aptos" w:hAnsi="Aptos"/>
                <w:b/>
                <w:i w:val="0"/>
                <w:color w:val="FFFFFF"/>
                <w:sz w:val="13"/>
              </w:rPr>
              <w:t>Bytes</w:t>
            </w:r>
          </w:p>
        </w:tc>
        <w:tc>
          <w:tcPr>
            <w:tcW w:type="dxa" w:w="3685"/>
            <w:shd w:fill="1F4E78"/>
            <w:tcMar>
              <w:top w:w="80" w:type="dxa"/>
              <w:start w:w="90" w:type="dxa"/>
              <w:bottom w:w="80" w:type="dxa"/>
              <w:end w:w="90" w:type="dxa"/>
            </w:tcMar>
            <w:vAlign w:val="center"/>
          </w:tcPr>
          <w:p>
            <w:pPr>
              <w:jc w:val="center"/>
            </w:pPr>
            <w:r>
              <w:rPr>
                <w:rFonts w:ascii="Aptos" w:hAnsi="Aptos"/>
                <w:b/>
                <w:i w:val="0"/>
                <w:color w:val="FFFFFF"/>
                <w:sz w:val="13"/>
              </w:rPr>
              <w:t>SHA-256</w:t>
            </w:r>
          </w:p>
        </w:tc>
        <w:tc>
          <w:tcPr>
            <w:tcW w:type="dxa" w:w="2154"/>
            <w:shd w:fill="1F4E78"/>
            <w:tcMar>
              <w:top w:w="80" w:type="dxa"/>
              <w:start w:w="90" w:type="dxa"/>
              <w:bottom w:w="80" w:type="dxa"/>
              <w:end w:w="90" w:type="dxa"/>
            </w:tcMar>
            <w:vAlign w:val="center"/>
          </w:tcPr>
          <w:p>
            <w:pPr>
              <w:jc w:val="center"/>
            </w:pPr>
            <w:r>
              <w:rPr>
                <w:rFonts w:ascii="Aptos" w:hAnsi="Aptos"/>
                <w:b/>
                <w:i w:val="0"/>
                <w:color w:val="FFFFFF"/>
                <w:sz w:val="13"/>
              </w:rPr>
              <w:t>Role</w:t>
            </w:r>
          </w:p>
        </w:tc>
      </w:tr>
      <w:tr>
        <w:tc>
          <w:tcPr>
            <w:tcW w:type="dxa" w:w="1417"/>
            <w:tcMar>
              <w:top w:w="80" w:type="dxa"/>
              <w:start w:w="90" w:type="dxa"/>
              <w:bottom w:w="80" w:type="dxa"/>
              <w:end w:w="90" w:type="dxa"/>
            </w:tcMar>
            <w:vAlign w:val="center"/>
          </w:tcPr>
          <w:p>
            <w:pPr>
              <w:jc w:val="center"/>
            </w:pPr>
            <w:r>
              <w:rPr>
                <w:rFonts w:ascii="Aptos" w:hAnsi="Aptos"/>
                <w:b w:val="0"/>
                <w:i w:val="0"/>
                <w:sz w:val="13"/>
              </w:rPr>
              <w:t>T2-RU-DOCX</w:t>
            </w:r>
          </w:p>
        </w:tc>
        <w:tc>
          <w:tcPr>
            <w:tcW w:type="dxa" w:w="2438"/>
            <w:tcMar>
              <w:top w:w="80" w:type="dxa"/>
              <w:start w:w="90" w:type="dxa"/>
              <w:bottom w:w="80" w:type="dxa"/>
              <w:end w:w="90" w:type="dxa"/>
            </w:tcMar>
            <w:vAlign w:val="center"/>
          </w:tcPr>
          <w:p>
            <w:pPr>
              <w:jc w:val="center"/>
            </w:pPr>
            <w:r>
              <w:rPr>
                <w:rFonts w:ascii="Aptos" w:hAnsi="Aptos"/>
                <w:b w:val="0"/>
                <w:i w:val="0"/>
                <w:sz w:val="13"/>
              </w:rPr>
              <w:t>tom2_v1_0(1).docx</w:t>
            </w:r>
          </w:p>
        </w:tc>
        <w:tc>
          <w:tcPr>
            <w:tcW w:type="dxa" w:w="1247"/>
            <w:tcMar>
              <w:top w:w="80" w:type="dxa"/>
              <w:start w:w="90" w:type="dxa"/>
              <w:bottom w:w="80" w:type="dxa"/>
              <w:end w:w="90" w:type="dxa"/>
            </w:tcMar>
            <w:vAlign w:val="center"/>
          </w:tcPr>
          <w:p>
            <w:pPr>
              <w:jc w:val="center"/>
            </w:pPr>
            <w:r>
              <w:rPr>
                <w:rFonts w:ascii="Aptos" w:hAnsi="Aptos"/>
                <w:b w:val="0"/>
                <w:i w:val="0"/>
                <w:sz w:val="13"/>
              </w:rPr>
              <w:t>14468045</w:t>
            </w:r>
          </w:p>
        </w:tc>
        <w:tc>
          <w:tcPr>
            <w:tcW w:type="dxa" w:w="3685"/>
            <w:tcMar>
              <w:top w:w="80" w:type="dxa"/>
              <w:start w:w="90" w:type="dxa"/>
              <w:bottom w:w="80" w:type="dxa"/>
              <w:end w:w="90" w:type="dxa"/>
            </w:tcMar>
            <w:vAlign w:val="center"/>
          </w:tcPr>
          <w:p>
            <w:pPr>
              <w:jc w:val="left"/>
            </w:pPr>
            <w:r>
              <w:rPr>
                <w:rFonts w:ascii="Aptos" w:hAnsi="Aptos"/>
                <w:b w:val="0"/>
                <w:i w:val="0"/>
                <w:sz w:val="13"/>
              </w:rPr>
              <w:t>717336313292e0237474fb33703409bf41092922afd93b9bae803bb50027eec4</w:t>
            </w:r>
          </w:p>
        </w:tc>
        <w:tc>
          <w:tcPr>
            <w:tcW w:type="dxa" w:w="2154"/>
            <w:tcMar>
              <w:top w:w="80" w:type="dxa"/>
              <w:start w:w="90" w:type="dxa"/>
              <w:bottom w:w="80" w:type="dxa"/>
              <w:end w:w="90" w:type="dxa"/>
            </w:tcMar>
            <w:vAlign w:val="center"/>
          </w:tcPr>
          <w:p>
            <w:pPr>
              <w:jc w:val="left"/>
            </w:pPr>
            <w:r>
              <w:rPr>
                <w:rFonts w:ascii="Aptos" w:hAnsi="Aptos"/>
                <w:b w:val="0"/>
                <w:i w:val="0"/>
                <w:sz w:val="13"/>
              </w:rPr>
              <w:t>Frozen Russian editable authority</w:t>
            </w:r>
          </w:p>
        </w:tc>
      </w:tr>
      <w:tr>
        <w:tc>
          <w:tcPr>
            <w:tcW w:type="dxa" w:w="1417"/>
            <w:tcMar>
              <w:top w:w="80" w:type="dxa"/>
              <w:start w:w="90" w:type="dxa"/>
              <w:bottom w:w="80" w:type="dxa"/>
              <w:end w:w="90" w:type="dxa"/>
            </w:tcMar>
            <w:vAlign w:val="center"/>
          </w:tcPr>
          <w:p>
            <w:pPr>
              <w:jc w:val="center"/>
            </w:pPr>
            <w:r>
              <w:rPr>
                <w:rFonts w:ascii="Aptos" w:hAnsi="Aptos"/>
                <w:b w:val="0"/>
                <w:i w:val="0"/>
                <w:sz w:val="13"/>
              </w:rPr>
              <w:t>T2-RU-PDF</w:t>
            </w:r>
          </w:p>
        </w:tc>
        <w:tc>
          <w:tcPr>
            <w:tcW w:type="dxa" w:w="2438"/>
            <w:tcMar>
              <w:top w:w="80" w:type="dxa"/>
              <w:start w:w="90" w:type="dxa"/>
              <w:bottom w:w="80" w:type="dxa"/>
              <w:end w:w="90" w:type="dxa"/>
            </w:tcMar>
            <w:vAlign w:val="center"/>
          </w:tcPr>
          <w:p>
            <w:pPr>
              <w:jc w:val="center"/>
            </w:pPr>
            <w:r>
              <w:rPr>
                <w:rFonts w:ascii="Aptos" w:hAnsi="Aptos"/>
                <w:b w:val="0"/>
                <w:i w:val="0"/>
                <w:sz w:val="13"/>
              </w:rPr>
              <w:t>tom2_v1_0(1).pdf</w:t>
            </w:r>
          </w:p>
        </w:tc>
        <w:tc>
          <w:tcPr>
            <w:tcW w:type="dxa" w:w="1247"/>
            <w:tcMar>
              <w:top w:w="80" w:type="dxa"/>
              <w:start w:w="90" w:type="dxa"/>
              <w:bottom w:w="80" w:type="dxa"/>
              <w:end w:w="90" w:type="dxa"/>
            </w:tcMar>
            <w:vAlign w:val="center"/>
          </w:tcPr>
          <w:p>
            <w:pPr>
              <w:jc w:val="center"/>
            </w:pPr>
            <w:r>
              <w:rPr>
                <w:rFonts w:ascii="Aptos" w:hAnsi="Aptos"/>
                <w:b w:val="0"/>
                <w:i w:val="0"/>
                <w:sz w:val="13"/>
              </w:rPr>
              <w:t>14049188</w:t>
            </w:r>
          </w:p>
        </w:tc>
        <w:tc>
          <w:tcPr>
            <w:tcW w:type="dxa" w:w="3685"/>
            <w:tcMar>
              <w:top w:w="80" w:type="dxa"/>
              <w:start w:w="90" w:type="dxa"/>
              <w:bottom w:w="80" w:type="dxa"/>
              <w:end w:w="90" w:type="dxa"/>
            </w:tcMar>
            <w:vAlign w:val="center"/>
          </w:tcPr>
          <w:p>
            <w:pPr>
              <w:jc w:val="left"/>
            </w:pPr>
            <w:r>
              <w:rPr>
                <w:rFonts w:ascii="Aptos" w:hAnsi="Aptos"/>
                <w:b w:val="0"/>
                <w:i w:val="0"/>
                <w:sz w:val="13"/>
              </w:rPr>
              <w:t>dbbb5552dae7872f18b32c98d8e8584e562b545d20761bd6425c14d38f4db81f</w:t>
            </w:r>
          </w:p>
        </w:tc>
        <w:tc>
          <w:tcPr>
            <w:tcW w:type="dxa" w:w="2154"/>
            <w:tcMar>
              <w:top w:w="80" w:type="dxa"/>
              <w:start w:w="90" w:type="dxa"/>
              <w:bottom w:w="80" w:type="dxa"/>
              <w:end w:w="90" w:type="dxa"/>
            </w:tcMar>
            <w:vAlign w:val="center"/>
          </w:tcPr>
          <w:p>
            <w:pPr>
              <w:jc w:val="left"/>
            </w:pPr>
            <w:r>
              <w:rPr>
                <w:rFonts w:ascii="Aptos" w:hAnsi="Aptos"/>
                <w:b w:val="0"/>
                <w:i w:val="0"/>
                <w:sz w:val="13"/>
              </w:rPr>
              <w:t>Frozen Russian publication authority</w:t>
            </w:r>
          </w:p>
        </w:tc>
      </w:tr>
      <w:tr>
        <w:tc>
          <w:tcPr>
            <w:tcW w:type="dxa" w:w="1417"/>
            <w:tcMar>
              <w:top w:w="80" w:type="dxa"/>
              <w:start w:w="90" w:type="dxa"/>
              <w:bottom w:w="80" w:type="dxa"/>
              <w:end w:w="90" w:type="dxa"/>
            </w:tcMar>
            <w:vAlign w:val="center"/>
          </w:tcPr>
          <w:p>
            <w:pPr>
              <w:jc w:val="center"/>
            </w:pPr>
            <w:r>
              <w:rPr>
                <w:rFonts w:ascii="Aptos" w:hAnsi="Aptos"/>
                <w:b w:val="0"/>
                <w:i w:val="0"/>
                <w:sz w:val="13"/>
              </w:rPr>
              <w:t>T1-EN-FREEZE</w:t>
            </w:r>
          </w:p>
        </w:tc>
        <w:tc>
          <w:tcPr>
            <w:tcW w:type="dxa" w:w="2438"/>
            <w:tcMar>
              <w:top w:w="80" w:type="dxa"/>
              <w:start w:w="90" w:type="dxa"/>
              <w:bottom w:w="80" w:type="dxa"/>
              <w:end w:w="90" w:type="dxa"/>
            </w:tcMar>
            <w:vAlign w:val="center"/>
          </w:tcPr>
          <w:p>
            <w:pPr>
              <w:jc w:val="center"/>
            </w:pPr>
            <w:r>
              <w:rPr>
                <w:rFonts w:ascii="Aptos" w:hAnsi="Aptos"/>
                <w:b w:val="0"/>
                <w:i w:val="0"/>
                <w:sz w:val="13"/>
              </w:rPr>
              <w:t>tom1_en_v1_0.docx</w:t>
            </w:r>
          </w:p>
        </w:tc>
        <w:tc>
          <w:tcPr>
            <w:tcW w:type="dxa" w:w="1247"/>
            <w:tcMar>
              <w:top w:w="80" w:type="dxa"/>
              <w:start w:w="90" w:type="dxa"/>
              <w:bottom w:w="80" w:type="dxa"/>
              <w:end w:w="90" w:type="dxa"/>
            </w:tcMar>
            <w:vAlign w:val="center"/>
          </w:tcPr>
          <w:p>
            <w:pPr>
              <w:jc w:val="center"/>
            </w:pPr>
            <w:r>
              <w:rPr>
                <w:rFonts w:ascii="Aptos" w:hAnsi="Aptos"/>
                <w:b w:val="0"/>
                <w:i w:val="0"/>
                <w:sz w:val="13"/>
              </w:rPr>
              <w:t>4269096</w:t>
            </w:r>
          </w:p>
        </w:tc>
        <w:tc>
          <w:tcPr>
            <w:tcW w:type="dxa" w:w="3685"/>
            <w:tcMar>
              <w:top w:w="80" w:type="dxa"/>
              <w:start w:w="90" w:type="dxa"/>
              <w:bottom w:w="80" w:type="dxa"/>
              <w:end w:w="90" w:type="dxa"/>
            </w:tcMar>
            <w:vAlign w:val="center"/>
          </w:tcPr>
          <w:p>
            <w:pPr>
              <w:jc w:val="left"/>
            </w:pPr>
            <w:r>
              <w:rPr>
                <w:rFonts w:ascii="Aptos" w:hAnsi="Aptos"/>
                <w:b w:val="0"/>
                <w:i w:val="0"/>
                <w:sz w:val="13"/>
              </w:rPr>
              <w:t>c4e792d003ba285dddabe2e1df28678623bba8b854df897bd4bffdafcdffbba5</w:t>
            </w:r>
          </w:p>
        </w:tc>
        <w:tc>
          <w:tcPr>
            <w:tcW w:type="dxa" w:w="2154"/>
            <w:tcMar>
              <w:top w:w="80" w:type="dxa"/>
              <w:start w:w="90" w:type="dxa"/>
              <w:bottom w:w="80" w:type="dxa"/>
              <w:end w:w="90" w:type="dxa"/>
            </w:tcMar>
            <w:vAlign w:val="center"/>
          </w:tcPr>
          <w:p>
            <w:pPr>
              <w:jc w:val="left"/>
            </w:pPr>
            <w:r>
              <w:rPr>
                <w:rFonts w:ascii="Aptos" w:hAnsi="Aptos"/>
                <w:b w:val="0"/>
                <w:i w:val="0"/>
                <w:sz w:val="13"/>
              </w:rPr>
              <w:t>Frozen English Volume I dependency</w:t>
            </w:r>
          </w:p>
        </w:tc>
      </w:tr>
      <w:tr>
        <w:tc>
          <w:tcPr>
            <w:tcW w:type="dxa" w:w="1417"/>
            <w:tcMar>
              <w:top w:w="80" w:type="dxa"/>
              <w:start w:w="90" w:type="dxa"/>
              <w:bottom w:w="80" w:type="dxa"/>
              <w:end w:w="90" w:type="dxa"/>
            </w:tcMar>
            <w:vAlign w:val="center"/>
          </w:tcPr>
          <w:p>
            <w:pPr>
              <w:jc w:val="center"/>
            </w:pPr>
            <w:r>
              <w:rPr>
                <w:rFonts w:ascii="Aptos" w:hAnsi="Aptos"/>
                <w:b w:val="0"/>
                <w:i w:val="0"/>
                <w:sz w:val="13"/>
              </w:rPr>
              <w:t>T2-EN-APP-DOCX</w:t>
            </w:r>
          </w:p>
        </w:tc>
        <w:tc>
          <w:tcPr>
            <w:tcW w:type="dxa" w:w="2438"/>
            <w:tcMar>
              <w:top w:w="80" w:type="dxa"/>
              <w:start w:w="90" w:type="dxa"/>
              <w:bottom w:w="80" w:type="dxa"/>
              <w:end w:w="90" w:type="dxa"/>
            </w:tcMar>
            <w:vAlign w:val="center"/>
          </w:tcPr>
          <w:p>
            <w:pPr>
              <w:jc w:val="center"/>
            </w:pPr>
            <w:r>
              <w:rPr>
                <w:rFonts w:ascii="Aptos" w:hAnsi="Aptos"/>
                <w:b w:val="0"/>
                <w:i w:val="0"/>
                <w:sz w:val="13"/>
              </w:rPr>
              <w:t>tom2_en_v0_6.docx</w:t>
            </w:r>
          </w:p>
        </w:tc>
        <w:tc>
          <w:tcPr>
            <w:tcW w:type="dxa" w:w="1247"/>
            <w:tcMar>
              <w:top w:w="80" w:type="dxa"/>
              <w:start w:w="90" w:type="dxa"/>
              <w:bottom w:w="80" w:type="dxa"/>
              <w:end w:w="90" w:type="dxa"/>
            </w:tcMar>
            <w:vAlign w:val="center"/>
          </w:tcPr>
          <w:p>
            <w:pPr>
              <w:jc w:val="center"/>
            </w:pPr>
            <w:r>
              <w:rPr>
                <w:rFonts w:ascii="Aptos" w:hAnsi="Aptos"/>
                <w:b w:val="0"/>
                <w:i w:val="0"/>
                <w:sz w:val="13"/>
              </w:rPr>
              <w:t>5310623</w:t>
            </w:r>
          </w:p>
        </w:tc>
        <w:tc>
          <w:tcPr>
            <w:tcW w:type="dxa" w:w="3685"/>
            <w:tcMar>
              <w:top w:w="80" w:type="dxa"/>
              <w:start w:w="90" w:type="dxa"/>
              <w:bottom w:w="80" w:type="dxa"/>
              <w:end w:w="90" w:type="dxa"/>
            </w:tcMar>
            <w:vAlign w:val="center"/>
          </w:tcPr>
          <w:p>
            <w:pPr>
              <w:jc w:val="left"/>
            </w:pPr>
            <w:r>
              <w:rPr>
                <w:rFonts w:ascii="Aptos" w:hAnsi="Aptos"/>
                <w:b w:val="0"/>
                <w:i w:val="0"/>
                <w:sz w:val="13"/>
              </w:rPr>
              <w:t>8bccb7773a425ea9c505302ee7692bebbb5cf7b71a3c5814d8001194526d75f6</w:t>
            </w:r>
          </w:p>
        </w:tc>
        <w:tc>
          <w:tcPr>
            <w:tcW w:type="dxa" w:w="2154"/>
            <w:tcMar>
              <w:top w:w="80" w:type="dxa"/>
              <w:start w:w="90" w:type="dxa"/>
              <w:bottom w:w="80" w:type="dxa"/>
              <w:end w:w="90" w:type="dxa"/>
            </w:tcMar>
            <w:vAlign w:val="center"/>
          </w:tcPr>
          <w:p>
            <w:pPr>
              <w:jc w:val="center"/>
            </w:pPr>
            <w:r>
              <w:rPr>
                <w:rFonts w:ascii="Aptos" w:hAnsi="Aptos"/>
                <w:b w:val="0"/>
                <w:i w:val="0"/>
                <w:sz w:val="13"/>
              </w:rPr>
              <w:t>English predecessor</w:t>
            </w:r>
          </w:p>
        </w:tc>
      </w:tr>
      <w:tr>
        <w:tc>
          <w:tcPr>
            <w:tcW w:type="dxa" w:w="1417"/>
            <w:tcMar>
              <w:top w:w="80" w:type="dxa"/>
              <w:start w:w="90" w:type="dxa"/>
              <w:bottom w:w="80" w:type="dxa"/>
              <w:end w:w="90" w:type="dxa"/>
            </w:tcMar>
            <w:vAlign w:val="center"/>
          </w:tcPr>
          <w:p>
            <w:pPr>
              <w:jc w:val="center"/>
            </w:pPr>
            <w:r>
              <w:rPr>
                <w:rFonts w:ascii="Aptos" w:hAnsi="Aptos"/>
                <w:b w:val="0"/>
                <w:i w:val="0"/>
                <w:sz w:val="13"/>
              </w:rPr>
              <w:t>T2-EN-APP-PDF</w:t>
            </w:r>
          </w:p>
        </w:tc>
        <w:tc>
          <w:tcPr>
            <w:tcW w:type="dxa" w:w="2438"/>
            <w:tcMar>
              <w:top w:w="80" w:type="dxa"/>
              <w:start w:w="90" w:type="dxa"/>
              <w:bottom w:w="80" w:type="dxa"/>
              <w:end w:w="90" w:type="dxa"/>
            </w:tcMar>
            <w:vAlign w:val="center"/>
          </w:tcPr>
          <w:p>
            <w:pPr>
              <w:jc w:val="center"/>
            </w:pPr>
            <w:r>
              <w:rPr>
                <w:rFonts w:ascii="Aptos" w:hAnsi="Aptos"/>
                <w:b w:val="0"/>
                <w:i w:val="0"/>
                <w:sz w:val="13"/>
              </w:rPr>
              <w:t>tom2_en_v0_6.pdf</w:t>
            </w:r>
          </w:p>
        </w:tc>
        <w:tc>
          <w:tcPr>
            <w:tcW w:type="dxa" w:w="1247"/>
            <w:tcMar>
              <w:top w:w="80" w:type="dxa"/>
              <w:start w:w="90" w:type="dxa"/>
              <w:bottom w:w="80" w:type="dxa"/>
              <w:end w:w="90" w:type="dxa"/>
            </w:tcMar>
            <w:vAlign w:val="center"/>
          </w:tcPr>
          <w:p>
            <w:pPr>
              <w:jc w:val="center"/>
            </w:pPr>
            <w:r>
              <w:rPr>
                <w:rFonts w:ascii="Aptos" w:hAnsi="Aptos"/>
                <w:b w:val="0"/>
                <w:i w:val="0"/>
                <w:sz w:val="13"/>
              </w:rPr>
              <w:t>11401955</w:t>
            </w:r>
          </w:p>
        </w:tc>
        <w:tc>
          <w:tcPr>
            <w:tcW w:type="dxa" w:w="3685"/>
            <w:tcMar>
              <w:top w:w="80" w:type="dxa"/>
              <w:start w:w="90" w:type="dxa"/>
              <w:bottom w:w="80" w:type="dxa"/>
              <w:end w:w="90" w:type="dxa"/>
            </w:tcMar>
            <w:vAlign w:val="center"/>
          </w:tcPr>
          <w:p>
            <w:pPr>
              <w:jc w:val="left"/>
            </w:pPr>
            <w:r>
              <w:rPr>
                <w:rFonts w:ascii="Aptos" w:hAnsi="Aptos"/>
                <w:b w:val="0"/>
                <w:i w:val="0"/>
                <w:sz w:val="13"/>
              </w:rPr>
              <w:t>cf5e5926d245d44c9520f6f1639cb3d809048e0d1c8067f17297f96acb0ed926</w:t>
            </w:r>
          </w:p>
        </w:tc>
        <w:tc>
          <w:tcPr>
            <w:tcW w:type="dxa" w:w="2154"/>
            <w:tcMar>
              <w:top w:w="80" w:type="dxa"/>
              <w:start w:w="90" w:type="dxa"/>
              <w:bottom w:w="80" w:type="dxa"/>
              <w:end w:w="90" w:type="dxa"/>
            </w:tcMar>
            <w:vAlign w:val="center"/>
          </w:tcPr>
          <w:p>
            <w:pPr>
              <w:jc w:val="center"/>
            </w:pPr>
            <w:r>
              <w:rPr>
                <w:rFonts w:ascii="Aptos" w:hAnsi="Aptos"/>
                <w:b w:val="0"/>
                <w:i w:val="0"/>
                <w:sz w:val="13"/>
              </w:rPr>
              <w:t>Rendered predecessor</w:t>
            </w:r>
          </w:p>
        </w:tc>
      </w:tr>
    </w:tbl>
    <w:p>
      <w:pPr>
        <w:spacing w:after="100" w:line="259" w:lineRule="auto"/>
      </w:pPr>
      <w:r>
        <w:rPr>
          <w:rFonts w:ascii="Aptos" w:hAnsi="Aptos"/>
          <w:b w:val="0"/>
          <w:i w:val="0"/>
          <w:sz w:val="19"/>
        </w:rPr>
        <w:t>Hash equality proves byte identity of the named artifact. It does not prove a theorem, validate a physical model, or replace an independent EXT-RUN.</w:t>
      </w:r>
    </w:p>
    <w:p>
      <w:pPr>
        <w:pStyle w:val="Heading2"/>
        <w:keepNext/>
      </w:pPr>
      <w:r>
        <w:rPr>
          <w:rFonts w:ascii="Aptos" w:hAnsi="Aptos"/>
          <w:b/>
          <w:i w:val="0"/>
          <w:color w:val="1F4E78"/>
          <w:sz w:val="24"/>
        </w:rPr>
        <w:t>8. Global Cross-Reference and Navigation Audit</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trPr>
        <w:tc>
          <w:tcPr>
            <w:tcW w:type="dxa" w:w="1587"/>
            <w:shd w:fill="1F4E78"/>
            <w:tcMar>
              <w:top w:w="80" w:type="dxa"/>
              <w:start w:w="90" w:type="dxa"/>
              <w:bottom w:w="80" w:type="dxa"/>
              <w:end w:w="90" w:type="dxa"/>
            </w:tcMar>
            <w:vAlign w:val="center"/>
          </w:tcPr>
          <w:p>
            <w:pPr>
              <w:jc w:val="center"/>
            </w:pPr>
            <w:r>
              <w:rPr>
                <w:rFonts w:ascii="Aptos" w:hAnsi="Aptos"/>
                <w:b/>
                <w:i w:val="0"/>
                <w:color w:val="FFFFFF"/>
                <w:sz w:val="15"/>
              </w:rPr>
              <w:t>ID</w:t>
            </w:r>
          </w:p>
        </w:tc>
        <w:tc>
          <w:tcPr>
            <w:tcW w:type="dxa" w:w="6803"/>
            <w:shd w:fill="1F4E78"/>
            <w:tcMar>
              <w:top w:w="80" w:type="dxa"/>
              <w:start w:w="90" w:type="dxa"/>
              <w:bottom w:w="80" w:type="dxa"/>
              <w:end w:w="90" w:type="dxa"/>
            </w:tcMar>
            <w:vAlign w:val="center"/>
          </w:tcPr>
          <w:p>
            <w:pPr>
              <w:jc w:val="center"/>
            </w:pPr>
            <w:r>
              <w:rPr>
                <w:rFonts w:ascii="Aptos" w:hAnsi="Aptos"/>
                <w:b/>
                <w:i w:val="0"/>
                <w:color w:val="FFFFFF"/>
                <w:sz w:val="15"/>
              </w:rPr>
              <w:t>Check</w:t>
            </w:r>
          </w:p>
        </w:tc>
        <w:tc>
          <w:tcPr>
            <w:tcW w:type="dxa" w:w="1984"/>
            <w:shd w:fill="1F4E78"/>
            <w:tcMar>
              <w:top w:w="80" w:type="dxa"/>
              <w:start w:w="90" w:type="dxa"/>
              <w:bottom w:w="80" w:type="dxa"/>
              <w:end w:w="90" w:type="dxa"/>
            </w:tcMar>
            <w:vAlign w:val="center"/>
          </w:tcPr>
          <w:p>
            <w:pPr>
              <w:jc w:val="center"/>
            </w:pPr>
            <w:r>
              <w:rPr>
                <w:rFonts w:ascii="Aptos" w:hAnsi="Aptos"/>
                <w:b/>
                <w:i w:val="0"/>
                <w:color w:val="FFFFFF"/>
                <w:sz w:val="15"/>
              </w:rPr>
              <w:t>Verdict</w:t>
            </w:r>
          </w:p>
        </w:tc>
      </w:tr>
      <w:tr>
        <w:tc>
          <w:tcPr>
            <w:tcW w:type="dxa" w:w="1587"/>
            <w:tcMar>
              <w:top w:w="80" w:type="dxa"/>
              <w:start w:w="90" w:type="dxa"/>
              <w:bottom w:w="80" w:type="dxa"/>
              <w:end w:w="90" w:type="dxa"/>
            </w:tcMar>
            <w:vAlign w:val="center"/>
          </w:tcPr>
          <w:p>
            <w:pPr>
              <w:jc w:val="center"/>
            </w:pPr>
            <w:r>
              <w:rPr>
                <w:rFonts w:ascii="Aptos" w:hAnsi="Aptos"/>
                <w:b w:val="0"/>
                <w:i w:val="0"/>
                <w:sz w:val="15"/>
              </w:rPr>
              <w:t>NAV-01</w:t>
            </w:r>
          </w:p>
        </w:tc>
        <w:tc>
          <w:tcPr>
            <w:tcW w:type="dxa" w:w="6803"/>
            <w:tcMar>
              <w:top w:w="80" w:type="dxa"/>
              <w:start w:w="90" w:type="dxa"/>
              <w:bottom w:w="80" w:type="dxa"/>
              <w:end w:w="90" w:type="dxa"/>
            </w:tcMar>
            <w:vAlign w:val="center"/>
          </w:tcPr>
          <w:p>
            <w:pPr>
              <w:jc w:val="left"/>
            </w:pPr>
            <w:r>
              <w:rPr>
                <w:rFonts w:ascii="Aptos" w:hAnsi="Aptos"/>
                <w:b w:val="0"/>
                <w:i w:val="0"/>
                <w:sz w:val="15"/>
              </w:rPr>
              <w:t>24 chapter bookmarks exist and are unique</w:t>
            </w:r>
          </w:p>
        </w:tc>
        <w:tc>
          <w:tcPr>
            <w:tcW w:type="dxa" w:w="1984"/>
            <w:tcMar>
              <w:top w:w="80" w:type="dxa"/>
              <w:start w:w="90" w:type="dxa"/>
              <w:bottom w:w="80" w:type="dxa"/>
              <w:end w:w="90" w:type="dxa"/>
            </w:tcMar>
            <w:vAlign w:val="center"/>
          </w:tcPr>
          <w:p>
            <w:pPr>
              <w:jc w:val="center"/>
            </w:pPr>
            <w:r>
              <w:rPr>
                <w:rFonts w:ascii="Aptos" w:hAnsi="Aptos"/>
                <w:b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NAV-02</w:t>
            </w:r>
          </w:p>
        </w:tc>
        <w:tc>
          <w:tcPr>
            <w:tcW w:type="dxa" w:w="6803"/>
            <w:tcMar>
              <w:top w:w="80" w:type="dxa"/>
              <w:start w:w="90" w:type="dxa"/>
              <w:bottom w:w="80" w:type="dxa"/>
              <w:end w:w="90" w:type="dxa"/>
            </w:tcMar>
            <w:vAlign w:val="center"/>
          </w:tcPr>
          <w:p>
            <w:pPr>
              <w:jc w:val="left"/>
            </w:pPr>
            <w:r>
              <w:rPr>
                <w:rFonts w:ascii="Aptos" w:hAnsi="Aptos"/>
                <w:b w:val="0"/>
                <w:i w:val="0"/>
                <w:sz w:val="15"/>
              </w:rPr>
              <w:t>Appendix bookmarks T2-A-T2-E exist and are unique</w:t>
            </w:r>
          </w:p>
        </w:tc>
        <w:tc>
          <w:tcPr>
            <w:tcW w:type="dxa" w:w="1984"/>
            <w:tcMar>
              <w:top w:w="80" w:type="dxa"/>
              <w:start w:w="90" w:type="dxa"/>
              <w:bottom w:w="80" w:type="dxa"/>
              <w:end w:w="90" w:type="dxa"/>
            </w:tcMar>
            <w:vAlign w:val="center"/>
          </w:tcPr>
          <w:p>
            <w:pPr>
              <w:jc w:val="center"/>
            </w:pPr>
            <w:r>
              <w:rPr>
                <w:rFonts w:ascii="Aptos" w:hAnsi="Aptos"/>
                <w:b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NAV-03</w:t>
            </w:r>
          </w:p>
        </w:tc>
        <w:tc>
          <w:tcPr>
            <w:tcW w:type="dxa" w:w="6803"/>
            <w:tcMar>
              <w:top w:w="80" w:type="dxa"/>
              <w:start w:w="90" w:type="dxa"/>
              <w:bottom w:w="80" w:type="dxa"/>
              <w:end w:w="90" w:type="dxa"/>
            </w:tcMar>
            <w:vAlign w:val="center"/>
          </w:tcPr>
          <w:p>
            <w:pPr>
              <w:jc w:val="left"/>
            </w:pPr>
            <w:r>
              <w:rPr>
                <w:rFonts w:ascii="Aptos" w:hAnsi="Aptos"/>
                <w:b w:val="0"/>
                <w:i w:val="0"/>
                <w:sz w:val="15"/>
              </w:rPr>
              <w:t>Front static contents links target chapter bookmarks</w:t>
            </w:r>
          </w:p>
        </w:tc>
        <w:tc>
          <w:tcPr>
            <w:tcW w:type="dxa" w:w="1984"/>
            <w:tcMar>
              <w:top w:w="80" w:type="dxa"/>
              <w:start w:w="90" w:type="dxa"/>
              <w:bottom w:w="80" w:type="dxa"/>
              <w:end w:w="90" w:type="dxa"/>
            </w:tcMar>
            <w:vAlign w:val="center"/>
          </w:tcPr>
          <w:p>
            <w:pPr>
              <w:jc w:val="center"/>
            </w:pPr>
            <w:r>
              <w:rPr>
                <w:rFonts w:ascii="Aptos" w:hAnsi="Aptos"/>
                <w:b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NAV-04</w:t>
            </w:r>
          </w:p>
        </w:tc>
        <w:tc>
          <w:tcPr>
            <w:tcW w:type="dxa" w:w="6803"/>
            <w:tcMar>
              <w:top w:w="80" w:type="dxa"/>
              <w:start w:w="90" w:type="dxa"/>
              <w:bottom w:w="80" w:type="dxa"/>
              <w:end w:w="90" w:type="dxa"/>
            </w:tcMar>
            <w:vAlign w:val="center"/>
          </w:tcPr>
          <w:p>
            <w:pPr>
              <w:jc w:val="left"/>
            </w:pPr>
            <w:r>
              <w:rPr>
                <w:rFonts w:ascii="Aptos" w:hAnsi="Aptos"/>
                <w:b w:val="0"/>
                <w:i w:val="0"/>
                <w:sz w:val="15"/>
              </w:rPr>
              <w:t>Word TOC field present and marked update-on-open</w:t>
            </w:r>
          </w:p>
        </w:tc>
        <w:tc>
          <w:tcPr>
            <w:tcW w:type="dxa" w:w="1984"/>
            <w:tcMar>
              <w:top w:w="80" w:type="dxa"/>
              <w:start w:w="90" w:type="dxa"/>
              <w:bottom w:w="80" w:type="dxa"/>
              <w:end w:w="90" w:type="dxa"/>
            </w:tcMar>
            <w:vAlign w:val="center"/>
          </w:tcPr>
          <w:p>
            <w:pPr>
              <w:jc w:val="center"/>
            </w:pPr>
            <w:r>
              <w:rPr>
                <w:rFonts w:ascii="Aptos" w:hAnsi="Aptos"/>
                <w:b w:val="0"/>
                <w:i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NAV-05</w:t>
            </w:r>
          </w:p>
        </w:tc>
        <w:tc>
          <w:tcPr>
            <w:tcW w:type="dxa" w:w="6803"/>
            <w:tcMar>
              <w:top w:w="80" w:type="dxa"/>
              <w:start w:w="90" w:type="dxa"/>
              <w:bottom w:w="80" w:type="dxa"/>
              <w:end w:w="90" w:type="dxa"/>
            </w:tcMar>
            <w:vAlign w:val="center"/>
          </w:tcPr>
          <w:p>
            <w:pPr>
              <w:jc w:val="left"/>
            </w:pPr>
            <w:r>
              <w:rPr>
                <w:rFonts w:ascii="Aptos" w:hAnsi="Aptos"/>
                <w:b w:val="0"/>
                <w:i w:val="0"/>
                <w:sz w:val="15"/>
              </w:rPr>
              <w:t>PDF outline generated from Heading 1-3</w:t>
            </w:r>
          </w:p>
        </w:tc>
        <w:tc>
          <w:tcPr>
            <w:tcW w:type="dxa" w:w="1984"/>
            <w:tcMar>
              <w:top w:w="80" w:type="dxa"/>
              <w:start w:w="90" w:type="dxa"/>
              <w:bottom w:w="80" w:type="dxa"/>
              <w:end w:w="90" w:type="dxa"/>
            </w:tcMar>
            <w:vAlign w:val="center"/>
          </w:tcPr>
          <w:p>
            <w:pPr>
              <w:jc w:val="center"/>
            </w:pPr>
            <w:r>
              <w:rPr>
                <w:rFonts w:ascii="Aptos" w:hAnsi="Aptos"/>
                <w:b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NAV-06</w:t>
            </w:r>
          </w:p>
        </w:tc>
        <w:tc>
          <w:tcPr>
            <w:tcW w:type="dxa" w:w="6803"/>
            <w:tcMar>
              <w:top w:w="80" w:type="dxa"/>
              <w:start w:w="90" w:type="dxa"/>
              <w:bottom w:w="80" w:type="dxa"/>
              <w:end w:w="90" w:type="dxa"/>
            </w:tcMar>
            <w:vAlign w:val="center"/>
          </w:tcPr>
          <w:p>
            <w:pPr>
              <w:jc w:val="left"/>
            </w:pPr>
            <w:r>
              <w:rPr>
                <w:rFonts w:ascii="Aptos" w:hAnsi="Aptos"/>
                <w:b w:val="0"/>
                <w:i w:val="0"/>
                <w:sz w:val="15"/>
              </w:rPr>
              <w:t>Bilingual page map agrees with rendered starts</w:t>
            </w:r>
          </w:p>
        </w:tc>
        <w:tc>
          <w:tcPr>
            <w:tcW w:type="dxa" w:w="1984"/>
            <w:tcMar>
              <w:top w:w="80" w:type="dxa"/>
              <w:start w:w="90" w:type="dxa"/>
              <w:bottom w:w="80" w:type="dxa"/>
              <w:end w:w="90" w:type="dxa"/>
            </w:tcMar>
            <w:vAlign w:val="center"/>
          </w:tcPr>
          <w:p>
            <w:pPr>
              <w:jc w:val="center"/>
            </w:pPr>
            <w:r>
              <w:rPr>
                <w:rFonts w:ascii="Aptos" w:hAnsi="Aptos"/>
                <w:b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XREF-01</w:t>
            </w:r>
          </w:p>
        </w:tc>
        <w:tc>
          <w:tcPr>
            <w:tcW w:type="dxa" w:w="6803"/>
            <w:tcMar>
              <w:top w:w="80" w:type="dxa"/>
              <w:start w:w="90" w:type="dxa"/>
              <w:bottom w:w="80" w:type="dxa"/>
              <w:end w:w="90" w:type="dxa"/>
            </w:tcMar>
            <w:vAlign w:val="center"/>
          </w:tcPr>
          <w:p>
            <w:pPr>
              <w:jc w:val="left"/>
            </w:pPr>
            <w:r>
              <w:rPr>
                <w:rFonts w:ascii="Aptos" w:hAnsi="Aptos"/>
                <w:b w:val="0"/>
                <w:i w:val="0"/>
                <w:sz w:val="15"/>
              </w:rPr>
              <w:t>Formula IDs T2-F001-T2-F404 continuous</w:t>
            </w:r>
          </w:p>
        </w:tc>
        <w:tc>
          <w:tcPr>
            <w:tcW w:type="dxa" w:w="1984"/>
            <w:tcMar>
              <w:top w:w="80" w:type="dxa"/>
              <w:start w:w="90" w:type="dxa"/>
              <w:bottom w:w="80" w:type="dxa"/>
              <w:end w:w="90" w:type="dxa"/>
            </w:tcMar>
            <w:vAlign w:val="center"/>
          </w:tcPr>
          <w:p>
            <w:pPr>
              <w:jc w:val="center"/>
            </w:pPr>
            <w:r>
              <w:rPr>
                <w:rFonts w:ascii="Aptos" w:hAnsi="Aptos"/>
                <w:b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XREF-02</w:t>
            </w:r>
          </w:p>
        </w:tc>
        <w:tc>
          <w:tcPr>
            <w:tcW w:type="dxa" w:w="6803"/>
            <w:tcMar>
              <w:top w:w="80" w:type="dxa"/>
              <w:start w:w="90" w:type="dxa"/>
              <w:bottom w:w="80" w:type="dxa"/>
              <w:end w:w="90" w:type="dxa"/>
            </w:tcMar>
            <w:vAlign w:val="center"/>
          </w:tcPr>
          <w:p>
            <w:pPr>
              <w:jc w:val="left"/>
            </w:pPr>
            <w:r>
              <w:rPr>
                <w:rFonts w:ascii="Aptos" w:hAnsi="Aptos"/>
                <w:b w:val="0"/>
                <w:i w:val="0"/>
                <w:sz w:val="15"/>
              </w:rPr>
              <w:t>Evidence obligations T2-PO-001-T2-PO-500 continuous</w:t>
            </w:r>
          </w:p>
        </w:tc>
        <w:tc>
          <w:tcPr>
            <w:tcW w:type="dxa" w:w="1984"/>
            <w:tcMar>
              <w:top w:w="80" w:type="dxa"/>
              <w:start w:w="90" w:type="dxa"/>
              <w:bottom w:w="80" w:type="dxa"/>
              <w:end w:w="90" w:type="dxa"/>
            </w:tcMar>
            <w:vAlign w:val="center"/>
          </w:tcPr>
          <w:p>
            <w:pPr>
              <w:jc w:val="center"/>
            </w:pPr>
            <w:r>
              <w:rPr>
                <w:rFonts w:ascii="Aptos" w:hAnsi="Aptos"/>
                <w:b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XREF-03</w:t>
            </w:r>
          </w:p>
        </w:tc>
        <w:tc>
          <w:tcPr>
            <w:tcW w:type="dxa" w:w="6803"/>
            <w:tcMar>
              <w:top w:w="80" w:type="dxa"/>
              <w:start w:w="90" w:type="dxa"/>
              <w:bottom w:w="80" w:type="dxa"/>
              <w:end w:w="90" w:type="dxa"/>
            </w:tcMar>
            <w:vAlign w:val="center"/>
          </w:tcPr>
          <w:p>
            <w:pPr>
              <w:jc w:val="left"/>
            </w:pPr>
            <w:r>
              <w:rPr>
                <w:rFonts w:ascii="Aptos" w:hAnsi="Aptos"/>
                <w:b w:val="0"/>
                <w:i w:val="0"/>
                <w:sz w:val="15"/>
              </w:rPr>
              <w:t>Figure captions 3-63 complete</w:t>
            </w:r>
          </w:p>
        </w:tc>
        <w:tc>
          <w:tcPr>
            <w:tcW w:type="dxa" w:w="1984"/>
            <w:tcMar>
              <w:top w:w="80" w:type="dxa"/>
              <w:start w:w="90" w:type="dxa"/>
              <w:bottom w:w="80" w:type="dxa"/>
              <w:end w:w="90" w:type="dxa"/>
            </w:tcMar>
            <w:vAlign w:val="center"/>
          </w:tcPr>
          <w:p>
            <w:pPr>
              <w:jc w:val="center"/>
            </w:pPr>
            <w:r>
              <w:rPr>
                <w:rFonts w:ascii="Aptos" w:hAnsi="Aptos"/>
                <w:b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STATUS-01</w:t>
            </w:r>
          </w:p>
        </w:tc>
        <w:tc>
          <w:tcPr>
            <w:tcW w:type="dxa" w:w="6803"/>
            <w:tcMar>
              <w:top w:w="80" w:type="dxa"/>
              <w:start w:w="90" w:type="dxa"/>
              <w:bottom w:w="80" w:type="dxa"/>
              <w:end w:w="90" w:type="dxa"/>
            </w:tcMar>
            <w:vAlign w:val="center"/>
          </w:tcPr>
          <w:p>
            <w:pPr>
              <w:jc w:val="left"/>
            </w:pPr>
            <w:r>
              <w:rPr>
                <w:rFonts w:ascii="Aptos" w:hAnsi="Aptos"/>
                <w:b w:val="0"/>
                <w:i w:val="0"/>
                <w:sz w:val="15"/>
              </w:rPr>
              <w:t>OPEN/COND/MODEL/PHY-HYP retained</w:t>
            </w:r>
          </w:p>
        </w:tc>
        <w:tc>
          <w:tcPr>
            <w:tcW w:type="dxa" w:w="1984"/>
            <w:tcMar>
              <w:top w:w="80" w:type="dxa"/>
              <w:start w:w="90" w:type="dxa"/>
              <w:bottom w:w="80" w:type="dxa"/>
              <w:end w:w="90" w:type="dxa"/>
            </w:tcMar>
            <w:vAlign w:val="center"/>
          </w:tcPr>
          <w:p>
            <w:pPr>
              <w:jc w:val="center"/>
            </w:pPr>
            <w:r>
              <w:rPr>
                <w:rFonts w:ascii="Aptos" w:hAnsi="Aptos"/>
                <w:b w:val="0"/>
                <w:i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STATUS-02</w:t>
            </w:r>
          </w:p>
        </w:tc>
        <w:tc>
          <w:tcPr>
            <w:tcW w:type="dxa" w:w="6803"/>
            <w:tcMar>
              <w:top w:w="80" w:type="dxa"/>
              <w:start w:w="90" w:type="dxa"/>
              <w:bottom w:w="80" w:type="dxa"/>
              <w:end w:w="90" w:type="dxa"/>
            </w:tcMar>
            <w:vAlign w:val="center"/>
          </w:tcPr>
          <w:p>
            <w:pPr>
              <w:jc w:val="left"/>
            </w:pPr>
            <w:r>
              <w:rPr>
                <w:rFonts w:ascii="Aptos" w:hAnsi="Aptos"/>
                <w:b w:val="0"/>
                <w:i w:val="0"/>
                <w:sz w:val="15"/>
              </w:rPr>
              <w:t>NUM is not EXT-RUN or EMP-OBS</w:t>
            </w:r>
          </w:p>
        </w:tc>
        <w:tc>
          <w:tcPr>
            <w:tcW w:type="dxa" w:w="1984"/>
            <w:tcMar>
              <w:top w:w="80" w:type="dxa"/>
              <w:start w:w="90" w:type="dxa"/>
              <w:bottom w:w="80" w:type="dxa"/>
              <w:end w:w="90" w:type="dxa"/>
            </w:tcMar>
            <w:vAlign w:val="center"/>
          </w:tcPr>
          <w:p>
            <w:pPr>
              <w:jc w:val="center"/>
            </w:pPr>
            <w:r>
              <w:rPr>
                <w:rFonts w:ascii="Aptos" w:hAnsi="Aptos"/>
                <w:b w:val="0"/>
                <w:i w:val="0"/>
                <w:sz w:val="15"/>
              </w:rPr>
              <w:t>PASS</w:t>
            </w:r>
          </w:p>
        </w:tc>
      </w:tr>
    </w:tbl>
    <w:p>
      <w:pPr>
        <w:spacing w:after="100" w:line="259" w:lineRule="auto"/>
      </w:pPr>
      <w:r>
        <w:rPr>
          <w:rFonts w:ascii="Aptos" w:hAnsi="Aptos"/>
          <w:b w:val="0"/>
          <w:i w:val="0"/>
          <w:sz w:val="19"/>
        </w:rPr>
        <w:t>Status_EN(x) &lt;= Status_RU(x)</w:t>
      </w:r>
    </w:p>
    <w:p>
      <w:pPr>
        <w:spacing w:after="100" w:line="259" w:lineRule="auto"/>
      </w:pPr>
      <w:r>
        <w:rPr>
          <w:rFonts w:ascii="Aptos" w:hAnsi="Aptos"/>
          <w:b w:val="0"/>
          <w:i w:val="0"/>
          <w:sz w:val="19"/>
        </w:rPr>
        <w:t>Formula_EN(x) = Formula_RU(x); ID_EN(x) = ID_RU(x)</w:t>
      </w:r>
    </w:p>
    <w:p>
      <w:pPr>
        <w:spacing w:after="100" w:line="259" w:lineRule="auto"/>
      </w:pPr>
      <w:r>
        <w:rPr>
          <w:rFonts w:ascii="Aptos" w:hAnsi="Aptos"/>
          <w:b w:val="0"/>
          <w:i w:val="0"/>
          <w:sz w:val="19"/>
        </w:rPr>
        <w:t>NUM != EXT-RUN != EMP-OBS</w:t>
      </w:r>
    </w:p>
    <w:p>
      <w:pPr>
        <w:pStyle w:val="Heading2"/>
        <w:keepNext/>
      </w:pPr>
      <w:r>
        <w:rPr>
          <w:rFonts w:ascii="Aptos" w:hAnsi="Aptos"/>
          <w:b/>
          <w:i w:val="0"/>
          <w:color w:val="1F4E78"/>
          <w:sz w:val="24"/>
        </w:rPr>
        <w:t>9. Assembly Change Set and Obligations</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trPr>
        <w:tc>
          <w:tcPr>
            <w:tcW w:type="dxa" w:w="1701"/>
            <w:shd w:fill="1F4E78"/>
            <w:tcMar>
              <w:top w:w="80" w:type="dxa"/>
              <w:start w:w="90" w:type="dxa"/>
              <w:bottom w:w="80" w:type="dxa"/>
              <w:end w:w="90" w:type="dxa"/>
            </w:tcMar>
            <w:vAlign w:val="center"/>
          </w:tcPr>
          <w:p>
            <w:pPr>
              <w:jc w:val="center"/>
            </w:pPr>
            <w:r>
              <w:rPr>
                <w:rFonts w:ascii="Aptos" w:hAnsi="Aptos"/>
                <w:b/>
                <w:i w:val="0"/>
                <w:color w:val="FFFFFF"/>
                <w:sz w:val="15"/>
              </w:rPr>
              <w:t>ID</w:t>
            </w:r>
          </w:p>
        </w:tc>
        <w:tc>
          <w:tcPr>
            <w:tcW w:type="dxa" w:w="7257"/>
            <w:shd w:fill="1F4E78"/>
            <w:tcMar>
              <w:top w:w="80" w:type="dxa"/>
              <w:start w:w="90" w:type="dxa"/>
              <w:bottom w:w="80" w:type="dxa"/>
              <w:end w:w="90" w:type="dxa"/>
            </w:tcMar>
            <w:vAlign w:val="center"/>
          </w:tcPr>
          <w:p>
            <w:pPr>
              <w:jc w:val="center"/>
            </w:pPr>
            <w:r>
              <w:rPr>
                <w:rFonts w:ascii="Aptos" w:hAnsi="Aptos"/>
                <w:b/>
                <w:i w:val="0"/>
                <w:color w:val="FFFFFF"/>
                <w:sz w:val="15"/>
              </w:rPr>
              <w:t>Change</w:t>
            </w:r>
          </w:p>
        </w:tc>
        <w:tc>
          <w:tcPr>
            <w:tcW w:type="dxa" w:w="1701"/>
            <w:shd w:fill="1F4E78"/>
            <w:tcMar>
              <w:top w:w="80" w:type="dxa"/>
              <w:start w:w="90" w:type="dxa"/>
              <w:bottom w:w="80" w:type="dxa"/>
              <w:end w:w="90" w:type="dxa"/>
            </w:tcMar>
            <w:vAlign w:val="center"/>
          </w:tcPr>
          <w:p>
            <w:pPr>
              <w:jc w:val="center"/>
            </w:pPr>
            <w:r>
              <w:rPr>
                <w:rFonts w:ascii="Aptos" w:hAnsi="Aptos"/>
                <w:b/>
                <w:i w:val="0"/>
                <w:color w:val="FFFFFF"/>
                <w:sz w:val="15"/>
              </w:rPr>
              <w:t>Status</w:t>
            </w:r>
          </w:p>
        </w:tc>
      </w:tr>
      <w:tr>
        <w:tc>
          <w:tcPr>
            <w:tcW w:type="dxa" w:w="1701"/>
            <w:tcMar>
              <w:top w:w="80" w:type="dxa"/>
              <w:start w:w="90" w:type="dxa"/>
              <w:bottom w:w="80" w:type="dxa"/>
              <w:end w:w="90" w:type="dxa"/>
            </w:tcMar>
            <w:vAlign w:val="center"/>
          </w:tcPr>
          <w:p>
            <w:pPr>
              <w:jc w:val="center"/>
            </w:pPr>
            <w:r>
              <w:rPr>
                <w:rFonts w:ascii="Aptos" w:hAnsi="Aptos"/>
                <w:b w:val="0"/>
                <w:i w:val="0"/>
                <w:sz w:val="15"/>
              </w:rPr>
              <w:t>T2-EN-CS-101</w:t>
            </w:r>
          </w:p>
        </w:tc>
        <w:tc>
          <w:tcPr>
            <w:tcW w:type="dxa" w:w="7257"/>
            <w:tcMar>
              <w:top w:w="80" w:type="dxa"/>
              <w:start w:w="90" w:type="dxa"/>
              <w:bottom w:w="80" w:type="dxa"/>
              <w:end w:w="90" w:type="dxa"/>
            </w:tcMar>
            <w:vAlign w:val="center"/>
          </w:tcPr>
          <w:p>
            <w:pPr>
              <w:jc w:val="left"/>
            </w:pPr>
            <w:r>
              <w:rPr>
                <w:rFonts w:ascii="Aptos" w:hAnsi="Aptos"/>
                <w:b w:val="0"/>
                <w:i w:val="0"/>
                <w:sz w:val="15"/>
              </w:rPr>
              <w:t>Promoted the v0.6 corpus to a unified v0.7 master without changing scientific claims.</w:t>
            </w:r>
          </w:p>
        </w:tc>
        <w:tc>
          <w:tcPr>
            <w:tcW w:type="dxa" w:w="1701"/>
            <w:tcMar>
              <w:top w:w="80" w:type="dxa"/>
              <w:start w:w="90" w:type="dxa"/>
              <w:bottom w:w="80" w:type="dxa"/>
              <w:end w:w="90" w:type="dxa"/>
            </w:tcMar>
            <w:vAlign w:val="center"/>
          </w:tcPr>
          <w:p>
            <w:pPr>
              <w:jc w:val="center"/>
            </w:pPr>
            <w:r>
              <w:rPr>
                <w:rFonts w:ascii="Aptos" w:hAnsi="Aptos"/>
                <w:b w:val="0"/>
                <w:i w:val="0"/>
                <w:sz w:val="15"/>
              </w:rPr>
              <w:t>DOC</w:t>
            </w:r>
          </w:p>
        </w:tc>
      </w:tr>
      <w:tr>
        <w:tc>
          <w:tcPr>
            <w:tcW w:type="dxa" w:w="1701"/>
            <w:tcMar>
              <w:top w:w="80" w:type="dxa"/>
              <w:start w:w="90" w:type="dxa"/>
              <w:bottom w:w="80" w:type="dxa"/>
              <w:end w:w="90" w:type="dxa"/>
            </w:tcMar>
            <w:vAlign w:val="center"/>
          </w:tcPr>
          <w:p>
            <w:pPr>
              <w:jc w:val="center"/>
            </w:pPr>
            <w:r>
              <w:rPr>
                <w:rFonts w:ascii="Aptos" w:hAnsi="Aptos"/>
                <w:b w:val="0"/>
                <w:i w:val="0"/>
                <w:sz w:val="15"/>
              </w:rPr>
              <w:t>T2-EN-CS-102</w:t>
            </w:r>
          </w:p>
        </w:tc>
        <w:tc>
          <w:tcPr>
            <w:tcW w:type="dxa" w:w="7257"/>
            <w:tcMar>
              <w:top w:w="80" w:type="dxa"/>
              <w:start w:w="90" w:type="dxa"/>
              <w:bottom w:w="80" w:type="dxa"/>
              <w:end w:w="90" w:type="dxa"/>
            </w:tcMar>
            <w:vAlign w:val="center"/>
          </w:tcPr>
          <w:p>
            <w:pPr>
              <w:jc w:val="left"/>
            </w:pPr>
            <w:r>
              <w:rPr>
                <w:rFonts w:ascii="Aptos" w:hAnsi="Aptos"/>
                <w:b w:val="0"/>
                <w:i w:val="0"/>
                <w:sz w:val="15"/>
              </w:rPr>
              <w:t>Added static page-numbered contents, bookmarks, internal navigation, and an updateable Word TOC field.</w:t>
            </w:r>
          </w:p>
        </w:tc>
        <w:tc>
          <w:tcPr>
            <w:tcW w:type="dxa" w:w="1701"/>
            <w:tcMar>
              <w:top w:w="80" w:type="dxa"/>
              <w:start w:w="90" w:type="dxa"/>
              <w:bottom w:w="80" w:type="dxa"/>
              <w:end w:w="90" w:type="dxa"/>
            </w:tcMar>
            <w:vAlign w:val="center"/>
          </w:tcPr>
          <w:p>
            <w:pPr>
              <w:jc w:val="center"/>
            </w:pPr>
            <w:r>
              <w:rPr>
                <w:rFonts w:ascii="Aptos" w:hAnsi="Aptos"/>
                <w:b w:val="0"/>
                <w:i w:val="0"/>
                <w:sz w:val="15"/>
              </w:rPr>
              <w:t>DOC/QA</w:t>
            </w:r>
          </w:p>
        </w:tc>
      </w:tr>
      <w:tr>
        <w:tc>
          <w:tcPr>
            <w:tcW w:type="dxa" w:w="1701"/>
            <w:tcMar>
              <w:top w:w="80" w:type="dxa"/>
              <w:start w:w="90" w:type="dxa"/>
              <w:bottom w:w="80" w:type="dxa"/>
              <w:end w:w="90" w:type="dxa"/>
            </w:tcMar>
            <w:vAlign w:val="center"/>
          </w:tcPr>
          <w:p>
            <w:pPr>
              <w:jc w:val="center"/>
            </w:pPr>
            <w:r>
              <w:rPr>
                <w:rFonts w:ascii="Aptos" w:hAnsi="Aptos"/>
                <w:b w:val="0"/>
                <w:i w:val="0"/>
                <w:sz w:val="15"/>
              </w:rPr>
              <w:t>T2-EN-CS-103</w:t>
            </w:r>
          </w:p>
        </w:tc>
        <w:tc>
          <w:tcPr>
            <w:tcW w:type="dxa" w:w="7257"/>
            <w:tcMar>
              <w:top w:w="80" w:type="dxa"/>
              <w:start w:w="90" w:type="dxa"/>
              <w:bottom w:w="80" w:type="dxa"/>
              <w:end w:w="90" w:type="dxa"/>
            </w:tcMar>
            <w:vAlign w:val="center"/>
          </w:tcPr>
          <w:p>
            <w:pPr>
              <w:jc w:val="left"/>
            </w:pPr>
            <w:r>
              <w:rPr>
                <w:rFonts w:ascii="Aptos" w:hAnsi="Aptos"/>
                <w:b w:val="0"/>
                <w:i w:val="0"/>
                <w:sz w:val="15"/>
              </w:rPr>
              <w:t>Added the bilingual RU/EN chapter and appendix page map.</w:t>
            </w:r>
          </w:p>
        </w:tc>
        <w:tc>
          <w:tcPr>
            <w:tcW w:type="dxa" w:w="1701"/>
            <w:tcMar>
              <w:top w:w="80" w:type="dxa"/>
              <w:start w:w="90" w:type="dxa"/>
              <w:bottom w:w="80" w:type="dxa"/>
              <w:end w:w="90" w:type="dxa"/>
            </w:tcMar>
            <w:vAlign w:val="center"/>
          </w:tcPr>
          <w:p>
            <w:pPr>
              <w:jc w:val="center"/>
            </w:pPr>
            <w:r>
              <w:rPr>
                <w:rFonts w:ascii="Aptos" w:hAnsi="Aptos"/>
                <w:b w:val="0"/>
                <w:i w:val="0"/>
                <w:sz w:val="15"/>
              </w:rPr>
              <w:t>PARITY</w:t>
            </w:r>
          </w:p>
        </w:tc>
      </w:tr>
      <w:tr>
        <w:tc>
          <w:tcPr>
            <w:tcW w:type="dxa" w:w="1701"/>
            <w:tcMar>
              <w:top w:w="80" w:type="dxa"/>
              <w:start w:w="90" w:type="dxa"/>
              <w:bottom w:w="80" w:type="dxa"/>
              <w:end w:w="90" w:type="dxa"/>
            </w:tcMar>
            <w:vAlign w:val="center"/>
          </w:tcPr>
          <w:p>
            <w:pPr>
              <w:jc w:val="center"/>
            </w:pPr>
            <w:r>
              <w:rPr>
                <w:rFonts w:ascii="Aptos" w:hAnsi="Aptos"/>
                <w:b w:val="0"/>
                <w:i w:val="0"/>
                <w:sz w:val="15"/>
              </w:rPr>
              <w:t>T2-EN-CS-104</w:t>
            </w:r>
          </w:p>
        </w:tc>
        <w:tc>
          <w:tcPr>
            <w:tcW w:type="dxa" w:w="7257"/>
            <w:tcMar>
              <w:top w:w="80" w:type="dxa"/>
              <w:start w:w="90" w:type="dxa"/>
              <w:bottom w:w="80" w:type="dxa"/>
              <w:end w:w="90" w:type="dxa"/>
            </w:tcMar>
            <w:vAlign w:val="center"/>
          </w:tcPr>
          <w:p>
            <w:pPr>
              <w:jc w:val="left"/>
            </w:pPr>
            <w:r>
              <w:rPr>
                <w:rFonts w:ascii="Aptos" w:hAnsi="Aptos"/>
                <w:b w:val="0"/>
                <w:i w:val="0"/>
                <w:sz w:val="15"/>
              </w:rPr>
              <w:t>Added exact figure index and chapter/appendix table inventory.</w:t>
            </w:r>
          </w:p>
        </w:tc>
        <w:tc>
          <w:tcPr>
            <w:tcW w:type="dxa" w:w="1701"/>
            <w:tcMar>
              <w:top w:w="80" w:type="dxa"/>
              <w:start w:w="90" w:type="dxa"/>
              <w:bottom w:w="80" w:type="dxa"/>
              <w:end w:w="90" w:type="dxa"/>
            </w:tcMar>
            <w:vAlign w:val="center"/>
          </w:tcPr>
          <w:p>
            <w:pPr>
              <w:jc w:val="center"/>
            </w:pPr>
            <w:r>
              <w:rPr>
                <w:rFonts w:ascii="Aptos" w:hAnsi="Aptos"/>
                <w:b w:val="0"/>
                <w:i w:val="0"/>
                <w:sz w:val="15"/>
              </w:rPr>
              <w:t>DOC/QA</w:t>
            </w:r>
          </w:p>
        </w:tc>
      </w:tr>
      <w:tr>
        <w:tc>
          <w:tcPr>
            <w:tcW w:type="dxa" w:w="1701"/>
            <w:tcMar>
              <w:top w:w="80" w:type="dxa"/>
              <w:start w:w="90" w:type="dxa"/>
              <w:bottom w:w="80" w:type="dxa"/>
              <w:end w:w="90" w:type="dxa"/>
            </w:tcMar>
            <w:vAlign w:val="center"/>
          </w:tcPr>
          <w:p>
            <w:pPr>
              <w:jc w:val="center"/>
            </w:pPr>
            <w:r>
              <w:rPr>
                <w:rFonts w:ascii="Aptos" w:hAnsi="Aptos"/>
                <w:b w:val="0"/>
                <w:i w:val="0"/>
                <w:sz w:val="15"/>
              </w:rPr>
              <w:t>T2-EN-CS-105</w:t>
            </w:r>
          </w:p>
        </w:tc>
        <w:tc>
          <w:tcPr>
            <w:tcW w:type="dxa" w:w="7257"/>
            <w:tcMar>
              <w:top w:w="80" w:type="dxa"/>
              <w:start w:w="90" w:type="dxa"/>
              <w:bottom w:w="80" w:type="dxa"/>
              <w:end w:w="90" w:type="dxa"/>
            </w:tcMar>
            <w:vAlign w:val="center"/>
          </w:tcPr>
          <w:p>
            <w:pPr>
              <w:jc w:val="left"/>
            </w:pPr>
            <w:r>
              <w:rPr>
                <w:rFonts w:ascii="Aptos" w:hAnsi="Aptos"/>
                <w:b w:val="0"/>
                <w:i w:val="0"/>
                <w:sz w:val="15"/>
              </w:rPr>
              <w:t>Consolidated versioned bibliography and source-card hashes.</w:t>
            </w:r>
          </w:p>
        </w:tc>
        <w:tc>
          <w:tcPr>
            <w:tcW w:type="dxa" w:w="1701"/>
            <w:tcMar>
              <w:top w:w="80" w:type="dxa"/>
              <w:start w:w="90" w:type="dxa"/>
              <w:bottom w:w="80" w:type="dxa"/>
              <w:end w:w="90" w:type="dxa"/>
            </w:tcMar>
            <w:vAlign w:val="center"/>
          </w:tcPr>
          <w:p>
            <w:pPr>
              <w:jc w:val="center"/>
            </w:pPr>
            <w:r>
              <w:rPr>
                <w:rFonts w:ascii="Aptos" w:hAnsi="Aptos"/>
                <w:b w:val="0"/>
                <w:i w:val="0"/>
                <w:sz w:val="15"/>
              </w:rPr>
              <w:t>SOURCE-AUDIT</w:t>
            </w:r>
          </w:p>
        </w:tc>
      </w:tr>
      <w:tr>
        <w:tc>
          <w:tcPr>
            <w:tcW w:type="dxa" w:w="1701"/>
            <w:tcMar>
              <w:top w:w="80" w:type="dxa"/>
              <w:start w:w="90" w:type="dxa"/>
              <w:bottom w:w="80" w:type="dxa"/>
              <w:end w:w="90" w:type="dxa"/>
            </w:tcMar>
            <w:vAlign w:val="center"/>
          </w:tcPr>
          <w:p>
            <w:pPr>
              <w:jc w:val="center"/>
            </w:pPr>
            <w:r>
              <w:rPr>
                <w:rFonts w:ascii="Aptos" w:hAnsi="Aptos"/>
                <w:b w:val="0"/>
                <w:i w:val="0"/>
                <w:sz w:val="15"/>
              </w:rPr>
              <w:t>T2-EN-CS-106</w:t>
            </w:r>
          </w:p>
        </w:tc>
        <w:tc>
          <w:tcPr>
            <w:tcW w:type="dxa" w:w="7257"/>
            <w:tcMar>
              <w:top w:w="80" w:type="dxa"/>
              <w:start w:w="90" w:type="dxa"/>
              <w:bottom w:w="80" w:type="dxa"/>
              <w:end w:w="90" w:type="dxa"/>
            </w:tcMar>
            <w:vAlign w:val="center"/>
          </w:tcPr>
          <w:p>
            <w:pPr>
              <w:jc w:val="left"/>
            </w:pPr>
            <w:r>
              <w:rPr>
                <w:rFonts w:ascii="Aptos" w:hAnsi="Aptos"/>
                <w:b w:val="0"/>
                <w:i w:val="0"/>
                <w:sz w:val="15"/>
              </w:rPr>
              <w:t>Normalized inherited transliteration residues in derivative appendix metadata.</w:t>
            </w:r>
          </w:p>
        </w:tc>
        <w:tc>
          <w:tcPr>
            <w:tcW w:type="dxa" w:w="1701"/>
            <w:tcMar>
              <w:top w:w="80" w:type="dxa"/>
              <w:start w:w="90" w:type="dxa"/>
              <w:bottom w:w="80" w:type="dxa"/>
              <w:end w:w="90" w:type="dxa"/>
            </w:tcMar>
            <w:vAlign w:val="center"/>
          </w:tcPr>
          <w:p>
            <w:pPr>
              <w:jc w:val="center"/>
            </w:pPr>
            <w:r>
              <w:rPr>
                <w:rFonts w:ascii="Aptos" w:hAnsi="Aptos"/>
                <w:b w:val="0"/>
                <w:i w:val="0"/>
                <w:sz w:val="15"/>
              </w:rPr>
              <w:t>EDITORIAL</w:t>
            </w:r>
          </w:p>
        </w:tc>
      </w:tr>
      <w:tr>
        <w:tc>
          <w:tcPr>
            <w:tcW w:type="dxa" w:w="1701"/>
            <w:tcMar>
              <w:top w:w="80" w:type="dxa"/>
              <w:start w:w="90" w:type="dxa"/>
              <w:bottom w:w="80" w:type="dxa"/>
              <w:end w:w="90" w:type="dxa"/>
            </w:tcMar>
            <w:vAlign w:val="center"/>
          </w:tcPr>
          <w:p>
            <w:pPr>
              <w:jc w:val="center"/>
            </w:pPr>
            <w:r>
              <w:rPr>
                <w:rFonts w:ascii="Aptos" w:hAnsi="Aptos"/>
                <w:b w:val="0"/>
                <w:i w:val="0"/>
                <w:sz w:val="15"/>
              </w:rPr>
              <w:t>T2-EN-CS-107</w:t>
            </w:r>
          </w:p>
        </w:tc>
        <w:tc>
          <w:tcPr>
            <w:tcW w:type="dxa" w:w="7257"/>
            <w:tcMar>
              <w:top w:w="80" w:type="dxa"/>
              <w:start w:w="90" w:type="dxa"/>
              <w:bottom w:w="80" w:type="dxa"/>
              <w:end w:w="90" w:type="dxa"/>
            </w:tcMar>
            <w:vAlign w:val="center"/>
          </w:tcPr>
          <w:p>
            <w:pPr>
              <w:jc w:val="left"/>
            </w:pPr>
            <w:r>
              <w:rPr>
                <w:rFonts w:ascii="Aptos" w:hAnsi="Aptos"/>
                <w:b w:val="0"/>
                <w:i w:val="0"/>
                <w:sz w:val="15"/>
              </w:rPr>
              <w:t>Inserted five navigation parent headings to remove Heading 1→3 accessibility skips.</w:t>
            </w:r>
          </w:p>
        </w:tc>
        <w:tc>
          <w:tcPr>
            <w:tcW w:type="dxa" w:w="1701"/>
            <w:tcMar>
              <w:top w:w="80" w:type="dxa"/>
              <w:start w:w="90" w:type="dxa"/>
              <w:bottom w:w="80" w:type="dxa"/>
              <w:end w:w="90" w:type="dxa"/>
            </w:tcMar>
            <w:vAlign w:val="center"/>
          </w:tcPr>
          <w:p>
            <w:pPr>
              <w:jc w:val="center"/>
            </w:pPr>
            <w:r>
              <w:rPr>
                <w:rFonts w:ascii="Aptos" w:hAnsi="Aptos"/>
                <w:b w:val="0"/>
                <w:i w:val="0"/>
                <w:sz w:val="15"/>
              </w:rPr>
              <w:t>A11Y</w:t>
            </w:r>
          </w:p>
        </w:tc>
      </w:tr>
      <w:tr>
        <w:tc>
          <w:tcPr>
            <w:tcW w:type="dxa" w:w="1701"/>
            <w:tcMar>
              <w:top w:w="80" w:type="dxa"/>
              <w:start w:w="90" w:type="dxa"/>
              <w:bottom w:w="80" w:type="dxa"/>
              <w:end w:w="90" w:type="dxa"/>
            </w:tcMar>
            <w:vAlign w:val="center"/>
          </w:tcPr>
          <w:p>
            <w:pPr>
              <w:jc w:val="center"/>
            </w:pPr>
            <w:r>
              <w:rPr>
                <w:rFonts w:ascii="Aptos" w:hAnsi="Aptos"/>
                <w:b w:val="0"/>
                <w:i w:val="0"/>
                <w:sz w:val="15"/>
              </w:rPr>
              <w:t>T2-EN-CS-108</w:t>
            </w:r>
          </w:p>
        </w:tc>
        <w:tc>
          <w:tcPr>
            <w:tcW w:type="dxa" w:w="7257"/>
            <w:tcMar>
              <w:top w:w="80" w:type="dxa"/>
              <w:start w:w="90" w:type="dxa"/>
              <w:bottom w:w="80" w:type="dxa"/>
              <w:end w:w="90" w:type="dxa"/>
            </w:tcMar>
            <w:vAlign w:val="center"/>
          </w:tcPr>
          <w:p>
            <w:pPr>
              <w:jc w:val="left"/>
            </w:pPr>
            <w:r>
              <w:rPr>
                <w:rFonts w:ascii="Aptos" w:hAnsi="Aptos"/>
                <w:b w:val="0"/>
                <w:i w:val="0"/>
                <w:sz w:val="15"/>
              </w:rPr>
              <w:t>Preserved truth_layer_promotion=0 and all evidence-status firewalls.</w:t>
            </w:r>
          </w:p>
        </w:tc>
        <w:tc>
          <w:tcPr>
            <w:tcW w:type="dxa" w:w="1701"/>
            <w:tcMar>
              <w:top w:w="80" w:type="dxa"/>
              <w:start w:w="90" w:type="dxa"/>
              <w:bottom w:w="80" w:type="dxa"/>
              <w:end w:w="90" w:type="dxa"/>
            </w:tcMar>
            <w:vAlign w:val="center"/>
          </w:tcPr>
          <w:p>
            <w:pPr>
              <w:jc w:val="center"/>
            </w:pPr>
            <w:r>
              <w:rPr>
                <w:rFonts w:ascii="Aptos" w:hAnsi="Aptos"/>
                <w:b w:val="0"/>
                <w:i w:val="0"/>
                <w:sz w:val="15"/>
              </w:rPr>
              <w:t>STATUS-PARITY</w:t>
            </w:r>
          </w:p>
        </w:tc>
      </w:tr>
    </w:tbl>
    <w:p>
      <w:pPr>
        <w:pStyle w:val="Heading2"/>
        <w:keepNext/>
      </w:pPr>
      <w:r>
        <w:rPr>
          <w:rFonts w:ascii="Aptos" w:hAnsi="Aptos"/>
          <w:b/>
          <w:i w:val="0"/>
          <w:color w:val="1F4E78"/>
          <w:sz w:val="24"/>
        </w:rPr>
        <w:t>10. Publication Gate</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trPr>
        <w:tc>
          <w:tcPr>
            <w:tcW w:type="dxa" w:w="1587"/>
            <w:shd w:fill="1F4E78"/>
            <w:tcMar>
              <w:top w:w="80" w:type="dxa"/>
              <w:start w:w="90" w:type="dxa"/>
              <w:bottom w:w="80" w:type="dxa"/>
              <w:end w:w="90" w:type="dxa"/>
            </w:tcMar>
            <w:vAlign w:val="center"/>
          </w:tcPr>
          <w:p>
            <w:pPr>
              <w:jc w:val="center"/>
            </w:pPr>
            <w:r>
              <w:rPr>
                <w:rFonts w:ascii="Aptos" w:hAnsi="Aptos"/>
                <w:b/>
                <w:i w:val="0"/>
                <w:color w:val="FFFFFF"/>
                <w:sz w:val="15"/>
              </w:rPr>
              <w:t>ID</w:t>
            </w:r>
          </w:p>
        </w:tc>
        <w:tc>
          <w:tcPr>
            <w:tcW w:type="dxa" w:w="7087"/>
            <w:shd w:fill="1F4E78"/>
            <w:tcMar>
              <w:top w:w="80" w:type="dxa"/>
              <w:start w:w="90" w:type="dxa"/>
              <w:bottom w:w="80" w:type="dxa"/>
              <w:end w:w="90" w:type="dxa"/>
            </w:tcMar>
            <w:vAlign w:val="center"/>
          </w:tcPr>
          <w:p>
            <w:pPr>
              <w:jc w:val="center"/>
            </w:pPr>
            <w:r>
              <w:rPr>
                <w:rFonts w:ascii="Aptos" w:hAnsi="Aptos"/>
                <w:b/>
                <w:i w:val="0"/>
                <w:color w:val="FFFFFF"/>
                <w:sz w:val="15"/>
              </w:rPr>
              <w:t>Gate</w:t>
            </w:r>
          </w:p>
        </w:tc>
        <w:tc>
          <w:tcPr>
            <w:tcW w:type="dxa" w:w="1814"/>
            <w:shd w:fill="1F4E78"/>
            <w:tcMar>
              <w:top w:w="80" w:type="dxa"/>
              <w:start w:w="90" w:type="dxa"/>
              <w:bottom w:w="80" w:type="dxa"/>
              <w:end w:w="90" w:type="dxa"/>
            </w:tcMar>
            <w:vAlign w:val="center"/>
          </w:tcPr>
          <w:p>
            <w:pPr>
              <w:jc w:val="center"/>
            </w:pPr>
            <w:r>
              <w:rPr>
                <w:rFonts w:ascii="Aptos" w:hAnsi="Aptos"/>
                <w:b/>
                <w:i w:val="0"/>
                <w:color w:val="FFFFFF"/>
                <w:sz w:val="15"/>
              </w:rPr>
              <w:t>Verdict</w:t>
            </w:r>
          </w:p>
        </w:tc>
      </w:tr>
      <w:tr>
        <w:tc>
          <w:tcPr>
            <w:tcW w:type="dxa" w:w="1587"/>
            <w:tcMar>
              <w:top w:w="80" w:type="dxa"/>
              <w:start w:w="90" w:type="dxa"/>
              <w:bottom w:w="80" w:type="dxa"/>
              <w:end w:w="90" w:type="dxa"/>
            </w:tcMar>
            <w:vAlign w:val="center"/>
          </w:tcPr>
          <w:p>
            <w:pPr>
              <w:jc w:val="center"/>
            </w:pPr>
            <w:r>
              <w:rPr>
                <w:rFonts w:ascii="Aptos" w:hAnsi="Aptos"/>
                <w:b w:val="0"/>
                <w:i w:val="0"/>
                <w:sz w:val="15"/>
              </w:rPr>
              <w:t>PUB-01</w:t>
            </w:r>
          </w:p>
        </w:tc>
        <w:tc>
          <w:tcPr>
            <w:tcW w:type="dxa" w:w="7087"/>
            <w:tcMar>
              <w:top w:w="80" w:type="dxa"/>
              <w:start w:w="90" w:type="dxa"/>
              <w:bottom w:w="80" w:type="dxa"/>
              <w:end w:w="90" w:type="dxa"/>
            </w:tcMar>
            <w:vAlign w:val="center"/>
          </w:tcPr>
          <w:p>
            <w:pPr>
              <w:jc w:val="left"/>
            </w:pPr>
            <w:r>
              <w:rPr>
                <w:rFonts w:ascii="Aptos" w:hAnsi="Aptos"/>
                <w:b w:val="0"/>
                <w:i w:val="0"/>
                <w:sz w:val="15"/>
              </w:rPr>
              <w:t>24/24 chapter starts located in DOCX and PDF</w:t>
            </w:r>
          </w:p>
        </w:tc>
        <w:tc>
          <w:tcPr>
            <w:tcW w:type="dxa" w:w="1814"/>
            <w:tcMar>
              <w:top w:w="80" w:type="dxa"/>
              <w:start w:w="90" w:type="dxa"/>
              <w:bottom w:w="80" w:type="dxa"/>
              <w:end w:w="90" w:type="dxa"/>
            </w:tcMar>
            <w:vAlign w:val="center"/>
          </w:tcPr>
          <w:p>
            <w:pPr>
              <w:jc w:val="center"/>
            </w:pPr>
            <w:r>
              <w:rPr>
                <w:rFonts w:ascii="Aptos" w:hAnsi="Aptos"/>
                <w:b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PUB-02</w:t>
            </w:r>
          </w:p>
        </w:tc>
        <w:tc>
          <w:tcPr>
            <w:tcW w:type="dxa" w:w="7087"/>
            <w:tcMar>
              <w:top w:w="80" w:type="dxa"/>
              <w:start w:w="90" w:type="dxa"/>
              <w:bottom w:w="80" w:type="dxa"/>
              <w:end w:w="90" w:type="dxa"/>
            </w:tcMar>
            <w:vAlign w:val="center"/>
          </w:tcPr>
          <w:p>
            <w:pPr>
              <w:jc w:val="left"/>
            </w:pPr>
            <w:r>
              <w:rPr>
                <w:rFonts w:ascii="Aptos" w:hAnsi="Aptos"/>
                <w:b w:val="0"/>
                <w:i w:val="0"/>
                <w:sz w:val="15"/>
              </w:rPr>
              <w:t>Appendices T2-A-T2-E located in DOCX and PDF</w:t>
            </w:r>
          </w:p>
        </w:tc>
        <w:tc>
          <w:tcPr>
            <w:tcW w:type="dxa" w:w="1814"/>
            <w:tcMar>
              <w:top w:w="80" w:type="dxa"/>
              <w:start w:w="90" w:type="dxa"/>
              <w:bottom w:w="80" w:type="dxa"/>
              <w:end w:w="90" w:type="dxa"/>
            </w:tcMar>
            <w:vAlign w:val="center"/>
          </w:tcPr>
          <w:p>
            <w:pPr>
              <w:jc w:val="center"/>
            </w:pPr>
            <w:r>
              <w:rPr>
                <w:rFonts w:ascii="Aptos" w:hAnsi="Aptos"/>
                <w:b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PUB-03</w:t>
            </w:r>
          </w:p>
        </w:tc>
        <w:tc>
          <w:tcPr>
            <w:tcW w:type="dxa" w:w="7087"/>
            <w:tcMar>
              <w:top w:w="80" w:type="dxa"/>
              <w:start w:w="90" w:type="dxa"/>
              <w:bottom w:w="80" w:type="dxa"/>
              <w:end w:w="90" w:type="dxa"/>
            </w:tcMar>
            <w:vAlign w:val="center"/>
          </w:tcPr>
          <w:p>
            <w:pPr>
              <w:jc w:val="left"/>
            </w:pPr>
            <w:r>
              <w:rPr>
                <w:rFonts w:ascii="Aptos" w:hAnsi="Aptos"/>
                <w:b w:val="0"/>
                <w:i w:val="0"/>
                <w:sz w:val="15"/>
              </w:rPr>
              <w:t>PDF searchable text layer present</w:t>
            </w:r>
          </w:p>
        </w:tc>
        <w:tc>
          <w:tcPr>
            <w:tcW w:type="dxa" w:w="1814"/>
            <w:tcMar>
              <w:top w:w="80" w:type="dxa"/>
              <w:start w:w="90" w:type="dxa"/>
              <w:bottom w:w="80" w:type="dxa"/>
              <w:end w:w="90" w:type="dxa"/>
            </w:tcMar>
            <w:vAlign w:val="center"/>
          </w:tcPr>
          <w:p>
            <w:pPr>
              <w:jc w:val="center"/>
            </w:pPr>
            <w:r>
              <w:rPr>
                <w:rFonts w:ascii="Aptos" w:hAnsi="Aptos"/>
                <w:b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PUB-04</w:t>
            </w:r>
          </w:p>
        </w:tc>
        <w:tc>
          <w:tcPr>
            <w:tcW w:type="dxa" w:w="7087"/>
            <w:tcMar>
              <w:top w:w="80" w:type="dxa"/>
              <w:start w:w="90" w:type="dxa"/>
              <w:bottom w:w="80" w:type="dxa"/>
              <w:end w:w="90" w:type="dxa"/>
            </w:tcMar>
            <w:vAlign w:val="center"/>
          </w:tcPr>
          <w:p>
            <w:pPr>
              <w:jc w:val="left"/>
            </w:pPr>
            <w:r>
              <w:rPr>
                <w:rFonts w:ascii="Aptos" w:hAnsi="Aptos"/>
                <w:b w:val="0"/>
                <w:i w:val="0"/>
                <w:sz w:val="15"/>
              </w:rPr>
              <w:t>PDF page count, outline, and internal annotations verified</w:t>
            </w:r>
          </w:p>
        </w:tc>
        <w:tc>
          <w:tcPr>
            <w:tcW w:type="dxa" w:w="1814"/>
            <w:tcMar>
              <w:top w:w="80" w:type="dxa"/>
              <w:start w:w="90" w:type="dxa"/>
              <w:bottom w:w="80" w:type="dxa"/>
              <w:end w:w="90" w:type="dxa"/>
            </w:tcMar>
            <w:vAlign w:val="center"/>
          </w:tcPr>
          <w:p>
            <w:pPr>
              <w:jc w:val="center"/>
            </w:pPr>
            <w:r>
              <w:rPr>
                <w:rFonts w:ascii="Aptos" w:hAnsi="Aptos"/>
                <w:b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PUB-05</w:t>
            </w:r>
          </w:p>
        </w:tc>
        <w:tc>
          <w:tcPr>
            <w:tcW w:type="dxa" w:w="7087"/>
            <w:tcMar>
              <w:top w:w="80" w:type="dxa"/>
              <w:start w:w="90" w:type="dxa"/>
              <w:bottom w:w="80" w:type="dxa"/>
              <w:end w:w="90" w:type="dxa"/>
            </w:tcMar>
            <w:vAlign w:val="center"/>
          </w:tcPr>
          <w:p>
            <w:pPr>
              <w:jc w:val="left"/>
            </w:pPr>
            <w:r>
              <w:rPr>
                <w:rFonts w:ascii="Aptos" w:hAnsi="Aptos"/>
                <w:b w:val="0"/>
                <w:i w:val="0"/>
                <w:sz w:val="15"/>
              </w:rPr>
              <w:t>No unregistered Cyrillic outside the bilingual page map and original-language bibliography</w:t>
            </w:r>
          </w:p>
        </w:tc>
        <w:tc>
          <w:tcPr>
            <w:tcW w:type="dxa" w:w="1814"/>
            <w:tcMar>
              <w:top w:w="80" w:type="dxa"/>
              <w:start w:w="90" w:type="dxa"/>
              <w:bottom w:w="80" w:type="dxa"/>
              <w:end w:w="90" w:type="dxa"/>
            </w:tcMar>
            <w:vAlign w:val="center"/>
          </w:tcPr>
          <w:p>
            <w:pPr>
              <w:jc w:val="center"/>
            </w:pPr>
            <w:r>
              <w:rPr>
                <w:rFonts w:ascii="Aptos" w:hAnsi="Aptos"/>
                <w:b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PUB-06</w:t>
            </w:r>
          </w:p>
        </w:tc>
        <w:tc>
          <w:tcPr>
            <w:tcW w:type="dxa" w:w="7087"/>
            <w:tcMar>
              <w:top w:w="80" w:type="dxa"/>
              <w:start w:w="90" w:type="dxa"/>
              <w:bottom w:w="80" w:type="dxa"/>
              <w:end w:w="90" w:type="dxa"/>
            </w:tcMar>
            <w:vAlign w:val="center"/>
          </w:tcPr>
          <w:p>
            <w:pPr>
              <w:jc w:val="left"/>
            </w:pPr>
            <w:r>
              <w:rPr>
                <w:rFonts w:ascii="Aptos" w:hAnsi="Aptos"/>
                <w:b w:val="0"/>
                <w:i w:val="0"/>
                <w:sz w:val="15"/>
              </w:rPr>
              <w:t>No high-severity accessibility failure</w:t>
            </w:r>
          </w:p>
        </w:tc>
        <w:tc>
          <w:tcPr>
            <w:tcW w:type="dxa" w:w="1814"/>
            <w:tcMar>
              <w:top w:w="80" w:type="dxa"/>
              <w:start w:w="90" w:type="dxa"/>
              <w:bottom w:w="80" w:type="dxa"/>
              <w:end w:w="90" w:type="dxa"/>
            </w:tcMar>
            <w:vAlign w:val="center"/>
          </w:tcPr>
          <w:p>
            <w:pPr>
              <w:jc w:val="center"/>
            </w:pPr>
            <w:r>
              <w:rPr>
                <w:rFonts w:ascii="Aptos" w:hAnsi="Aptos"/>
                <w:b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PUB-07</w:t>
            </w:r>
          </w:p>
        </w:tc>
        <w:tc>
          <w:tcPr>
            <w:tcW w:type="dxa" w:w="7087"/>
            <w:tcMar>
              <w:top w:w="80" w:type="dxa"/>
              <w:start w:w="90" w:type="dxa"/>
              <w:bottom w:w="80" w:type="dxa"/>
              <w:end w:w="90" w:type="dxa"/>
            </w:tcMar>
            <w:vAlign w:val="center"/>
          </w:tcPr>
          <w:p>
            <w:pPr>
              <w:jc w:val="left"/>
            </w:pPr>
            <w:r>
              <w:rPr>
                <w:rFonts w:ascii="Aptos" w:hAnsi="Aptos"/>
                <w:b w:val="0"/>
                <w:i w:val="0"/>
                <w:sz w:val="15"/>
              </w:rPr>
              <w:t>EXT-RUN remains absent; EMP-OBS remains absent</w:t>
            </w:r>
          </w:p>
        </w:tc>
        <w:tc>
          <w:tcPr>
            <w:tcW w:type="dxa" w:w="1814"/>
            <w:tcMar>
              <w:top w:w="80" w:type="dxa"/>
              <w:start w:w="90" w:type="dxa"/>
              <w:bottom w:w="80" w:type="dxa"/>
              <w:end w:w="90" w:type="dxa"/>
            </w:tcMar>
            <w:vAlign w:val="center"/>
          </w:tcPr>
          <w:p>
            <w:pPr>
              <w:jc w:val="center"/>
            </w:pPr>
            <w:r>
              <w:rPr>
                <w:rFonts w:ascii="Aptos" w:hAnsi="Aptos"/>
                <w:b w:val="0"/>
                <w:i w:val="0"/>
                <w:sz w:val="15"/>
              </w:rPr>
              <w:t>PASS</w:t>
            </w:r>
          </w:p>
        </w:tc>
      </w:tr>
      <w:tr>
        <w:tc>
          <w:tcPr>
            <w:tcW w:type="dxa" w:w="1587"/>
            <w:tcMar>
              <w:top w:w="80" w:type="dxa"/>
              <w:start w:w="90" w:type="dxa"/>
              <w:bottom w:w="80" w:type="dxa"/>
              <w:end w:w="90" w:type="dxa"/>
            </w:tcMar>
            <w:vAlign w:val="center"/>
          </w:tcPr>
          <w:p>
            <w:pPr>
              <w:jc w:val="center"/>
            </w:pPr>
            <w:r>
              <w:rPr>
                <w:rFonts w:ascii="Aptos" w:hAnsi="Aptos"/>
                <w:b w:val="0"/>
                <w:i w:val="0"/>
                <w:sz w:val="15"/>
              </w:rPr>
              <w:t>PUB-08</w:t>
            </w:r>
          </w:p>
        </w:tc>
        <w:tc>
          <w:tcPr>
            <w:tcW w:type="dxa" w:w="7087"/>
            <w:tcMar>
              <w:top w:w="80" w:type="dxa"/>
              <w:start w:w="90" w:type="dxa"/>
              <w:bottom w:w="80" w:type="dxa"/>
              <w:end w:w="90" w:type="dxa"/>
            </w:tcMar>
            <w:vAlign w:val="center"/>
          </w:tcPr>
          <w:p>
            <w:pPr>
              <w:jc w:val="left"/>
            </w:pPr>
            <w:r>
              <w:rPr>
                <w:rFonts w:ascii="Aptos" w:hAnsi="Aptos"/>
                <w:b w:val="0"/>
                <w:i w:val="0"/>
                <w:sz w:val="15"/>
              </w:rPr>
              <w:t>Next gate is bilingual mathematical audit, not freeze</w:t>
            </w:r>
          </w:p>
        </w:tc>
        <w:tc>
          <w:tcPr>
            <w:tcW w:type="dxa" w:w="1814"/>
            <w:tcMar>
              <w:top w:w="80" w:type="dxa"/>
              <w:start w:w="90" w:type="dxa"/>
              <w:bottom w:w="80" w:type="dxa"/>
              <w:end w:w="90" w:type="dxa"/>
            </w:tcMar>
            <w:vAlign w:val="center"/>
          </w:tcPr>
          <w:p>
            <w:pPr>
              <w:jc w:val="center"/>
            </w:pPr>
            <w:r>
              <w:rPr>
                <w:rFonts w:ascii="Aptos" w:hAnsi="Aptos"/>
                <w:b w:val="0"/>
                <w:i w:val="0"/>
                <w:sz w:val="15"/>
              </w:rPr>
              <w:t>PASS</w:t>
            </w:r>
          </w:p>
        </w:tc>
      </w:tr>
    </w:tbl>
    <w:p>
      <w:pPr>
        <w:pStyle w:val="Heading2"/>
        <w:keepNext/>
      </w:pPr>
      <w:r>
        <w:rPr>
          <w:rFonts w:ascii="Aptos" w:hAnsi="Aptos"/>
          <w:b/>
          <w:i w:val="0"/>
          <w:color w:val="1F4E78"/>
          <w:sz w:val="24"/>
        </w:rPr>
        <w:t>11. Final Record T2-EN-ASSEMBLY-v0.7</w:t>
      </w:r>
    </w:p>
    <w:p>
      <w:pPr>
        <w:spacing w:after="100" w:line="259" w:lineRule="auto"/>
      </w:pPr>
      <w:r>
        <w:rPr>
          <w:rFonts w:ascii="Aptos" w:hAnsi="Aptos"/>
          <w:b w:val="0"/>
          <w:i w:val="0"/>
          <w:sz w:val="19"/>
        </w:rPr>
        <w:t>The complete 24-chapter English master, canonical Appendices T2-A-T2-E, static contents, navigation layer, bilingual page map, bibliography, figure/table registers, and publication gate are assembled. This checkpoint is not a frozen release. The next checkpoint is T2-EN-AUDIT-v0.8, which performs the bilingual mathematical, formula, status, blocker, negative-result, and T1/T3 consistency audit.</w:t>
      </w:r>
    </w:p>
    <w:tbl>
      <w:tblPr>
        <w:tblW w:type="auto" w:w="0"/>
        <w:jc w:val="center"/>
        <w:tblLayout w:type="autofit"/>
        <w:tblLook w:firstColumn="1" w:firstRow="1" w:lastColumn="0" w:lastRow="0" w:noHBand="0" w:noVBand="1" w:val="04A0"/>
      </w:tblPr>
      <w:tblGrid>
        <w:gridCol w:w="9978"/>
      </w:tblGrid>
      <w:tr>
        <w:tc>
          <w:tcPr>
            <w:tcW w:type="dxa" w:w="9978"/>
            <w:shd w:fill="FBE9E7"/>
            <w:tcMar>
              <w:top w:w="100" w:type="dxa"/>
              <w:start w:w="120" w:type="dxa"/>
              <w:bottom w:w="100" w:type="dxa"/>
              <w:end w:w="120" w:type="dxa"/>
            </w:tcMar>
          </w:tcPr>
          <w:p>
            <w:pPr>
              <w:jc w:val="left"/>
            </w:pPr>
            <w:r>
              <w:rPr>
                <w:rFonts w:ascii="Aptos" w:hAnsi="Aptos"/>
                <w:b w:val="0"/>
                <w:i w:val="0"/>
                <w:color w:val="9C1C1C"/>
                <w:sz w:val="18"/>
              </w:rPr>
              <w:t>STATUS FIREWALL. truth_layer_promotion=0. Authority(T2-RU v1.0) &gt; Authority(T2-EN). OPEN, COND, MODEL, PHY-HYP, ABSTAIN, and the absence of independent EXT-RUN / EMP-OBS are preserved.</w:t>
            </w:r>
          </w:p>
        </w:tc>
        <w:trPr>
          <w:tblHeader/>
          <w:cantSplit/>
        </w:trPr>
      </w:tr>
    </w:tbl>
    <w:p>
      <w:r>
        <w:br w:type="page"/>
      </w:r>
    </w:p>
    <w:p>
      <w:pPr>
        <w:pStyle w:val="Heading1"/>
        <w:keepNext/>
      </w:pPr>
      <w:r>
        <w:rPr>
          <w:rFonts w:ascii="Aptos" w:hAnsi="Aptos"/>
          <w:b/>
          <w:i w:val="0"/>
          <w:color w:val="1F4E78"/>
          <w:sz w:val="32"/>
        </w:rPr>
        <w:t>Derivative Appendix T2-F. Bilingual Mathematical Audit</w:t>
      </w:r>
    </w:p>
    <w:p>
      <w:pPr>
        <w:spacing w:after="100" w:line="259" w:lineRule="auto"/>
      </w:pPr>
      <w:r>
        <w:rPr>
          <w:rFonts w:ascii="Aptos" w:hAnsi="Aptos"/>
          <w:b w:val="0"/>
          <w:i w:val="0"/>
          <w:sz w:val="18"/>
        </w:rPr>
        <w:t>This derivative appendix records the internal bilingual audit required by checkpoint T2-EN-AUDIT-v0.8. It is an audit layer of the English derivative and is not a new canonical appendix of the frozen Russian Volume II.</w:t>
      </w:r>
    </w:p>
    <w:tbl>
      <w:tblPr>
        <w:tblW w:type="auto" w:w="0"/>
        <w:jc w:val="center"/>
        <w:tblLayout w:type="autofit"/>
        <w:tblLook w:firstColumn="1" w:firstRow="1" w:lastColumn="0" w:lastRow="0" w:noHBand="0" w:noVBand="1" w:val="04A0"/>
      </w:tblPr>
      <w:tblGrid>
        <w:gridCol w:w="9978"/>
      </w:tblGrid>
      <w:tr>
        <w:tc>
          <w:tcPr>
            <w:tcW w:type="dxa" w:w="9978"/>
            <w:shd w:fill="E8F3EA"/>
            <w:tcMar>
              <w:top w:w="120" w:type="dxa"/>
              <w:start w:w="130" w:type="dxa"/>
              <w:bottom w:w="120" w:type="dxa"/>
              <w:end w:w="130" w:type="dxa"/>
            </w:tcMar>
          </w:tcPr>
          <w:p>
            <w:r>
              <w:rPr>
                <w:rFonts w:ascii="Aptos" w:hAnsi="Aptos"/>
                <w:b/>
                <w:i w:val="0"/>
                <w:color w:val="2E6B3D"/>
                <w:sz w:val="18"/>
              </w:rPr>
              <w:t xml:space="preserve">AUDIT DECISION. </w:t>
            </w:r>
            <w:r>
              <w:rPr>
                <w:rFonts w:ascii="Aptos" w:hAnsi="Aptos"/>
                <w:b w:val="0"/>
                <w:i w:val="0"/>
                <w:sz w:val="18"/>
              </w:rPr>
              <w:t>PASS WITH CONTROLLED EDITORIAL CORRECTIONS. The corpus is accepted for preparation of T2-EN-FC-v0.9. No mathematical, evidential, or physical status is promoted.</w:t>
            </w:r>
          </w:p>
        </w:tc>
        <w:trPr>
          <w:tblHeader/>
        </w:trPr>
      </w:tr>
    </w:tbl>
    <w:p>
      <w:pPr>
        <w:pStyle w:val="Heading2"/>
        <w:keepNext/>
      </w:pPr>
      <w:r>
        <w:rPr>
          <w:rFonts w:ascii="Aptos" w:hAnsi="Aptos"/>
          <w:b/>
          <w:i w:val="0"/>
          <w:color w:val="1F4E78"/>
          <w:sz w:val="24"/>
        </w:rPr>
        <w:t>T2-F.1. Audit Passport</w:t>
      </w:r>
    </w:p>
    <w:tbl>
      <w:tblPr>
        <w:tblStyle w:val="TableGrid"/>
        <w:tblW w:type="auto" w:w="0"/>
        <w:jc w:val="center"/>
        <w:tblLayout w:type="fixed"/>
        <w:tblLook w:firstColumn="1" w:firstRow="1" w:lastColumn="0" w:lastRow="0" w:noHBand="0" w:noVBand="1" w:val="04A0"/>
      </w:tblPr>
      <w:tblGrid>
        <w:gridCol w:w="4989"/>
        <w:gridCol w:w="4989"/>
      </w:tblGrid>
      <w:tr>
        <w:trPr>
          <w:tblHeader w:val="true"/>
        </w:trPr>
        <w:tc>
          <w:tcPr>
            <w:tcW w:type="dxa" w:w="2721"/>
            <w:shd w:fill="1F4E78"/>
            <w:tcMar>
              <w:top w:w="90" w:type="dxa"/>
              <w:start w:w="100" w:type="dxa"/>
              <w:bottom w:w="90" w:type="dxa"/>
              <w:end w:w="100" w:type="dxa"/>
            </w:tcMar>
            <w:vAlign w:val="center"/>
          </w:tcPr>
          <w:p>
            <w:pPr>
              <w:jc w:val="center"/>
            </w:pPr>
            <w:r>
              <w:rPr>
                <w:rFonts w:ascii="Aptos" w:hAnsi="Aptos"/>
                <w:b/>
                <w:i w:val="0"/>
                <w:color w:val="FFFFFF"/>
                <w:sz w:val="16"/>
              </w:rPr>
              <w:t>Field</w:t>
            </w:r>
          </w:p>
        </w:tc>
        <w:tc>
          <w:tcPr>
            <w:tcW w:type="dxa" w:w="7030"/>
            <w:shd w:fill="1F4E78"/>
            <w:tcMar>
              <w:top w:w="90" w:type="dxa"/>
              <w:start w:w="100" w:type="dxa"/>
              <w:bottom w:w="90" w:type="dxa"/>
              <w:end w:w="100" w:type="dxa"/>
            </w:tcMar>
            <w:vAlign w:val="center"/>
          </w:tcPr>
          <w:p>
            <w:pPr>
              <w:jc w:val="center"/>
            </w:pPr>
            <w:r>
              <w:rPr>
                <w:rFonts w:ascii="Aptos" w:hAnsi="Aptos"/>
                <w:b/>
                <w:i w:val="0"/>
                <w:color w:val="FFFFFF"/>
                <w:sz w:val="16"/>
              </w:rPr>
              <w:t>Fixed value</w:t>
            </w:r>
          </w:p>
        </w:tc>
      </w:tr>
      <w:tr>
        <w:tc>
          <w:tcPr>
            <w:tcW w:type="dxa" w:w="2721"/>
            <w:tcMar>
              <w:top w:w="90" w:type="dxa"/>
              <w:start w:w="100" w:type="dxa"/>
              <w:bottom w:w="90" w:type="dxa"/>
              <w:end w:w="100" w:type="dxa"/>
            </w:tcMar>
            <w:vAlign w:val="center"/>
          </w:tcPr>
          <w:p>
            <w:pPr>
              <w:jc w:val="center"/>
            </w:pPr>
            <w:r>
              <w:rPr>
                <w:rFonts w:ascii="Aptos" w:hAnsi="Aptos"/>
                <w:b w:val="0"/>
                <w:i w:val="0"/>
                <w:sz w:val="16"/>
              </w:rPr>
              <w:t>Author</w:t>
            </w:r>
          </w:p>
        </w:tc>
        <w:tc>
          <w:tcPr>
            <w:tcW w:type="dxa" w:w="7030"/>
            <w:tcMar>
              <w:top w:w="90" w:type="dxa"/>
              <w:start w:w="100" w:type="dxa"/>
              <w:bottom w:w="90" w:type="dxa"/>
              <w:end w:w="100" w:type="dxa"/>
            </w:tcMar>
            <w:vAlign w:val="center"/>
          </w:tcPr>
          <w:p>
            <w:pPr>
              <w:jc w:val="left"/>
            </w:pPr>
            <w:r>
              <w:rPr>
                <w:rFonts w:ascii="Aptos" w:hAnsi="Aptos"/>
                <w:b w:val="0"/>
                <w:i w:val="0"/>
                <w:sz w:val="16"/>
              </w:rPr>
              <w:t>Ivan Borisovich Kurpishev</w:t>
            </w:r>
          </w:p>
        </w:tc>
      </w:tr>
      <w:tr>
        <w:tc>
          <w:tcPr>
            <w:tcW w:type="dxa" w:w="2721"/>
            <w:tcMar>
              <w:top w:w="90" w:type="dxa"/>
              <w:start w:w="100" w:type="dxa"/>
              <w:bottom w:w="90" w:type="dxa"/>
              <w:end w:w="100" w:type="dxa"/>
            </w:tcMar>
            <w:vAlign w:val="center"/>
          </w:tcPr>
          <w:p>
            <w:pPr>
              <w:jc w:val="center"/>
            </w:pPr>
            <w:r>
              <w:rPr>
                <w:rFonts w:ascii="Aptos" w:hAnsi="Aptos"/>
                <w:b w:val="0"/>
                <w:i w:val="0"/>
                <w:sz w:val="16"/>
              </w:rPr>
              <w:t>Project</w:t>
            </w:r>
          </w:p>
        </w:tc>
        <w:tc>
          <w:tcPr>
            <w:tcW w:type="dxa" w:w="7030"/>
            <w:tcMar>
              <w:top w:w="90" w:type="dxa"/>
              <w:start w:w="100" w:type="dxa"/>
              <w:bottom w:w="90" w:type="dxa"/>
              <w:end w:w="100" w:type="dxa"/>
            </w:tcMar>
            <w:vAlign w:val="center"/>
          </w:tcPr>
          <w:p>
            <w:pPr>
              <w:jc w:val="left"/>
            </w:pPr>
            <w:r>
              <w:rPr>
                <w:rFonts w:ascii="Aptos" w:hAnsi="Aptos"/>
                <w:b w:val="0"/>
                <w:i w:val="0"/>
                <w:sz w:val="16"/>
              </w:rPr>
              <w:t>KURPISHEV LOGIC 2 · Basic KLT-RBD Project</w:t>
            </w:r>
          </w:p>
        </w:tc>
      </w:tr>
      <w:tr>
        <w:tc>
          <w:tcPr>
            <w:tcW w:type="dxa" w:w="2721"/>
            <w:tcMar>
              <w:top w:w="90" w:type="dxa"/>
              <w:start w:w="100" w:type="dxa"/>
              <w:bottom w:w="90" w:type="dxa"/>
              <w:end w:w="100" w:type="dxa"/>
            </w:tcMar>
            <w:vAlign w:val="center"/>
          </w:tcPr>
          <w:p>
            <w:pPr>
              <w:jc w:val="center"/>
            </w:pPr>
            <w:r>
              <w:rPr>
                <w:rFonts w:ascii="Aptos" w:hAnsi="Aptos"/>
                <w:b w:val="0"/>
                <w:i w:val="0"/>
                <w:sz w:val="16"/>
              </w:rPr>
              <w:t>Checkpoint</w:t>
            </w:r>
          </w:p>
        </w:tc>
        <w:tc>
          <w:tcPr>
            <w:tcW w:type="dxa" w:w="7030"/>
            <w:tcMar>
              <w:top w:w="90" w:type="dxa"/>
              <w:start w:w="100" w:type="dxa"/>
              <w:bottom w:w="90" w:type="dxa"/>
              <w:end w:w="100" w:type="dxa"/>
            </w:tcMar>
            <w:vAlign w:val="center"/>
          </w:tcPr>
          <w:p>
            <w:pPr>
              <w:jc w:val="center"/>
            </w:pPr>
            <w:r>
              <w:rPr>
                <w:rFonts w:ascii="Aptos" w:hAnsi="Aptos"/>
                <w:b w:val="0"/>
                <w:i w:val="0"/>
                <w:sz w:val="16"/>
              </w:rPr>
              <w:t>T2-EN-AUDIT-v0.8</w:t>
            </w:r>
          </w:p>
        </w:tc>
      </w:tr>
      <w:tr>
        <w:tc>
          <w:tcPr>
            <w:tcW w:type="dxa" w:w="2721"/>
            <w:tcMar>
              <w:top w:w="90" w:type="dxa"/>
              <w:start w:w="100" w:type="dxa"/>
              <w:bottom w:w="90" w:type="dxa"/>
              <w:end w:w="100" w:type="dxa"/>
            </w:tcMar>
            <w:vAlign w:val="center"/>
          </w:tcPr>
          <w:p>
            <w:pPr>
              <w:jc w:val="center"/>
            </w:pPr>
            <w:r>
              <w:rPr>
                <w:rFonts w:ascii="Aptos" w:hAnsi="Aptos"/>
                <w:b w:val="0"/>
                <w:i w:val="0"/>
                <w:sz w:val="16"/>
              </w:rPr>
              <w:t>Canonical Russian authority</w:t>
            </w:r>
          </w:p>
        </w:tc>
        <w:tc>
          <w:tcPr>
            <w:tcW w:type="dxa" w:w="7030"/>
            <w:tcMar>
              <w:top w:w="90" w:type="dxa"/>
              <w:start w:w="100" w:type="dxa"/>
              <w:bottom w:w="90" w:type="dxa"/>
              <w:end w:w="100" w:type="dxa"/>
            </w:tcMar>
            <w:vAlign w:val="center"/>
          </w:tcPr>
          <w:p>
            <w:pPr>
              <w:jc w:val="left"/>
            </w:pPr>
            <w:r>
              <w:rPr>
                <w:rFonts w:ascii="Aptos" w:hAnsi="Aptos"/>
                <w:b w:val="0"/>
                <w:i w:val="0"/>
                <w:sz w:val="16"/>
              </w:rPr>
              <w:t>tom2_v1_0(1).docx / tom2_v1_0(1).pdf · T2-FREEZE-v1.0</w:t>
            </w:r>
          </w:p>
        </w:tc>
      </w:tr>
      <w:tr>
        <w:tc>
          <w:tcPr>
            <w:tcW w:type="dxa" w:w="2721"/>
            <w:tcMar>
              <w:top w:w="90" w:type="dxa"/>
              <w:start w:w="100" w:type="dxa"/>
              <w:bottom w:w="90" w:type="dxa"/>
              <w:end w:w="100" w:type="dxa"/>
            </w:tcMar>
            <w:vAlign w:val="center"/>
          </w:tcPr>
          <w:p>
            <w:pPr>
              <w:jc w:val="center"/>
            </w:pPr>
            <w:r>
              <w:rPr>
                <w:rFonts w:ascii="Aptos" w:hAnsi="Aptos"/>
                <w:b w:val="0"/>
                <w:i w:val="0"/>
                <w:sz w:val="16"/>
              </w:rPr>
              <w:t>English predecessor</w:t>
            </w:r>
          </w:p>
        </w:tc>
        <w:tc>
          <w:tcPr>
            <w:tcW w:type="dxa" w:w="7030"/>
            <w:tcMar>
              <w:top w:w="90" w:type="dxa"/>
              <w:start w:w="100" w:type="dxa"/>
              <w:bottom w:w="90" w:type="dxa"/>
              <w:end w:w="100" w:type="dxa"/>
            </w:tcMar>
            <w:vAlign w:val="center"/>
          </w:tcPr>
          <w:p>
            <w:pPr>
              <w:jc w:val="left"/>
            </w:pPr>
            <w:r>
              <w:rPr>
                <w:rFonts w:ascii="Aptos" w:hAnsi="Aptos"/>
                <w:b w:val="0"/>
                <w:i w:val="0"/>
                <w:sz w:val="16"/>
              </w:rPr>
              <w:t>tom2_en_v0_7.docx / pdf · T2-EN-ASSEMBLY-v0.7</w:t>
            </w:r>
          </w:p>
        </w:tc>
      </w:tr>
      <w:tr>
        <w:tc>
          <w:tcPr>
            <w:tcW w:type="dxa" w:w="2721"/>
            <w:tcMar>
              <w:top w:w="90" w:type="dxa"/>
              <w:start w:w="100" w:type="dxa"/>
              <w:bottom w:w="90" w:type="dxa"/>
              <w:end w:w="100" w:type="dxa"/>
            </w:tcMar>
            <w:vAlign w:val="center"/>
          </w:tcPr>
          <w:p>
            <w:pPr>
              <w:jc w:val="center"/>
            </w:pPr>
            <w:r>
              <w:rPr>
                <w:rFonts w:ascii="Aptos" w:hAnsi="Aptos"/>
                <w:b w:val="0"/>
                <w:i w:val="0"/>
                <w:sz w:val="16"/>
              </w:rPr>
              <w:t>Upstream English authority</w:t>
            </w:r>
          </w:p>
        </w:tc>
        <w:tc>
          <w:tcPr>
            <w:tcW w:type="dxa" w:w="7030"/>
            <w:tcMar>
              <w:top w:w="90" w:type="dxa"/>
              <w:start w:w="100" w:type="dxa"/>
              <w:bottom w:w="90" w:type="dxa"/>
              <w:end w:w="100" w:type="dxa"/>
            </w:tcMar>
            <w:vAlign w:val="center"/>
          </w:tcPr>
          <w:p>
            <w:pPr>
              <w:jc w:val="center"/>
            </w:pPr>
            <w:r>
              <w:rPr>
                <w:rFonts w:ascii="Aptos" w:hAnsi="Aptos"/>
                <w:b w:val="0"/>
                <w:i w:val="0"/>
                <w:sz w:val="16"/>
              </w:rPr>
              <w:t>T1-EN-FREEZE-v1.0</w:t>
            </w:r>
          </w:p>
        </w:tc>
      </w:tr>
      <w:tr>
        <w:tc>
          <w:tcPr>
            <w:tcW w:type="dxa" w:w="2721"/>
            <w:tcMar>
              <w:top w:w="90" w:type="dxa"/>
              <w:start w:w="100" w:type="dxa"/>
              <w:bottom w:w="90" w:type="dxa"/>
              <w:end w:w="100" w:type="dxa"/>
            </w:tcMar>
            <w:vAlign w:val="center"/>
          </w:tcPr>
          <w:p>
            <w:pPr>
              <w:jc w:val="center"/>
            </w:pPr>
            <w:r>
              <w:rPr>
                <w:rFonts w:ascii="Aptos" w:hAnsi="Aptos"/>
                <w:b w:val="0"/>
                <w:i w:val="0"/>
                <w:sz w:val="16"/>
              </w:rPr>
              <w:t>T3 terminology bridge</w:t>
            </w:r>
          </w:p>
        </w:tc>
        <w:tc>
          <w:tcPr>
            <w:tcW w:type="dxa" w:w="7030"/>
            <w:tcMar>
              <w:top w:w="90" w:type="dxa"/>
              <w:start w:w="100" w:type="dxa"/>
              <w:bottom w:w="90" w:type="dxa"/>
              <w:end w:w="100" w:type="dxa"/>
            </w:tcMar>
            <w:vAlign w:val="center"/>
          </w:tcPr>
          <w:p>
            <w:pPr>
              <w:jc w:val="left"/>
            </w:pPr>
            <w:r>
              <w:rPr>
                <w:rFonts w:ascii="Aptos" w:hAnsi="Aptos"/>
                <w:b w:val="0"/>
                <w:i w:val="0"/>
                <w:sz w:val="16"/>
              </w:rPr>
              <w:t>KLT-EN-TERM-LEDGER; consistency checked through the frozen cross-volume ledger</w:t>
            </w:r>
          </w:p>
        </w:tc>
      </w:tr>
      <w:tr>
        <w:tc>
          <w:tcPr>
            <w:tcW w:type="dxa" w:w="2721"/>
            <w:tcMar>
              <w:top w:w="90" w:type="dxa"/>
              <w:start w:w="100" w:type="dxa"/>
              <w:bottom w:w="90" w:type="dxa"/>
              <w:end w:w="100" w:type="dxa"/>
            </w:tcMar>
            <w:vAlign w:val="center"/>
          </w:tcPr>
          <w:p>
            <w:pPr>
              <w:jc w:val="center"/>
            </w:pPr>
            <w:r>
              <w:rPr>
                <w:rFonts w:ascii="Aptos" w:hAnsi="Aptos"/>
                <w:b w:val="0"/>
                <w:i w:val="0"/>
                <w:sz w:val="16"/>
              </w:rPr>
              <w:t>Audit scope</w:t>
            </w:r>
          </w:p>
        </w:tc>
        <w:tc>
          <w:tcPr>
            <w:tcW w:type="dxa" w:w="7030"/>
            <w:tcMar>
              <w:top w:w="90" w:type="dxa"/>
              <w:start w:w="100" w:type="dxa"/>
              <w:bottom w:w="90" w:type="dxa"/>
              <w:end w:w="100" w:type="dxa"/>
            </w:tcMar>
            <w:vAlign w:val="center"/>
          </w:tcPr>
          <w:p>
            <w:pPr>
              <w:jc w:val="left"/>
            </w:pPr>
            <w:r>
              <w:rPr>
                <w:rFonts w:ascii="Aptos" w:hAnsi="Aptos"/>
                <w:b w:val="0"/>
                <w:i w:val="0"/>
                <w:sz w:val="16"/>
              </w:rPr>
              <w:t>24 chapters; T2-A-T2-E; 339 formal objects; 500 obligations; 404 formula IDs; 8 countertheorems</w:t>
            </w:r>
          </w:p>
        </w:tc>
      </w:tr>
      <w:tr>
        <w:tc>
          <w:tcPr>
            <w:tcW w:type="dxa" w:w="2721"/>
            <w:tcMar>
              <w:top w:w="90" w:type="dxa"/>
              <w:start w:w="100" w:type="dxa"/>
              <w:bottom w:w="90" w:type="dxa"/>
              <w:end w:w="100" w:type="dxa"/>
            </w:tcMar>
            <w:vAlign w:val="center"/>
          </w:tcPr>
          <w:p>
            <w:pPr>
              <w:jc w:val="center"/>
            </w:pPr>
            <w:r>
              <w:rPr>
                <w:rFonts w:ascii="Aptos" w:hAnsi="Aptos"/>
                <w:b w:val="0"/>
                <w:i w:val="0"/>
                <w:sz w:val="16"/>
              </w:rPr>
              <w:t>Authority rule</w:t>
            </w:r>
          </w:p>
        </w:tc>
        <w:tc>
          <w:tcPr>
            <w:tcW w:type="dxa" w:w="7030"/>
            <w:tcMar>
              <w:top w:w="90" w:type="dxa"/>
              <w:start w:w="100" w:type="dxa"/>
              <w:bottom w:w="90" w:type="dxa"/>
              <w:end w:w="100" w:type="dxa"/>
            </w:tcMar>
            <w:vAlign w:val="center"/>
          </w:tcPr>
          <w:p>
            <w:pPr>
              <w:jc w:val="left"/>
            </w:pPr>
            <w:r>
              <w:rPr>
                <w:rFonts w:ascii="Aptos" w:hAnsi="Aptos"/>
                <w:b w:val="0"/>
                <w:i w:val="0"/>
                <w:sz w:val="16"/>
              </w:rPr>
              <w:t>Authority(T2-RU v1.0) &gt; Authority(T2-EN)</w:t>
            </w:r>
          </w:p>
        </w:tc>
      </w:tr>
      <w:tr>
        <w:tc>
          <w:tcPr>
            <w:tcW w:type="dxa" w:w="2721"/>
            <w:tcMar>
              <w:top w:w="90" w:type="dxa"/>
              <w:start w:w="100" w:type="dxa"/>
              <w:bottom w:w="90" w:type="dxa"/>
              <w:end w:w="100" w:type="dxa"/>
            </w:tcMar>
            <w:vAlign w:val="center"/>
          </w:tcPr>
          <w:p>
            <w:pPr>
              <w:jc w:val="center"/>
            </w:pPr>
            <w:r>
              <w:rPr>
                <w:rFonts w:ascii="Aptos" w:hAnsi="Aptos"/>
                <w:b w:val="0"/>
                <w:i w:val="0"/>
                <w:sz w:val="16"/>
              </w:rPr>
              <w:t>External signed bilingual audit</w:t>
            </w:r>
          </w:p>
        </w:tc>
        <w:tc>
          <w:tcPr>
            <w:tcW w:type="dxa" w:w="7030"/>
            <w:tcMar>
              <w:top w:w="90" w:type="dxa"/>
              <w:start w:w="100" w:type="dxa"/>
              <w:bottom w:w="90" w:type="dxa"/>
              <w:end w:w="100" w:type="dxa"/>
            </w:tcMar>
            <w:vAlign w:val="center"/>
          </w:tcPr>
          <w:p>
            <w:pPr>
              <w:jc w:val="center"/>
            </w:pPr>
            <w:r>
              <w:rPr>
                <w:rFonts w:ascii="Aptos" w:hAnsi="Aptos"/>
                <w:b w:val="0"/>
                <w:i w:val="0"/>
                <w:sz w:val="16"/>
              </w:rPr>
              <w:t>OPEN NON-VETO</w:t>
            </w:r>
          </w:p>
        </w:tc>
      </w:tr>
      <w:tr>
        <w:tc>
          <w:tcPr>
            <w:tcW w:type="dxa" w:w="2721"/>
            <w:tcMar>
              <w:top w:w="90" w:type="dxa"/>
              <w:start w:w="100" w:type="dxa"/>
              <w:bottom w:w="90" w:type="dxa"/>
              <w:end w:w="100" w:type="dxa"/>
            </w:tcMar>
            <w:vAlign w:val="center"/>
          </w:tcPr>
          <w:p>
            <w:pPr>
              <w:jc w:val="center"/>
            </w:pPr>
            <w:r>
              <w:rPr>
                <w:rFonts w:ascii="Aptos" w:hAnsi="Aptos"/>
                <w:b w:val="0"/>
                <w:i w:val="0"/>
                <w:sz w:val="16"/>
              </w:rPr>
              <w:t>Next checkpoint</w:t>
            </w:r>
          </w:p>
        </w:tc>
        <w:tc>
          <w:tcPr>
            <w:tcW w:type="dxa" w:w="7030"/>
            <w:tcMar>
              <w:top w:w="90" w:type="dxa"/>
              <w:start w:w="100" w:type="dxa"/>
              <w:bottom w:w="90" w:type="dxa"/>
              <w:end w:w="100" w:type="dxa"/>
            </w:tcMar>
            <w:vAlign w:val="center"/>
          </w:tcPr>
          <w:p>
            <w:pPr>
              <w:jc w:val="center"/>
            </w:pPr>
            <w:r>
              <w:rPr>
                <w:rFonts w:ascii="Aptos" w:hAnsi="Aptos"/>
                <w:b w:val="0"/>
                <w:i w:val="0"/>
                <w:sz w:val="16"/>
              </w:rPr>
              <w:t>T2-EN-FC-v0.9</w:t>
            </w:r>
          </w:p>
        </w:tc>
      </w:tr>
    </w:tbl>
    <w:p>
      <w:pPr>
        <w:pStyle w:val="Heading2"/>
        <w:keepNext/>
      </w:pPr>
      <w:r>
        <w:rPr>
          <w:rFonts w:ascii="Aptos" w:hAnsi="Aptos"/>
          <w:b/>
          <w:i w:val="0"/>
          <w:color w:val="1F4E78"/>
          <w:sz w:val="24"/>
        </w:rPr>
        <w:t>T2-F.2. Audit Method and Acceptance Criteria</w:t>
      </w:r>
    </w:p>
    <w:p>
      <w:pPr>
        <w:pStyle w:val="ListBullet"/>
      </w:pPr>
      <w:r>
        <w:rPr>
          <w:rFonts w:ascii="Aptos" w:hAnsi="Aptos"/>
          <w:b w:val="0"/>
          <w:i w:val="0"/>
          <w:sz w:val="18"/>
        </w:rPr>
        <w:t>Identifier parity: every Russian chapter, appendix, typed formal object, evidence obligation, and formula identifier must have exactly one English counterpart.</w:t>
      </w:r>
    </w:p>
    <w:p>
      <w:pPr>
        <w:pStyle w:val="ListBullet"/>
      </w:pPr>
      <w:r>
        <w:rPr>
          <w:rFonts w:ascii="Aptos" w:hAnsi="Aptos"/>
          <w:b w:val="0"/>
          <w:i w:val="0"/>
          <w:sz w:val="18"/>
        </w:rPr>
        <w:t>Formula parity: literal text may translate connective prose or localise decimal punctuation, but the mathematical token signature, variables, operators, inequalities, domains, and branch labels must remain unchanged.</w:t>
      </w:r>
    </w:p>
    <w:p>
      <w:pPr>
        <w:pStyle w:val="ListBullet"/>
      </w:pPr>
      <w:r>
        <w:rPr>
          <w:rFonts w:ascii="Aptos" w:hAnsi="Aptos"/>
          <w:b w:val="0"/>
          <w:i w:val="0"/>
          <w:sz w:val="18"/>
        </w:rPr>
        <w:t>Status parity: an English status may translate a hypothesis or domain qualifier, but it may not move upward in the evidential order.</w:t>
      </w:r>
    </w:p>
    <w:p>
      <w:pPr>
        <w:pStyle w:val="ListBullet"/>
      </w:pPr>
      <w:r>
        <w:rPr>
          <w:rFonts w:ascii="Aptos" w:hAnsi="Aptos"/>
          <w:b w:val="0"/>
          <w:i w:val="0"/>
          <w:sz w:val="18"/>
        </w:rPr>
        <w:t>Negative-result retention: countertheorems, no-go implications, ABSTAIN/FAIL branches, and explicit limitations must remain visible.</w:t>
      </w:r>
    </w:p>
    <w:p>
      <w:pPr>
        <w:pStyle w:val="ListBullet"/>
      </w:pPr>
      <w:r>
        <w:rPr>
          <w:rFonts w:ascii="Aptos" w:hAnsi="Aptos"/>
          <w:b w:val="0"/>
          <w:i w:val="0"/>
          <w:sz w:val="18"/>
        </w:rPr>
        <w:t>Cross-volume consistency: Volume II must use the frozen Volume I English terminology and the T1-T3 terminology ledger without redefining controlled authorial terms.</w:t>
      </w:r>
    </w:p>
    <w:p>
      <w:pPr>
        <w:pStyle w:val="ListBullet"/>
      </w:pPr>
      <w:r>
        <w:rPr>
          <w:rFonts w:ascii="Aptos" w:hAnsi="Aptos"/>
          <w:b w:val="0"/>
          <w:i w:val="0"/>
          <w:sz w:val="18"/>
        </w:rPr>
        <w:t>No-scientific-change diff: the text from Chapter 1 through Appendix T2-E must remain unchanged from v0.7; only version metadata and the derivative audit appendix may be added.</w:t>
      </w:r>
    </w:p>
    <w:p>
      <w:pPr>
        <w:pStyle w:val="Heading2"/>
        <w:keepNext/>
      </w:pPr>
      <w:r>
        <w:rPr>
          <w:rFonts w:ascii="Aptos" w:hAnsi="Aptos"/>
          <w:b/>
          <w:i w:val="0"/>
          <w:color w:val="1F4E78"/>
          <w:sz w:val="24"/>
        </w:rPr>
        <w:t>T2-F.3. Structural Parity</w:t>
      </w:r>
    </w:p>
    <w:tbl>
      <w:tblPr>
        <w:tblStyle w:val="TableGrid"/>
        <w:tblW w:type="auto" w:w="0"/>
        <w:jc w:val="center"/>
        <w:tblLayout w:type="fixed"/>
        <w:tblLook w:firstColumn="1" w:firstRow="1" w:lastColumn="0" w:lastRow="0" w:noHBand="0" w:noVBand="1" w:val="04A0"/>
      </w:tblPr>
      <w:tblGrid>
        <w:gridCol w:w="2494"/>
        <w:gridCol w:w="2494"/>
        <w:gridCol w:w="2494"/>
        <w:gridCol w:w="2494"/>
      </w:tblGrid>
      <w:tr>
        <w:trPr>
          <w:tblHeader w:val="true"/>
        </w:trPr>
        <w:tc>
          <w:tcPr>
            <w:tcW w:type="dxa" w:w="3118"/>
            <w:shd w:fill="1F4E78"/>
            <w:tcMar>
              <w:top w:w="90" w:type="dxa"/>
              <w:start w:w="100" w:type="dxa"/>
              <w:bottom w:w="90" w:type="dxa"/>
              <w:end w:w="100" w:type="dxa"/>
            </w:tcMar>
            <w:vAlign w:val="center"/>
          </w:tcPr>
          <w:p>
            <w:pPr>
              <w:jc w:val="center"/>
            </w:pPr>
            <w:r>
              <w:rPr>
                <w:rFonts w:ascii="Aptos" w:hAnsi="Aptos"/>
                <w:b/>
                <w:i w:val="0"/>
                <w:color w:val="FFFFFF"/>
                <w:sz w:val="16"/>
              </w:rPr>
              <w:t>Object</w:t>
            </w:r>
          </w:p>
        </w:tc>
        <w:tc>
          <w:tcPr>
            <w:tcW w:type="dxa" w:w="2438"/>
            <w:shd w:fill="1F4E78"/>
            <w:tcMar>
              <w:top w:w="90" w:type="dxa"/>
              <w:start w:w="100" w:type="dxa"/>
              <w:bottom w:w="90" w:type="dxa"/>
              <w:end w:w="100" w:type="dxa"/>
            </w:tcMar>
            <w:vAlign w:val="center"/>
          </w:tcPr>
          <w:p>
            <w:pPr>
              <w:jc w:val="center"/>
            </w:pPr>
            <w:r>
              <w:rPr>
                <w:rFonts w:ascii="Aptos" w:hAnsi="Aptos"/>
                <w:b/>
                <w:i w:val="0"/>
                <w:color w:val="FFFFFF"/>
                <w:sz w:val="16"/>
              </w:rPr>
              <w:t>Russian authority</w:t>
            </w:r>
          </w:p>
        </w:tc>
        <w:tc>
          <w:tcPr>
            <w:tcW w:type="dxa" w:w="2721"/>
            <w:shd w:fill="1F4E78"/>
            <w:tcMar>
              <w:top w:w="90" w:type="dxa"/>
              <w:start w:w="100" w:type="dxa"/>
              <w:bottom w:w="90" w:type="dxa"/>
              <w:end w:w="100" w:type="dxa"/>
            </w:tcMar>
            <w:vAlign w:val="center"/>
          </w:tcPr>
          <w:p>
            <w:pPr>
              <w:jc w:val="center"/>
            </w:pPr>
            <w:r>
              <w:rPr>
                <w:rFonts w:ascii="Aptos" w:hAnsi="Aptos"/>
                <w:b/>
                <w:i w:val="0"/>
                <w:color w:val="FFFFFF"/>
                <w:sz w:val="16"/>
              </w:rPr>
              <w:t>English audited master</w:t>
            </w:r>
          </w:p>
        </w:tc>
        <w:tc>
          <w:tcPr>
            <w:tcW w:type="dxa" w:w="1474"/>
            <w:shd w:fill="1F4E78"/>
            <w:tcMar>
              <w:top w:w="90" w:type="dxa"/>
              <w:start w:w="100" w:type="dxa"/>
              <w:bottom w:w="90" w:type="dxa"/>
              <w:end w:w="100" w:type="dxa"/>
            </w:tcMar>
            <w:vAlign w:val="center"/>
          </w:tcPr>
          <w:p>
            <w:pPr>
              <w:jc w:val="center"/>
            </w:pPr>
            <w:r>
              <w:rPr>
                <w:rFonts w:ascii="Aptos" w:hAnsi="Aptos"/>
                <w:b/>
                <w:i w:val="0"/>
                <w:color w:val="FFFFFF"/>
                <w:sz w:val="16"/>
              </w:rPr>
              <w:t>Verdict</w:t>
            </w:r>
          </w:p>
        </w:tc>
      </w:tr>
      <w:tr>
        <w:tc>
          <w:tcPr>
            <w:tcW w:type="dxa" w:w="3118"/>
            <w:tcMar>
              <w:top w:w="90" w:type="dxa"/>
              <w:start w:w="100" w:type="dxa"/>
              <w:bottom w:w="90" w:type="dxa"/>
              <w:end w:w="100" w:type="dxa"/>
            </w:tcMar>
            <w:vAlign w:val="center"/>
          </w:tcPr>
          <w:p>
            <w:pPr>
              <w:jc w:val="center"/>
            </w:pPr>
            <w:r>
              <w:rPr>
                <w:rFonts w:ascii="Aptos" w:hAnsi="Aptos"/>
                <w:b w:val="0"/>
                <w:i w:val="0"/>
                <w:sz w:val="16"/>
              </w:rPr>
              <w:t>Chapters</w:t>
            </w:r>
          </w:p>
        </w:tc>
        <w:tc>
          <w:tcPr>
            <w:tcW w:type="dxa" w:w="2438"/>
            <w:tcMar>
              <w:top w:w="90" w:type="dxa"/>
              <w:start w:w="100" w:type="dxa"/>
              <w:bottom w:w="90" w:type="dxa"/>
              <w:end w:w="100" w:type="dxa"/>
            </w:tcMar>
            <w:vAlign w:val="center"/>
          </w:tcPr>
          <w:p>
            <w:pPr>
              <w:jc w:val="center"/>
            </w:pPr>
            <w:r>
              <w:rPr>
                <w:rFonts w:ascii="Aptos" w:hAnsi="Aptos"/>
                <w:b w:val="0"/>
                <w:i w:val="0"/>
                <w:sz w:val="16"/>
              </w:rPr>
              <w:t>24</w:t>
            </w:r>
          </w:p>
        </w:tc>
        <w:tc>
          <w:tcPr>
            <w:tcW w:type="dxa" w:w="2721"/>
            <w:tcMar>
              <w:top w:w="90" w:type="dxa"/>
              <w:start w:w="100" w:type="dxa"/>
              <w:bottom w:w="90" w:type="dxa"/>
              <w:end w:w="100" w:type="dxa"/>
            </w:tcMar>
            <w:vAlign w:val="center"/>
          </w:tcPr>
          <w:p>
            <w:pPr>
              <w:jc w:val="center"/>
            </w:pPr>
            <w:r>
              <w:rPr>
                <w:rFonts w:ascii="Aptos" w:hAnsi="Aptos"/>
                <w:b w:val="0"/>
                <w:i w:val="0"/>
                <w:sz w:val="16"/>
              </w:rPr>
              <w:t>24</w:t>
            </w:r>
          </w:p>
        </w:tc>
        <w:tc>
          <w:tcPr>
            <w:tcW w:type="dxa" w:w="1474"/>
            <w:tcMar>
              <w:top w:w="90" w:type="dxa"/>
              <w:start w:w="100" w:type="dxa"/>
              <w:bottom w:w="90" w:type="dxa"/>
              <w:end w:w="100" w:type="dxa"/>
            </w:tcMar>
            <w:vAlign w:val="center"/>
          </w:tcPr>
          <w:p>
            <w:pPr>
              <w:jc w:val="center"/>
            </w:pPr>
            <w:r>
              <w:rPr>
                <w:rFonts w:ascii="Aptos" w:hAnsi="Aptos"/>
                <w:b w:val="0"/>
                <w:i w:val="0"/>
                <w:sz w:val="16"/>
              </w:rPr>
              <w:t>PASS</w:t>
            </w:r>
          </w:p>
        </w:tc>
      </w:tr>
      <w:tr>
        <w:tc>
          <w:tcPr>
            <w:tcW w:type="dxa" w:w="3118"/>
            <w:tcMar>
              <w:top w:w="90" w:type="dxa"/>
              <w:start w:w="100" w:type="dxa"/>
              <w:bottom w:w="90" w:type="dxa"/>
              <w:end w:w="100" w:type="dxa"/>
            </w:tcMar>
            <w:vAlign w:val="center"/>
          </w:tcPr>
          <w:p>
            <w:pPr>
              <w:jc w:val="center"/>
            </w:pPr>
            <w:r>
              <w:rPr>
                <w:rFonts w:ascii="Aptos" w:hAnsi="Aptos"/>
                <w:b w:val="0"/>
                <w:i w:val="0"/>
                <w:sz w:val="16"/>
              </w:rPr>
              <w:t>Canonical appendices</w:t>
            </w:r>
          </w:p>
        </w:tc>
        <w:tc>
          <w:tcPr>
            <w:tcW w:type="dxa" w:w="2438"/>
            <w:tcMar>
              <w:top w:w="90" w:type="dxa"/>
              <w:start w:w="100" w:type="dxa"/>
              <w:bottom w:w="90" w:type="dxa"/>
              <w:end w:w="100" w:type="dxa"/>
            </w:tcMar>
            <w:vAlign w:val="center"/>
          </w:tcPr>
          <w:p>
            <w:pPr>
              <w:jc w:val="center"/>
            </w:pPr>
            <w:r>
              <w:rPr>
                <w:rFonts w:ascii="Aptos" w:hAnsi="Aptos"/>
                <w:b w:val="0"/>
                <w:i w:val="0"/>
                <w:sz w:val="16"/>
              </w:rPr>
              <w:t>5 (T2-A-T2-E)</w:t>
            </w:r>
          </w:p>
        </w:tc>
        <w:tc>
          <w:tcPr>
            <w:tcW w:type="dxa" w:w="2721"/>
            <w:tcMar>
              <w:top w:w="90" w:type="dxa"/>
              <w:start w:w="100" w:type="dxa"/>
              <w:bottom w:w="90" w:type="dxa"/>
              <w:end w:w="100" w:type="dxa"/>
            </w:tcMar>
            <w:vAlign w:val="center"/>
          </w:tcPr>
          <w:p>
            <w:pPr>
              <w:jc w:val="center"/>
            </w:pPr>
            <w:r>
              <w:rPr>
                <w:rFonts w:ascii="Aptos" w:hAnsi="Aptos"/>
                <w:b w:val="0"/>
                <w:i w:val="0"/>
                <w:sz w:val="16"/>
              </w:rPr>
              <w:t>5 (T2-A-T2-E)</w:t>
            </w:r>
          </w:p>
        </w:tc>
        <w:tc>
          <w:tcPr>
            <w:tcW w:type="dxa" w:w="1474"/>
            <w:tcMar>
              <w:top w:w="90" w:type="dxa"/>
              <w:start w:w="100" w:type="dxa"/>
              <w:bottom w:w="90" w:type="dxa"/>
              <w:end w:w="100" w:type="dxa"/>
            </w:tcMar>
            <w:vAlign w:val="center"/>
          </w:tcPr>
          <w:p>
            <w:pPr>
              <w:jc w:val="center"/>
            </w:pPr>
            <w:r>
              <w:rPr>
                <w:rFonts w:ascii="Aptos" w:hAnsi="Aptos"/>
                <w:b w:val="0"/>
                <w:i w:val="0"/>
                <w:sz w:val="16"/>
              </w:rPr>
              <w:t>PASS</w:t>
            </w:r>
          </w:p>
        </w:tc>
      </w:tr>
      <w:tr>
        <w:tc>
          <w:tcPr>
            <w:tcW w:type="dxa" w:w="3118"/>
            <w:tcMar>
              <w:top w:w="90" w:type="dxa"/>
              <w:start w:w="100" w:type="dxa"/>
              <w:bottom w:w="90" w:type="dxa"/>
              <w:end w:w="100" w:type="dxa"/>
            </w:tcMar>
            <w:vAlign w:val="center"/>
          </w:tcPr>
          <w:p>
            <w:pPr>
              <w:jc w:val="center"/>
            </w:pPr>
            <w:r>
              <w:rPr>
                <w:rFonts w:ascii="Aptos" w:hAnsi="Aptos"/>
                <w:b w:val="0"/>
                <w:i w:val="0"/>
                <w:sz w:val="16"/>
              </w:rPr>
              <w:t>Typed formal objects</w:t>
            </w:r>
          </w:p>
        </w:tc>
        <w:tc>
          <w:tcPr>
            <w:tcW w:type="dxa" w:w="2438"/>
            <w:tcMar>
              <w:top w:w="90" w:type="dxa"/>
              <w:start w:w="100" w:type="dxa"/>
              <w:bottom w:w="90" w:type="dxa"/>
              <w:end w:w="100" w:type="dxa"/>
            </w:tcMar>
            <w:vAlign w:val="center"/>
          </w:tcPr>
          <w:p>
            <w:pPr>
              <w:jc w:val="center"/>
            </w:pPr>
            <w:r>
              <w:rPr>
                <w:rFonts w:ascii="Aptos" w:hAnsi="Aptos"/>
                <w:b w:val="0"/>
                <w:i w:val="0"/>
                <w:sz w:val="16"/>
              </w:rPr>
              <w:t>339</w:t>
            </w:r>
          </w:p>
        </w:tc>
        <w:tc>
          <w:tcPr>
            <w:tcW w:type="dxa" w:w="2721"/>
            <w:tcMar>
              <w:top w:w="90" w:type="dxa"/>
              <w:start w:w="100" w:type="dxa"/>
              <w:bottom w:w="90" w:type="dxa"/>
              <w:end w:w="100" w:type="dxa"/>
            </w:tcMar>
            <w:vAlign w:val="center"/>
          </w:tcPr>
          <w:p>
            <w:pPr>
              <w:jc w:val="center"/>
            </w:pPr>
            <w:r>
              <w:rPr>
                <w:rFonts w:ascii="Aptos" w:hAnsi="Aptos"/>
                <w:b w:val="0"/>
                <w:i w:val="0"/>
                <w:sz w:val="16"/>
              </w:rPr>
              <w:t>339</w:t>
            </w:r>
          </w:p>
        </w:tc>
        <w:tc>
          <w:tcPr>
            <w:tcW w:type="dxa" w:w="1474"/>
            <w:tcMar>
              <w:top w:w="90" w:type="dxa"/>
              <w:start w:w="100" w:type="dxa"/>
              <w:bottom w:w="90" w:type="dxa"/>
              <w:end w:w="100" w:type="dxa"/>
            </w:tcMar>
            <w:vAlign w:val="center"/>
          </w:tcPr>
          <w:p>
            <w:pPr>
              <w:jc w:val="center"/>
            </w:pPr>
            <w:r>
              <w:rPr>
                <w:rFonts w:ascii="Aptos" w:hAnsi="Aptos"/>
                <w:b w:val="0"/>
                <w:i w:val="0"/>
                <w:sz w:val="16"/>
              </w:rPr>
              <w:t>PASS</w:t>
            </w:r>
          </w:p>
        </w:tc>
      </w:tr>
      <w:tr>
        <w:tc>
          <w:tcPr>
            <w:tcW w:type="dxa" w:w="3118"/>
            <w:tcMar>
              <w:top w:w="90" w:type="dxa"/>
              <w:start w:w="100" w:type="dxa"/>
              <w:bottom w:w="90" w:type="dxa"/>
              <w:end w:w="100" w:type="dxa"/>
            </w:tcMar>
            <w:vAlign w:val="center"/>
          </w:tcPr>
          <w:p>
            <w:pPr>
              <w:jc w:val="center"/>
            </w:pPr>
            <w:r>
              <w:rPr>
                <w:rFonts w:ascii="Aptos" w:hAnsi="Aptos"/>
                <w:b w:val="0"/>
                <w:i w:val="0"/>
                <w:sz w:val="16"/>
              </w:rPr>
              <w:t>Evidence obligations</w:t>
            </w:r>
          </w:p>
        </w:tc>
        <w:tc>
          <w:tcPr>
            <w:tcW w:type="dxa" w:w="2438"/>
            <w:tcMar>
              <w:top w:w="90" w:type="dxa"/>
              <w:start w:w="100" w:type="dxa"/>
              <w:bottom w:w="90" w:type="dxa"/>
              <w:end w:w="100" w:type="dxa"/>
            </w:tcMar>
            <w:vAlign w:val="center"/>
          </w:tcPr>
          <w:p>
            <w:pPr>
              <w:jc w:val="center"/>
            </w:pPr>
            <w:r>
              <w:rPr>
                <w:rFonts w:ascii="Aptos" w:hAnsi="Aptos"/>
                <w:b w:val="0"/>
                <w:i w:val="0"/>
                <w:sz w:val="16"/>
              </w:rPr>
              <w:t>500</w:t>
            </w:r>
          </w:p>
        </w:tc>
        <w:tc>
          <w:tcPr>
            <w:tcW w:type="dxa" w:w="2721"/>
            <w:tcMar>
              <w:top w:w="90" w:type="dxa"/>
              <w:start w:w="100" w:type="dxa"/>
              <w:bottom w:w="90" w:type="dxa"/>
              <w:end w:w="100" w:type="dxa"/>
            </w:tcMar>
            <w:vAlign w:val="center"/>
          </w:tcPr>
          <w:p>
            <w:pPr>
              <w:jc w:val="center"/>
            </w:pPr>
            <w:r>
              <w:rPr>
                <w:rFonts w:ascii="Aptos" w:hAnsi="Aptos"/>
                <w:b w:val="0"/>
                <w:i w:val="0"/>
                <w:sz w:val="16"/>
              </w:rPr>
              <w:t>500</w:t>
            </w:r>
          </w:p>
        </w:tc>
        <w:tc>
          <w:tcPr>
            <w:tcW w:type="dxa" w:w="1474"/>
            <w:tcMar>
              <w:top w:w="90" w:type="dxa"/>
              <w:start w:w="100" w:type="dxa"/>
              <w:bottom w:w="90" w:type="dxa"/>
              <w:end w:w="100" w:type="dxa"/>
            </w:tcMar>
            <w:vAlign w:val="center"/>
          </w:tcPr>
          <w:p>
            <w:pPr>
              <w:jc w:val="center"/>
            </w:pPr>
            <w:r>
              <w:rPr>
                <w:rFonts w:ascii="Aptos" w:hAnsi="Aptos"/>
                <w:b w:val="0"/>
                <w:i w:val="0"/>
                <w:sz w:val="16"/>
              </w:rPr>
              <w:t>PASS</w:t>
            </w:r>
          </w:p>
        </w:tc>
      </w:tr>
      <w:tr>
        <w:tc>
          <w:tcPr>
            <w:tcW w:type="dxa" w:w="3118"/>
            <w:tcMar>
              <w:top w:w="90" w:type="dxa"/>
              <w:start w:w="100" w:type="dxa"/>
              <w:bottom w:w="90" w:type="dxa"/>
              <w:end w:w="100" w:type="dxa"/>
            </w:tcMar>
            <w:vAlign w:val="center"/>
          </w:tcPr>
          <w:p>
            <w:pPr>
              <w:jc w:val="center"/>
            </w:pPr>
            <w:r>
              <w:rPr>
                <w:rFonts w:ascii="Aptos" w:hAnsi="Aptos"/>
                <w:b w:val="0"/>
                <w:i w:val="0"/>
                <w:sz w:val="16"/>
              </w:rPr>
              <w:t>Formula identifiers</w:t>
            </w:r>
          </w:p>
        </w:tc>
        <w:tc>
          <w:tcPr>
            <w:tcW w:type="dxa" w:w="2438"/>
            <w:tcMar>
              <w:top w:w="90" w:type="dxa"/>
              <w:start w:w="100" w:type="dxa"/>
              <w:bottom w:w="90" w:type="dxa"/>
              <w:end w:w="100" w:type="dxa"/>
            </w:tcMar>
            <w:vAlign w:val="center"/>
          </w:tcPr>
          <w:p>
            <w:pPr>
              <w:jc w:val="center"/>
            </w:pPr>
            <w:r>
              <w:rPr>
                <w:rFonts w:ascii="Aptos" w:hAnsi="Aptos"/>
                <w:b w:val="0"/>
                <w:i w:val="0"/>
                <w:sz w:val="16"/>
              </w:rPr>
              <w:t>404</w:t>
            </w:r>
          </w:p>
        </w:tc>
        <w:tc>
          <w:tcPr>
            <w:tcW w:type="dxa" w:w="2721"/>
            <w:tcMar>
              <w:top w:w="90" w:type="dxa"/>
              <w:start w:w="100" w:type="dxa"/>
              <w:bottom w:w="90" w:type="dxa"/>
              <w:end w:w="100" w:type="dxa"/>
            </w:tcMar>
            <w:vAlign w:val="center"/>
          </w:tcPr>
          <w:p>
            <w:pPr>
              <w:jc w:val="center"/>
            </w:pPr>
            <w:r>
              <w:rPr>
                <w:rFonts w:ascii="Aptos" w:hAnsi="Aptos"/>
                <w:b w:val="0"/>
                <w:i w:val="0"/>
                <w:sz w:val="16"/>
              </w:rPr>
              <w:t>404</w:t>
            </w:r>
          </w:p>
        </w:tc>
        <w:tc>
          <w:tcPr>
            <w:tcW w:type="dxa" w:w="1474"/>
            <w:tcMar>
              <w:top w:w="90" w:type="dxa"/>
              <w:start w:w="100" w:type="dxa"/>
              <w:bottom w:w="90" w:type="dxa"/>
              <w:end w:w="100" w:type="dxa"/>
            </w:tcMar>
            <w:vAlign w:val="center"/>
          </w:tcPr>
          <w:p>
            <w:pPr>
              <w:jc w:val="center"/>
            </w:pPr>
            <w:r>
              <w:rPr>
                <w:rFonts w:ascii="Aptos" w:hAnsi="Aptos"/>
                <w:b w:val="0"/>
                <w:i w:val="0"/>
                <w:sz w:val="16"/>
              </w:rPr>
              <w:t>PASS</w:t>
            </w:r>
          </w:p>
        </w:tc>
      </w:tr>
      <w:tr>
        <w:tc>
          <w:tcPr>
            <w:tcW w:type="dxa" w:w="3118"/>
            <w:tcMar>
              <w:top w:w="90" w:type="dxa"/>
              <w:start w:w="100" w:type="dxa"/>
              <w:bottom w:w="90" w:type="dxa"/>
              <w:end w:w="100" w:type="dxa"/>
            </w:tcMar>
            <w:vAlign w:val="center"/>
          </w:tcPr>
          <w:p>
            <w:pPr>
              <w:jc w:val="center"/>
            </w:pPr>
            <w:r>
              <w:rPr>
                <w:rFonts w:ascii="Aptos" w:hAnsi="Aptos"/>
                <w:b w:val="0"/>
                <w:i w:val="0"/>
                <w:sz w:val="16"/>
              </w:rPr>
              <w:t>Countertheorems</w:t>
            </w:r>
          </w:p>
        </w:tc>
        <w:tc>
          <w:tcPr>
            <w:tcW w:type="dxa" w:w="2438"/>
            <w:tcMar>
              <w:top w:w="90" w:type="dxa"/>
              <w:start w:w="100" w:type="dxa"/>
              <w:bottom w:w="90" w:type="dxa"/>
              <w:end w:w="100" w:type="dxa"/>
            </w:tcMar>
            <w:vAlign w:val="center"/>
          </w:tcPr>
          <w:p>
            <w:pPr>
              <w:jc w:val="center"/>
            </w:pPr>
            <w:r>
              <w:rPr>
                <w:rFonts w:ascii="Aptos" w:hAnsi="Aptos"/>
                <w:b w:val="0"/>
                <w:i w:val="0"/>
                <w:sz w:val="16"/>
              </w:rPr>
              <w:t>8</w:t>
            </w:r>
          </w:p>
        </w:tc>
        <w:tc>
          <w:tcPr>
            <w:tcW w:type="dxa" w:w="2721"/>
            <w:tcMar>
              <w:top w:w="90" w:type="dxa"/>
              <w:start w:w="100" w:type="dxa"/>
              <w:bottom w:w="90" w:type="dxa"/>
              <w:end w:w="100" w:type="dxa"/>
            </w:tcMar>
            <w:vAlign w:val="center"/>
          </w:tcPr>
          <w:p>
            <w:pPr>
              <w:jc w:val="center"/>
            </w:pPr>
            <w:r>
              <w:rPr>
                <w:rFonts w:ascii="Aptos" w:hAnsi="Aptos"/>
                <w:b w:val="0"/>
                <w:i w:val="0"/>
                <w:sz w:val="16"/>
              </w:rPr>
              <w:t>8</w:t>
            </w:r>
          </w:p>
        </w:tc>
        <w:tc>
          <w:tcPr>
            <w:tcW w:type="dxa" w:w="1474"/>
            <w:tcMar>
              <w:top w:w="90" w:type="dxa"/>
              <w:start w:w="100" w:type="dxa"/>
              <w:bottom w:w="90" w:type="dxa"/>
              <w:end w:w="100" w:type="dxa"/>
            </w:tcMar>
            <w:vAlign w:val="center"/>
          </w:tcPr>
          <w:p>
            <w:pPr>
              <w:jc w:val="center"/>
            </w:pPr>
            <w:r>
              <w:rPr>
                <w:rFonts w:ascii="Aptos" w:hAnsi="Aptos"/>
                <w:b w:val="0"/>
                <w:i w:val="0"/>
                <w:sz w:val="16"/>
              </w:rPr>
              <w:t>PASS</w:t>
            </w:r>
          </w:p>
        </w:tc>
      </w:tr>
      <w:tr>
        <w:tc>
          <w:tcPr>
            <w:tcW w:type="dxa" w:w="3118"/>
            <w:tcMar>
              <w:top w:w="90" w:type="dxa"/>
              <w:start w:w="100" w:type="dxa"/>
              <w:bottom w:w="90" w:type="dxa"/>
              <w:end w:w="100" w:type="dxa"/>
            </w:tcMar>
            <w:vAlign w:val="center"/>
          </w:tcPr>
          <w:p>
            <w:pPr>
              <w:jc w:val="center"/>
            </w:pPr>
            <w:r>
              <w:rPr>
                <w:rFonts w:ascii="Aptos" w:hAnsi="Aptos"/>
                <w:b w:val="0"/>
                <w:i w:val="0"/>
                <w:sz w:val="16"/>
              </w:rPr>
              <w:t>Figures</w:t>
            </w:r>
          </w:p>
        </w:tc>
        <w:tc>
          <w:tcPr>
            <w:tcW w:type="dxa" w:w="2438"/>
            <w:tcMar>
              <w:top w:w="90" w:type="dxa"/>
              <w:start w:w="100" w:type="dxa"/>
              <w:bottom w:w="90" w:type="dxa"/>
              <w:end w:w="100" w:type="dxa"/>
            </w:tcMar>
            <w:vAlign w:val="center"/>
          </w:tcPr>
          <w:p>
            <w:pPr>
              <w:jc w:val="center"/>
            </w:pPr>
            <w:r>
              <w:rPr>
                <w:rFonts w:ascii="Aptos" w:hAnsi="Aptos"/>
                <w:b w:val="0"/>
                <w:i w:val="0"/>
                <w:sz w:val="16"/>
              </w:rPr>
              <w:t>61 (3-63)</w:t>
            </w:r>
          </w:p>
        </w:tc>
        <w:tc>
          <w:tcPr>
            <w:tcW w:type="dxa" w:w="2721"/>
            <w:tcMar>
              <w:top w:w="90" w:type="dxa"/>
              <w:start w:w="100" w:type="dxa"/>
              <w:bottom w:w="90" w:type="dxa"/>
              <w:end w:w="100" w:type="dxa"/>
            </w:tcMar>
            <w:vAlign w:val="center"/>
          </w:tcPr>
          <w:p>
            <w:pPr>
              <w:jc w:val="center"/>
            </w:pPr>
            <w:r>
              <w:rPr>
                <w:rFonts w:ascii="Aptos" w:hAnsi="Aptos"/>
                <w:b w:val="0"/>
                <w:i w:val="0"/>
                <w:sz w:val="16"/>
              </w:rPr>
              <w:t>61 (3-63)</w:t>
            </w:r>
          </w:p>
        </w:tc>
        <w:tc>
          <w:tcPr>
            <w:tcW w:type="dxa" w:w="1474"/>
            <w:tcMar>
              <w:top w:w="90" w:type="dxa"/>
              <w:start w:w="100" w:type="dxa"/>
              <w:bottom w:w="90" w:type="dxa"/>
              <w:end w:w="100" w:type="dxa"/>
            </w:tcMar>
            <w:vAlign w:val="center"/>
          </w:tcPr>
          <w:p>
            <w:pPr>
              <w:jc w:val="center"/>
            </w:pPr>
            <w:r>
              <w:rPr>
                <w:rFonts w:ascii="Aptos" w:hAnsi="Aptos"/>
                <w:b w:val="0"/>
                <w:i w:val="0"/>
                <w:sz w:val="16"/>
              </w:rPr>
              <w:t>PASS</w:t>
            </w:r>
          </w:p>
        </w:tc>
      </w:tr>
    </w:tbl>
    <w:p>
      <w:pPr>
        <w:spacing w:after="100" w:line="259" w:lineRule="auto"/>
      </w:pPr>
      <w:r>
        <w:rPr>
          <w:rFonts w:ascii="Aptos" w:hAnsi="Aptos"/>
          <w:b w:val="0"/>
          <w:i w:val="0"/>
          <w:sz w:val="18"/>
        </w:rPr>
        <w:t>All identifiers are one-to-one. No missing or extra typed IDs, evidence obligations, formula IDs, chapter IDs, or appendix IDs were found.</w:t>
      </w:r>
    </w:p>
    <w:p>
      <w:pPr>
        <w:pStyle w:val="Heading2"/>
        <w:keepNext/>
      </w:pPr>
      <w:r>
        <w:rPr>
          <w:rFonts w:ascii="Aptos" w:hAnsi="Aptos"/>
          <w:b/>
          <w:i w:val="0"/>
          <w:color w:val="1F4E78"/>
          <w:sz w:val="24"/>
        </w:rPr>
        <w:t>T2-F.4. Formula Parity</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trPr>
        <w:tc>
          <w:tcPr>
            <w:tcW w:type="dxa" w:w="2608"/>
            <w:shd w:fill="1F4E78"/>
            <w:tcMar>
              <w:top w:w="90" w:type="dxa"/>
              <w:start w:w="100" w:type="dxa"/>
              <w:bottom w:w="90" w:type="dxa"/>
              <w:end w:w="100" w:type="dxa"/>
            </w:tcMar>
            <w:vAlign w:val="center"/>
          </w:tcPr>
          <w:p>
            <w:pPr>
              <w:jc w:val="center"/>
            </w:pPr>
            <w:r>
              <w:rPr>
                <w:rFonts w:ascii="Aptos" w:hAnsi="Aptos"/>
                <w:b/>
                <w:i w:val="0"/>
                <w:color w:val="FFFFFF"/>
                <w:sz w:val="16"/>
              </w:rPr>
              <w:t>Class</w:t>
            </w:r>
          </w:p>
        </w:tc>
        <w:tc>
          <w:tcPr>
            <w:tcW w:type="dxa" w:w="1361"/>
            <w:shd w:fill="1F4E78"/>
            <w:tcMar>
              <w:top w:w="90" w:type="dxa"/>
              <w:start w:w="100" w:type="dxa"/>
              <w:bottom w:w="90" w:type="dxa"/>
              <w:end w:w="100" w:type="dxa"/>
            </w:tcMar>
            <w:vAlign w:val="center"/>
          </w:tcPr>
          <w:p>
            <w:pPr>
              <w:jc w:val="center"/>
            </w:pPr>
            <w:r>
              <w:rPr>
                <w:rFonts w:ascii="Aptos" w:hAnsi="Aptos"/>
                <w:b/>
                <w:i w:val="0"/>
                <w:color w:val="FFFFFF"/>
                <w:sz w:val="16"/>
              </w:rPr>
              <w:t>Count</w:t>
            </w:r>
          </w:p>
        </w:tc>
        <w:tc>
          <w:tcPr>
            <w:tcW w:type="dxa" w:w="5783"/>
            <w:shd w:fill="1F4E78"/>
            <w:tcMar>
              <w:top w:w="90" w:type="dxa"/>
              <w:start w:w="100" w:type="dxa"/>
              <w:bottom w:w="90" w:type="dxa"/>
              <w:end w:w="100" w:type="dxa"/>
            </w:tcMar>
            <w:vAlign w:val="center"/>
          </w:tcPr>
          <w:p>
            <w:pPr>
              <w:jc w:val="center"/>
            </w:pPr>
            <w:r>
              <w:rPr>
                <w:rFonts w:ascii="Aptos" w:hAnsi="Aptos"/>
                <w:b/>
                <w:i w:val="0"/>
                <w:color w:val="FFFFFF"/>
                <w:sz w:val="16"/>
              </w:rPr>
              <w:t>Interpretation</w:t>
            </w:r>
          </w:p>
        </w:tc>
      </w:tr>
      <w:tr>
        <w:tc>
          <w:tcPr>
            <w:tcW w:type="dxa" w:w="2608"/>
            <w:tcMar>
              <w:top w:w="90" w:type="dxa"/>
              <w:start w:w="100" w:type="dxa"/>
              <w:bottom w:w="90" w:type="dxa"/>
              <w:end w:w="100" w:type="dxa"/>
            </w:tcMar>
            <w:vAlign w:val="center"/>
          </w:tcPr>
          <w:p>
            <w:pPr>
              <w:jc w:val="center"/>
            </w:pPr>
            <w:r>
              <w:rPr>
                <w:rFonts w:ascii="Aptos" w:hAnsi="Aptos"/>
                <w:b w:val="0"/>
                <w:i w:val="0"/>
                <w:sz w:val="16"/>
              </w:rPr>
              <w:t>EXACT</w:t>
            </w:r>
          </w:p>
        </w:tc>
        <w:tc>
          <w:tcPr>
            <w:tcW w:type="dxa" w:w="1361"/>
            <w:tcMar>
              <w:top w:w="90" w:type="dxa"/>
              <w:start w:w="100" w:type="dxa"/>
              <w:bottom w:w="90" w:type="dxa"/>
              <w:end w:w="100" w:type="dxa"/>
            </w:tcMar>
            <w:vAlign w:val="center"/>
          </w:tcPr>
          <w:p>
            <w:pPr>
              <w:jc w:val="center"/>
            </w:pPr>
            <w:r>
              <w:rPr>
                <w:rFonts w:ascii="Aptos" w:hAnsi="Aptos"/>
                <w:b w:val="0"/>
                <w:i w:val="0"/>
                <w:sz w:val="16"/>
              </w:rPr>
              <w:t>374</w:t>
            </w:r>
          </w:p>
        </w:tc>
        <w:tc>
          <w:tcPr>
            <w:tcW w:type="dxa" w:w="5783"/>
            <w:tcMar>
              <w:top w:w="90" w:type="dxa"/>
              <w:start w:w="100" w:type="dxa"/>
              <w:bottom w:w="90" w:type="dxa"/>
              <w:end w:w="100" w:type="dxa"/>
            </w:tcMar>
            <w:vAlign w:val="center"/>
          </w:tcPr>
          <w:p>
            <w:pPr>
              <w:jc w:val="left"/>
            </w:pPr>
            <w:r>
              <w:rPr>
                <w:rFonts w:ascii="Aptos" w:hAnsi="Aptos"/>
                <w:b w:val="0"/>
                <w:i w:val="0"/>
                <w:sz w:val="16"/>
              </w:rPr>
              <w:t>Equal after Unicode, operator, dash, and whitespace normalisation.</w:t>
            </w:r>
          </w:p>
        </w:tc>
      </w:tr>
      <w:tr>
        <w:tc>
          <w:tcPr>
            <w:tcW w:type="dxa" w:w="2608"/>
            <w:tcMar>
              <w:top w:w="90" w:type="dxa"/>
              <w:start w:w="100" w:type="dxa"/>
              <w:bottom w:w="90" w:type="dxa"/>
              <w:end w:w="100" w:type="dxa"/>
            </w:tcMar>
            <w:vAlign w:val="center"/>
          </w:tcPr>
          <w:p>
            <w:pPr>
              <w:jc w:val="center"/>
            </w:pPr>
            <w:r>
              <w:rPr>
                <w:rFonts w:ascii="Aptos" w:hAnsi="Aptos"/>
                <w:b w:val="0"/>
                <w:i w:val="0"/>
                <w:sz w:val="16"/>
              </w:rPr>
              <w:t>EQUIVALENT-LEXICAL</w:t>
            </w:r>
          </w:p>
        </w:tc>
        <w:tc>
          <w:tcPr>
            <w:tcW w:type="dxa" w:w="1361"/>
            <w:tcMar>
              <w:top w:w="90" w:type="dxa"/>
              <w:start w:w="100" w:type="dxa"/>
              <w:bottom w:w="90" w:type="dxa"/>
              <w:end w:w="100" w:type="dxa"/>
            </w:tcMar>
            <w:vAlign w:val="center"/>
          </w:tcPr>
          <w:p>
            <w:pPr>
              <w:jc w:val="center"/>
            </w:pPr>
            <w:r>
              <w:rPr>
                <w:rFonts w:ascii="Aptos" w:hAnsi="Aptos"/>
                <w:b w:val="0"/>
                <w:i w:val="0"/>
                <w:sz w:val="16"/>
              </w:rPr>
              <w:t>30</w:t>
            </w:r>
          </w:p>
        </w:tc>
        <w:tc>
          <w:tcPr>
            <w:tcW w:type="dxa" w:w="5783"/>
            <w:tcMar>
              <w:top w:w="90" w:type="dxa"/>
              <w:start w:w="100" w:type="dxa"/>
              <w:bottom w:w="90" w:type="dxa"/>
              <w:end w:w="100" w:type="dxa"/>
            </w:tcMar>
            <w:vAlign w:val="center"/>
          </w:tcPr>
          <w:p>
            <w:pPr>
              <w:jc w:val="left"/>
            </w:pPr>
            <w:r>
              <w:rPr>
                <w:rFonts w:ascii="Aptos" w:hAnsi="Aptos"/>
                <w:b w:val="0"/>
                <w:i w:val="0"/>
                <w:sz w:val="16"/>
              </w:rPr>
              <w:t>Only connective prose, punctuation, or English decimal notation differs; mathematical token signature is equal.</w:t>
            </w:r>
          </w:p>
        </w:tc>
      </w:tr>
      <w:tr>
        <w:tc>
          <w:tcPr>
            <w:tcW w:type="dxa" w:w="2608"/>
            <w:tcMar>
              <w:top w:w="90" w:type="dxa"/>
              <w:start w:w="100" w:type="dxa"/>
              <w:bottom w:w="90" w:type="dxa"/>
              <w:end w:w="100" w:type="dxa"/>
            </w:tcMar>
            <w:vAlign w:val="center"/>
          </w:tcPr>
          <w:p>
            <w:pPr>
              <w:jc w:val="center"/>
            </w:pPr>
            <w:r>
              <w:rPr>
                <w:rFonts w:ascii="Aptos" w:hAnsi="Aptos"/>
                <w:b w:val="0"/>
                <w:i w:val="0"/>
                <w:sz w:val="16"/>
              </w:rPr>
              <w:t>FAIL</w:t>
            </w:r>
          </w:p>
        </w:tc>
        <w:tc>
          <w:tcPr>
            <w:tcW w:type="dxa" w:w="1361"/>
            <w:tcMar>
              <w:top w:w="90" w:type="dxa"/>
              <w:start w:w="100" w:type="dxa"/>
              <w:bottom w:w="90" w:type="dxa"/>
              <w:end w:w="100" w:type="dxa"/>
            </w:tcMar>
            <w:vAlign w:val="center"/>
          </w:tcPr>
          <w:p>
            <w:pPr>
              <w:jc w:val="center"/>
            </w:pPr>
            <w:r>
              <w:rPr>
                <w:rFonts w:ascii="Aptos" w:hAnsi="Aptos"/>
                <w:b w:val="0"/>
                <w:i w:val="0"/>
                <w:sz w:val="16"/>
              </w:rPr>
              <w:t>0</w:t>
            </w:r>
          </w:p>
        </w:tc>
        <w:tc>
          <w:tcPr>
            <w:tcW w:type="dxa" w:w="5783"/>
            <w:tcMar>
              <w:top w:w="90" w:type="dxa"/>
              <w:start w:w="100" w:type="dxa"/>
              <w:bottom w:w="90" w:type="dxa"/>
              <w:end w:w="100" w:type="dxa"/>
            </w:tcMar>
            <w:vAlign w:val="center"/>
          </w:tcPr>
          <w:p>
            <w:pPr>
              <w:jc w:val="left"/>
            </w:pPr>
            <w:r>
              <w:rPr>
                <w:rFonts w:ascii="Aptos" w:hAnsi="Aptos"/>
                <w:b w:val="0"/>
                <w:i w:val="0"/>
                <w:sz w:val="16"/>
              </w:rPr>
              <w:t>Mathematical mismatch requiring a blocker.</w:t>
            </w:r>
          </w:p>
        </w:tc>
      </w:tr>
    </w:tbl>
    <w:p>
      <w:pPr>
        <w:spacing w:after="100" w:line="259" w:lineRule="auto"/>
      </w:pPr>
      <w:r>
        <w:rPr>
          <w:rFonts w:ascii="Aptos" w:hAnsi="Aptos"/>
          <w:b w:val="0"/>
          <w:i w:val="0"/>
          <w:sz w:val="18"/>
        </w:rPr>
        <w:t>The operative invariant is MathSignature(Formula_EN)=MathSignature(Formula_RU). This formulation is more precise than requiring untranslated Russian connective words to remain inside an English formula register.</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trPr>
        <w:tc>
          <w:tcPr>
            <w:tcW w:type="dxa" w:w="1587"/>
            <w:shd w:fill="1F4E78"/>
            <w:tcMar>
              <w:top w:w="90" w:type="dxa"/>
              <w:start w:w="100" w:type="dxa"/>
              <w:bottom w:w="90" w:type="dxa"/>
              <w:end w:w="100" w:type="dxa"/>
            </w:tcMar>
            <w:vAlign w:val="center"/>
          </w:tcPr>
          <w:p>
            <w:pPr>
              <w:jc w:val="center"/>
            </w:pPr>
            <w:r>
              <w:rPr>
                <w:rFonts w:ascii="Aptos" w:hAnsi="Aptos"/>
                <w:b/>
                <w:i w:val="0"/>
                <w:color w:val="FFFFFF"/>
                <w:sz w:val="14"/>
              </w:rPr>
              <w:t>EN ID</w:t>
            </w:r>
          </w:p>
        </w:tc>
        <w:tc>
          <w:tcPr>
            <w:tcW w:type="dxa" w:w="1928"/>
            <w:shd w:fill="1F4E78"/>
            <w:tcMar>
              <w:top w:w="90" w:type="dxa"/>
              <w:start w:w="100" w:type="dxa"/>
              <w:bottom w:w="90" w:type="dxa"/>
              <w:end w:w="100" w:type="dxa"/>
            </w:tcMar>
            <w:vAlign w:val="center"/>
          </w:tcPr>
          <w:p>
            <w:pPr>
              <w:jc w:val="center"/>
            </w:pPr>
            <w:r>
              <w:rPr>
                <w:rFonts w:ascii="Aptos" w:hAnsi="Aptos"/>
                <w:b/>
                <w:i w:val="0"/>
                <w:color w:val="FFFFFF"/>
                <w:sz w:val="14"/>
              </w:rPr>
              <w:t>RU ID</w:t>
            </w:r>
          </w:p>
        </w:tc>
        <w:tc>
          <w:tcPr>
            <w:tcW w:type="dxa" w:w="6236"/>
            <w:shd w:fill="1F4E78"/>
            <w:tcMar>
              <w:top w:w="90" w:type="dxa"/>
              <w:start w:w="100" w:type="dxa"/>
              <w:bottom w:w="90" w:type="dxa"/>
              <w:end w:w="100" w:type="dxa"/>
            </w:tcMar>
            <w:vAlign w:val="center"/>
          </w:tcPr>
          <w:p>
            <w:pPr>
              <w:jc w:val="center"/>
            </w:pPr>
            <w:r>
              <w:rPr>
                <w:rFonts w:ascii="Aptos" w:hAnsi="Aptos"/>
                <w:b/>
                <w:i w:val="0"/>
                <w:color w:val="FFFFFF"/>
                <w:sz w:val="14"/>
              </w:rPr>
              <w:t>Controlled difference</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T2-F001</w:t>
            </w:r>
          </w:p>
        </w:tc>
        <w:tc>
          <w:tcPr>
            <w:tcW w:type="dxa" w:w="1928"/>
            <w:tcMar>
              <w:top w:w="90" w:type="dxa"/>
              <w:start w:w="100" w:type="dxa"/>
              <w:bottom w:w="90" w:type="dxa"/>
              <w:end w:w="100" w:type="dxa"/>
            </w:tcMar>
            <w:vAlign w:val="center"/>
          </w:tcPr>
          <w:p>
            <w:pPr>
              <w:jc w:val="center"/>
            </w:pPr>
            <w:r>
              <w:rPr>
                <w:rFonts w:ascii="Aptos" w:hAnsi="Aptos"/>
                <w:b w:val="0"/>
                <w:i w:val="0"/>
                <w:sz w:val="14"/>
              </w:rPr>
              <w:t>T2-F-10.1</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T2-F032</w:t>
            </w:r>
          </w:p>
        </w:tc>
        <w:tc>
          <w:tcPr>
            <w:tcW w:type="dxa" w:w="1928"/>
            <w:tcMar>
              <w:top w:w="90" w:type="dxa"/>
              <w:start w:w="100" w:type="dxa"/>
              <w:bottom w:w="90" w:type="dxa"/>
              <w:end w:w="100" w:type="dxa"/>
            </w:tcMar>
            <w:vAlign w:val="center"/>
          </w:tcPr>
          <w:p>
            <w:pPr>
              <w:jc w:val="center"/>
            </w:pPr>
            <w:r>
              <w:rPr>
                <w:rFonts w:ascii="Aptos" w:hAnsi="Aptos"/>
                <w:b w:val="0"/>
                <w:i w:val="0"/>
                <w:sz w:val="14"/>
              </w:rPr>
              <w:t>T2-F-12.3</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T2-F033</w:t>
            </w:r>
          </w:p>
        </w:tc>
        <w:tc>
          <w:tcPr>
            <w:tcW w:type="dxa" w:w="1928"/>
            <w:tcMar>
              <w:top w:w="90" w:type="dxa"/>
              <w:start w:w="100" w:type="dxa"/>
              <w:bottom w:w="90" w:type="dxa"/>
              <w:end w:w="100" w:type="dxa"/>
            </w:tcMar>
            <w:vAlign w:val="center"/>
          </w:tcPr>
          <w:p>
            <w:pPr>
              <w:jc w:val="center"/>
            </w:pPr>
            <w:r>
              <w:rPr>
                <w:rFonts w:ascii="Aptos" w:hAnsi="Aptos"/>
                <w:b w:val="0"/>
                <w:i w:val="0"/>
                <w:sz w:val="14"/>
              </w:rPr>
              <w:t>T2-F-12.4</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T2-F058</w:t>
            </w:r>
          </w:p>
        </w:tc>
        <w:tc>
          <w:tcPr>
            <w:tcW w:type="dxa" w:w="1928"/>
            <w:tcMar>
              <w:top w:w="90" w:type="dxa"/>
              <w:start w:w="100" w:type="dxa"/>
              <w:bottom w:w="90" w:type="dxa"/>
              <w:end w:w="100" w:type="dxa"/>
            </w:tcMar>
            <w:vAlign w:val="center"/>
          </w:tcPr>
          <w:p>
            <w:pPr>
              <w:jc w:val="center"/>
            </w:pPr>
            <w:r>
              <w:rPr>
                <w:rFonts w:ascii="Aptos" w:hAnsi="Aptos"/>
                <w:b w:val="0"/>
                <w:i w:val="0"/>
                <w:sz w:val="14"/>
              </w:rPr>
              <w:t>T2-F-13.2</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T2-F074</w:t>
            </w:r>
          </w:p>
        </w:tc>
        <w:tc>
          <w:tcPr>
            <w:tcW w:type="dxa" w:w="1928"/>
            <w:tcMar>
              <w:top w:w="90" w:type="dxa"/>
              <w:start w:w="100" w:type="dxa"/>
              <w:bottom w:w="90" w:type="dxa"/>
              <w:end w:w="100" w:type="dxa"/>
            </w:tcMar>
            <w:vAlign w:val="center"/>
          </w:tcPr>
          <w:p>
            <w:pPr>
              <w:jc w:val="center"/>
            </w:pPr>
            <w:r>
              <w:rPr>
                <w:rFonts w:ascii="Aptos" w:hAnsi="Aptos"/>
                <w:b w:val="0"/>
                <w:i w:val="0"/>
                <w:sz w:val="14"/>
              </w:rPr>
              <w:t>T2-F-13.18</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T2-F084</w:t>
            </w:r>
          </w:p>
        </w:tc>
        <w:tc>
          <w:tcPr>
            <w:tcW w:type="dxa" w:w="1928"/>
            <w:tcMar>
              <w:top w:w="90" w:type="dxa"/>
              <w:start w:w="100" w:type="dxa"/>
              <w:bottom w:w="90" w:type="dxa"/>
              <w:end w:w="100" w:type="dxa"/>
            </w:tcMar>
            <w:vAlign w:val="center"/>
          </w:tcPr>
          <w:p>
            <w:pPr>
              <w:jc w:val="center"/>
            </w:pPr>
            <w:r>
              <w:rPr>
                <w:rFonts w:ascii="Aptos" w:hAnsi="Aptos"/>
                <w:b w:val="0"/>
                <w:i w:val="0"/>
                <w:sz w:val="14"/>
              </w:rPr>
              <w:t>T2-F-13.28</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T2-F127</w:t>
            </w:r>
          </w:p>
        </w:tc>
        <w:tc>
          <w:tcPr>
            <w:tcW w:type="dxa" w:w="1928"/>
            <w:tcMar>
              <w:top w:w="90" w:type="dxa"/>
              <w:start w:w="100" w:type="dxa"/>
              <w:bottom w:w="90" w:type="dxa"/>
              <w:end w:w="100" w:type="dxa"/>
            </w:tcMar>
            <w:vAlign w:val="center"/>
          </w:tcPr>
          <w:p>
            <w:pPr>
              <w:jc w:val="center"/>
            </w:pPr>
            <w:r>
              <w:rPr>
                <w:rFonts w:ascii="Aptos" w:hAnsi="Aptos"/>
                <w:b w:val="0"/>
                <w:i w:val="0"/>
                <w:sz w:val="14"/>
              </w:rPr>
              <w:t>T2-F-15.17</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T2-F141</w:t>
            </w:r>
          </w:p>
        </w:tc>
        <w:tc>
          <w:tcPr>
            <w:tcW w:type="dxa" w:w="1928"/>
            <w:tcMar>
              <w:top w:w="90" w:type="dxa"/>
              <w:start w:w="100" w:type="dxa"/>
              <w:bottom w:w="90" w:type="dxa"/>
              <w:end w:w="100" w:type="dxa"/>
            </w:tcMar>
            <w:vAlign w:val="center"/>
          </w:tcPr>
          <w:p>
            <w:pPr>
              <w:jc w:val="center"/>
            </w:pPr>
            <w:r>
              <w:rPr>
                <w:rFonts w:ascii="Aptos" w:hAnsi="Aptos"/>
                <w:b w:val="0"/>
                <w:i w:val="0"/>
                <w:sz w:val="14"/>
              </w:rPr>
              <w:t>T2-F-16.1</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T2-F145</w:t>
            </w:r>
          </w:p>
        </w:tc>
        <w:tc>
          <w:tcPr>
            <w:tcW w:type="dxa" w:w="1928"/>
            <w:tcMar>
              <w:top w:w="90" w:type="dxa"/>
              <w:start w:w="100" w:type="dxa"/>
              <w:bottom w:w="90" w:type="dxa"/>
              <w:end w:w="100" w:type="dxa"/>
            </w:tcMar>
            <w:vAlign w:val="center"/>
          </w:tcPr>
          <w:p>
            <w:pPr>
              <w:jc w:val="center"/>
            </w:pPr>
            <w:r>
              <w:rPr>
                <w:rFonts w:ascii="Aptos" w:hAnsi="Aptos"/>
                <w:b w:val="0"/>
                <w:i w:val="0"/>
                <w:sz w:val="14"/>
              </w:rPr>
              <w:t>T2-F-16.5</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T2-F163</w:t>
            </w:r>
          </w:p>
        </w:tc>
        <w:tc>
          <w:tcPr>
            <w:tcW w:type="dxa" w:w="1928"/>
            <w:tcMar>
              <w:top w:w="90" w:type="dxa"/>
              <w:start w:w="100" w:type="dxa"/>
              <w:bottom w:w="90" w:type="dxa"/>
              <w:end w:w="100" w:type="dxa"/>
            </w:tcMar>
            <w:vAlign w:val="center"/>
          </w:tcPr>
          <w:p>
            <w:pPr>
              <w:jc w:val="center"/>
            </w:pPr>
            <w:r>
              <w:rPr>
                <w:rFonts w:ascii="Aptos" w:hAnsi="Aptos"/>
                <w:b w:val="0"/>
                <w:i w:val="0"/>
                <w:sz w:val="14"/>
              </w:rPr>
              <w:t>T2-F-16.23</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T2-F165</w:t>
            </w:r>
          </w:p>
        </w:tc>
        <w:tc>
          <w:tcPr>
            <w:tcW w:type="dxa" w:w="1928"/>
            <w:tcMar>
              <w:top w:w="90" w:type="dxa"/>
              <w:start w:w="100" w:type="dxa"/>
              <w:bottom w:w="90" w:type="dxa"/>
              <w:end w:w="100" w:type="dxa"/>
            </w:tcMar>
            <w:vAlign w:val="center"/>
          </w:tcPr>
          <w:p>
            <w:pPr>
              <w:jc w:val="center"/>
            </w:pPr>
            <w:r>
              <w:rPr>
                <w:rFonts w:ascii="Aptos" w:hAnsi="Aptos"/>
                <w:b w:val="0"/>
                <w:i w:val="0"/>
                <w:sz w:val="14"/>
              </w:rPr>
              <w:t>T2-F-16.25</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T2-F166</w:t>
            </w:r>
          </w:p>
        </w:tc>
        <w:tc>
          <w:tcPr>
            <w:tcW w:type="dxa" w:w="1928"/>
            <w:tcMar>
              <w:top w:w="90" w:type="dxa"/>
              <w:start w:w="100" w:type="dxa"/>
              <w:bottom w:w="90" w:type="dxa"/>
              <w:end w:w="100" w:type="dxa"/>
            </w:tcMar>
            <w:vAlign w:val="center"/>
          </w:tcPr>
          <w:p>
            <w:pPr>
              <w:jc w:val="center"/>
            </w:pPr>
            <w:r>
              <w:rPr>
                <w:rFonts w:ascii="Aptos" w:hAnsi="Aptos"/>
                <w:b w:val="0"/>
                <w:i w:val="0"/>
                <w:sz w:val="14"/>
              </w:rPr>
              <w:t>T2-F-16.26</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T2-F170</w:t>
            </w:r>
          </w:p>
        </w:tc>
        <w:tc>
          <w:tcPr>
            <w:tcW w:type="dxa" w:w="1928"/>
            <w:tcMar>
              <w:top w:w="90" w:type="dxa"/>
              <w:start w:w="100" w:type="dxa"/>
              <w:bottom w:w="90" w:type="dxa"/>
              <w:end w:w="100" w:type="dxa"/>
            </w:tcMar>
            <w:vAlign w:val="center"/>
          </w:tcPr>
          <w:p>
            <w:pPr>
              <w:jc w:val="center"/>
            </w:pPr>
            <w:r>
              <w:rPr>
                <w:rFonts w:ascii="Aptos" w:hAnsi="Aptos"/>
                <w:b w:val="0"/>
                <w:i w:val="0"/>
                <w:sz w:val="14"/>
              </w:rPr>
              <w:t>T2-F-16.30</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T2-F186</w:t>
            </w:r>
          </w:p>
        </w:tc>
        <w:tc>
          <w:tcPr>
            <w:tcW w:type="dxa" w:w="1928"/>
            <w:tcMar>
              <w:top w:w="90" w:type="dxa"/>
              <w:start w:w="100" w:type="dxa"/>
              <w:bottom w:w="90" w:type="dxa"/>
              <w:end w:w="100" w:type="dxa"/>
            </w:tcMar>
            <w:vAlign w:val="center"/>
          </w:tcPr>
          <w:p>
            <w:pPr>
              <w:jc w:val="center"/>
            </w:pPr>
            <w:r>
              <w:rPr>
                <w:rFonts w:ascii="Aptos" w:hAnsi="Aptos"/>
                <w:b w:val="0"/>
                <w:i w:val="0"/>
                <w:sz w:val="14"/>
              </w:rPr>
              <w:t>T2-F-17.13</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T2-F211</w:t>
            </w:r>
          </w:p>
        </w:tc>
        <w:tc>
          <w:tcPr>
            <w:tcW w:type="dxa" w:w="1928"/>
            <w:tcMar>
              <w:top w:w="90" w:type="dxa"/>
              <w:start w:w="100" w:type="dxa"/>
              <w:bottom w:w="90" w:type="dxa"/>
              <w:end w:w="100" w:type="dxa"/>
            </w:tcMar>
            <w:vAlign w:val="center"/>
          </w:tcPr>
          <w:p>
            <w:pPr>
              <w:jc w:val="center"/>
            </w:pPr>
            <w:r>
              <w:rPr>
                <w:rFonts w:ascii="Aptos" w:hAnsi="Aptos"/>
                <w:b w:val="0"/>
                <w:i w:val="0"/>
                <w:sz w:val="14"/>
              </w:rPr>
              <w:t>T2-F-18.18</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T2-F219</w:t>
            </w:r>
          </w:p>
        </w:tc>
        <w:tc>
          <w:tcPr>
            <w:tcW w:type="dxa" w:w="1928"/>
            <w:tcMar>
              <w:top w:w="90" w:type="dxa"/>
              <w:start w:w="100" w:type="dxa"/>
              <w:bottom w:w="90" w:type="dxa"/>
              <w:end w:w="100" w:type="dxa"/>
            </w:tcMar>
            <w:vAlign w:val="center"/>
          </w:tcPr>
          <w:p>
            <w:pPr>
              <w:jc w:val="center"/>
            </w:pPr>
            <w:r>
              <w:rPr>
                <w:rFonts w:ascii="Aptos" w:hAnsi="Aptos"/>
                <w:b w:val="0"/>
                <w:i w:val="0"/>
                <w:sz w:val="14"/>
              </w:rPr>
              <w:t>T2-F-19.1</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T2-F246</w:t>
            </w:r>
          </w:p>
        </w:tc>
        <w:tc>
          <w:tcPr>
            <w:tcW w:type="dxa" w:w="1928"/>
            <w:tcMar>
              <w:top w:w="90" w:type="dxa"/>
              <w:start w:w="100" w:type="dxa"/>
              <w:bottom w:w="90" w:type="dxa"/>
              <w:end w:w="100" w:type="dxa"/>
            </w:tcMar>
            <w:vAlign w:val="center"/>
          </w:tcPr>
          <w:p>
            <w:pPr>
              <w:jc w:val="center"/>
            </w:pPr>
            <w:r>
              <w:rPr>
                <w:rFonts w:ascii="Aptos" w:hAnsi="Aptos"/>
                <w:b w:val="0"/>
                <w:i w:val="0"/>
                <w:sz w:val="14"/>
              </w:rPr>
              <w:t>T2-F-20.3</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T2-F256</w:t>
            </w:r>
          </w:p>
        </w:tc>
        <w:tc>
          <w:tcPr>
            <w:tcW w:type="dxa" w:w="1928"/>
            <w:tcMar>
              <w:top w:w="90" w:type="dxa"/>
              <w:start w:w="100" w:type="dxa"/>
              <w:bottom w:w="90" w:type="dxa"/>
              <w:end w:w="100" w:type="dxa"/>
            </w:tcMar>
            <w:vAlign w:val="center"/>
          </w:tcPr>
          <w:p>
            <w:pPr>
              <w:jc w:val="center"/>
            </w:pPr>
            <w:r>
              <w:rPr>
                <w:rFonts w:ascii="Aptos" w:hAnsi="Aptos"/>
                <w:b w:val="0"/>
                <w:i w:val="0"/>
                <w:sz w:val="14"/>
              </w:rPr>
              <w:t>T2-F-20.13</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T2-F271</w:t>
            </w:r>
          </w:p>
        </w:tc>
        <w:tc>
          <w:tcPr>
            <w:tcW w:type="dxa" w:w="1928"/>
            <w:tcMar>
              <w:top w:w="90" w:type="dxa"/>
              <w:start w:w="100" w:type="dxa"/>
              <w:bottom w:w="90" w:type="dxa"/>
              <w:end w:w="100" w:type="dxa"/>
            </w:tcMar>
            <w:vAlign w:val="center"/>
          </w:tcPr>
          <w:p>
            <w:pPr>
              <w:jc w:val="center"/>
            </w:pPr>
            <w:r>
              <w:rPr>
                <w:rFonts w:ascii="Aptos" w:hAnsi="Aptos"/>
                <w:b w:val="0"/>
                <w:i w:val="0"/>
                <w:sz w:val="14"/>
              </w:rPr>
              <w:t>T2-F-20.28</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T2-F312</w:t>
            </w:r>
          </w:p>
        </w:tc>
        <w:tc>
          <w:tcPr>
            <w:tcW w:type="dxa" w:w="1928"/>
            <w:tcMar>
              <w:top w:w="90" w:type="dxa"/>
              <w:start w:w="100" w:type="dxa"/>
              <w:bottom w:w="90" w:type="dxa"/>
              <w:end w:w="100" w:type="dxa"/>
            </w:tcMar>
            <w:vAlign w:val="center"/>
          </w:tcPr>
          <w:p>
            <w:pPr>
              <w:jc w:val="center"/>
            </w:pPr>
            <w:r>
              <w:rPr>
                <w:rFonts w:ascii="Aptos" w:hAnsi="Aptos"/>
                <w:b w:val="0"/>
                <w:i w:val="0"/>
                <w:sz w:val="14"/>
              </w:rPr>
              <w:t>T2-F-22.11</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T2-F322</w:t>
            </w:r>
          </w:p>
        </w:tc>
        <w:tc>
          <w:tcPr>
            <w:tcW w:type="dxa" w:w="1928"/>
            <w:tcMar>
              <w:top w:w="90" w:type="dxa"/>
              <w:start w:w="100" w:type="dxa"/>
              <w:bottom w:w="90" w:type="dxa"/>
              <w:end w:w="100" w:type="dxa"/>
            </w:tcMar>
            <w:vAlign w:val="center"/>
          </w:tcPr>
          <w:p>
            <w:pPr>
              <w:jc w:val="center"/>
            </w:pPr>
            <w:r>
              <w:rPr>
                <w:rFonts w:ascii="Aptos" w:hAnsi="Aptos"/>
                <w:b w:val="0"/>
                <w:i w:val="0"/>
                <w:sz w:val="14"/>
              </w:rPr>
              <w:t>T2-F-22.21</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T2-F377</w:t>
            </w:r>
          </w:p>
        </w:tc>
        <w:tc>
          <w:tcPr>
            <w:tcW w:type="dxa" w:w="1928"/>
            <w:tcMar>
              <w:top w:w="90" w:type="dxa"/>
              <w:start w:w="100" w:type="dxa"/>
              <w:bottom w:w="90" w:type="dxa"/>
              <w:end w:w="100" w:type="dxa"/>
            </w:tcMar>
            <w:vAlign w:val="center"/>
          </w:tcPr>
          <w:p>
            <w:pPr>
              <w:jc w:val="center"/>
            </w:pPr>
            <w:r>
              <w:rPr>
                <w:rFonts w:ascii="Aptos" w:hAnsi="Aptos"/>
                <w:b w:val="0"/>
                <w:i w:val="0"/>
                <w:sz w:val="14"/>
              </w:rPr>
              <w:t>T2-F-24.7</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T2-F385</w:t>
            </w:r>
          </w:p>
        </w:tc>
        <w:tc>
          <w:tcPr>
            <w:tcW w:type="dxa" w:w="1928"/>
            <w:tcMar>
              <w:top w:w="90" w:type="dxa"/>
              <w:start w:w="100" w:type="dxa"/>
              <w:bottom w:w="90" w:type="dxa"/>
              <w:end w:w="100" w:type="dxa"/>
            </w:tcMar>
            <w:vAlign w:val="center"/>
          </w:tcPr>
          <w:p>
            <w:pPr>
              <w:jc w:val="center"/>
            </w:pPr>
            <w:r>
              <w:rPr>
                <w:rFonts w:ascii="Aptos" w:hAnsi="Aptos"/>
                <w:b w:val="0"/>
                <w:i w:val="0"/>
                <w:sz w:val="14"/>
              </w:rPr>
              <w:t>T2-F-24.15</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T2-F386</w:t>
            </w:r>
          </w:p>
        </w:tc>
        <w:tc>
          <w:tcPr>
            <w:tcW w:type="dxa" w:w="1928"/>
            <w:tcMar>
              <w:top w:w="90" w:type="dxa"/>
              <w:start w:w="100" w:type="dxa"/>
              <w:bottom w:w="90" w:type="dxa"/>
              <w:end w:w="100" w:type="dxa"/>
            </w:tcMar>
            <w:vAlign w:val="center"/>
          </w:tcPr>
          <w:p>
            <w:pPr>
              <w:jc w:val="center"/>
            </w:pPr>
            <w:r>
              <w:rPr>
                <w:rFonts w:ascii="Aptos" w:hAnsi="Aptos"/>
                <w:b w:val="0"/>
                <w:i w:val="0"/>
                <w:sz w:val="14"/>
              </w:rPr>
              <w:t>T2-F-24.16</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T2-F390</w:t>
            </w:r>
          </w:p>
        </w:tc>
        <w:tc>
          <w:tcPr>
            <w:tcW w:type="dxa" w:w="1928"/>
            <w:tcMar>
              <w:top w:w="90" w:type="dxa"/>
              <w:start w:w="100" w:type="dxa"/>
              <w:bottom w:w="90" w:type="dxa"/>
              <w:end w:w="100" w:type="dxa"/>
            </w:tcMar>
            <w:vAlign w:val="center"/>
          </w:tcPr>
          <w:p>
            <w:pPr>
              <w:jc w:val="center"/>
            </w:pPr>
            <w:r>
              <w:rPr>
                <w:rFonts w:ascii="Aptos" w:hAnsi="Aptos"/>
                <w:b w:val="0"/>
                <w:i w:val="0"/>
                <w:sz w:val="14"/>
              </w:rPr>
              <w:t>T2-F-24.20</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T2-F391</w:t>
            </w:r>
          </w:p>
        </w:tc>
        <w:tc>
          <w:tcPr>
            <w:tcW w:type="dxa" w:w="1928"/>
            <w:tcMar>
              <w:top w:w="90" w:type="dxa"/>
              <w:start w:w="100" w:type="dxa"/>
              <w:bottom w:w="90" w:type="dxa"/>
              <w:end w:w="100" w:type="dxa"/>
            </w:tcMar>
            <w:vAlign w:val="center"/>
          </w:tcPr>
          <w:p>
            <w:pPr>
              <w:jc w:val="center"/>
            </w:pPr>
            <w:r>
              <w:rPr>
                <w:rFonts w:ascii="Aptos" w:hAnsi="Aptos"/>
                <w:b w:val="0"/>
                <w:i w:val="0"/>
                <w:sz w:val="14"/>
              </w:rPr>
              <w:t>T2-F-24.21</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T2-F393</w:t>
            </w:r>
          </w:p>
        </w:tc>
        <w:tc>
          <w:tcPr>
            <w:tcW w:type="dxa" w:w="1928"/>
            <w:tcMar>
              <w:top w:w="90" w:type="dxa"/>
              <w:start w:w="100" w:type="dxa"/>
              <w:bottom w:w="90" w:type="dxa"/>
              <w:end w:w="100" w:type="dxa"/>
            </w:tcMar>
            <w:vAlign w:val="center"/>
          </w:tcPr>
          <w:p>
            <w:pPr>
              <w:jc w:val="center"/>
            </w:pPr>
            <w:r>
              <w:rPr>
                <w:rFonts w:ascii="Aptos" w:hAnsi="Aptos"/>
                <w:b w:val="0"/>
                <w:i w:val="0"/>
                <w:sz w:val="14"/>
              </w:rPr>
              <w:t>T2-F-24.23</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T2-F395</w:t>
            </w:r>
          </w:p>
        </w:tc>
        <w:tc>
          <w:tcPr>
            <w:tcW w:type="dxa" w:w="1928"/>
            <w:tcMar>
              <w:top w:w="90" w:type="dxa"/>
              <w:start w:w="100" w:type="dxa"/>
              <w:bottom w:w="90" w:type="dxa"/>
              <w:end w:w="100" w:type="dxa"/>
            </w:tcMar>
            <w:vAlign w:val="center"/>
          </w:tcPr>
          <w:p>
            <w:pPr>
              <w:jc w:val="center"/>
            </w:pPr>
            <w:r>
              <w:rPr>
                <w:rFonts w:ascii="Aptos" w:hAnsi="Aptos"/>
                <w:b w:val="0"/>
                <w:i w:val="0"/>
                <w:sz w:val="14"/>
              </w:rPr>
              <w:t>T2-F-24.25</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T2-F396</w:t>
            </w:r>
          </w:p>
        </w:tc>
        <w:tc>
          <w:tcPr>
            <w:tcW w:type="dxa" w:w="1928"/>
            <w:tcMar>
              <w:top w:w="90" w:type="dxa"/>
              <w:start w:w="100" w:type="dxa"/>
              <w:bottom w:w="90" w:type="dxa"/>
              <w:end w:w="100" w:type="dxa"/>
            </w:tcMar>
            <w:vAlign w:val="center"/>
          </w:tcPr>
          <w:p>
            <w:pPr>
              <w:jc w:val="center"/>
            </w:pPr>
            <w:r>
              <w:rPr>
                <w:rFonts w:ascii="Aptos" w:hAnsi="Aptos"/>
                <w:b w:val="0"/>
                <w:i w:val="0"/>
                <w:sz w:val="14"/>
              </w:rPr>
              <w:t>T2-F-24.26</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T2-F401</w:t>
            </w:r>
          </w:p>
        </w:tc>
        <w:tc>
          <w:tcPr>
            <w:tcW w:type="dxa" w:w="1928"/>
            <w:tcMar>
              <w:top w:w="90" w:type="dxa"/>
              <w:start w:w="100" w:type="dxa"/>
              <w:bottom w:w="90" w:type="dxa"/>
              <w:end w:w="100" w:type="dxa"/>
            </w:tcMar>
            <w:vAlign w:val="center"/>
          </w:tcPr>
          <w:p>
            <w:pPr>
              <w:jc w:val="center"/>
            </w:pPr>
            <w:r>
              <w:rPr>
                <w:rFonts w:ascii="Aptos" w:hAnsi="Aptos"/>
                <w:b w:val="0"/>
                <w:i w:val="0"/>
                <w:sz w:val="14"/>
              </w:rPr>
              <w:t>T2-F-24.31</w:t>
            </w:r>
          </w:p>
        </w:tc>
        <w:tc>
          <w:tcPr>
            <w:tcW w:type="dxa" w:w="6236"/>
            <w:tcMar>
              <w:top w:w="90" w:type="dxa"/>
              <w:start w:w="100" w:type="dxa"/>
              <w:bottom w:w="90" w:type="dxa"/>
              <w:end w:w="100" w:type="dxa"/>
            </w:tcMar>
            <w:vAlign w:val="center"/>
          </w:tcPr>
          <w:p>
            <w:pPr>
              <w:jc w:val="left"/>
            </w:pPr>
            <w:r>
              <w:rPr>
                <w:rFonts w:ascii="Aptos" w:hAnsi="Aptos"/>
                <w:b w:val="0"/>
                <w:i w:val="0"/>
                <w:sz w:val="14"/>
              </w:rPr>
              <w:t>Mathematical token signature preserved; only connective prose, punctuation, or decimal-comma localisation differs.</w:t>
            </w:r>
          </w:p>
        </w:tc>
      </w:tr>
    </w:tbl>
    <w:p>
      <w:pPr>
        <w:pStyle w:val="Heading2"/>
        <w:keepNext/>
      </w:pPr>
      <w:r>
        <w:rPr>
          <w:rFonts w:ascii="Aptos" w:hAnsi="Aptos"/>
          <w:b/>
          <w:i w:val="0"/>
          <w:color w:val="1F4E78"/>
          <w:sz w:val="24"/>
        </w:rPr>
        <w:t>T2-F.5. Formal Statements and Evidence Obligations</w:t>
      </w:r>
    </w:p>
    <w:tbl>
      <w:tblPr>
        <w:tblStyle w:val="TableGrid"/>
        <w:tblW w:type="auto" w:w="0"/>
        <w:jc w:val="center"/>
        <w:tblLayout w:type="fixed"/>
        <w:tblLook w:firstColumn="1" w:firstRow="1" w:lastColumn="0" w:lastRow="0" w:noHBand="0" w:noVBand="1" w:val="04A0"/>
      </w:tblPr>
      <w:tblGrid>
        <w:gridCol w:w="1996"/>
        <w:gridCol w:w="1996"/>
        <w:gridCol w:w="1996"/>
        <w:gridCol w:w="1996"/>
        <w:gridCol w:w="1996"/>
      </w:tblGrid>
      <w:tr>
        <w:trPr>
          <w:tblHeader w:val="true"/>
        </w:trPr>
        <w:tc>
          <w:tcPr>
            <w:tcW w:type="dxa" w:w="2721"/>
            <w:shd w:fill="1F4E78"/>
            <w:tcMar>
              <w:top w:w="90" w:type="dxa"/>
              <w:start w:w="100" w:type="dxa"/>
              <w:bottom w:w="90" w:type="dxa"/>
              <w:end w:w="100" w:type="dxa"/>
            </w:tcMar>
            <w:vAlign w:val="center"/>
          </w:tcPr>
          <w:p>
            <w:pPr>
              <w:jc w:val="center"/>
            </w:pPr>
            <w:r>
              <w:rPr>
                <w:rFonts w:ascii="Aptos" w:hAnsi="Aptos"/>
                <w:b/>
                <w:i w:val="0"/>
                <w:color w:val="FFFFFF"/>
                <w:sz w:val="16"/>
              </w:rPr>
              <w:t>Register</w:t>
            </w:r>
          </w:p>
        </w:tc>
        <w:tc>
          <w:tcPr>
            <w:tcW w:type="dxa" w:w="1361"/>
            <w:shd w:fill="1F4E78"/>
            <w:tcMar>
              <w:top w:w="90" w:type="dxa"/>
              <w:start w:w="100" w:type="dxa"/>
              <w:bottom w:w="90" w:type="dxa"/>
              <w:end w:w="100" w:type="dxa"/>
            </w:tcMar>
            <w:vAlign w:val="center"/>
          </w:tcPr>
          <w:p>
            <w:pPr>
              <w:jc w:val="center"/>
            </w:pPr>
            <w:r>
              <w:rPr>
                <w:rFonts w:ascii="Aptos" w:hAnsi="Aptos"/>
                <w:b/>
                <w:i w:val="0"/>
                <w:color w:val="FFFFFF"/>
                <w:sz w:val="16"/>
              </w:rPr>
              <w:t>Rows</w:t>
            </w:r>
          </w:p>
        </w:tc>
        <w:tc>
          <w:tcPr>
            <w:tcW w:type="dxa" w:w="1928"/>
            <w:shd w:fill="1F4E78"/>
            <w:tcMar>
              <w:top w:w="90" w:type="dxa"/>
              <w:start w:w="100" w:type="dxa"/>
              <w:bottom w:w="90" w:type="dxa"/>
              <w:end w:w="100" w:type="dxa"/>
            </w:tcMar>
            <w:vAlign w:val="center"/>
          </w:tcPr>
          <w:p>
            <w:pPr>
              <w:jc w:val="center"/>
            </w:pPr>
            <w:r>
              <w:rPr>
                <w:rFonts w:ascii="Aptos" w:hAnsi="Aptos"/>
                <w:b/>
                <w:i w:val="0"/>
                <w:color w:val="FFFFFF"/>
                <w:sz w:val="16"/>
              </w:rPr>
              <w:t>Exact parity</w:t>
            </w:r>
          </w:p>
        </w:tc>
        <w:tc>
          <w:tcPr>
            <w:tcW w:type="dxa" w:w="2154"/>
            <w:shd w:fill="1F4E78"/>
            <w:tcMar>
              <w:top w:w="90" w:type="dxa"/>
              <w:start w:w="100" w:type="dxa"/>
              <w:bottom w:w="90" w:type="dxa"/>
              <w:end w:w="100" w:type="dxa"/>
            </w:tcMar>
            <w:vAlign w:val="center"/>
          </w:tcPr>
          <w:p>
            <w:pPr>
              <w:jc w:val="center"/>
            </w:pPr>
            <w:r>
              <w:rPr>
                <w:rFonts w:ascii="Aptos" w:hAnsi="Aptos"/>
                <w:b/>
                <w:i w:val="0"/>
                <w:color w:val="FFFFFF"/>
                <w:sz w:val="16"/>
              </w:rPr>
              <w:t>Translated qualifier</w:t>
            </w:r>
          </w:p>
        </w:tc>
        <w:tc>
          <w:tcPr>
            <w:tcW w:type="dxa" w:w="1587"/>
            <w:shd w:fill="1F4E78"/>
            <w:tcMar>
              <w:top w:w="90" w:type="dxa"/>
              <w:start w:w="100" w:type="dxa"/>
              <w:bottom w:w="90" w:type="dxa"/>
              <w:end w:w="100" w:type="dxa"/>
            </w:tcMar>
            <w:vAlign w:val="center"/>
          </w:tcPr>
          <w:p>
            <w:pPr>
              <w:jc w:val="center"/>
            </w:pPr>
            <w:r>
              <w:rPr>
                <w:rFonts w:ascii="Aptos" w:hAnsi="Aptos"/>
                <w:b/>
                <w:i w:val="0"/>
                <w:color w:val="FFFFFF"/>
                <w:sz w:val="16"/>
              </w:rPr>
              <w:t>Failures</w:t>
            </w:r>
          </w:p>
        </w:tc>
      </w:tr>
      <w:tr>
        <w:tc>
          <w:tcPr>
            <w:tcW w:type="dxa" w:w="2721"/>
            <w:tcMar>
              <w:top w:w="90" w:type="dxa"/>
              <w:start w:w="100" w:type="dxa"/>
              <w:bottom w:w="90" w:type="dxa"/>
              <w:end w:w="100" w:type="dxa"/>
            </w:tcMar>
            <w:vAlign w:val="center"/>
          </w:tcPr>
          <w:p>
            <w:pPr>
              <w:jc w:val="center"/>
            </w:pPr>
            <w:r>
              <w:rPr>
                <w:rFonts w:ascii="Aptos" w:hAnsi="Aptos"/>
                <w:b w:val="0"/>
                <w:i w:val="0"/>
                <w:sz w:val="16"/>
              </w:rPr>
              <w:t>Formal objects</w:t>
            </w:r>
          </w:p>
        </w:tc>
        <w:tc>
          <w:tcPr>
            <w:tcW w:type="dxa" w:w="1361"/>
            <w:tcMar>
              <w:top w:w="90" w:type="dxa"/>
              <w:start w:w="100" w:type="dxa"/>
              <w:bottom w:w="90" w:type="dxa"/>
              <w:end w:w="100" w:type="dxa"/>
            </w:tcMar>
            <w:vAlign w:val="center"/>
          </w:tcPr>
          <w:p>
            <w:pPr>
              <w:jc w:val="center"/>
            </w:pPr>
            <w:r>
              <w:rPr>
                <w:rFonts w:ascii="Aptos" w:hAnsi="Aptos"/>
                <w:b w:val="0"/>
                <w:i w:val="0"/>
                <w:sz w:val="16"/>
              </w:rPr>
              <w:t>339</w:t>
            </w:r>
          </w:p>
        </w:tc>
        <w:tc>
          <w:tcPr>
            <w:tcW w:type="dxa" w:w="1928"/>
            <w:tcMar>
              <w:top w:w="90" w:type="dxa"/>
              <w:start w:w="100" w:type="dxa"/>
              <w:bottom w:w="90" w:type="dxa"/>
              <w:end w:w="100" w:type="dxa"/>
            </w:tcMar>
            <w:vAlign w:val="center"/>
          </w:tcPr>
          <w:p>
            <w:pPr>
              <w:jc w:val="center"/>
            </w:pPr>
            <w:r>
              <w:rPr>
                <w:rFonts w:ascii="Aptos" w:hAnsi="Aptos"/>
                <w:b w:val="0"/>
                <w:i w:val="0"/>
                <w:sz w:val="16"/>
              </w:rPr>
              <w:t>331</w:t>
            </w:r>
          </w:p>
        </w:tc>
        <w:tc>
          <w:tcPr>
            <w:tcW w:type="dxa" w:w="2154"/>
            <w:tcMar>
              <w:top w:w="90" w:type="dxa"/>
              <w:start w:w="100" w:type="dxa"/>
              <w:bottom w:w="90" w:type="dxa"/>
              <w:end w:w="100" w:type="dxa"/>
            </w:tcMar>
            <w:vAlign w:val="center"/>
          </w:tcPr>
          <w:p>
            <w:pPr>
              <w:jc w:val="center"/>
            </w:pPr>
            <w:r>
              <w:rPr>
                <w:rFonts w:ascii="Aptos" w:hAnsi="Aptos"/>
                <w:b w:val="0"/>
                <w:i w:val="0"/>
                <w:sz w:val="16"/>
              </w:rPr>
              <w:t>8</w:t>
            </w:r>
          </w:p>
        </w:tc>
        <w:tc>
          <w:tcPr>
            <w:tcW w:type="dxa" w:w="1587"/>
            <w:tcMar>
              <w:top w:w="90" w:type="dxa"/>
              <w:start w:w="100" w:type="dxa"/>
              <w:bottom w:w="90" w:type="dxa"/>
              <w:end w:w="100" w:type="dxa"/>
            </w:tcMar>
            <w:vAlign w:val="center"/>
          </w:tcPr>
          <w:p>
            <w:pPr>
              <w:jc w:val="center"/>
            </w:pPr>
            <w:r>
              <w:rPr>
                <w:rFonts w:ascii="Aptos" w:hAnsi="Aptos"/>
                <w:b w:val="0"/>
                <w:i w:val="0"/>
                <w:sz w:val="16"/>
              </w:rPr>
              <w:t>0</w:t>
            </w:r>
          </w:p>
        </w:tc>
      </w:tr>
      <w:tr>
        <w:tc>
          <w:tcPr>
            <w:tcW w:type="dxa" w:w="2721"/>
            <w:tcMar>
              <w:top w:w="90" w:type="dxa"/>
              <w:start w:w="100" w:type="dxa"/>
              <w:bottom w:w="90" w:type="dxa"/>
              <w:end w:w="100" w:type="dxa"/>
            </w:tcMar>
            <w:vAlign w:val="center"/>
          </w:tcPr>
          <w:p>
            <w:pPr>
              <w:jc w:val="center"/>
            </w:pPr>
            <w:r>
              <w:rPr>
                <w:rFonts w:ascii="Aptos" w:hAnsi="Aptos"/>
                <w:b w:val="0"/>
                <w:i w:val="0"/>
                <w:sz w:val="16"/>
              </w:rPr>
              <w:t>Evidence obligations</w:t>
            </w:r>
          </w:p>
        </w:tc>
        <w:tc>
          <w:tcPr>
            <w:tcW w:type="dxa" w:w="1361"/>
            <w:tcMar>
              <w:top w:w="90" w:type="dxa"/>
              <w:start w:w="100" w:type="dxa"/>
              <w:bottom w:w="90" w:type="dxa"/>
              <w:end w:w="100" w:type="dxa"/>
            </w:tcMar>
            <w:vAlign w:val="center"/>
          </w:tcPr>
          <w:p>
            <w:pPr>
              <w:jc w:val="center"/>
            </w:pPr>
            <w:r>
              <w:rPr>
                <w:rFonts w:ascii="Aptos" w:hAnsi="Aptos"/>
                <w:b w:val="0"/>
                <w:i w:val="0"/>
                <w:sz w:val="16"/>
              </w:rPr>
              <w:t>500</w:t>
            </w:r>
          </w:p>
        </w:tc>
        <w:tc>
          <w:tcPr>
            <w:tcW w:type="dxa" w:w="1928"/>
            <w:tcMar>
              <w:top w:w="90" w:type="dxa"/>
              <w:start w:w="100" w:type="dxa"/>
              <w:bottom w:w="90" w:type="dxa"/>
              <w:end w:w="100" w:type="dxa"/>
            </w:tcMar>
            <w:vAlign w:val="center"/>
          </w:tcPr>
          <w:p>
            <w:pPr>
              <w:jc w:val="center"/>
            </w:pPr>
            <w:r>
              <w:rPr>
                <w:rFonts w:ascii="Aptos" w:hAnsi="Aptos"/>
                <w:b w:val="0"/>
                <w:i w:val="0"/>
                <w:sz w:val="16"/>
              </w:rPr>
              <w:t>497</w:t>
            </w:r>
          </w:p>
        </w:tc>
        <w:tc>
          <w:tcPr>
            <w:tcW w:type="dxa" w:w="2154"/>
            <w:tcMar>
              <w:top w:w="90" w:type="dxa"/>
              <w:start w:w="100" w:type="dxa"/>
              <w:bottom w:w="90" w:type="dxa"/>
              <w:end w:w="100" w:type="dxa"/>
            </w:tcMar>
            <w:vAlign w:val="center"/>
          </w:tcPr>
          <w:p>
            <w:pPr>
              <w:jc w:val="center"/>
            </w:pPr>
            <w:r>
              <w:rPr>
                <w:rFonts w:ascii="Aptos" w:hAnsi="Aptos"/>
                <w:b w:val="0"/>
                <w:i w:val="0"/>
                <w:sz w:val="16"/>
              </w:rPr>
              <w:t>3</w:t>
            </w:r>
          </w:p>
        </w:tc>
        <w:tc>
          <w:tcPr>
            <w:tcW w:type="dxa" w:w="1587"/>
            <w:tcMar>
              <w:top w:w="90" w:type="dxa"/>
              <w:start w:w="100" w:type="dxa"/>
              <w:bottom w:w="90" w:type="dxa"/>
              <w:end w:w="100" w:type="dxa"/>
            </w:tcMar>
            <w:vAlign w:val="center"/>
          </w:tcPr>
          <w:p>
            <w:pPr>
              <w:jc w:val="center"/>
            </w:pPr>
            <w:r>
              <w:rPr>
                <w:rFonts w:ascii="Aptos" w:hAnsi="Aptos"/>
                <w:b w:val="0"/>
                <w:i w:val="0"/>
                <w:sz w:val="16"/>
              </w:rPr>
              <w:t>0</w:t>
            </w:r>
          </w:p>
        </w:tc>
      </w:tr>
    </w:tbl>
    <w:p>
      <w:pPr>
        <w:spacing w:after="100" w:line="259" w:lineRule="auto"/>
      </w:pPr>
      <w:r>
        <w:rPr>
          <w:rFonts w:ascii="Aptos" w:hAnsi="Aptos"/>
          <w:b w:val="0"/>
          <w:i w:val="0"/>
          <w:sz w:val="18"/>
        </w:rPr>
        <w:t>The translated qualifiers retain phrases such as “under hypothesis 6.7”, “under B3-B5”, “in finite-dimensional oriented models”, and “under a cover”. They are not promotions from conditional to unconditional status.</w:t>
      </w:r>
    </w:p>
    <w:tbl>
      <w:tblPr>
        <w:tblStyle w:val="TableGrid"/>
        <w:tblW w:type="auto" w:w="0"/>
        <w:jc w:val="center"/>
        <w:tblLayout w:type="fixed"/>
        <w:tblLook w:firstColumn="1" w:firstRow="1" w:lastColumn="0" w:lastRow="0" w:noHBand="0" w:noVBand="1" w:val="04A0"/>
      </w:tblPr>
      <w:tblGrid>
        <w:gridCol w:w="2494"/>
        <w:gridCol w:w="2494"/>
        <w:gridCol w:w="2494"/>
        <w:gridCol w:w="2494"/>
      </w:tblGrid>
      <w:tr>
        <w:trPr>
          <w:tblHeader w:val="true"/>
        </w:trPr>
        <w:tc>
          <w:tcPr>
            <w:tcW w:type="dxa" w:w="1814"/>
            <w:shd w:fill="1F4E78"/>
            <w:tcMar>
              <w:top w:w="90" w:type="dxa"/>
              <w:start w:w="100" w:type="dxa"/>
              <w:bottom w:w="90" w:type="dxa"/>
              <w:end w:w="100" w:type="dxa"/>
            </w:tcMar>
            <w:vAlign w:val="center"/>
          </w:tcPr>
          <w:p>
            <w:pPr>
              <w:jc w:val="center"/>
            </w:pPr>
            <w:r>
              <w:rPr>
                <w:rFonts w:ascii="Aptos" w:hAnsi="Aptos"/>
                <w:b/>
                <w:i w:val="0"/>
                <w:color w:val="FFFFFF"/>
                <w:sz w:val="14"/>
              </w:rPr>
              <w:t>Typed ID</w:t>
            </w:r>
          </w:p>
        </w:tc>
        <w:tc>
          <w:tcPr>
            <w:tcW w:type="dxa" w:w="3231"/>
            <w:shd w:fill="1F4E78"/>
            <w:tcMar>
              <w:top w:w="90" w:type="dxa"/>
              <w:start w:w="100" w:type="dxa"/>
              <w:bottom w:w="90" w:type="dxa"/>
              <w:end w:w="100" w:type="dxa"/>
            </w:tcMar>
            <w:vAlign w:val="center"/>
          </w:tcPr>
          <w:p>
            <w:pPr>
              <w:jc w:val="center"/>
            </w:pPr>
            <w:r>
              <w:rPr>
                <w:rFonts w:ascii="Aptos" w:hAnsi="Aptos"/>
                <w:b/>
                <w:i w:val="0"/>
                <w:color w:val="FFFFFF"/>
                <w:sz w:val="14"/>
              </w:rPr>
              <w:t>RU status</w:t>
            </w:r>
          </w:p>
        </w:tc>
        <w:tc>
          <w:tcPr>
            <w:tcW w:type="dxa" w:w="3231"/>
            <w:shd w:fill="1F4E78"/>
            <w:tcMar>
              <w:top w:w="90" w:type="dxa"/>
              <w:start w:w="100" w:type="dxa"/>
              <w:bottom w:w="90" w:type="dxa"/>
              <w:end w:w="100" w:type="dxa"/>
            </w:tcMar>
            <w:vAlign w:val="center"/>
          </w:tcPr>
          <w:p>
            <w:pPr>
              <w:jc w:val="center"/>
            </w:pPr>
            <w:r>
              <w:rPr>
                <w:rFonts w:ascii="Aptos" w:hAnsi="Aptos"/>
                <w:b/>
                <w:i w:val="0"/>
                <w:color w:val="FFFFFF"/>
                <w:sz w:val="14"/>
              </w:rPr>
              <w:t>EN status</w:t>
            </w:r>
          </w:p>
        </w:tc>
        <w:tc>
          <w:tcPr>
            <w:tcW w:type="dxa" w:w="1474"/>
            <w:shd w:fill="1F4E78"/>
            <w:tcMar>
              <w:top w:w="90" w:type="dxa"/>
              <w:start w:w="100" w:type="dxa"/>
              <w:bottom w:w="90" w:type="dxa"/>
              <w:end w:w="100" w:type="dxa"/>
            </w:tcMar>
            <w:vAlign w:val="center"/>
          </w:tcPr>
          <w:p>
            <w:pPr>
              <w:jc w:val="center"/>
            </w:pPr>
            <w:r>
              <w:rPr>
                <w:rFonts w:ascii="Aptos" w:hAnsi="Aptos"/>
                <w:b/>
                <w:i w:val="0"/>
                <w:color w:val="FFFFFF"/>
                <w:sz w:val="14"/>
              </w:rPr>
              <w:t>Verdict</w:t>
            </w:r>
          </w:p>
        </w:tc>
      </w:tr>
      <w:tr>
        <w:tc>
          <w:tcPr>
            <w:tcW w:type="dxa" w:w="1814"/>
            <w:tcMar>
              <w:top w:w="90" w:type="dxa"/>
              <w:start w:w="100" w:type="dxa"/>
              <w:bottom w:w="90" w:type="dxa"/>
              <w:end w:w="100" w:type="dxa"/>
            </w:tcMar>
            <w:vAlign w:val="center"/>
          </w:tcPr>
          <w:p>
            <w:pPr>
              <w:jc w:val="center"/>
            </w:pPr>
            <w:r>
              <w:rPr>
                <w:rFonts w:ascii="Aptos" w:hAnsi="Aptos"/>
                <w:b w:val="0"/>
                <w:i w:val="0"/>
                <w:sz w:val="14"/>
              </w:rPr>
              <w:t>T2-COR-6.11</w:t>
            </w:r>
          </w:p>
        </w:tc>
        <w:tc>
          <w:tcPr>
            <w:tcW w:type="dxa" w:w="3231"/>
            <w:tcMar>
              <w:top w:w="90" w:type="dxa"/>
              <w:start w:w="100" w:type="dxa"/>
              <w:bottom w:w="90" w:type="dxa"/>
              <w:end w:w="100" w:type="dxa"/>
            </w:tcMar>
            <w:vAlign w:val="center"/>
          </w:tcPr>
          <w:p>
            <w:pPr>
              <w:jc w:val="center"/>
            </w:pPr>
            <w:r>
              <w:rPr>
                <w:rFonts w:ascii="Aptos" w:hAnsi="Aptos"/>
                <w:b w:val="0"/>
                <w:i w:val="0"/>
                <w:sz w:val="14"/>
              </w:rPr>
              <w:t>THM при гипотезе 6.7</w:t>
            </w:r>
          </w:p>
        </w:tc>
        <w:tc>
          <w:tcPr>
            <w:tcW w:type="dxa" w:w="3231"/>
            <w:tcMar>
              <w:top w:w="90" w:type="dxa"/>
              <w:start w:w="100" w:type="dxa"/>
              <w:bottom w:w="90" w:type="dxa"/>
              <w:end w:w="100" w:type="dxa"/>
            </w:tcMar>
            <w:vAlign w:val="center"/>
          </w:tcPr>
          <w:p>
            <w:pPr>
              <w:jc w:val="left"/>
            </w:pPr>
            <w:r>
              <w:rPr>
                <w:rFonts w:ascii="Aptos" w:hAnsi="Aptos"/>
                <w:b w:val="0"/>
                <w:i w:val="0"/>
                <w:sz w:val="14"/>
              </w:rPr>
              <w:t>THM under hypothesis 6.7</w:t>
            </w:r>
          </w:p>
        </w:tc>
        <w:tc>
          <w:tcPr>
            <w:tcW w:type="dxa" w:w="1474"/>
            <w:tcMar>
              <w:top w:w="90" w:type="dxa"/>
              <w:start w:w="100" w:type="dxa"/>
              <w:bottom w:w="90" w:type="dxa"/>
              <w:end w:w="100" w:type="dxa"/>
            </w:tcMar>
            <w:vAlign w:val="center"/>
          </w:tcPr>
          <w:p>
            <w:pPr>
              <w:jc w:val="center"/>
            </w:pPr>
            <w:r>
              <w:rPr>
                <w:rFonts w:ascii="Aptos" w:hAnsi="Aptos"/>
                <w:b w:val="0"/>
                <w:i w:val="0"/>
                <w:sz w:val="14"/>
              </w:rPr>
              <w:t>PASS</w:t>
            </w:r>
          </w:p>
        </w:tc>
      </w:tr>
      <w:tr>
        <w:tc>
          <w:tcPr>
            <w:tcW w:type="dxa" w:w="1814"/>
            <w:tcMar>
              <w:top w:w="90" w:type="dxa"/>
              <w:start w:w="100" w:type="dxa"/>
              <w:bottom w:w="90" w:type="dxa"/>
              <w:end w:w="100" w:type="dxa"/>
            </w:tcMar>
            <w:vAlign w:val="center"/>
          </w:tcPr>
          <w:p>
            <w:pPr>
              <w:jc w:val="center"/>
            </w:pPr>
            <w:r>
              <w:rPr>
                <w:rFonts w:ascii="Aptos" w:hAnsi="Aptos"/>
                <w:b w:val="0"/>
                <w:i w:val="0"/>
                <w:sz w:val="14"/>
              </w:rPr>
              <w:t>T2-COR-6.22</w:t>
            </w:r>
          </w:p>
        </w:tc>
        <w:tc>
          <w:tcPr>
            <w:tcW w:type="dxa" w:w="3231"/>
            <w:tcMar>
              <w:top w:w="90" w:type="dxa"/>
              <w:start w:w="100" w:type="dxa"/>
              <w:bottom w:w="90" w:type="dxa"/>
              <w:end w:w="100" w:type="dxa"/>
            </w:tcMar>
            <w:vAlign w:val="center"/>
          </w:tcPr>
          <w:p>
            <w:pPr>
              <w:jc w:val="left"/>
            </w:pPr>
            <w:r>
              <w:rPr>
                <w:rFonts w:ascii="Aptos" w:hAnsi="Aptos"/>
                <w:b w:val="0"/>
                <w:i w:val="0"/>
                <w:sz w:val="14"/>
              </w:rPr>
              <w:t>THM при гипотезах 6.7 и 6.20</w:t>
            </w:r>
          </w:p>
        </w:tc>
        <w:tc>
          <w:tcPr>
            <w:tcW w:type="dxa" w:w="3231"/>
            <w:tcMar>
              <w:top w:w="90" w:type="dxa"/>
              <w:start w:w="100" w:type="dxa"/>
              <w:bottom w:w="90" w:type="dxa"/>
              <w:end w:w="100" w:type="dxa"/>
            </w:tcMar>
            <w:vAlign w:val="center"/>
          </w:tcPr>
          <w:p>
            <w:pPr>
              <w:jc w:val="left"/>
            </w:pPr>
            <w:r>
              <w:rPr>
                <w:rFonts w:ascii="Aptos" w:hAnsi="Aptos"/>
                <w:b w:val="0"/>
                <w:i w:val="0"/>
                <w:sz w:val="14"/>
              </w:rPr>
              <w:t>THM under hypotheses 6.7 and 6.20</w:t>
            </w:r>
          </w:p>
        </w:tc>
        <w:tc>
          <w:tcPr>
            <w:tcW w:type="dxa" w:w="1474"/>
            <w:tcMar>
              <w:top w:w="90" w:type="dxa"/>
              <w:start w:w="100" w:type="dxa"/>
              <w:bottom w:w="90" w:type="dxa"/>
              <w:end w:w="100" w:type="dxa"/>
            </w:tcMar>
            <w:vAlign w:val="center"/>
          </w:tcPr>
          <w:p>
            <w:pPr>
              <w:jc w:val="center"/>
            </w:pPr>
            <w:r>
              <w:rPr>
                <w:rFonts w:ascii="Aptos" w:hAnsi="Aptos"/>
                <w:b w:val="0"/>
                <w:i w:val="0"/>
                <w:sz w:val="14"/>
              </w:rPr>
              <w:t>PASS</w:t>
            </w:r>
          </w:p>
        </w:tc>
      </w:tr>
      <w:tr>
        <w:tc>
          <w:tcPr>
            <w:tcW w:type="dxa" w:w="1814"/>
            <w:tcMar>
              <w:top w:w="90" w:type="dxa"/>
              <w:start w:w="100" w:type="dxa"/>
              <w:bottom w:w="90" w:type="dxa"/>
              <w:end w:w="100" w:type="dxa"/>
            </w:tcMar>
            <w:vAlign w:val="center"/>
          </w:tcPr>
          <w:p>
            <w:pPr>
              <w:jc w:val="center"/>
            </w:pPr>
            <w:r>
              <w:rPr>
                <w:rFonts w:ascii="Aptos" w:hAnsi="Aptos"/>
                <w:b w:val="0"/>
                <w:i w:val="0"/>
                <w:sz w:val="14"/>
              </w:rPr>
              <w:t>T2-DEF-13.3</w:t>
            </w:r>
          </w:p>
        </w:tc>
        <w:tc>
          <w:tcPr>
            <w:tcW w:type="dxa" w:w="3231"/>
            <w:tcMar>
              <w:top w:w="90" w:type="dxa"/>
              <w:start w:w="100" w:type="dxa"/>
              <w:bottom w:w="90" w:type="dxa"/>
              <w:end w:w="100" w:type="dxa"/>
            </w:tcMar>
            <w:vAlign w:val="center"/>
          </w:tcPr>
          <w:p>
            <w:pPr>
              <w:jc w:val="center"/>
            </w:pPr>
            <w:r>
              <w:rPr>
                <w:rFonts w:ascii="Aptos" w:hAnsi="Aptos"/>
                <w:b w:val="0"/>
                <w:i w:val="0"/>
                <w:sz w:val="14"/>
              </w:rPr>
              <w:t>COND/THM при B1-B5</w:t>
            </w:r>
          </w:p>
        </w:tc>
        <w:tc>
          <w:tcPr>
            <w:tcW w:type="dxa" w:w="3231"/>
            <w:tcMar>
              <w:top w:w="90" w:type="dxa"/>
              <w:start w:w="100" w:type="dxa"/>
              <w:bottom w:w="90" w:type="dxa"/>
              <w:end w:w="100" w:type="dxa"/>
            </w:tcMar>
            <w:vAlign w:val="center"/>
          </w:tcPr>
          <w:p>
            <w:pPr>
              <w:jc w:val="center"/>
            </w:pPr>
            <w:r>
              <w:rPr>
                <w:rFonts w:ascii="Aptos" w:hAnsi="Aptos"/>
                <w:b w:val="0"/>
                <w:i w:val="0"/>
                <w:sz w:val="14"/>
              </w:rPr>
              <w:t>COND/THM under B1-B5</w:t>
            </w:r>
          </w:p>
        </w:tc>
        <w:tc>
          <w:tcPr>
            <w:tcW w:type="dxa" w:w="1474"/>
            <w:tcMar>
              <w:top w:w="90" w:type="dxa"/>
              <w:start w:w="100" w:type="dxa"/>
              <w:bottom w:w="90" w:type="dxa"/>
              <w:end w:w="100" w:type="dxa"/>
            </w:tcMar>
            <w:vAlign w:val="center"/>
          </w:tcPr>
          <w:p>
            <w:pPr>
              <w:jc w:val="center"/>
            </w:pPr>
            <w:r>
              <w:rPr>
                <w:rFonts w:ascii="Aptos" w:hAnsi="Aptos"/>
                <w:b w:val="0"/>
                <w:i w:val="0"/>
                <w:sz w:val="14"/>
              </w:rPr>
              <w:t>PASS</w:t>
            </w:r>
          </w:p>
        </w:tc>
      </w:tr>
      <w:tr>
        <w:tc>
          <w:tcPr>
            <w:tcW w:type="dxa" w:w="1814"/>
            <w:tcMar>
              <w:top w:w="90" w:type="dxa"/>
              <w:start w:w="100" w:type="dxa"/>
              <w:bottom w:w="90" w:type="dxa"/>
              <w:end w:w="100" w:type="dxa"/>
            </w:tcMar>
            <w:vAlign w:val="center"/>
          </w:tcPr>
          <w:p>
            <w:pPr>
              <w:jc w:val="center"/>
            </w:pPr>
            <w:r>
              <w:rPr>
                <w:rFonts w:ascii="Aptos" w:hAnsi="Aptos"/>
                <w:b w:val="0"/>
                <w:i w:val="0"/>
                <w:sz w:val="14"/>
              </w:rPr>
              <w:t>T2-LEM-19.2</w:t>
            </w:r>
          </w:p>
        </w:tc>
        <w:tc>
          <w:tcPr>
            <w:tcW w:type="dxa" w:w="3231"/>
            <w:tcMar>
              <w:top w:w="90" w:type="dxa"/>
              <w:start w:w="100" w:type="dxa"/>
              <w:bottom w:w="90" w:type="dxa"/>
              <w:end w:w="100" w:type="dxa"/>
            </w:tcMar>
            <w:vAlign w:val="center"/>
          </w:tcPr>
          <w:p>
            <w:pPr>
              <w:jc w:val="left"/>
            </w:pPr>
            <w:r>
              <w:rPr>
                <w:rFonts w:ascii="Aptos" w:hAnsi="Aptos"/>
                <w:b w:val="0"/>
                <w:i w:val="0"/>
                <w:sz w:val="14"/>
              </w:rPr>
              <w:t>THM в конечномерной ориентированной модели</w:t>
            </w:r>
          </w:p>
        </w:tc>
        <w:tc>
          <w:tcPr>
            <w:tcW w:type="dxa" w:w="3231"/>
            <w:tcMar>
              <w:top w:w="90" w:type="dxa"/>
              <w:start w:w="100" w:type="dxa"/>
              <w:bottom w:w="90" w:type="dxa"/>
              <w:end w:w="100" w:type="dxa"/>
            </w:tcMar>
            <w:vAlign w:val="center"/>
          </w:tcPr>
          <w:p>
            <w:pPr>
              <w:jc w:val="left"/>
            </w:pPr>
            <w:r>
              <w:rPr>
                <w:rFonts w:ascii="Aptos" w:hAnsi="Aptos"/>
                <w:b w:val="0"/>
                <w:i w:val="0"/>
                <w:sz w:val="14"/>
              </w:rPr>
              <w:t>THM in finite-dimensional oriented models</w:t>
            </w:r>
          </w:p>
        </w:tc>
        <w:tc>
          <w:tcPr>
            <w:tcW w:type="dxa" w:w="1474"/>
            <w:tcMar>
              <w:top w:w="90" w:type="dxa"/>
              <w:start w:w="100" w:type="dxa"/>
              <w:bottom w:w="90" w:type="dxa"/>
              <w:end w:w="100" w:type="dxa"/>
            </w:tcMar>
            <w:vAlign w:val="center"/>
          </w:tcPr>
          <w:p>
            <w:pPr>
              <w:jc w:val="center"/>
            </w:pPr>
            <w:r>
              <w:rPr>
                <w:rFonts w:ascii="Aptos" w:hAnsi="Aptos"/>
                <w:b w:val="0"/>
                <w:i w:val="0"/>
                <w:sz w:val="14"/>
              </w:rPr>
              <w:t>PASS</w:t>
            </w:r>
          </w:p>
        </w:tc>
      </w:tr>
      <w:tr>
        <w:tc>
          <w:tcPr>
            <w:tcW w:type="dxa" w:w="1814"/>
            <w:tcMar>
              <w:top w:w="90" w:type="dxa"/>
              <w:start w:w="100" w:type="dxa"/>
              <w:bottom w:w="90" w:type="dxa"/>
              <w:end w:w="100" w:type="dxa"/>
            </w:tcMar>
            <w:vAlign w:val="center"/>
          </w:tcPr>
          <w:p>
            <w:pPr>
              <w:jc w:val="center"/>
            </w:pPr>
            <w:r>
              <w:rPr>
                <w:rFonts w:ascii="Aptos" w:hAnsi="Aptos"/>
                <w:b w:val="0"/>
                <w:i w:val="0"/>
                <w:sz w:val="14"/>
              </w:rPr>
              <w:t>T2-THM-6.10</w:t>
            </w:r>
          </w:p>
        </w:tc>
        <w:tc>
          <w:tcPr>
            <w:tcW w:type="dxa" w:w="3231"/>
            <w:tcMar>
              <w:top w:w="90" w:type="dxa"/>
              <w:start w:w="100" w:type="dxa"/>
              <w:bottom w:w="90" w:type="dxa"/>
              <w:end w:w="100" w:type="dxa"/>
            </w:tcMar>
            <w:vAlign w:val="center"/>
          </w:tcPr>
          <w:p>
            <w:pPr>
              <w:jc w:val="center"/>
            </w:pPr>
            <w:r>
              <w:rPr>
                <w:rFonts w:ascii="Aptos" w:hAnsi="Aptos"/>
                <w:b w:val="0"/>
                <w:i w:val="0"/>
                <w:sz w:val="14"/>
              </w:rPr>
              <w:t>THM при гипотезе 6.7</w:t>
            </w:r>
          </w:p>
        </w:tc>
        <w:tc>
          <w:tcPr>
            <w:tcW w:type="dxa" w:w="3231"/>
            <w:tcMar>
              <w:top w:w="90" w:type="dxa"/>
              <w:start w:w="100" w:type="dxa"/>
              <w:bottom w:w="90" w:type="dxa"/>
              <w:end w:w="100" w:type="dxa"/>
            </w:tcMar>
            <w:vAlign w:val="center"/>
          </w:tcPr>
          <w:p>
            <w:pPr>
              <w:jc w:val="left"/>
            </w:pPr>
            <w:r>
              <w:rPr>
                <w:rFonts w:ascii="Aptos" w:hAnsi="Aptos"/>
                <w:b w:val="0"/>
                <w:i w:val="0"/>
                <w:sz w:val="14"/>
              </w:rPr>
              <w:t>THM under hypothesis 6.7</w:t>
            </w:r>
          </w:p>
        </w:tc>
        <w:tc>
          <w:tcPr>
            <w:tcW w:type="dxa" w:w="1474"/>
            <w:tcMar>
              <w:top w:w="90" w:type="dxa"/>
              <w:start w:w="100" w:type="dxa"/>
              <w:bottom w:w="90" w:type="dxa"/>
              <w:end w:w="100" w:type="dxa"/>
            </w:tcMar>
            <w:vAlign w:val="center"/>
          </w:tcPr>
          <w:p>
            <w:pPr>
              <w:jc w:val="center"/>
            </w:pPr>
            <w:r>
              <w:rPr>
                <w:rFonts w:ascii="Aptos" w:hAnsi="Aptos"/>
                <w:b w:val="0"/>
                <w:i w:val="0"/>
                <w:sz w:val="14"/>
              </w:rPr>
              <w:t>PASS</w:t>
            </w:r>
          </w:p>
        </w:tc>
      </w:tr>
      <w:tr>
        <w:tc>
          <w:tcPr>
            <w:tcW w:type="dxa" w:w="1814"/>
            <w:tcMar>
              <w:top w:w="90" w:type="dxa"/>
              <w:start w:w="100" w:type="dxa"/>
              <w:bottom w:w="90" w:type="dxa"/>
              <w:end w:w="100" w:type="dxa"/>
            </w:tcMar>
            <w:vAlign w:val="center"/>
          </w:tcPr>
          <w:p>
            <w:pPr>
              <w:jc w:val="center"/>
            </w:pPr>
            <w:r>
              <w:rPr>
                <w:rFonts w:ascii="Aptos" w:hAnsi="Aptos"/>
                <w:b w:val="0"/>
                <w:i w:val="0"/>
                <w:sz w:val="14"/>
              </w:rPr>
              <w:t>T2-THM-6.21</w:t>
            </w:r>
          </w:p>
        </w:tc>
        <w:tc>
          <w:tcPr>
            <w:tcW w:type="dxa" w:w="3231"/>
            <w:tcMar>
              <w:top w:w="90" w:type="dxa"/>
              <w:start w:w="100" w:type="dxa"/>
              <w:bottom w:w="90" w:type="dxa"/>
              <w:end w:w="100" w:type="dxa"/>
            </w:tcMar>
            <w:vAlign w:val="center"/>
          </w:tcPr>
          <w:p>
            <w:pPr>
              <w:jc w:val="center"/>
            </w:pPr>
            <w:r>
              <w:rPr>
                <w:rFonts w:ascii="Aptos" w:hAnsi="Aptos"/>
                <w:b w:val="0"/>
                <w:i w:val="0"/>
                <w:sz w:val="14"/>
              </w:rPr>
              <w:t>THM при гипотезе 6.20</w:t>
            </w:r>
          </w:p>
        </w:tc>
        <w:tc>
          <w:tcPr>
            <w:tcW w:type="dxa" w:w="3231"/>
            <w:tcMar>
              <w:top w:w="90" w:type="dxa"/>
              <w:start w:w="100" w:type="dxa"/>
              <w:bottom w:w="90" w:type="dxa"/>
              <w:end w:w="100" w:type="dxa"/>
            </w:tcMar>
            <w:vAlign w:val="center"/>
          </w:tcPr>
          <w:p>
            <w:pPr>
              <w:jc w:val="left"/>
            </w:pPr>
            <w:r>
              <w:rPr>
                <w:rFonts w:ascii="Aptos" w:hAnsi="Aptos"/>
                <w:b w:val="0"/>
                <w:i w:val="0"/>
                <w:sz w:val="14"/>
              </w:rPr>
              <w:t>THM under hypothesis 6.20</w:t>
            </w:r>
          </w:p>
        </w:tc>
        <w:tc>
          <w:tcPr>
            <w:tcW w:type="dxa" w:w="1474"/>
            <w:tcMar>
              <w:top w:w="90" w:type="dxa"/>
              <w:start w:w="100" w:type="dxa"/>
              <w:bottom w:w="90" w:type="dxa"/>
              <w:end w:w="100" w:type="dxa"/>
            </w:tcMar>
            <w:vAlign w:val="center"/>
          </w:tcPr>
          <w:p>
            <w:pPr>
              <w:jc w:val="center"/>
            </w:pPr>
            <w:r>
              <w:rPr>
                <w:rFonts w:ascii="Aptos" w:hAnsi="Aptos"/>
                <w:b w:val="0"/>
                <w:i w:val="0"/>
                <w:sz w:val="14"/>
              </w:rPr>
              <w:t>PASS</w:t>
            </w:r>
          </w:p>
        </w:tc>
      </w:tr>
      <w:tr>
        <w:tc>
          <w:tcPr>
            <w:tcW w:type="dxa" w:w="1814"/>
            <w:tcMar>
              <w:top w:w="90" w:type="dxa"/>
              <w:start w:w="100" w:type="dxa"/>
              <w:bottom w:w="90" w:type="dxa"/>
              <w:end w:w="100" w:type="dxa"/>
            </w:tcMar>
            <w:vAlign w:val="center"/>
          </w:tcPr>
          <w:p>
            <w:pPr>
              <w:jc w:val="center"/>
            </w:pPr>
            <w:r>
              <w:rPr>
                <w:rFonts w:ascii="Aptos" w:hAnsi="Aptos"/>
                <w:b w:val="0"/>
                <w:i w:val="0"/>
                <w:sz w:val="14"/>
              </w:rPr>
              <w:t>T2-THM-13.2</w:t>
            </w:r>
          </w:p>
        </w:tc>
        <w:tc>
          <w:tcPr>
            <w:tcW w:type="dxa" w:w="3231"/>
            <w:tcMar>
              <w:top w:w="90" w:type="dxa"/>
              <w:start w:w="100" w:type="dxa"/>
              <w:bottom w:w="90" w:type="dxa"/>
              <w:end w:w="100" w:type="dxa"/>
            </w:tcMar>
            <w:vAlign w:val="center"/>
          </w:tcPr>
          <w:p>
            <w:pPr>
              <w:jc w:val="center"/>
            </w:pPr>
            <w:r>
              <w:rPr>
                <w:rFonts w:ascii="Aptos" w:hAnsi="Aptos"/>
                <w:b w:val="0"/>
                <w:i w:val="0"/>
                <w:sz w:val="14"/>
              </w:rPr>
              <w:t>THM при B3-B5</w:t>
            </w:r>
          </w:p>
        </w:tc>
        <w:tc>
          <w:tcPr>
            <w:tcW w:type="dxa" w:w="3231"/>
            <w:tcMar>
              <w:top w:w="90" w:type="dxa"/>
              <w:start w:w="100" w:type="dxa"/>
              <w:bottom w:w="90" w:type="dxa"/>
              <w:end w:w="100" w:type="dxa"/>
            </w:tcMar>
            <w:vAlign w:val="center"/>
          </w:tcPr>
          <w:p>
            <w:pPr>
              <w:jc w:val="center"/>
            </w:pPr>
            <w:r>
              <w:rPr>
                <w:rFonts w:ascii="Aptos" w:hAnsi="Aptos"/>
                <w:b w:val="0"/>
                <w:i w:val="0"/>
                <w:sz w:val="14"/>
              </w:rPr>
              <w:t>THM under B3-B5</w:t>
            </w:r>
          </w:p>
        </w:tc>
        <w:tc>
          <w:tcPr>
            <w:tcW w:type="dxa" w:w="1474"/>
            <w:tcMar>
              <w:top w:w="90" w:type="dxa"/>
              <w:start w:w="100" w:type="dxa"/>
              <w:bottom w:w="90" w:type="dxa"/>
              <w:end w:w="100" w:type="dxa"/>
            </w:tcMar>
            <w:vAlign w:val="center"/>
          </w:tcPr>
          <w:p>
            <w:pPr>
              <w:jc w:val="center"/>
            </w:pPr>
            <w:r>
              <w:rPr>
                <w:rFonts w:ascii="Aptos" w:hAnsi="Aptos"/>
                <w:b w:val="0"/>
                <w:i w:val="0"/>
                <w:sz w:val="14"/>
              </w:rPr>
              <w:t>PASS</w:t>
            </w:r>
          </w:p>
        </w:tc>
      </w:tr>
      <w:tr>
        <w:tc>
          <w:tcPr>
            <w:tcW w:type="dxa" w:w="1814"/>
            <w:tcMar>
              <w:top w:w="90" w:type="dxa"/>
              <w:start w:w="100" w:type="dxa"/>
              <w:bottom w:w="90" w:type="dxa"/>
              <w:end w:w="100" w:type="dxa"/>
            </w:tcMar>
            <w:vAlign w:val="center"/>
          </w:tcPr>
          <w:p>
            <w:pPr>
              <w:jc w:val="center"/>
            </w:pPr>
            <w:r>
              <w:rPr>
                <w:rFonts w:ascii="Aptos" w:hAnsi="Aptos"/>
                <w:b w:val="0"/>
                <w:i w:val="0"/>
                <w:sz w:val="14"/>
              </w:rPr>
              <w:t>T2-THM-18.2</w:t>
            </w:r>
          </w:p>
        </w:tc>
        <w:tc>
          <w:tcPr>
            <w:tcW w:type="dxa" w:w="3231"/>
            <w:tcMar>
              <w:top w:w="90" w:type="dxa"/>
              <w:start w:w="100" w:type="dxa"/>
              <w:bottom w:w="90" w:type="dxa"/>
              <w:end w:w="100" w:type="dxa"/>
            </w:tcMar>
            <w:vAlign w:val="center"/>
          </w:tcPr>
          <w:p>
            <w:pPr>
              <w:jc w:val="left"/>
            </w:pPr>
            <w:r>
              <w:rPr>
                <w:rFonts w:ascii="Aptos" w:hAnsi="Aptos"/>
                <w:b w:val="0"/>
                <w:i w:val="0"/>
                <w:sz w:val="14"/>
              </w:rPr>
              <w:t>THM в выбранной 2-категории</w:t>
            </w:r>
          </w:p>
        </w:tc>
        <w:tc>
          <w:tcPr>
            <w:tcW w:type="dxa" w:w="3231"/>
            <w:tcMar>
              <w:top w:w="90" w:type="dxa"/>
              <w:start w:w="100" w:type="dxa"/>
              <w:bottom w:w="90" w:type="dxa"/>
              <w:end w:w="100" w:type="dxa"/>
            </w:tcMar>
            <w:vAlign w:val="center"/>
          </w:tcPr>
          <w:p>
            <w:pPr>
              <w:jc w:val="left"/>
            </w:pPr>
            <w:r>
              <w:rPr>
                <w:rFonts w:ascii="Aptos" w:hAnsi="Aptos"/>
                <w:b w:val="0"/>
                <w:i w:val="0"/>
                <w:sz w:val="14"/>
              </w:rPr>
              <w:t>THM in selected 2-category</w:t>
            </w:r>
          </w:p>
        </w:tc>
        <w:tc>
          <w:tcPr>
            <w:tcW w:type="dxa" w:w="1474"/>
            <w:tcMar>
              <w:top w:w="90" w:type="dxa"/>
              <w:start w:w="100" w:type="dxa"/>
              <w:bottom w:w="90" w:type="dxa"/>
              <w:end w:w="100" w:type="dxa"/>
            </w:tcMar>
            <w:vAlign w:val="center"/>
          </w:tcPr>
          <w:p>
            <w:pPr>
              <w:jc w:val="center"/>
            </w:pPr>
            <w:r>
              <w:rPr>
                <w:rFonts w:ascii="Aptos" w:hAnsi="Aptos"/>
                <w:b w:val="0"/>
                <w:i w:val="0"/>
                <w:sz w:val="14"/>
              </w:rPr>
              <w:t>PASS</w:t>
            </w:r>
          </w:p>
        </w:tc>
      </w:tr>
    </w:tbl>
    <w:tbl>
      <w:tblPr>
        <w:tblStyle w:val="TableGrid"/>
        <w:tblW w:type="auto" w:w="0"/>
        <w:jc w:val="center"/>
        <w:tblLayout w:type="fixed"/>
        <w:tblLook w:firstColumn="1" w:firstRow="1" w:lastColumn="0" w:lastRow="0" w:noHBand="0" w:noVBand="1" w:val="04A0"/>
      </w:tblPr>
      <w:tblGrid>
        <w:gridCol w:w="2494"/>
        <w:gridCol w:w="2494"/>
        <w:gridCol w:w="2494"/>
        <w:gridCol w:w="2494"/>
      </w:tblGrid>
      <w:tr>
        <w:trPr>
          <w:tblHeader w:val="true"/>
        </w:trPr>
        <w:tc>
          <w:tcPr>
            <w:tcW w:type="dxa" w:w="1587"/>
            <w:shd w:fill="1F4E78"/>
            <w:tcMar>
              <w:top w:w="90" w:type="dxa"/>
              <w:start w:w="100" w:type="dxa"/>
              <w:bottom w:w="90" w:type="dxa"/>
              <w:end w:w="100" w:type="dxa"/>
            </w:tcMar>
            <w:vAlign w:val="center"/>
          </w:tcPr>
          <w:p>
            <w:pPr>
              <w:jc w:val="center"/>
            </w:pPr>
            <w:r>
              <w:rPr>
                <w:rFonts w:ascii="Aptos" w:hAnsi="Aptos"/>
                <w:b/>
                <w:i w:val="0"/>
                <w:color w:val="FFFFFF"/>
                <w:sz w:val="14"/>
              </w:rPr>
              <w:t>PO</w:t>
            </w:r>
          </w:p>
        </w:tc>
        <w:tc>
          <w:tcPr>
            <w:tcW w:type="dxa" w:w="2835"/>
            <w:shd w:fill="1F4E78"/>
            <w:tcMar>
              <w:top w:w="90" w:type="dxa"/>
              <w:start w:w="100" w:type="dxa"/>
              <w:bottom w:w="90" w:type="dxa"/>
              <w:end w:w="100" w:type="dxa"/>
            </w:tcMar>
            <w:vAlign w:val="center"/>
          </w:tcPr>
          <w:p>
            <w:pPr>
              <w:jc w:val="center"/>
            </w:pPr>
            <w:r>
              <w:rPr>
                <w:rFonts w:ascii="Aptos" w:hAnsi="Aptos"/>
                <w:b/>
                <w:i w:val="0"/>
                <w:color w:val="FFFFFF"/>
                <w:sz w:val="14"/>
              </w:rPr>
              <w:t>RU status</w:t>
            </w:r>
          </w:p>
        </w:tc>
        <w:tc>
          <w:tcPr>
            <w:tcW w:type="dxa" w:w="2835"/>
            <w:shd w:fill="1F4E78"/>
            <w:tcMar>
              <w:top w:w="90" w:type="dxa"/>
              <w:start w:w="100" w:type="dxa"/>
              <w:bottom w:w="90" w:type="dxa"/>
              <w:end w:w="100" w:type="dxa"/>
            </w:tcMar>
            <w:vAlign w:val="center"/>
          </w:tcPr>
          <w:p>
            <w:pPr>
              <w:jc w:val="center"/>
            </w:pPr>
            <w:r>
              <w:rPr>
                <w:rFonts w:ascii="Aptos" w:hAnsi="Aptos"/>
                <w:b/>
                <w:i w:val="0"/>
                <w:color w:val="FFFFFF"/>
                <w:sz w:val="14"/>
              </w:rPr>
              <w:t>EN status</w:t>
            </w:r>
          </w:p>
        </w:tc>
        <w:tc>
          <w:tcPr>
            <w:tcW w:type="dxa" w:w="2494"/>
            <w:shd w:fill="1F4E78"/>
            <w:tcMar>
              <w:top w:w="90" w:type="dxa"/>
              <w:start w:w="100" w:type="dxa"/>
              <w:bottom w:w="90" w:type="dxa"/>
              <w:end w:w="100" w:type="dxa"/>
            </w:tcMar>
            <w:vAlign w:val="center"/>
          </w:tcPr>
          <w:p>
            <w:pPr>
              <w:jc w:val="center"/>
            </w:pPr>
            <w:r>
              <w:rPr>
                <w:rFonts w:ascii="Aptos" w:hAnsi="Aptos"/>
                <w:b/>
                <w:i w:val="0"/>
                <w:color w:val="FFFFFF"/>
                <w:sz w:val="14"/>
              </w:rPr>
              <w:t>Class</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T2-PO-109</w:t>
            </w:r>
          </w:p>
        </w:tc>
        <w:tc>
          <w:tcPr>
            <w:tcW w:type="dxa" w:w="2835"/>
            <w:tcMar>
              <w:top w:w="90" w:type="dxa"/>
              <w:start w:w="100" w:type="dxa"/>
              <w:bottom w:w="90" w:type="dxa"/>
              <w:end w:w="100" w:type="dxa"/>
            </w:tcMar>
            <w:vAlign w:val="center"/>
          </w:tcPr>
          <w:p>
            <w:pPr>
              <w:jc w:val="center"/>
            </w:pPr>
            <w:r>
              <w:rPr>
                <w:rFonts w:ascii="Aptos" w:hAnsi="Aptos"/>
                <w:b w:val="0"/>
                <w:i w:val="0"/>
                <w:sz w:val="14"/>
              </w:rPr>
              <w:t>THM при B3-B5</w:t>
            </w:r>
          </w:p>
        </w:tc>
        <w:tc>
          <w:tcPr>
            <w:tcW w:type="dxa" w:w="2835"/>
            <w:tcMar>
              <w:top w:w="90" w:type="dxa"/>
              <w:start w:w="100" w:type="dxa"/>
              <w:bottom w:w="90" w:type="dxa"/>
              <w:end w:w="100" w:type="dxa"/>
            </w:tcMar>
            <w:vAlign w:val="center"/>
          </w:tcPr>
          <w:p>
            <w:pPr>
              <w:jc w:val="center"/>
            </w:pPr>
            <w:r>
              <w:rPr>
                <w:rFonts w:ascii="Aptos" w:hAnsi="Aptos"/>
                <w:b w:val="0"/>
                <w:i w:val="0"/>
                <w:sz w:val="14"/>
              </w:rPr>
              <w:t>THM under B3-B5</w:t>
            </w:r>
          </w:p>
        </w:tc>
        <w:tc>
          <w:tcPr>
            <w:tcW w:type="dxa" w:w="2494"/>
            <w:tcMar>
              <w:top w:w="90" w:type="dxa"/>
              <w:start w:w="100" w:type="dxa"/>
              <w:bottom w:w="90" w:type="dxa"/>
              <w:end w:w="100" w:type="dxa"/>
            </w:tcMar>
            <w:vAlign w:val="center"/>
          </w:tcPr>
          <w:p>
            <w:pPr>
              <w:jc w:val="center"/>
            </w:pPr>
            <w:r>
              <w:rPr>
                <w:rFonts w:ascii="Aptos" w:hAnsi="Aptos"/>
                <w:b w:val="0"/>
                <w:i w:val="0"/>
                <w:sz w:val="14"/>
              </w:rPr>
              <w:t>CLOSED/THM</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T2-PO-203</w:t>
            </w:r>
          </w:p>
        </w:tc>
        <w:tc>
          <w:tcPr>
            <w:tcW w:type="dxa" w:w="2835"/>
            <w:tcMar>
              <w:top w:w="90" w:type="dxa"/>
              <w:start w:w="100" w:type="dxa"/>
              <w:bottom w:w="90" w:type="dxa"/>
              <w:end w:w="100" w:type="dxa"/>
            </w:tcMar>
            <w:vAlign w:val="center"/>
          </w:tcPr>
          <w:p>
            <w:pPr>
              <w:jc w:val="center"/>
            </w:pPr>
            <w:r>
              <w:rPr>
                <w:rFonts w:ascii="Aptos" w:hAnsi="Aptos"/>
                <w:b w:val="0"/>
                <w:i w:val="0"/>
                <w:sz w:val="14"/>
              </w:rPr>
              <w:t>THM при ModTriv</w:t>
            </w:r>
          </w:p>
        </w:tc>
        <w:tc>
          <w:tcPr>
            <w:tcW w:type="dxa" w:w="2835"/>
            <w:tcMar>
              <w:top w:w="90" w:type="dxa"/>
              <w:start w:w="100" w:type="dxa"/>
              <w:bottom w:w="90" w:type="dxa"/>
              <w:end w:w="100" w:type="dxa"/>
            </w:tcMar>
            <w:vAlign w:val="center"/>
          </w:tcPr>
          <w:p>
            <w:pPr>
              <w:jc w:val="center"/>
            </w:pPr>
            <w:r>
              <w:rPr>
                <w:rFonts w:ascii="Aptos" w:hAnsi="Aptos"/>
                <w:b w:val="0"/>
                <w:i w:val="0"/>
                <w:sz w:val="14"/>
              </w:rPr>
              <w:t>THM under ModTriv</w:t>
            </w:r>
          </w:p>
        </w:tc>
        <w:tc>
          <w:tcPr>
            <w:tcW w:type="dxa" w:w="2494"/>
            <w:tcMar>
              <w:top w:w="90" w:type="dxa"/>
              <w:start w:w="100" w:type="dxa"/>
              <w:bottom w:w="90" w:type="dxa"/>
              <w:end w:w="100" w:type="dxa"/>
            </w:tcMar>
            <w:vAlign w:val="center"/>
          </w:tcPr>
          <w:p>
            <w:pPr>
              <w:jc w:val="center"/>
            </w:pPr>
            <w:r>
              <w:rPr>
                <w:rFonts w:ascii="Aptos" w:hAnsi="Aptos"/>
                <w:b w:val="0"/>
                <w:i w:val="0"/>
                <w:sz w:val="14"/>
              </w:rPr>
              <w:t>CLOSED/THM</w:t>
            </w:r>
          </w:p>
        </w:tc>
      </w:tr>
      <w:tr>
        <w:tc>
          <w:tcPr>
            <w:tcW w:type="dxa" w:w="1587"/>
            <w:tcMar>
              <w:top w:w="90" w:type="dxa"/>
              <w:start w:w="100" w:type="dxa"/>
              <w:bottom w:w="90" w:type="dxa"/>
              <w:end w:w="100" w:type="dxa"/>
            </w:tcMar>
            <w:vAlign w:val="center"/>
          </w:tcPr>
          <w:p>
            <w:pPr>
              <w:jc w:val="center"/>
            </w:pPr>
            <w:r>
              <w:rPr>
                <w:rFonts w:ascii="Aptos" w:hAnsi="Aptos"/>
                <w:b w:val="0"/>
                <w:i w:val="0"/>
                <w:sz w:val="14"/>
              </w:rPr>
              <w:t>T2-PO-209</w:t>
            </w:r>
          </w:p>
        </w:tc>
        <w:tc>
          <w:tcPr>
            <w:tcW w:type="dxa" w:w="2835"/>
            <w:tcMar>
              <w:top w:w="90" w:type="dxa"/>
              <w:start w:w="100" w:type="dxa"/>
              <w:bottom w:w="90" w:type="dxa"/>
              <w:end w:w="100" w:type="dxa"/>
            </w:tcMar>
            <w:vAlign w:val="center"/>
          </w:tcPr>
          <w:p>
            <w:pPr>
              <w:jc w:val="center"/>
            </w:pPr>
            <w:r>
              <w:rPr>
                <w:rFonts w:ascii="Aptos" w:hAnsi="Aptos"/>
                <w:b w:val="0"/>
                <w:i w:val="0"/>
                <w:sz w:val="14"/>
              </w:rPr>
              <w:t>THM при cover</w:t>
            </w:r>
          </w:p>
        </w:tc>
        <w:tc>
          <w:tcPr>
            <w:tcW w:type="dxa" w:w="2835"/>
            <w:tcMar>
              <w:top w:w="90" w:type="dxa"/>
              <w:start w:w="100" w:type="dxa"/>
              <w:bottom w:w="90" w:type="dxa"/>
              <w:end w:w="100" w:type="dxa"/>
            </w:tcMar>
            <w:vAlign w:val="center"/>
          </w:tcPr>
          <w:p>
            <w:pPr>
              <w:jc w:val="center"/>
            </w:pPr>
            <w:r>
              <w:rPr>
                <w:rFonts w:ascii="Aptos" w:hAnsi="Aptos"/>
                <w:b w:val="0"/>
                <w:i w:val="0"/>
                <w:sz w:val="14"/>
              </w:rPr>
              <w:t>THM under a cover</w:t>
            </w:r>
          </w:p>
        </w:tc>
        <w:tc>
          <w:tcPr>
            <w:tcW w:type="dxa" w:w="2494"/>
            <w:tcMar>
              <w:top w:w="90" w:type="dxa"/>
              <w:start w:w="100" w:type="dxa"/>
              <w:bottom w:w="90" w:type="dxa"/>
              <w:end w:w="100" w:type="dxa"/>
            </w:tcMar>
            <w:vAlign w:val="center"/>
          </w:tcPr>
          <w:p>
            <w:pPr>
              <w:jc w:val="center"/>
            </w:pPr>
            <w:r>
              <w:rPr>
                <w:rFonts w:ascii="Aptos" w:hAnsi="Aptos"/>
                <w:b w:val="0"/>
                <w:i w:val="0"/>
                <w:sz w:val="14"/>
              </w:rPr>
              <w:t>CLOSED/THM</w:t>
            </w:r>
          </w:p>
        </w:tc>
      </w:tr>
    </w:tbl>
    <w:p>
      <w:pPr>
        <w:pStyle w:val="Heading2"/>
        <w:keepNext/>
      </w:pPr>
      <w:r>
        <w:rPr>
          <w:rFonts w:ascii="Aptos" w:hAnsi="Aptos"/>
          <w:b/>
          <w:i w:val="0"/>
          <w:color w:val="1F4E78"/>
          <w:sz w:val="24"/>
        </w:rPr>
        <w:t>T2-F.6. Negative Results and Status Firewall</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trPr>
        <w:tc>
          <w:tcPr>
            <w:tcW w:type="dxa" w:w="1984"/>
            <w:shd w:fill="1F4E78"/>
            <w:tcMar>
              <w:top w:w="90" w:type="dxa"/>
              <w:start w:w="100" w:type="dxa"/>
              <w:bottom w:w="90" w:type="dxa"/>
              <w:end w:w="100" w:type="dxa"/>
            </w:tcMar>
            <w:vAlign w:val="center"/>
          </w:tcPr>
          <w:p>
            <w:pPr>
              <w:jc w:val="center"/>
            </w:pPr>
            <w:r>
              <w:rPr>
                <w:rFonts w:ascii="Aptos" w:hAnsi="Aptos"/>
                <w:b/>
                <w:i w:val="0"/>
                <w:color w:val="FFFFFF"/>
                <w:sz w:val="15"/>
              </w:rPr>
              <w:t>Typed ID</w:t>
            </w:r>
          </w:p>
        </w:tc>
        <w:tc>
          <w:tcPr>
            <w:tcW w:type="dxa" w:w="6123"/>
            <w:shd w:fill="1F4E78"/>
            <w:tcMar>
              <w:top w:w="90" w:type="dxa"/>
              <w:start w:w="100" w:type="dxa"/>
              <w:bottom w:w="90" w:type="dxa"/>
              <w:end w:w="100" w:type="dxa"/>
            </w:tcMar>
            <w:vAlign w:val="center"/>
          </w:tcPr>
          <w:p>
            <w:pPr>
              <w:jc w:val="center"/>
            </w:pPr>
            <w:r>
              <w:rPr>
                <w:rFonts w:ascii="Aptos" w:hAnsi="Aptos"/>
                <w:b/>
                <w:i w:val="0"/>
                <w:color w:val="FFFFFF"/>
                <w:sz w:val="15"/>
              </w:rPr>
              <w:t>Countertheorem</w:t>
            </w:r>
          </w:p>
        </w:tc>
        <w:tc>
          <w:tcPr>
            <w:tcW w:type="dxa" w:w="1644"/>
            <w:shd w:fill="1F4E78"/>
            <w:tcMar>
              <w:top w:w="90" w:type="dxa"/>
              <w:start w:w="100" w:type="dxa"/>
              <w:bottom w:w="90" w:type="dxa"/>
              <w:end w:w="100" w:type="dxa"/>
            </w:tcMar>
            <w:vAlign w:val="center"/>
          </w:tcPr>
          <w:p>
            <w:pPr>
              <w:jc w:val="center"/>
            </w:pPr>
            <w:r>
              <w:rPr>
                <w:rFonts w:ascii="Aptos" w:hAnsi="Aptos"/>
                <w:b/>
                <w:i w:val="0"/>
                <w:color w:val="FFFFFF"/>
                <w:sz w:val="15"/>
              </w:rPr>
              <w:t>Status</w:t>
            </w:r>
          </w:p>
        </w:tc>
      </w:tr>
      <w:tr>
        <w:tc>
          <w:tcPr>
            <w:tcW w:type="dxa" w:w="1984"/>
            <w:tcMar>
              <w:top w:w="90" w:type="dxa"/>
              <w:start w:w="100" w:type="dxa"/>
              <w:bottom w:w="90" w:type="dxa"/>
              <w:end w:w="100" w:type="dxa"/>
            </w:tcMar>
            <w:vAlign w:val="center"/>
          </w:tcPr>
          <w:p>
            <w:pPr>
              <w:jc w:val="center"/>
            </w:pPr>
            <w:r>
              <w:rPr>
                <w:rFonts w:ascii="Aptos" w:hAnsi="Aptos"/>
                <w:b w:val="0"/>
                <w:i w:val="0"/>
                <w:sz w:val="15"/>
              </w:rPr>
              <w:t>T2-CTHM-10.46</w:t>
            </w:r>
          </w:p>
        </w:tc>
        <w:tc>
          <w:tcPr>
            <w:tcW w:type="dxa" w:w="6123"/>
            <w:tcMar>
              <w:top w:w="90" w:type="dxa"/>
              <w:start w:w="100" w:type="dxa"/>
              <w:bottom w:w="90" w:type="dxa"/>
              <w:end w:w="100" w:type="dxa"/>
            </w:tcMar>
            <w:vAlign w:val="center"/>
          </w:tcPr>
          <w:p>
            <w:pPr>
              <w:jc w:val="left"/>
            </w:pPr>
            <w:r>
              <w:rPr>
                <w:rFonts w:ascii="Aptos" w:hAnsi="Aptos"/>
                <w:b w:val="0"/>
                <w:i w:val="0"/>
                <w:sz w:val="15"/>
              </w:rPr>
              <w:t>Triple Independence Countertheorem</w:t>
            </w:r>
          </w:p>
        </w:tc>
        <w:tc>
          <w:tcPr>
            <w:tcW w:type="dxa" w:w="1644"/>
            <w:tcMar>
              <w:top w:w="90" w:type="dxa"/>
              <w:start w:w="100" w:type="dxa"/>
              <w:bottom w:w="90" w:type="dxa"/>
              <w:end w:w="100" w:type="dxa"/>
            </w:tcMar>
            <w:vAlign w:val="center"/>
          </w:tcPr>
          <w:p>
            <w:pPr>
              <w:jc w:val="center"/>
            </w:pPr>
            <w:r>
              <w:rPr>
                <w:rFonts w:ascii="Aptos" w:hAnsi="Aptos"/>
                <w:b w:val="0"/>
                <w:i w:val="0"/>
                <w:sz w:val="15"/>
              </w:rPr>
              <w:t>THM</w:t>
            </w:r>
          </w:p>
        </w:tc>
      </w:tr>
      <w:tr>
        <w:tc>
          <w:tcPr>
            <w:tcW w:type="dxa" w:w="1984"/>
            <w:tcMar>
              <w:top w:w="90" w:type="dxa"/>
              <w:start w:w="100" w:type="dxa"/>
              <w:bottom w:w="90" w:type="dxa"/>
              <w:end w:w="100" w:type="dxa"/>
            </w:tcMar>
            <w:vAlign w:val="center"/>
          </w:tcPr>
          <w:p>
            <w:pPr>
              <w:jc w:val="center"/>
            </w:pPr>
            <w:r>
              <w:rPr>
                <w:rFonts w:ascii="Aptos" w:hAnsi="Aptos"/>
                <w:b w:val="0"/>
                <w:i w:val="0"/>
                <w:sz w:val="15"/>
              </w:rPr>
              <w:t>T2-CTHM-12.16</w:t>
            </w:r>
          </w:p>
        </w:tc>
        <w:tc>
          <w:tcPr>
            <w:tcW w:type="dxa" w:w="6123"/>
            <w:tcMar>
              <w:top w:w="90" w:type="dxa"/>
              <w:start w:w="100" w:type="dxa"/>
              <w:bottom w:w="90" w:type="dxa"/>
              <w:end w:w="100" w:type="dxa"/>
            </w:tcMar>
            <w:vAlign w:val="center"/>
          </w:tcPr>
          <w:p>
            <w:pPr>
              <w:jc w:val="left"/>
            </w:pPr>
            <w:r>
              <w:rPr>
                <w:rFonts w:ascii="Aptos" w:hAnsi="Aptos"/>
                <w:b w:val="0"/>
                <w:i w:val="0"/>
                <w:sz w:val="15"/>
              </w:rPr>
              <w:t>Four Prohibited Implications</w:t>
            </w:r>
          </w:p>
        </w:tc>
        <w:tc>
          <w:tcPr>
            <w:tcW w:type="dxa" w:w="1644"/>
            <w:tcMar>
              <w:top w:w="90" w:type="dxa"/>
              <w:start w:w="100" w:type="dxa"/>
              <w:bottom w:w="90" w:type="dxa"/>
              <w:end w:w="100" w:type="dxa"/>
            </w:tcMar>
            <w:vAlign w:val="center"/>
          </w:tcPr>
          <w:p>
            <w:pPr>
              <w:jc w:val="center"/>
            </w:pPr>
            <w:r>
              <w:rPr>
                <w:rFonts w:ascii="Aptos" w:hAnsi="Aptos"/>
                <w:b w:val="0"/>
                <w:i w:val="0"/>
                <w:sz w:val="15"/>
              </w:rPr>
              <w:t>THM</w:t>
            </w:r>
          </w:p>
        </w:tc>
      </w:tr>
      <w:tr>
        <w:tc>
          <w:tcPr>
            <w:tcW w:type="dxa" w:w="1984"/>
            <w:tcMar>
              <w:top w:w="90" w:type="dxa"/>
              <w:start w:w="100" w:type="dxa"/>
              <w:bottom w:w="90" w:type="dxa"/>
              <w:end w:w="100" w:type="dxa"/>
            </w:tcMar>
            <w:vAlign w:val="center"/>
          </w:tcPr>
          <w:p>
            <w:pPr>
              <w:jc w:val="center"/>
            </w:pPr>
            <w:r>
              <w:rPr>
                <w:rFonts w:ascii="Aptos" w:hAnsi="Aptos"/>
                <w:b w:val="0"/>
                <w:i w:val="0"/>
                <w:sz w:val="15"/>
              </w:rPr>
              <w:t>T2-CTHM-13.12</w:t>
            </w:r>
          </w:p>
        </w:tc>
        <w:tc>
          <w:tcPr>
            <w:tcW w:type="dxa" w:w="6123"/>
            <w:tcMar>
              <w:top w:w="90" w:type="dxa"/>
              <w:start w:w="100" w:type="dxa"/>
              <w:bottom w:w="90" w:type="dxa"/>
              <w:end w:w="100" w:type="dxa"/>
            </w:tcMar>
            <w:vAlign w:val="center"/>
          </w:tcPr>
          <w:p>
            <w:pPr>
              <w:jc w:val="left"/>
            </w:pPr>
            <w:r>
              <w:rPr>
                <w:rFonts w:ascii="Aptos" w:hAnsi="Aptos"/>
                <w:b w:val="0"/>
                <w:i w:val="0"/>
                <w:sz w:val="15"/>
              </w:rPr>
              <w:t>False External Implications Without Additional Hypotheses</w:t>
            </w:r>
          </w:p>
        </w:tc>
        <w:tc>
          <w:tcPr>
            <w:tcW w:type="dxa" w:w="1644"/>
            <w:tcMar>
              <w:top w:w="90" w:type="dxa"/>
              <w:start w:w="100" w:type="dxa"/>
              <w:bottom w:w="90" w:type="dxa"/>
              <w:end w:w="100" w:type="dxa"/>
            </w:tcMar>
            <w:vAlign w:val="center"/>
          </w:tcPr>
          <w:p>
            <w:pPr>
              <w:jc w:val="center"/>
            </w:pPr>
            <w:r>
              <w:rPr>
                <w:rFonts w:ascii="Aptos" w:hAnsi="Aptos"/>
                <w:b w:val="0"/>
                <w:i w:val="0"/>
                <w:sz w:val="15"/>
              </w:rPr>
              <w:t>THM</w:t>
            </w:r>
          </w:p>
        </w:tc>
      </w:tr>
      <w:tr>
        <w:tc>
          <w:tcPr>
            <w:tcW w:type="dxa" w:w="1984"/>
            <w:tcMar>
              <w:top w:w="90" w:type="dxa"/>
              <w:start w:w="100" w:type="dxa"/>
              <w:bottom w:w="90" w:type="dxa"/>
              <w:end w:w="100" w:type="dxa"/>
            </w:tcMar>
            <w:vAlign w:val="center"/>
          </w:tcPr>
          <w:p>
            <w:pPr>
              <w:jc w:val="center"/>
            </w:pPr>
            <w:r>
              <w:rPr>
                <w:rFonts w:ascii="Aptos" w:hAnsi="Aptos"/>
                <w:b w:val="0"/>
                <w:i w:val="0"/>
                <w:sz w:val="15"/>
              </w:rPr>
              <w:t>T2-CTHM-15.13</w:t>
            </w:r>
          </w:p>
        </w:tc>
        <w:tc>
          <w:tcPr>
            <w:tcW w:type="dxa" w:w="6123"/>
            <w:tcMar>
              <w:top w:w="90" w:type="dxa"/>
              <w:start w:w="100" w:type="dxa"/>
              <w:bottom w:w="90" w:type="dxa"/>
              <w:end w:w="100" w:type="dxa"/>
            </w:tcMar>
            <w:vAlign w:val="center"/>
          </w:tcPr>
          <w:p>
            <w:pPr>
              <w:jc w:val="left"/>
            </w:pPr>
            <w:r>
              <w:rPr>
                <w:rFonts w:ascii="Aptos" w:hAnsi="Aptos"/>
                <w:b w:val="0"/>
                <w:i w:val="0"/>
                <w:sz w:val="15"/>
              </w:rPr>
              <w:t>Invalid Analytic Implications Without Additional Hypotheses</w:t>
            </w:r>
          </w:p>
        </w:tc>
        <w:tc>
          <w:tcPr>
            <w:tcW w:type="dxa" w:w="1644"/>
            <w:tcMar>
              <w:top w:w="90" w:type="dxa"/>
              <w:start w:w="100" w:type="dxa"/>
              <w:bottom w:w="90" w:type="dxa"/>
              <w:end w:w="100" w:type="dxa"/>
            </w:tcMar>
            <w:vAlign w:val="center"/>
          </w:tcPr>
          <w:p>
            <w:pPr>
              <w:jc w:val="center"/>
            </w:pPr>
            <w:r>
              <w:rPr>
                <w:rFonts w:ascii="Aptos" w:hAnsi="Aptos"/>
                <w:b w:val="0"/>
                <w:i w:val="0"/>
                <w:sz w:val="15"/>
              </w:rPr>
              <w:t>THM</w:t>
            </w:r>
          </w:p>
        </w:tc>
      </w:tr>
      <w:tr>
        <w:tc>
          <w:tcPr>
            <w:tcW w:type="dxa" w:w="1984"/>
            <w:tcMar>
              <w:top w:w="90" w:type="dxa"/>
              <w:start w:w="100" w:type="dxa"/>
              <w:bottom w:w="90" w:type="dxa"/>
              <w:end w:w="100" w:type="dxa"/>
            </w:tcMar>
            <w:vAlign w:val="center"/>
          </w:tcPr>
          <w:p>
            <w:pPr>
              <w:jc w:val="center"/>
            </w:pPr>
            <w:r>
              <w:rPr>
                <w:rFonts w:ascii="Aptos" w:hAnsi="Aptos"/>
                <w:b w:val="0"/>
                <w:i w:val="0"/>
                <w:sz w:val="15"/>
              </w:rPr>
              <w:t>T2-CTHM-15.5</w:t>
            </w:r>
          </w:p>
        </w:tc>
        <w:tc>
          <w:tcPr>
            <w:tcW w:type="dxa" w:w="6123"/>
            <w:tcMar>
              <w:top w:w="90" w:type="dxa"/>
              <w:start w:w="100" w:type="dxa"/>
              <w:bottom w:w="90" w:type="dxa"/>
              <w:end w:w="100" w:type="dxa"/>
            </w:tcMar>
            <w:vAlign w:val="center"/>
          </w:tcPr>
          <w:p>
            <w:pPr>
              <w:jc w:val="left"/>
            </w:pPr>
            <w:r>
              <w:rPr>
                <w:rFonts w:ascii="Aptos" w:hAnsi="Aptos"/>
                <w:b w:val="0"/>
                <w:i w:val="0"/>
                <w:sz w:val="15"/>
              </w:rPr>
              <w:t>Nilpotency Does Not Imply Ellipticity</w:t>
            </w:r>
          </w:p>
        </w:tc>
        <w:tc>
          <w:tcPr>
            <w:tcW w:type="dxa" w:w="1644"/>
            <w:tcMar>
              <w:top w:w="90" w:type="dxa"/>
              <w:start w:w="100" w:type="dxa"/>
              <w:bottom w:w="90" w:type="dxa"/>
              <w:end w:w="100" w:type="dxa"/>
            </w:tcMar>
            <w:vAlign w:val="center"/>
          </w:tcPr>
          <w:p>
            <w:pPr>
              <w:jc w:val="center"/>
            </w:pPr>
            <w:r>
              <w:rPr>
                <w:rFonts w:ascii="Aptos" w:hAnsi="Aptos"/>
                <w:b w:val="0"/>
                <w:i w:val="0"/>
                <w:sz w:val="15"/>
              </w:rPr>
              <w:t>THM</w:t>
            </w:r>
          </w:p>
        </w:tc>
      </w:tr>
      <w:tr>
        <w:tc>
          <w:tcPr>
            <w:tcW w:type="dxa" w:w="1984"/>
            <w:tcMar>
              <w:top w:w="90" w:type="dxa"/>
              <w:start w:w="100" w:type="dxa"/>
              <w:bottom w:w="90" w:type="dxa"/>
              <w:end w:w="100" w:type="dxa"/>
            </w:tcMar>
            <w:vAlign w:val="center"/>
          </w:tcPr>
          <w:p>
            <w:pPr>
              <w:jc w:val="center"/>
            </w:pPr>
            <w:r>
              <w:rPr>
                <w:rFonts w:ascii="Aptos" w:hAnsi="Aptos"/>
                <w:b w:val="0"/>
                <w:i w:val="0"/>
                <w:sz w:val="15"/>
              </w:rPr>
              <w:t>T2-CTHM-15.7</w:t>
            </w:r>
          </w:p>
        </w:tc>
        <w:tc>
          <w:tcPr>
            <w:tcW w:type="dxa" w:w="6123"/>
            <w:tcMar>
              <w:top w:w="90" w:type="dxa"/>
              <w:start w:w="100" w:type="dxa"/>
              <w:bottom w:w="90" w:type="dxa"/>
              <w:end w:w="100" w:type="dxa"/>
            </w:tcMar>
            <w:vAlign w:val="center"/>
          </w:tcPr>
          <w:p>
            <w:pPr>
              <w:jc w:val="left"/>
            </w:pPr>
            <w:r>
              <w:rPr>
                <w:rFonts w:ascii="Aptos" w:hAnsi="Aptos"/>
                <w:b w:val="0"/>
                <w:i w:val="0"/>
                <w:sz w:val="15"/>
              </w:rPr>
              <w:t>Formal Symmetry Does Not Imply Self-Adjointness</w:t>
            </w:r>
          </w:p>
        </w:tc>
        <w:tc>
          <w:tcPr>
            <w:tcW w:type="dxa" w:w="1644"/>
            <w:tcMar>
              <w:top w:w="90" w:type="dxa"/>
              <w:start w:w="100" w:type="dxa"/>
              <w:bottom w:w="90" w:type="dxa"/>
              <w:end w:w="100" w:type="dxa"/>
            </w:tcMar>
            <w:vAlign w:val="center"/>
          </w:tcPr>
          <w:p>
            <w:pPr>
              <w:jc w:val="center"/>
            </w:pPr>
            <w:r>
              <w:rPr>
                <w:rFonts w:ascii="Aptos" w:hAnsi="Aptos"/>
                <w:b w:val="0"/>
                <w:i w:val="0"/>
                <w:sz w:val="15"/>
              </w:rPr>
              <w:t>THM</w:t>
            </w:r>
          </w:p>
        </w:tc>
      </w:tr>
      <w:tr>
        <w:tc>
          <w:tcPr>
            <w:tcW w:type="dxa" w:w="1984"/>
            <w:tcMar>
              <w:top w:w="90" w:type="dxa"/>
              <w:start w:w="100" w:type="dxa"/>
              <w:bottom w:w="90" w:type="dxa"/>
              <w:end w:w="100" w:type="dxa"/>
            </w:tcMar>
            <w:vAlign w:val="center"/>
          </w:tcPr>
          <w:p>
            <w:pPr>
              <w:jc w:val="center"/>
            </w:pPr>
            <w:r>
              <w:rPr>
                <w:rFonts w:ascii="Aptos" w:hAnsi="Aptos"/>
                <w:b w:val="0"/>
                <w:i w:val="0"/>
                <w:sz w:val="15"/>
              </w:rPr>
              <w:t>T2-CTHM-16.8</w:t>
            </w:r>
          </w:p>
        </w:tc>
        <w:tc>
          <w:tcPr>
            <w:tcW w:type="dxa" w:w="6123"/>
            <w:tcMar>
              <w:top w:w="90" w:type="dxa"/>
              <w:start w:w="100" w:type="dxa"/>
              <w:bottom w:w="90" w:type="dxa"/>
              <w:end w:w="100" w:type="dxa"/>
            </w:tcMar>
            <w:vAlign w:val="center"/>
          </w:tcPr>
          <w:p>
            <w:pPr>
              <w:jc w:val="left"/>
            </w:pPr>
            <w:r>
              <w:rPr>
                <w:rFonts w:ascii="Aptos" w:hAnsi="Aptos"/>
                <w:b w:val="0"/>
                <w:i w:val="0"/>
                <w:sz w:val="15"/>
              </w:rPr>
              <w:t>Coarse Moduli Cannot Recover a Stack Germ Without Stabiliser Data</w:t>
            </w:r>
          </w:p>
        </w:tc>
        <w:tc>
          <w:tcPr>
            <w:tcW w:type="dxa" w:w="1644"/>
            <w:tcMar>
              <w:top w:w="90" w:type="dxa"/>
              <w:start w:w="100" w:type="dxa"/>
              <w:bottom w:w="90" w:type="dxa"/>
              <w:end w:w="100" w:type="dxa"/>
            </w:tcMar>
            <w:vAlign w:val="center"/>
          </w:tcPr>
          <w:p>
            <w:pPr>
              <w:jc w:val="center"/>
            </w:pPr>
            <w:r>
              <w:rPr>
                <w:rFonts w:ascii="Aptos" w:hAnsi="Aptos"/>
                <w:b w:val="0"/>
                <w:i w:val="0"/>
                <w:sz w:val="15"/>
              </w:rPr>
              <w:t>UNMARKED</w:t>
            </w:r>
          </w:p>
        </w:tc>
      </w:tr>
      <w:tr>
        <w:tc>
          <w:tcPr>
            <w:tcW w:type="dxa" w:w="1984"/>
            <w:tcMar>
              <w:top w:w="90" w:type="dxa"/>
              <w:start w:w="100" w:type="dxa"/>
              <w:bottom w:w="90" w:type="dxa"/>
              <w:end w:w="100" w:type="dxa"/>
            </w:tcMar>
            <w:vAlign w:val="center"/>
          </w:tcPr>
          <w:p>
            <w:pPr>
              <w:jc w:val="center"/>
            </w:pPr>
            <w:r>
              <w:rPr>
                <w:rFonts w:ascii="Aptos" w:hAnsi="Aptos"/>
                <w:b w:val="0"/>
                <w:i w:val="0"/>
                <w:sz w:val="15"/>
              </w:rPr>
              <w:t>T2-CTHM-17.2</w:t>
            </w:r>
          </w:p>
        </w:tc>
        <w:tc>
          <w:tcPr>
            <w:tcW w:type="dxa" w:w="6123"/>
            <w:tcMar>
              <w:top w:w="90" w:type="dxa"/>
              <w:start w:w="100" w:type="dxa"/>
              <w:bottom w:w="90" w:type="dxa"/>
              <w:end w:w="100" w:type="dxa"/>
            </w:tcMar>
            <w:vAlign w:val="center"/>
          </w:tcPr>
          <w:p>
            <w:pPr>
              <w:jc w:val="left"/>
            </w:pPr>
            <w:r>
              <w:rPr>
                <w:rFonts w:ascii="Aptos" w:hAnsi="Aptos"/>
                <w:b w:val="0"/>
                <w:i w:val="0"/>
                <w:sz w:val="15"/>
              </w:rPr>
              <w:t>Equal Dimensions Do Not Define Wall Crossing</w:t>
            </w:r>
          </w:p>
        </w:tc>
        <w:tc>
          <w:tcPr>
            <w:tcW w:type="dxa" w:w="1644"/>
            <w:tcMar>
              <w:top w:w="90" w:type="dxa"/>
              <w:start w:w="100" w:type="dxa"/>
              <w:bottom w:w="90" w:type="dxa"/>
              <w:end w:w="100" w:type="dxa"/>
            </w:tcMar>
            <w:vAlign w:val="center"/>
          </w:tcPr>
          <w:p>
            <w:pPr>
              <w:jc w:val="center"/>
            </w:pPr>
            <w:r>
              <w:rPr>
                <w:rFonts w:ascii="Aptos" w:hAnsi="Aptos"/>
                <w:b w:val="0"/>
                <w:i w:val="0"/>
                <w:sz w:val="15"/>
              </w:rPr>
              <w:t>UNMARKED</w:t>
            </w:r>
          </w:p>
        </w:tc>
      </w:tr>
    </w:tbl>
    <w:p>
      <w:pPr>
        <w:spacing w:after="100" w:line="259" w:lineRule="auto"/>
      </w:pPr>
      <w:r>
        <w:rPr>
          <w:rFonts w:ascii="Aptos" w:hAnsi="Aptos"/>
          <w:b w:val="0"/>
          <w:i w:val="0"/>
          <w:sz w:val="18"/>
        </w:rPr>
        <w:t>All eight countertheorems are retained. The English master also preserves explicit ABSTAIN and FAIL branches, no-go implications, local-to-global counterexamples, and the separation of mathematical structure from physical event claims.</w:t>
      </w:r>
    </w:p>
    <w:tbl>
      <w:tblPr>
        <w:tblW w:type="auto" w:w="0"/>
        <w:jc w:val="center"/>
        <w:tblLayout w:type="autofit"/>
        <w:tblLook w:firstColumn="1" w:firstRow="1" w:lastColumn="0" w:lastRow="0" w:noHBand="0" w:noVBand="1" w:val="04A0"/>
      </w:tblPr>
      <w:tblGrid>
        <w:gridCol w:w="9978"/>
      </w:tblGrid>
      <w:tr>
        <w:tc>
          <w:tcPr>
            <w:tcW w:type="dxa" w:w="9978"/>
            <w:shd w:fill="FBE9E7"/>
            <w:tcMar>
              <w:top w:w="120" w:type="dxa"/>
              <w:start w:w="130" w:type="dxa"/>
              <w:bottom w:w="120" w:type="dxa"/>
              <w:end w:w="130" w:type="dxa"/>
            </w:tcMar>
          </w:tcPr>
          <w:p>
            <w:r>
              <w:rPr>
                <w:rFonts w:ascii="Aptos" w:hAnsi="Aptos"/>
                <w:b/>
                <w:i w:val="0"/>
                <w:color w:val="9C1C1C"/>
                <w:sz w:val="18"/>
              </w:rPr>
              <w:t xml:space="preserve">PHYSICAL BOUNDARY. </w:t>
            </w:r>
            <w:r>
              <w:rPr>
                <w:rFonts w:ascii="Aptos" w:hAnsi="Aptos"/>
                <w:b w:val="0"/>
                <w:i w:val="0"/>
                <w:sz w:val="18"/>
              </w:rPr>
              <w:t>Independent EXT-RUN is absent and EMP-OBS is absent. Numerical reproducibility, source hashes, virtual counts, probabilities, or model certificates do not supply an empirical bridge by themselves.</w:t>
            </w:r>
          </w:p>
        </w:tc>
        <w:trPr>
          <w:tblHeader/>
        </w:trPr>
      </w:tr>
    </w:tbl>
    <w:p>
      <w:pPr>
        <w:pStyle w:val="Heading2"/>
        <w:keepNext/>
      </w:pPr>
      <w:r>
        <w:rPr>
          <w:rFonts w:ascii="Aptos" w:hAnsi="Aptos"/>
          <w:b/>
          <w:i w:val="0"/>
          <w:color w:val="1F4E78"/>
          <w:sz w:val="24"/>
        </w:rPr>
        <w:t>T2-F.7. Terminology and Cross-Volume Consistency</w:t>
      </w:r>
    </w:p>
    <w:tbl>
      <w:tblPr>
        <w:tblStyle w:val="TableGrid"/>
        <w:tblW w:type="auto" w:w="0"/>
        <w:jc w:val="center"/>
        <w:tblLayout w:type="fixed"/>
        <w:tblLook w:firstColumn="1" w:firstRow="1" w:lastColumn="0" w:lastRow="0" w:noHBand="0" w:noVBand="1" w:val="04A0"/>
      </w:tblPr>
      <w:tblGrid>
        <w:gridCol w:w="2494"/>
        <w:gridCol w:w="2494"/>
        <w:gridCol w:w="2494"/>
        <w:gridCol w:w="2494"/>
      </w:tblGrid>
      <w:tr>
        <w:trPr>
          <w:tblHeader w:val="true"/>
        </w:trPr>
        <w:tc>
          <w:tcPr>
            <w:tcW w:type="dxa" w:w="2381"/>
            <w:shd w:fill="1F4E78"/>
            <w:tcMar>
              <w:top w:w="90" w:type="dxa"/>
              <w:start w:w="100" w:type="dxa"/>
              <w:bottom w:w="90" w:type="dxa"/>
              <w:end w:w="100" w:type="dxa"/>
            </w:tcMar>
            <w:vAlign w:val="center"/>
          </w:tcPr>
          <w:p>
            <w:pPr>
              <w:jc w:val="center"/>
            </w:pPr>
            <w:r>
              <w:rPr>
                <w:rFonts w:ascii="Aptos" w:hAnsi="Aptos"/>
                <w:b/>
                <w:i w:val="0"/>
                <w:color w:val="FFFFFF"/>
                <w:sz w:val="16"/>
              </w:rPr>
              <w:t>Ledger rows</w:t>
            </w:r>
          </w:p>
        </w:tc>
        <w:tc>
          <w:tcPr>
            <w:tcW w:type="dxa" w:w="2381"/>
            <w:shd w:fill="1F4E78"/>
            <w:tcMar>
              <w:top w:w="90" w:type="dxa"/>
              <w:start w:w="100" w:type="dxa"/>
              <w:bottom w:w="90" w:type="dxa"/>
              <w:end w:w="100" w:type="dxa"/>
            </w:tcMar>
            <w:vAlign w:val="center"/>
          </w:tcPr>
          <w:p>
            <w:pPr>
              <w:jc w:val="center"/>
            </w:pPr>
            <w:r>
              <w:rPr>
                <w:rFonts w:ascii="Aptos" w:hAnsi="Aptos"/>
                <w:b/>
                <w:i w:val="0"/>
                <w:color w:val="FFFFFF"/>
                <w:sz w:val="16"/>
              </w:rPr>
              <w:t>PASS in T1/T2 corpus</w:t>
            </w:r>
          </w:p>
        </w:tc>
        <w:tc>
          <w:tcPr>
            <w:tcW w:type="dxa" w:w="2721"/>
            <w:shd w:fill="1F4E78"/>
            <w:tcMar>
              <w:top w:w="90" w:type="dxa"/>
              <w:start w:w="100" w:type="dxa"/>
              <w:bottom w:w="90" w:type="dxa"/>
              <w:end w:w="100" w:type="dxa"/>
            </w:tcMar>
            <w:vAlign w:val="center"/>
          </w:tcPr>
          <w:p>
            <w:pPr>
              <w:jc w:val="center"/>
            </w:pPr>
            <w:r>
              <w:rPr>
                <w:rFonts w:ascii="Aptos" w:hAnsi="Aptos"/>
                <w:b/>
                <w:i w:val="0"/>
                <w:color w:val="FFFFFF"/>
                <w:sz w:val="16"/>
              </w:rPr>
              <w:t>Reserved without collision</w:t>
            </w:r>
          </w:p>
        </w:tc>
        <w:tc>
          <w:tcPr>
            <w:tcW w:type="dxa" w:w="2268"/>
            <w:shd w:fill="1F4E78"/>
            <w:tcMar>
              <w:top w:w="90" w:type="dxa"/>
              <w:start w:w="100" w:type="dxa"/>
              <w:bottom w:w="90" w:type="dxa"/>
              <w:end w:w="100" w:type="dxa"/>
            </w:tcMar>
            <w:vAlign w:val="center"/>
          </w:tcPr>
          <w:p>
            <w:pPr>
              <w:jc w:val="center"/>
            </w:pPr>
            <w:r>
              <w:rPr>
                <w:rFonts w:ascii="Aptos" w:hAnsi="Aptos"/>
                <w:b/>
                <w:i w:val="0"/>
                <w:color w:val="FFFFFF"/>
                <w:sz w:val="16"/>
              </w:rPr>
              <w:t>Conflicts</w:t>
            </w:r>
          </w:p>
        </w:tc>
      </w:tr>
      <w:tr>
        <w:tc>
          <w:tcPr>
            <w:tcW w:type="dxa" w:w="2381"/>
            <w:tcMar>
              <w:top w:w="90" w:type="dxa"/>
              <w:start w:w="100" w:type="dxa"/>
              <w:bottom w:w="90" w:type="dxa"/>
              <w:end w:w="100" w:type="dxa"/>
            </w:tcMar>
            <w:vAlign w:val="center"/>
          </w:tcPr>
          <w:p>
            <w:pPr>
              <w:jc w:val="center"/>
            </w:pPr>
            <w:r>
              <w:rPr>
                <w:rFonts w:ascii="Aptos" w:hAnsi="Aptos"/>
                <w:b w:val="0"/>
                <w:i w:val="0"/>
                <w:sz w:val="16"/>
              </w:rPr>
              <w:t>125</w:t>
            </w:r>
          </w:p>
        </w:tc>
        <w:tc>
          <w:tcPr>
            <w:tcW w:type="dxa" w:w="2381"/>
            <w:tcMar>
              <w:top w:w="90" w:type="dxa"/>
              <w:start w:w="100" w:type="dxa"/>
              <w:bottom w:w="90" w:type="dxa"/>
              <w:end w:w="100" w:type="dxa"/>
            </w:tcMar>
            <w:vAlign w:val="center"/>
          </w:tcPr>
          <w:p>
            <w:pPr>
              <w:jc w:val="center"/>
            </w:pPr>
            <w:r>
              <w:rPr>
                <w:rFonts w:ascii="Aptos" w:hAnsi="Aptos"/>
                <w:b w:val="0"/>
                <w:i w:val="0"/>
                <w:sz w:val="16"/>
              </w:rPr>
              <w:t>125</w:t>
            </w:r>
          </w:p>
        </w:tc>
        <w:tc>
          <w:tcPr>
            <w:tcW w:type="dxa" w:w="2721"/>
            <w:tcMar>
              <w:top w:w="90" w:type="dxa"/>
              <w:start w:w="100" w:type="dxa"/>
              <w:bottom w:w="90" w:type="dxa"/>
              <w:end w:w="100" w:type="dxa"/>
            </w:tcMar>
            <w:vAlign w:val="center"/>
          </w:tcPr>
          <w:p>
            <w:pPr>
              <w:jc w:val="center"/>
            </w:pPr>
            <w:r>
              <w:rPr>
                <w:rFonts w:ascii="Aptos" w:hAnsi="Aptos"/>
                <w:b w:val="0"/>
                <w:i w:val="0"/>
                <w:sz w:val="16"/>
              </w:rPr>
              <w:t>0</w:t>
            </w:r>
          </w:p>
        </w:tc>
        <w:tc>
          <w:tcPr>
            <w:tcW w:type="dxa" w:w="2268"/>
            <w:tcMar>
              <w:top w:w="90" w:type="dxa"/>
              <w:start w:w="100" w:type="dxa"/>
              <w:bottom w:w="90" w:type="dxa"/>
              <w:end w:w="100" w:type="dxa"/>
            </w:tcMar>
            <w:vAlign w:val="center"/>
          </w:tcPr>
          <w:p>
            <w:pPr>
              <w:jc w:val="center"/>
            </w:pPr>
            <w:r>
              <w:rPr>
                <w:rFonts w:ascii="Aptos" w:hAnsi="Aptos"/>
                <w:b w:val="0"/>
                <w:i w:val="0"/>
                <w:sz w:val="16"/>
              </w:rPr>
              <w:t>0</w:t>
            </w:r>
          </w:p>
        </w:tc>
      </w:tr>
    </w:tbl>
    <w:p>
      <w:pPr>
        <w:spacing w:after="100" w:line="259" w:lineRule="auto"/>
      </w:pPr>
      <w:r>
        <w:rPr>
          <w:rFonts w:ascii="Aptos" w:hAnsi="Aptos"/>
          <w:b w:val="0"/>
          <w:i w:val="0"/>
          <w:sz w:val="18"/>
        </w:rPr>
        <w:t>The audit uses the frozen cross-volume T1-T3 terminology ledger. Direct T3 recompilation is outside this checkpoint; consistency with Volume III is checked through that ledger rather than by creating a new T3 translation.</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trPr>
        <w:tc>
          <w:tcPr>
            <w:tcW w:type="dxa" w:w="2551"/>
            <w:shd w:fill="1F4E78"/>
            <w:tcMar>
              <w:top w:w="90" w:type="dxa"/>
              <w:start w:w="100" w:type="dxa"/>
              <w:bottom w:w="90" w:type="dxa"/>
              <w:end w:w="100" w:type="dxa"/>
            </w:tcMar>
            <w:vAlign w:val="center"/>
          </w:tcPr>
          <w:p>
            <w:pPr>
              <w:jc w:val="center"/>
            </w:pPr>
            <w:r>
              <w:rPr>
                <w:rFonts w:ascii="Aptos" w:hAnsi="Aptos"/>
                <w:b/>
                <w:i w:val="0"/>
                <w:color w:val="FFFFFF"/>
                <w:sz w:val="15"/>
              </w:rPr>
              <w:t>Term</w:t>
            </w:r>
          </w:p>
        </w:tc>
        <w:tc>
          <w:tcPr>
            <w:tcW w:type="dxa" w:w="5783"/>
            <w:shd w:fill="1F4E78"/>
            <w:tcMar>
              <w:top w:w="90" w:type="dxa"/>
              <w:start w:w="100" w:type="dxa"/>
              <w:bottom w:w="90" w:type="dxa"/>
              <w:end w:w="100" w:type="dxa"/>
            </w:tcMar>
            <w:vAlign w:val="center"/>
          </w:tcPr>
          <w:p>
            <w:pPr>
              <w:jc w:val="center"/>
            </w:pPr>
            <w:r>
              <w:rPr>
                <w:rFonts w:ascii="Aptos" w:hAnsi="Aptos"/>
                <w:b/>
                <w:i w:val="0"/>
                <w:color w:val="FFFFFF"/>
                <w:sz w:val="15"/>
              </w:rPr>
              <w:t>Audited rule</w:t>
            </w:r>
          </w:p>
        </w:tc>
        <w:tc>
          <w:tcPr>
            <w:tcW w:type="dxa" w:w="1417"/>
            <w:shd w:fill="1F4E78"/>
            <w:tcMar>
              <w:top w:w="90" w:type="dxa"/>
              <w:start w:w="100" w:type="dxa"/>
              <w:bottom w:w="90" w:type="dxa"/>
              <w:end w:w="100" w:type="dxa"/>
            </w:tcMar>
            <w:vAlign w:val="center"/>
          </w:tcPr>
          <w:p>
            <w:pPr>
              <w:jc w:val="center"/>
            </w:pPr>
            <w:r>
              <w:rPr>
                <w:rFonts w:ascii="Aptos" w:hAnsi="Aptos"/>
                <w:b/>
                <w:i w:val="0"/>
                <w:color w:val="FFFFFF"/>
                <w:sz w:val="15"/>
              </w:rPr>
              <w:t>Verdict</w:t>
            </w:r>
          </w:p>
        </w:tc>
      </w:tr>
      <w:tr>
        <w:tc>
          <w:tcPr>
            <w:tcW w:type="dxa" w:w="2551"/>
            <w:tcMar>
              <w:top w:w="90" w:type="dxa"/>
              <w:start w:w="100" w:type="dxa"/>
              <w:bottom w:w="90" w:type="dxa"/>
              <w:end w:w="100" w:type="dxa"/>
            </w:tcMar>
            <w:vAlign w:val="center"/>
          </w:tcPr>
          <w:p>
            <w:pPr>
              <w:jc w:val="center"/>
            </w:pPr>
            <w:r>
              <w:rPr>
                <w:rFonts w:ascii="Aptos" w:hAnsi="Aptos"/>
                <w:b w:val="0"/>
                <w:i w:val="0"/>
                <w:sz w:val="15"/>
              </w:rPr>
              <w:t>Reper</w:t>
            </w:r>
          </w:p>
        </w:tc>
        <w:tc>
          <w:tcPr>
            <w:tcW w:type="dxa" w:w="5783"/>
            <w:tcMar>
              <w:top w:w="90" w:type="dxa"/>
              <w:start w:w="100" w:type="dxa"/>
              <w:bottom w:w="90" w:type="dxa"/>
              <w:end w:w="100" w:type="dxa"/>
            </w:tcMar>
            <w:vAlign w:val="center"/>
          </w:tcPr>
          <w:p>
            <w:pPr>
              <w:jc w:val="left"/>
            </w:pPr>
            <w:r>
              <w:rPr>
                <w:rFonts w:ascii="Aptos" w:hAnsi="Aptos"/>
                <w:b w:val="0"/>
                <w:i w:val="0"/>
                <w:sz w:val="15"/>
              </w:rPr>
              <w:t>Never replaced by “reference point” or an ordinary coordinate frame.</w:t>
            </w:r>
          </w:p>
        </w:tc>
        <w:tc>
          <w:tcPr>
            <w:tcW w:type="dxa" w:w="1417"/>
            <w:tcMar>
              <w:top w:w="90" w:type="dxa"/>
              <w:start w:w="100" w:type="dxa"/>
              <w:bottom w:w="90" w:type="dxa"/>
              <w:end w:w="100" w:type="dxa"/>
            </w:tcMar>
            <w:vAlign w:val="center"/>
          </w:tcPr>
          <w:p>
            <w:pPr>
              <w:jc w:val="center"/>
            </w:pPr>
            <w:r>
              <w:rPr>
                <w:rFonts w:ascii="Aptos" w:hAnsi="Aptos"/>
                <w:b w:val="0"/>
                <w:i w:val="0"/>
                <w:sz w:val="15"/>
              </w:rPr>
              <w:t>PASS</w:t>
            </w:r>
          </w:p>
        </w:tc>
      </w:tr>
      <w:tr>
        <w:tc>
          <w:tcPr>
            <w:tcW w:type="dxa" w:w="2551"/>
            <w:tcMar>
              <w:top w:w="90" w:type="dxa"/>
              <w:start w:w="100" w:type="dxa"/>
              <w:bottom w:w="90" w:type="dxa"/>
              <w:end w:w="100" w:type="dxa"/>
            </w:tcMar>
            <w:vAlign w:val="center"/>
          </w:tcPr>
          <w:p>
            <w:pPr>
              <w:jc w:val="center"/>
            </w:pPr>
            <w:r>
              <w:rPr>
                <w:rFonts w:ascii="Aptos" w:hAnsi="Aptos"/>
                <w:b w:val="0"/>
                <w:i w:val="0"/>
                <w:sz w:val="15"/>
              </w:rPr>
              <w:t>Time@Space</w:t>
            </w:r>
          </w:p>
        </w:tc>
        <w:tc>
          <w:tcPr>
            <w:tcW w:type="dxa" w:w="5783"/>
            <w:tcMar>
              <w:top w:w="90" w:type="dxa"/>
              <w:start w:w="100" w:type="dxa"/>
              <w:bottom w:w="90" w:type="dxa"/>
              <w:end w:w="100" w:type="dxa"/>
            </w:tcMar>
            <w:vAlign w:val="center"/>
          </w:tcPr>
          <w:p>
            <w:pPr>
              <w:jc w:val="left"/>
            </w:pPr>
            <w:r>
              <w:rPr>
                <w:rFonts w:ascii="Aptos" w:hAnsi="Aptos"/>
                <w:b w:val="0"/>
                <w:i w:val="0"/>
                <w:sz w:val="15"/>
              </w:rPr>
              <w:t>The @ ordering is retained; it is not silently collapsed into spacetime.</w:t>
            </w:r>
          </w:p>
        </w:tc>
        <w:tc>
          <w:tcPr>
            <w:tcW w:type="dxa" w:w="1417"/>
            <w:tcMar>
              <w:top w:w="90" w:type="dxa"/>
              <w:start w:w="100" w:type="dxa"/>
              <w:bottom w:w="90" w:type="dxa"/>
              <w:end w:w="100" w:type="dxa"/>
            </w:tcMar>
            <w:vAlign w:val="center"/>
          </w:tcPr>
          <w:p>
            <w:pPr>
              <w:jc w:val="center"/>
            </w:pPr>
            <w:r>
              <w:rPr>
                <w:rFonts w:ascii="Aptos" w:hAnsi="Aptos"/>
                <w:b w:val="0"/>
                <w:i w:val="0"/>
                <w:sz w:val="15"/>
              </w:rPr>
              <w:t>PASS</w:t>
            </w:r>
          </w:p>
        </w:tc>
      </w:tr>
      <w:tr>
        <w:tc>
          <w:tcPr>
            <w:tcW w:type="dxa" w:w="2551"/>
            <w:tcMar>
              <w:top w:w="90" w:type="dxa"/>
              <w:start w:w="100" w:type="dxa"/>
              <w:bottom w:w="90" w:type="dxa"/>
              <w:end w:w="100" w:type="dxa"/>
            </w:tcMar>
            <w:vAlign w:val="center"/>
          </w:tcPr>
          <w:p>
            <w:pPr>
              <w:jc w:val="center"/>
            </w:pPr>
            <w:r>
              <w:rPr>
                <w:rFonts w:ascii="Aptos" w:hAnsi="Aptos"/>
                <w:b w:val="0"/>
                <w:i w:val="0"/>
                <w:sz w:val="15"/>
              </w:rPr>
              <w:t>D / Dom</w:t>
            </w:r>
          </w:p>
        </w:tc>
        <w:tc>
          <w:tcPr>
            <w:tcW w:type="dxa" w:w="5783"/>
            <w:tcMar>
              <w:top w:w="90" w:type="dxa"/>
              <w:start w:w="100" w:type="dxa"/>
              <w:bottom w:w="90" w:type="dxa"/>
              <w:end w:w="100" w:type="dxa"/>
            </w:tcMar>
            <w:vAlign w:val="center"/>
          </w:tcPr>
          <w:p>
            <w:pPr>
              <w:jc w:val="left"/>
            </w:pPr>
            <w:r>
              <w:rPr>
                <w:rFonts w:ascii="Aptos" w:hAnsi="Aptos"/>
                <w:b w:val="0"/>
                <w:i w:val="0"/>
                <w:sz w:val="15"/>
              </w:rPr>
              <w:t>Sufficient foundation and admissible domain remain distinct.</w:t>
            </w:r>
          </w:p>
        </w:tc>
        <w:tc>
          <w:tcPr>
            <w:tcW w:type="dxa" w:w="1417"/>
            <w:tcMar>
              <w:top w:w="90" w:type="dxa"/>
              <w:start w:w="100" w:type="dxa"/>
              <w:bottom w:w="90" w:type="dxa"/>
              <w:end w:w="100" w:type="dxa"/>
            </w:tcMar>
            <w:vAlign w:val="center"/>
          </w:tcPr>
          <w:p>
            <w:pPr>
              <w:jc w:val="center"/>
            </w:pPr>
            <w:r>
              <w:rPr>
                <w:rFonts w:ascii="Aptos" w:hAnsi="Aptos"/>
                <w:b w:val="0"/>
                <w:i w:val="0"/>
                <w:sz w:val="15"/>
              </w:rPr>
              <w:t>PASS</w:t>
            </w:r>
          </w:p>
        </w:tc>
      </w:tr>
      <w:tr>
        <w:tc>
          <w:tcPr>
            <w:tcW w:type="dxa" w:w="2551"/>
            <w:tcMar>
              <w:top w:w="90" w:type="dxa"/>
              <w:start w:w="100" w:type="dxa"/>
              <w:bottom w:w="90" w:type="dxa"/>
              <w:end w:w="100" w:type="dxa"/>
            </w:tcMar>
            <w:vAlign w:val="center"/>
          </w:tcPr>
          <w:p>
            <w:pPr>
              <w:jc w:val="center"/>
            </w:pPr>
            <w:r>
              <w:rPr>
                <w:rFonts w:ascii="Aptos" w:hAnsi="Aptos"/>
                <w:b w:val="0"/>
                <w:i w:val="0"/>
                <w:sz w:val="15"/>
              </w:rPr>
              <w:t>kernel / nucleus</w:t>
            </w:r>
          </w:p>
        </w:tc>
        <w:tc>
          <w:tcPr>
            <w:tcW w:type="dxa" w:w="5783"/>
            <w:tcMar>
              <w:top w:w="90" w:type="dxa"/>
              <w:start w:w="100" w:type="dxa"/>
              <w:bottom w:w="90" w:type="dxa"/>
              <w:end w:w="100" w:type="dxa"/>
            </w:tcMar>
            <w:vAlign w:val="center"/>
          </w:tcPr>
          <w:p>
            <w:pPr>
              <w:jc w:val="left"/>
            </w:pPr>
            <w:r>
              <w:rPr>
                <w:rFonts w:ascii="Aptos" w:hAnsi="Aptos"/>
                <w:b w:val="0"/>
                <w:i w:val="0"/>
                <w:sz w:val="15"/>
              </w:rPr>
              <w:t>Kernel is reserved for maps/operators; nucleus for algebraic associativity.</w:t>
            </w:r>
          </w:p>
        </w:tc>
        <w:tc>
          <w:tcPr>
            <w:tcW w:type="dxa" w:w="1417"/>
            <w:tcMar>
              <w:top w:w="90" w:type="dxa"/>
              <w:start w:w="100" w:type="dxa"/>
              <w:bottom w:w="90" w:type="dxa"/>
              <w:end w:w="100" w:type="dxa"/>
            </w:tcMar>
            <w:vAlign w:val="center"/>
          </w:tcPr>
          <w:p>
            <w:pPr>
              <w:jc w:val="center"/>
            </w:pPr>
            <w:r>
              <w:rPr>
                <w:rFonts w:ascii="Aptos" w:hAnsi="Aptos"/>
                <w:b w:val="0"/>
                <w:i w:val="0"/>
                <w:sz w:val="15"/>
              </w:rPr>
              <w:t>PASS</w:t>
            </w:r>
          </w:p>
        </w:tc>
      </w:tr>
      <w:tr>
        <w:tc>
          <w:tcPr>
            <w:tcW w:type="dxa" w:w="2551"/>
            <w:tcMar>
              <w:top w:w="90" w:type="dxa"/>
              <w:start w:w="100" w:type="dxa"/>
              <w:bottom w:w="90" w:type="dxa"/>
              <w:end w:w="100" w:type="dxa"/>
            </w:tcMar>
            <w:vAlign w:val="center"/>
          </w:tcPr>
          <w:p>
            <w:pPr>
              <w:jc w:val="center"/>
            </w:pPr>
            <w:r>
              <w:rPr>
                <w:rFonts w:ascii="Aptos" w:hAnsi="Aptos"/>
                <w:b w:val="0"/>
                <w:i w:val="0"/>
                <w:sz w:val="15"/>
              </w:rPr>
              <w:t>probability firewall</w:t>
            </w:r>
          </w:p>
        </w:tc>
        <w:tc>
          <w:tcPr>
            <w:tcW w:type="dxa" w:w="5783"/>
            <w:tcMar>
              <w:top w:w="90" w:type="dxa"/>
              <w:start w:w="100" w:type="dxa"/>
              <w:bottom w:w="90" w:type="dxa"/>
              <w:end w:w="100" w:type="dxa"/>
            </w:tcMar>
            <w:vAlign w:val="center"/>
          </w:tcPr>
          <w:p>
            <w:pPr>
              <w:jc w:val="left"/>
            </w:pPr>
            <w:r>
              <w:rPr>
                <w:rFonts w:ascii="Aptos" w:hAnsi="Aptos"/>
                <w:b w:val="0"/>
                <w:i w:val="0"/>
                <w:sz w:val="15"/>
              </w:rPr>
              <w:t>Canonical noun-compound form; adjectival “probabilistic” remains permitted.</w:t>
            </w:r>
          </w:p>
        </w:tc>
        <w:tc>
          <w:tcPr>
            <w:tcW w:type="dxa" w:w="1417"/>
            <w:tcMar>
              <w:top w:w="90" w:type="dxa"/>
              <w:start w:w="100" w:type="dxa"/>
              <w:bottom w:w="90" w:type="dxa"/>
              <w:end w:w="100" w:type="dxa"/>
            </w:tcMar>
            <w:vAlign w:val="center"/>
          </w:tcPr>
          <w:p>
            <w:pPr>
              <w:jc w:val="center"/>
            </w:pPr>
            <w:r>
              <w:rPr>
                <w:rFonts w:ascii="Aptos" w:hAnsi="Aptos"/>
                <w:b w:val="0"/>
                <w:i w:val="0"/>
                <w:sz w:val="15"/>
              </w:rPr>
              <w:t>PASS</w:t>
            </w:r>
          </w:p>
        </w:tc>
      </w:tr>
      <w:tr>
        <w:tc>
          <w:tcPr>
            <w:tcW w:type="dxa" w:w="2551"/>
            <w:tcMar>
              <w:top w:w="90" w:type="dxa"/>
              <w:start w:w="100" w:type="dxa"/>
              <w:bottom w:w="90" w:type="dxa"/>
              <w:end w:w="100" w:type="dxa"/>
            </w:tcMar>
            <w:vAlign w:val="center"/>
          </w:tcPr>
          <w:p>
            <w:pPr>
              <w:jc w:val="center"/>
            </w:pPr>
            <w:r>
              <w:rPr>
                <w:rFonts w:ascii="Aptos" w:hAnsi="Aptos"/>
                <w:b w:val="0"/>
                <w:i w:val="0"/>
                <w:sz w:val="15"/>
              </w:rPr>
              <w:t>R⋆R / ⊙ / ⋆_Hdg / Ass_⊙</w:t>
            </w:r>
          </w:p>
        </w:tc>
        <w:tc>
          <w:tcPr>
            <w:tcW w:type="dxa" w:w="5783"/>
            <w:tcMar>
              <w:top w:w="90" w:type="dxa"/>
              <w:start w:w="100" w:type="dxa"/>
              <w:bottom w:w="90" w:type="dxa"/>
              <w:end w:w="100" w:type="dxa"/>
            </w:tcMar>
            <w:vAlign w:val="center"/>
          </w:tcPr>
          <w:p>
            <w:pPr>
              <w:jc w:val="left"/>
            </w:pPr>
            <w:r>
              <w:rPr>
                <w:rFonts w:ascii="Aptos" w:hAnsi="Aptos"/>
                <w:b w:val="0"/>
                <w:i w:val="0"/>
                <w:sz w:val="15"/>
              </w:rPr>
              <w:t>The symbols remain distinct and are not normalised by visual similarity.</w:t>
            </w:r>
          </w:p>
        </w:tc>
        <w:tc>
          <w:tcPr>
            <w:tcW w:type="dxa" w:w="1417"/>
            <w:tcMar>
              <w:top w:w="90" w:type="dxa"/>
              <w:start w:w="100" w:type="dxa"/>
              <w:bottom w:w="90" w:type="dxa"/>
              <w:end w:w="100" w:type="dxa"/>
            </w:tcMar>
            <w:vAlign w:val="center"/>
          </w:tcPr>
          <w:p>
            <w:pPr>
              <w:jc w:val="center"/>
            </w:pPr>
            <w:r>
              <w:rPr>
                <w:rFonts w:ascii="Aptos" w:hAnsi="Aptos"/>
                <w:b w:val="0"/>
                <w:i w:val="0"/>
                <w:sz w:val="15"/>
              </w:rPr>
              <w:t>PASS</w:t>
            </w:r>
          </w:p>
        </w:tc>
      </w:tr>
    </w:tbl>
    <w:p>
      <w:pPr>
        <w:pStyle w:val="Heading2"/>
        <w:keepNext/>
      </w:pPr>
      <w:r>
        <w:rPr>
          <w:rFonts w:ascii="Aptos" w:hAnsi="Aptos"/>
          <w:b/>
          <w:i w:val="0"/>
          <w:color w:val="1F4E78"/>
          <w:sz w:val="24"/>
        </w:rPr>
        <w:t>T2-F.8. Controlled Corrections</w:t>
      </w:r>
    </w:p>
    <w:tbl>
      <w:tblPr>
        <w:tblStyle w:val="TableGrid"/>
        <w:tblW w:type="auto" w:w="0"/>
        <w:jc w:val="center"/>
        <w:tblLayout w:type="fixed"/>
        <w:tblLook w:firstColumn="1" w:firstRow="1" w:lastColumn="0" w:lastRow="0" w:noHBand="0" w:noVBand="1" w:val="04A0"/>
      </w:tblPr>
      <w:tblGrid>
        <w:gridCol w:w="2494"/>
        <w:gridCol w:w="2494"/>
        <w:gridCol w:w="2494"/>
        <w:gridCol w:w="2494"/>
      </w:tblGrid>
      <w:tr>
        <w:trPr>
          <w:tblHeader w:val="true"/>
        </w:trPr>
        <w:tc>
          <w:tcPr>
            <w:tcW w:type="dxa" w:w="1644"/>
            <w:shd w:fill="1F4E78"/>
            <w:tcMar>
              <w:top w:w="90" w:type="dxa"/>
              <w:start w:w="100" w:type="dxa"/>
              <w:bottom w:w="90" w:type="dxa"/>
              <w:end w:w="100" w:type="dxa"/>
            </w:tcMar>
            <w:vAlign w:val="center"/>
          </w:tcPr>
          <w:p>
            <w:pPr>
              <w:jc w:val="center"/>
            </w:pPr>
            <w:r>
              <w:rPr>
                <w:rFonts w:ascii="Aptos" w:hAnsi="Aptos"/>
                <w:b/>
                <w:i w:val="0"/>
                <w:color w:val="FFFFFF"/>
                <w:sz w:val="13"/>
              </w:rPr>
              <w:t>ID</w:t>
            </w:r>
          </w:p>
        </w:tc>
        <w:tc>
          <w:tcPr>
            <w:tcW w:type="dxa" w:w="2211"/>
            <w:shd w:fill="1F4E78"/>
            <w:tcMar>
              <w:top w:w="90" w:type="dxa"/>
              <w:start w:w="100" w:type="dxa"/>
              <w:bottom w:w="90" w:type="dxa"/>
              <w:end w:w="100" w:type="dxa"/>
            </w:tcMar>
            <w:vAlign w:val="center"/>
          </w:tcPr>
          <w:p>
            <w:pPr>
              <w:jc w:val="center"/>
            </w:pPr>
            <w:r>
              <w:rPr>
                <w:rFonts w:ascii="Aptos" w:hAnsi="Aptos"/>
                <w:b/>
                <w:i w:val="0"/>
                <w:color w:val="FFFFFF"/>
                <w:sz w:val="13"/>
              </w:rPr>
              <w:t>Location</w:t>
            </w:r>
          </w:p>
        </w:tc>
        <w:tc>
          <w:tcPr>
            <w:tcW w:type="dxa" w:w="4706"/>
            <w:shd w:fill="1F4E78"/>
            <w:tcMar>
              <w:top w:w="90" w:type="dxa"/>
              <w:start w:w="100" w:type="dxa"/>
              <w:bottom w:w="90" w:type="dxa"/>
              <w:end w:w="100" w:type="dxa"/>
            </w:tcMar>
            <w:vAlign w:val="center"/>
          </w:tcPr>
          <w:p>
            <w:pPr>
              <w:jc w:val="center"/>
            </w:pPr>
            <w:r>
              <w:rPr>
                <w:rFonts w:ascii="Aptos" w:hAnsi="Aptos"/>
                <w:b/>
                <w:i w:val="0"/>
                <w:color w:val="FFFFFF"/>
                <w:sz w:val="13"/>
              </w:rPr>
              <w:t>Correction</w:t>
            </w:r>
          </w:p>
        </w:tc>
        <w:tc>
          <w:tcPr>
            <w:tcW w:type="dxa" w:w="1757"/>
            <w:shd w:fill="1F4E78"/>
            <w:tcMar>
              <w:top w:w="90" w:type="dxa"/>
              <w:start w:w="100" w:type="dxa"/>
              <w:bottom w:w="90" w:type="dxa"/>
              <w:end w:w="100" w:type="dxa"/>
            </w:tcMar>
            <w:vAlign w:val="center"/>
          </w:tcPr>
          <w:p>
            <w:pPr>
              <w:jc w:val="center"/>
            </w:pPr>
            <w:r>
              <w:rPr>
                <w:rFonts w:ascii="Aptos" w:hAnsi="Aptos"/>
                <w:b/>
                <w:i w:val="0"/>
                <w:color w:val="FFFFFF"/>
                <w:sz w:val="13"/>
              </w:rPr>
              <w:t>Class</w:t>
            </w:r>
          </w:p>
        </w:tc>
      </w:tr>
      <w:tr>
        <w:tc>
          <w:tcPr>
            <w:tcW w:type="dxa" w:w="1644"/>
            <w:tcMar>
              <w:top w:w="90" w:type="dxa"/>
              <w:start w:w="100" w:type="dxa"/>
              <w:bottom w:w="90" w:type="dxa"/>
              <w:end w:w="100" w:type="dxa"/>
            </w:tcMar>
            <w:vAlign w:val="center"/>
          </w:tcPr>
          <w:p>
            <w:pPr>
              <w:jc w:val="center"/>
            </w:pPr>
            <w:r>
              <w:rPr>
                <w:rFonts w:ascii="Aptos" w:hAnsi="Aptos"/>
                <w:b w:val="0"/>
                <w:i w:val="0"/>
                <w:sz w:val="13"/>
              </w:rPr>
              <w:t>T2-EN-AUD-001</w:t>
            </w:r>
          </w:p>
        </w:tc>
        <w:tc>
          <w:tcPr>
            <w:tcW w:type="dxa" w:w="2211"/>
            <w:tcMar>
              <w:top w:w="90" w:type="dxa"/>
              <w:start w:w="100" w:type="dxa"/>
              <w:bottom w:w="90" w:type="dxa"/>
              <w:end w:w="100" w:type="dxa"/>
            </w:tcMar>
            <w:vAlign w:val="center"/>
          </w:tcPr>
          <w:p>
            <w:pPr>
              <w:jc w:val="left"/>
            </w:pPr>
            <w:r>
              <w:rPr>
                <w:rFonts w:ascii="Aptos" w:hAnsi="Aptos"/>
                <w:b w:val="0"/>
                <w:i w:val="0"/>
                <w:sz w:val="13"/>
              </w:rPr>
              <w:t>Front release passport</w:t>
            </w:r>
          </w:p>
        </w:tc>
        <w:tc>
          <w:tcPr>
            <w:tcW w:type="dxa" w:w="4706"/>
            <w:tcMar>
              <w:top w:w="90" w:type="dxa"/>
              <w:start w:w="100" w:type="dxa"/>
              <w:bottom w:w="90" w:type="dxa"/>
              <w:end w:w="100" w:type="dxa"/>
            </w:tcMar>
            <w:vAlign w:val="center"/>
          </w:tcPr>
          <w:p>
            <w:pPr>
              <w:jc w:val="left"/>
            </w:pPr>
            <w:r>
              <w:rPr>
                <w:rFonts w:ascii="Aptos" w:hAnsi="Aptos"/>
                <w:b w:val="0"/>
                <w:i w:val="0"/>
                <w:sz w:val="13"/>
              </w:rPr>
              <w:t>Predecessor: T2-EN-MODULI-v0.4 -&gt; Predecessor: T2-EN-ASSEMBLY-v0.7</w:t>
            </w:r>
          </w:p>
        </w:tc>
        <w:tc>
          <w:tcPr>
            <w:tcW w:type="dxa" w:w="1757"/>
            <w:tcMar>
              <w:top w:w="90" w:type="dxa"/>
              <w:start w:w="100" w:type="dxa"/>
              <w:bottom w:w="90" w:type="dxa"/>
              <w:end w:w="100" w:type="dxa"/>
            </w:tcMar>
            <w:vAlign w:val="center"/>
          </w:tcPr>
          <w:p>
            <w:pPr>
              <w:jc w:val="center"/>
            </w:pPr>
            <w:r>
              <w:rPr>
                <w:rFonts w:ascii="Aptos" w:hAnsi="Aptos"/>
                <w:b w:val="0"/>
                <w:i w:val="0"/>
                <w:sz w:val="13"/>
              </w:rPr>
              <w:t>EDITORIAL-METADATA</w:t>
            </w:r>
          </w:p>
        </w:tc>
      </w:tr>
      <w:tr>
        <w:tc>
          <w:tcPr>
            <w:tcW w:type="dxa" w:w="1644"/>
            <w:tcMar>
              <w:top w:w="90" w:type="dxa"/>
              <w:start w:w="100" w:type="dxa"/>
              <w:bottom w:w="90" w:type="dxa"/>
              <w:end w:w="100" w:type="dxa"/>
            </w:tcMar>
            <w:vAlign w:val="center"/>
          </w:tcPr>
          <w:p>
            <w:pPr>
              <w:jc w:val="center"/>
            </w:pPr>
            <w:r>
              <w:rPr>
                <w:rFonts w:ascii="Aptos" w:hAnsi="Aptos"/>
                <w:b w:val="0"/>
                <w:i w:val="0"/>
                <w:sz w:val="13"/>
              </w:rPr>
              <w:t>T2-EN-AUD-002</w:t>
            </w:r>
          </w:p>
        </w:tc>
        <w:tc>
          <w:tcPr>
            <w:tcW w:type="dxa" w:w="2211"/>
            <w:tcMar>
              <w:top w:w="90" w:type="dxa"/>
              <w:start w:w="100" w:type="dxa"/>
              <w:bottom w:w="90" w:type="dxa"/>
              <w:end w:w="100" w:type="dxa"/>
            </w:tcMar>
            <w:vAlign w:val="center"/>
          </w:tcPr>
          <w:p>
            <w:pPr>
              <w:jc w:val="left"/>
            </w:pPr>
            <w:r>
              <w:rPr>
                <w:rFonts w:ascii="Aptos" w:hAnsi="Aptos"/>
                <w:b w:val="0"/>
                <w:i w:val="0"/>
                <w:sz w:val="13"/>
              </w:rPr>
              <w:t>Front release passport</w:t>
            </w:r>
          </w:p>
        </w:tc>
        <w:tc>
          <w:tcPr>
            <w:tcW w:type="dxa" w:w="4706"/>
            <w:tcMar>
              <w:top w:w="90" w:type="dxa"/>
              <w:start w:w="100" w:type="dxa"/>
              <w:bottom w:w="90" w:type="dxa"/>
              <w:end w:w="100" w:type="dxa"/>
            </w:tcMar>
            <w:vAlign w:val="center"/>
          </w:tcPr>
          <w:p>
            <w:pPr>
              <w:jc w:val="left"/>
            </w:pPr>
            <w:r>
              <w:rPr>
                <w:rFonts w:ascii="Aptos" w:hAnsi="Aptos"/>
                <w:b w:val="0"/>
                <w:i w:val="0"/>
                <w:sz w:val="13"/>
              </w:rPr>
              <w:t>Scope: formulas T2-F001-T2-F381 -&gt; Scope: formulas T2-F001-T2-F404 and Appendices T2-A-T2-E</w:t>
            </w:r>
          </w:p>
        </w:tc>
        <w:tc>
          <w:tcPr>
            <w:tcW w:type="dxa" w:w="1757"/>
            <w:tcMar>
              <w:top w:w="90" w:type="dxa"/>
              <w:start w:w="100" w:type="dxa"/>
              <w:bottom w:w="90" w:type="dxa"/>
              <w:end w:w="100" w:type="dxa"/>
            </w:tcMar>
            <w:vAlign w:val="center"/>
          </w:tcPr>
          <w:p>
            <w:pPr>
              <w:jc w:val="center"/>
            </w:pPr>
            <w:r>
              <w:rPr>
                <w:rFonts w:ascii="Aptos" w:hAnsi="Aptos"/>
                <w:b w:val="0"/>
                <w:i w:val="0"/>
                <w:sz w:val="13"/>
              </w:rPr>
              <w:t>EDITORIAL-METADATA</w:t>
            </w:r>
          </w:p>
        </w:tc>
      </w:tr>
      <w:tr>
        <w:tc>
          <w:tcPr>
            <w:tcW w:type="dxa" w:w="1644"/>
            <w:tcMar>
              <w:top w:w="90" w:type="dxa"/>
              <w:start w:w="100" w:type="dxa"/>
              <w:bottom w:w="90" w:type="dxa"/>
              <w:end w:w="100" w:type="dxa"/>
            </w:tcMar>
            <w:vAlign w:val="center"/>
          </w:tcPr>
          <w:p>
            <w:pPr>
              <w:jc w:val="center"/>
            </w:pPr>
            <w:r>
              <w:rPr>
                <w:rFonts w:ascii="Aptos" w:hAnsi="Aptos"/>
                <w:b w:val="0"/>
                <w:i w:val="0"/>
                <w:sz w:val="13"/>
              </w:rPr>
              <w:t>T2-EN-AUD-003</w:t>
            </w:r>
          </w:p>
        </w:tc>
        <w:tc>
          <w:tcPr>
            <w:tcW w:type="dxa" w:w="2211"/>
            <w:tcMar>
              <w:top w:w="90" w:type="dxa"/>
              <w:start w:w="100" w:type="dxa"/>
              <w:bottom w:w="90" w:type="dxa"/>
              <w:end w:w="100" w:type="dxa"/>
            </w:tcMar>
            <w:vAlign w:val="center"/>
          </w:tcPr>
          <w:p>
            <w:pPr>
              <w:jc w:val="left"/>
            </w:pPr>
            <w:r>
              <w:rPr>
                <w:rFonts w:ascii="Aptos" w:hAnsi="Aptos"/>
                <w:b w:val="0"/>
                <w:i w:val="0"/>
                <w:sz w:val="13"/>
              </w:rPr>
              <w:t>Front release passport</w:t>
            </w:r>
          </w:p>
        </w:tc>
        <w:tc>
          <w:tcPr>
            <w:tcW w:type="dxa" w:w="4706"/>
            <w:tcMar>
              <w:top w:w="90" w:type="dxa"/>
              <w:start w:w="100" w:type="dxa"/>
              <w:bottom w:w="90" w:type="dxa"/>
              <w:end w:w="100" w:type="dxa"/>
            </w:tcMar>
            <w:vAlign w:val="center"/>
          </w:tcPr>
          <w:p>
            <w:pPr>
              <w:jc w:val="left"/>
            </w:pPr>
            <w:r>
              <w:rPr>
                <w:rFonts w:ascii="Aptos" w:hAnsi="Aptos"/>
                <w:b w:val="0"/>
                <w:i w:val="0"/>
                <w:sz w:val="13"/>
              </w:rPr>
              <w:t>Next checkpoint points to T2-EN-ASSEMBLY-v0.7 -&gt; Next checkpoint: T2-EN-FC-v0.9</w:t>
            </w:r>
          </w:p>
        </w:tc>
        <w:tc>
          <w:tcPr>
            <w:tcW w:type="dxa" w:w="1757"/>
            <w:tcMar>
              <w:top w:w="90" w:type="dxa"/>
              <w:start w:w="100" w:type="dxa"/>
              <w:bottom w:w="90" w:type="dxa"/>
              <w:end w:w="100" w:type="dxa"/>
            </w:tcMar>
            <w:vAlign w:val="center"/>
          </w:tcPr>
          <w:p>
            <w:pPr>
              <w:jc w:val="center"/>
            </w:pPr>
            <w:r>
              <w:rPr>
                <w:rFonts w:ascii="Aptos" w:hAnsi="Aptos"/>
                <w:b w:val="0"/>
                <w:i w:val="0"/>
                <w:sz w:val="13"/>
              </w:rPr>
              <w:t>EDITORIAL-METADATA</w:t>
            </w:r>
          </w:p>
        </w:tc>
      </w:tr>
      <w:tr>
        <w:tc>
          <w:tcPr>
            <w:tcW w:type="dxa" w:w="1644"/>
            <w:tcMar>
              <w:top w:w="90" w:type="dxa"/>
              <w:start w:w="100" w:type="dxa"/>
              <w:bottom w:w="90" w:type="dxa"/>
              <w:end w:w="100" w:type="dxa"/>
            </w:tcMar>
            <w:vAlign w:val="center"/>
          </w:tcPr>
          <w:p>
            <w:pPr>
              <w:jc w:val="center"/>
            </w:pPr>
            <w:r>
              <w:rPr>
                <w:rFonts w:ascii="Aptos" w:hAnsi="Aptos"/>
                <w:b w:val="0"/>
                <w:i w:val="0"/>
                <w:sz w:val="13"/>
              </w:rPr>
              <w:t>T2-EN-AUD-004</w:t>
            </w:r>
          </w:p>
        </w:tc>
        <w:tc>
          <w:tcPr>
            <w:tcW w:type="dxa" w:w="2211"/>
            <w:tcMar>
              <w:top w:w="90" w:type="dxa"/>
              <w:start w:w="100" w:type="dxa"/>
              <w:bottom w:w="90" w:type="dxa"/>
              <w:end w:w="100" w:type="dxa"/>
            </w:tcMar>
            <w:vAlign w:val="center"/>
          </w:tcPr>
          <w:p>
            <w:pPr>
              <w:jc w:val="left"/>
            </w:pPr>
            <w:r>
              <w:rPr>
                <w:rFonts w:ascii="Aptos" w:hAnsi="Aptos"/>
                <w:b w:val="0"/>
                <w:i w:val="0"/>
                <w:sz w:val="13"/>
              </w:rPr>
              <w:t>Title and running headers</w:t>
            </w:r>
          </w:p>
        </w:tc>
        <w:tc>
          <w:tcPr>
            <w:tcW w:type="dxa" w:w="4706"/>
            <w:tcMar>
              <w:top w:w="90" w:type="dxa"/>
              <w:start w:w="100" w:type="dxa"/>
              <w:bottom w:w="90" w:type="dxa"/>
              <w:end w:w="100" w:type="dxa"/>
            </w:tcMar>
            <w:vAlign w:val="center"/>
          </w:tcPr>
          <w:p>
            <w:pPr>
              <w:jc w:val="left"/>
            </w:pPr>
            <w:r>
              <w:rPr>
                <w:rFonts w:ascii="Aptos" w:hAnsi="Aptos"/>
                <w:b w:val="0"/>
                <w:i w:val="0"/>
                <w:sz w:val="13"/>
              </w:rPr>
              <w:t>T2-EN-ASSEMBLY-v0.7 -&gt; T2-EN-AUDIT-v0.8</w:t>
            </w:r>
          </w:p>
        </w:tc>
        <w:tc>
          <w:tcPr>
            <w:tcW w:type="dxa" w:w="1757"/>
            <w:tcMar>
              <w:top w:w="90" w:type="dxa"/>
              <w:start w:w="100" w:type="dxa"/>
              <w:bottom w:w="90" w:type="dxa"/>
              <w:end w:w="100" w:type="dxa"/>
            </w:tcMar>
            <w:vAlign w:val="center"/>
          </w:tcPr>
          <w:p>
            <w:pPr>
              <w:jc w:val="center"/>
            </w:pPr>
            <w:r>
              <w:rPr>
                <w:rFonts w:ascii="Aptos" w:hAnsi="Aptos"/>
                <w:b w:val="0"/>
                <w:i w:val="0"/>
                <w:sz w:val="13"/>
              </w:rPr>
              <w:t>VERSION-CONTROL</w:t>
            </w:r>
          </w:p>
        </w:tc>
      </w:tr>
      <w:tr>
        <w:tc>
          <w:tcPr>
            <w:tcW w:type="dxa" w:w="1644"/>
            <w:tcMar>
              <w:top w:w="90" w:type="dxa"/>
              <w:start w:w="100" w:type="dxa"/>
              <w:bottom w:w="90" w:type="dxa"/>
              <w:end w:w="100" w:type="dxa"/>
            </w:tcMar>
            <w:vAlign w:val="center"/>
          </w:tcPr>
          <w:p>
            <w:pPr>
              <w:jc w:val="center"/>
            </w:pPr>
            <w:r>
              <w:rPr>
                <w:rFonts w:ascii="Aptos" w:hAnsi="Aptos"/>
                <w:b w:val="0"/>
                <w:i w:val="0"/>
                <w:sz w:val="13"/>
              </w:rPr>
              <w:t>T2-EN-AUD-005</w:t>
            </w:r>
          </w:p>
        </w:tc>
        <w:tc>
          <w:tcPr>
            <w:tcW w:type="dxa" w:w="2211"/>
            <w:tcMar>
              <w:top w:w="90" w:type="dxa"/>
              <w:start w:w="100" w:type="dxa"/>
              <w:bottom w:w="90" w:type="dxa"/>
              <w:end w:w="100" w:type="dxa"/>
            </w:tcMar>
            <w:vAlign w:val="center"/>
          </w:tcPr>
          <w:p>
            <w:pPr>
              <w:jc w:val="center"/>
            </w:pPr>
            <w:r>
              <w:rPr>
                <w:rFonts w:ascii="Aptos" w:hAnsi="Aptos"/>
                <w:b w:val="0"/>
                <w:i w:val="0"/>
                <w:sz w:val="13"/>
              </w:rPr>
              <w:t>Formula parity rule</w:t>
            </w:r>
          </w:p>
        </w:tc>
        <w:tc>
          <w:tcPr>
            <w:tcW w:type="dxa" w:w="4706"/>
            <w:tcMar>
              <w:top w:w="90" w:type="dxa"/>
              <w:start w:w="100" w:type="dxa"/>
              <w:bottom w:w="90" w:type="dxa"/>
              <w:end w:w="100" w:type="dxa"/>
            </w:tcMar>
            <w:vAlign w:val="center"/>
          </w:tcPr>
          <w:p>
            <w:pPr>
              <w:jc w:val="left"/>
            </w:pPr>
            <w:r>
              <w:rPr>
                <w:rFonts w:ascii="Aptos" w:hAnsi="Aptos"/>
                <w:b w:val="0"/>
                <w:i w:val="0"/>
                <w:sz w:val="13"/>
              </w:rPr>
              <w:t>Literal equality statement without a lexical qualifier -&gt; Mathematical-token parity plus controlled translation of connective prose and decimal punctuation</w:t>
            </w:r>
          </w:p>
        </w:tc>
        <w:tc>
          <w:tcPr>
            <w:tcW w:type="dxa" w:w="1757"/>
            <w:tcMar>
              <w:top w:w="90" w:type="dxa"/>
              <w:start w:w="100" w:type="dxa"/>
              <w:bottom w:w="90" w:type="dxa"/>
              <w:end w:w="100" w:type="dxa"/>
            </w:tcMar>
            <w:vAlign w:val="center"/>
          </w:tcPr>
          <w:p>
            <w:pPr>
              <w:jc w:val="center"/>
            </w:pPr>
            <w:r>
              <w:rPr>
                <w:rFonts w:ascii="Aptos" w:hAnsi="Aptos"/>
                <w:b w:val="0"/>
                <w:i w:val="0"/>
                <w:sz w:val="13"/>
              </w:rPr>
              <w:t>AUDIT-PRECISION</w:t>
            </w:r>
          </w:p>
        </w:tc>
      </w:tr>
      <w:tr>
        <w:tc>
          <w:tcPr>
            <w:tcW w:type="dxa" w:w="1644"/>
            <w:tcMar>
              <w:top w:w="90" w:type="dxa"/>
              <w:start w:w="100" w:type="dxa"/>
              <w:bottom w:w="90" w:type="dxa"/>
              <w:end w:w="100" w:type="dxa"/>
            </w:tcMar>
            <w:vAlign w:val="center"/>
          </w:tcPr>
          <w:p>
            <w:pPr>
              <w:jc w:val="center"/>
            </w:pPr>
            <w:r>
              <w:rPr>
                <w:rFonts w:ascii="Aptos" w:hAnsi="Aptos"/>
                <w:b w:val="0"/>
                <w:i w:val="0"/>
                <w:sz w:val="13"/>
              </w:rPr>
              <w:t>T2-EN-AUD-006</w:t>
            </w:r>
          </w:p>
        </w:tc>
        <w:tc>
          <w:tcPr>
            <w:tcW w:type="dxa" w:w="2211"/>
            <w:tcMar>
              <w:top w:w="90" w:type="dxa"/>
              <w:start w:w="100" w:type="dxa"/>
              <w:bottom w:w="90" w:type="dxa"/>
              <w:end w:w="100" w:type="dxa"/>
            </w:tcMar>
            <w:vAlign w:val="center"/>
          </w:tcPr>
          <w:p>
            <w:pPr>
              <w:jc w:val="left"/>
            </w:pPr>
            <w:r>
              <w:rPr>
                <w:rFonts w:ascii="Aptos" w:hAnsi="Aptos"/>
                <w:b w:val="0"/>
                <w:i w:val="0"/>
                <w:sz w:val="13"/>
              </w:rPr>
              <w:t>T1-T3 terminology ledger</w:t>
            </w:r>
          </w:p>
        </w:tc>
        <w:tc>
          <w:tcPr>
            <w:tcW w:type="dxa" w:w="4706"/>
            <w:tcMar>
              <w:top w:w="90" w:type="dxa"/>
              <w:start w:w="100" w:type="dxa"/>
              <w:bottom w:w="90" w:type="dxa"/>
              <w:end w:w="100" w:type="dxa"/>
            </w:tcMar>
            <w:vAlign w:val="center"/>
          </w:tcPr>
          <w:p>
            <w:pPr>
              <w:jc w:val="left"/>
            </w:pPr>
            <w:r>
              <w:rPr>
                <w:rFonts w:ascii="Aptos" w:hAnsi="Aptos"/>
                <w:b w:val="0"/>
                <w:i w:val="0"/>
                <w:sz w:val="13"/>
              </w:rPr>
              <w:t>probabilistic firewall -&gt; probability firewall (canonical noun compound); adjectival variant allowed</w:t>
            </w:r>
          </w:p>
        </w:tc>
        <w:tc>
          <w:tcPr>
            <w:tcW w:type="dxa" w:w="1757"/>
            <w:tcMar>
              <w:top w:w="90" w:type="dxa"/>
              <w:start w:w="100" w:type="dxa"/>
              <w:bottom w:w="90" w:type="dxa"/>
              <w:end w:w="100" w:type="dxa"/>
            </w:tcMar>
            <w:vAlign w:val="center"/>
          </w:tcPr>
          <w:p>
            <w:pPr>
              <w:jc w:val="center"/>
            </w:pPr>
            <w:r>
              <w:rPr>
                <w:rFonts w:ascii="Aptos" w:hAnsi="Aptos"/>
                <w:b w:val="0"/>
                <w:i w:val="0"/>
                <w:sz w:val="13"/>
              </w:rPr>
              <w:t>TERMINOLOGY</w:t>
            </w:r>
          </w:p>
        </w:tc>
      </w:tr>
    </w:tbl>
    <w:p>
      <w:pPr>
        <w:spacing w:after="100" w:line="259" w:lineRule="auto"/>
      </w:pPr>
      <w:r>
        <w:rPr>
          <w:rFonts w:ascii="Aptos" w:hAnsi="Aptos"/>
          <w:b w:val="0"/>
          <w:i w:val="0"/>
          <w:sz w:val="18"/>
        </w:rPr>
        <w:t>These corrections concern version control, metadata, audit precision, or terminology. They do not alter Chapter 1-24, Appendices T2-A-T2-E, formula content, theorem hypotheses, proof status, counterexamples, or evidence obligations.</w:t>
      </w:r>
    </w:p>
    <w:p>
      <w:pPr>
        <w:pStyle w:val="Heading2"/>
        <w:keepNext/>
      </w:pPr>
      <w:r>
        <w:rPr>
          <w:rFonts w:ascii="Aptos" w:hAnsi="Aptos"/>
          <w:b/>
          <w:i w:val="0"/>
          <w:color w:val="1F4E78"/>
          <w:sz w:val="24"/>
        </w:rPr>
        <w:t>T2-F.9. Residual Blockers and Decision</w:t>
      </w:r>
    </w:p>
    <w:tbl>
      <w:tblPr>
        <w:tblStyle w:val="TableGrid"/>
        <w:tblW w:type="auto" w:w="0"/>
        <w:jc w:val="center"/>
        <w:tblLayout w:type="fixed"/>
        <w:tblLook w:firstColumn="1" w:firstRow="1" w:lastColumn="0" w:lastRow="0" w:noHBand="0" w:noVBand="1" w:val="04A0"/>
      </w:tblPr>
      <w:tblGrid>
        <w:gridCol w:w="2494"/>
        <w:gridCol w:w="2494"/>
        <w:gridCol w:w="2494"/>
        <w:gridCol w:w="2494"/>
      </w:tblGrid>
      <w:tr>
        <w:trPr>
          <w:tblHeader w:val="true"/>
        </w:trPr>
        <w:tc>
          <w:tcPr>
            <w:tcW w:type="dxa" w:w="1757"/>
            <w:shd w:fill="1F4E78"/>
            <w:tcMar>
              <w:top w:w="90" w:type="dxa"/>
              <w:start w:w="100" w:type="dxa"/>
              <w:bottom w:w="90" w:type="dxa"/>
              <w:end w:w="100" w:type="dxa"/>
            </w:tcMar>
            <w:vAlign w:val="center"/>
          </w:tcPr>
          <w:p>
            <w:pPr>
              <w:jc w:val="center"/>
            </w:pPr>
            <w:r>
              <w:rPr>
                <w:rFonts w:ascii="Aptos" w:hAnsi="Aptos"/>
                <w:b/>
                <w:i w:val="0"/>
                <w:color w:val="FFFFFF"/>
                <w:sz w:val="14"/>
              </w:rPr>
              <w:t>ID</w:t>
            </w:r>
          </w:p>
        </w:tc>
        <w:tc>
          <w:tcPr>
            <w:tcW w:type="dxa" w:w="3118"/>
            <w:shd w:fill="1F4E78"/>
            <w:tcMar>
              <w:top w:w="90" w:type="dxa"/>
              <w:start w:w="100" w:type="dxa"/>
              <w:bottom w:w="90" w:type="dxa"/>
              <w:end w:w="100" w:type="dxa"/>
            </w:tcMar>
            <w:vAlign w:val="center"/>
          </w:tcPr>
          <w:p>
            <w:pPr>
              <w:jc w:val="center"/>
            </w:pPr>
            <w:r>
              <w:rPr>
                <w:rFonts w:ascii="Aptos" w:hAnsi="Aptos"/>
                <w:b/>
                <w:i w:val="0"/>
                <w:color w:val="FFFFFF"/>
                <w:sz w:val="14"/>
              </w:rPr>
              <w:t>Blocker</w:t>
            </w:r>
          </w:p>
        </w:tc>
        <w:tc>
          <w:tcPr>
            <w:tcW w:type="dxa" w:w="1928"/>
            <w:shd w:fill="1F4E78"/>
            <w:tcMar>
              <w:top w:w="90" w:type="dxa"/>
              <w:start w:w="100" w:type="dxa"/>
              <w:bottom w:w="90" w:type="dxa"/>
              <w:end w:w="100" w:type="dxa"/>
            </w:tcMar>
            <w:vAlign w:val="center"/>
          </w:tcPr>
          <w:p>
            <w:pPr>
              <w:jc w:val="center"/>
            </w:pPr>
            <w:r>
              <w:rPr>
                <w:rFonts w:ascii="Aptos" w:hAnsi="Aptos"/>
                <w:b/>
                <w:i w:val="0"/>
                <w:color w:val="FFFFFF"/>
                <w:sz w:val="14"/>
              </w:rPr>
              <w:t>Status</w:t>
            </w:r>
          </w:p>
        </w:tc>
        <w:tc>
          <w:tcPr>
            <w:tcW w:type="dxa" w:w="2948"/>
            <w:shd w:fill="1F4E78"/>
            <w:tcMar>
              <w:top w:w="90" w:type="dxa"/>
              <w:start w:w="100" w:type="dxa"/>
              <w:bottom w:w="90" w:type="dxa"/>
              <w:end w:w="100" w:type="dxa"/>
            </w:tcMar>
            <w:vAlign w:val="center"/>
          </w:tcPr>
          <w:p>
            <w:pPr>
              <w:jc w:val="center"/>
            </w:pPr>
            <w:r>
              <w:rPr>
                <w:rFonts w:ascii="Aptos" w:hAnsi="Aptos"/>
                <w:b/>
                <w:i w:val="0"/>
                <w:color w:val="FFFFFF"/>
                <w:sz w:val="14"/>
              </w:rPr>
              <w:t>Effect</w:t>
            </w:r>
          </w:p>
        </w:tc>
      </w:tr>
      <w:tr>
        <w:tc>
          <w:tcPr>
            <w:tcW w:type="dxa" w:w="1757"/>
            <w:tcMar>
              <w:top w:w="90" w:type="dxa"/>
              <w:start w:w="100" w:type="dxa"/>
              <w:bottom w:w="90" w:type="dxa"/>
              <w:end w:w="100" w:type="dxa"/>
            </w:tcMar>
            <w:vAlign w:val="center"/>
          </w:tcPr>
          <w:p>
            <w:pPr>
              <w:jc w:val="center"/>
            </w:pPr>
            <w:r>
              <w:rPr>
                <w:rFonts w:ascii="Aptos" w:hAnsi="Aptos"/>
                <w:b w:val="0"/>
                <w:i w:val="0"/>
                <w:sz w:val="14"/>
              </w:rPr>
              <w:t>EXT-AUDIT-SIGN</w:t>
            </w:r>
          </w:p>
        </w:tc>
        <w:tc>
          <w:tcPr>
            <w:tcW w:type="dxa" w:w="3118"/>
            <w:tcMar>
              <w:top w:w="90" w:type="dxa"/>
              <w:start w:w="100" w:type="dxa"/>
              <w:bottom w:w="90" w:type="dxa"/>
              <w:end w:w="100" w:type="dxa"/>
            </w:tcMar>
            <w:vAlign w:val="center"/>
          </w:tcPr>
          <w:p>
            <w:pPr>
              <w:jc w:val="left"/>
            </w:pPr>
            <w:r>
              <w:rPr>
                <w:rFonts w:ascii="Aptos" w:hAnsi="Aptos"/>
                <w:b w:val="0"/>
                <w:i w:val="0"/>
                <w:sz w:val="14"/>
              </w:rPr>
              <w:t>External signed bilingual audit</w:t>
            </w:r>
          </w:p>
        </w:tc>
        <w:tc>
          <w:tcPr>
            <w:tcW w:type="dxa" w:w="1928"/>
            <w:tcMar>
              <w:top w:w="90" w:type="dxa"/>
              <w:start w:w="100" w:type="dxa"/>
              <w:bottom w:w="90" w:type="dxa"/>
              <w:end w:w="100" w:type="dxa"/>
            </w:tcMar>
            <w:vAlign w:val="center"/>
          </w:tcPr>
          <w:p>
            <w:pPr>
              <w:jc w:val="center"/>
            </w:pPr>
            <w:r>
              <w:rPr>
                <w:rFonts w:ascii="Aptos" w:hAnsi="Aptos"/>
                <w:b w:val="0"/>
                <w:i w:val="0"/>
                <w:sz w:val="14"/>
              </w:rPr>
              <w:t>OPEN NON-VETO</w:t>
            </w:r>
          </w:p>
        </w:tc>
        <w:tc>
          <w:tcPr>
            <w:tcW w:type="dxa" w:w="2948"/>
            <w:tcMar>
              <w:top w:w="90" w:type="dxa"/>
              <w:start w:w="100" w:type="dxa"/>
              <w:bottom w:w="90" w:type="dxa"/>
              <w:end w:w="100" w:type="dxa"/>
            </w:tcMar>
            <w:vAlign w:val="center"/>
          </w:tcPr>
          <w:p>
            <w:pPr>
              <w:jc w:val="left"/>
            </w:pPr>
            <w:r>
              <w:rPr>
                <w:rFonts w:ascii="Aptos" w:hAnsi="Aptos"/>
                <w:b w:val="0"/>
                <w:i w:val="0"/>
                <w:sz w:val="14"/>
              </w:rPr>
              <w:t>Does not veto authorial freeze-candidate preparation; remains required for an external trust claim.</w:t>
            </w:r>
          </w:p>
        </w:tc>
      </w:tr>
      <w:tr>
        <w:tc>
          <w:tcPr>
            <w:tcW w:type="dxa" w:w="1757"/>
            <w:tcMar>
              <w:top w:w="90" w:type="dxa"/>
              <w:start w:w="100" w:type="dxa"/>
              <w:bottom w:w="90" w:type="dxa"/>
              <w:end w:w="100" w:type="dxa"/>
            </w:tcMar>
            <w:vAlign w:val="center"/>
          </w:tcPr>
          <w:p>
            <w:pPr>
              <w:jc w:val="center"/>
            </w:pPr>
            <w:r>
              <w:rPr>
                <w:rFonts w:ascii="Aptos" w:hAnsi="Aptos"/>
                <w:b w:val="0"/>
                <w:i w:val="0"/>
                <w:sz w:val="14"/>
              </w:rPr>
              <w:t>EXT-RUN</w:t>
            </w:r>
          </w:p>
        </w:tc>
        <w:tc>
          <w:tcPr>
            <w:tcW w:type="dxa" w:w="3118"/>
            <w:tcMar>
              <w:top w:w="90" w:type="dxa"/>
              <w:start w:w="100" w:type="dxa"/>
              <w:bottom w:w="90" w:type="dxa"/>
              <w:end w:w="100" w:type="dxa"/>
            </w:tcMar>
            <w:vAlign w:val="center"/>
          </w:tcPr>
          <w:p>
            <w:pPr>
              <w:jc w:val="left"/>
            </w:pPr>
            <w:r>
              <w:rPr>
                <w:rFonts w:ascii="Aptos" w:hAnsi="Aptos"/>
                <w:b w:val="0"/>
                <w:i w:val="0"/>
                <w:sz w:val="14"/>
              </w:rPr>
              <w:t>Independent external computational/empirical run</w:t>
            </w:r>
          </w:p>
        </w:tc>
        <w:tc>
          <w:tcPr>
            <w:tcW w:type="dxa" w:w="1928"/>
            <w:tcMar>
              <w:top w:w="90" w:type="dxa"/>
              <w:start w:w="100" w:type="dxa"/>
              <w:bottom w:w="90" w:type="dxa"/>
              <w:end w:w="100" w:type="dxa"/>
            </w:tcMar>
            <w:vAlign w:val="center"/>
          </w:tcPr>
          <w:p>
            <w:pPr>
              <w:jc w:val="center"/>
            </w:pPr>
            <w:r>
              <w:rPr>
                <w:rFonts w:ascii="Aptos" w:hAnsi="Aptos"/>
                <w:b w:val="0"/>
                <w:i w:val="0"/>
                <w:sz w:val="14"/>
              </w:rPr>
              <w:t>ABSENT</w:t>
            </w:r>
          </w:p>
        </w:tc>
        <w:tc>
          <w:tcPr>
            <w:tcW w:type="dxa" w:w="2948"/>
            <w:tcMar>
              <w:top w:w="90" w:type="dxa"/>
              <w:start w:w="100" w:type="dxa"/>
              <w:bottom w:w="90" w:type="dxa"/>
              <w:end w:w="100" w:type="dxa"/>
            </w:tcMar>
            <w:vAlign w:val="center"/>
          </w:tcPr>
          <w:p>
            <w:pPr>
              <w:jc w:val="left"/>
            </w:pPr>
            <w:r>
              <w:rPr>
                <w:rFonts w:ascii="Aptos" w:hAnsi="Aptos"/>
                <w:b w:val="0"/>
                <w:i w:val="0"/>
                <w:sz w:val="14"/>
              </w:rPr>
              <w:t>No claim of independent validation is permitted.</w:t>
            </w:r>
          </w:p>
        </w:tc>
      </w:tr>
      <w:tr>
        <w:tc>
          <w:tcPr>
            <w:tcW w:type="dxa" w:w="1757"/>
            <w:tcMar>
              <w:top w:w="90" w:type="dxa"/>
              <w:start w:w="100" w:type="dxa"/>
              <w:bottom w:w="90" w:type="dxa"/>
              <w:end w:w="100" w:type="dxa"/>
            </w:tcMar>
            <w:vAlign w:val="center"/>
          </w:tcPr>
          <w:p>
            <w:pPr>
              <w:jc w:val="center"/>
            </w:pPr>
            <w:r>
              <w:rPr>
                <w:rFonts w:ascii="Aptos" w:hAnsi="Aptos"/>
                <w:b w:val="0"/>
                <w:i w:val="0"/>
                <w:sz w:val="14"/>
              </w:rPr>
              <w:t>EMP-OBS</w:t>
            </w:r>
          </w:p>
        </w:tc>
        <w:tc>
          <w:tcPr>
            <w:tcW w:type="dxa" w:w="3118"/>
            <w:tcMar>
              <w:top w:w="90" w:type="dxa"/>
              <w:start w:w="100" w:type="dxa"/>
              <w:bottom w:w="90" w:type="dxa"/>
              <w:end w:w="100" w:type="dxa"/>
            </w:tcMar>
            <w:vAlign w:val="center"/>
          </w:tcPr>
          <w:p>
            <w:pPr>
              <w:jc w:val="left"/>
            </w:pPr>
            <w:r>
              <w:rPr>
                <w:rFonts w:ascii="Aptos" w:hAnsi="Aptos"/>
                <w:b w:val="0"/>
                <w:i w:val="0"/>
                <w:sz w:val="14"/>
              </w:rPr>
              <w:t>Independent empirical observations</w:t>
            </w:r>
          </w:p>
        </w:tc>
        <w:tc>
          <w:tcPr>
            <w:tcW w:type="dxa" w:w="1928"/>
            <w:tcMar>
              <w:top w:w="90" w:type="dxa"/>
              <w:start w:w="100" w:type="dxa"/>
              <w:bottom w:w="90" w:type="dxa"/>
              <w:end w:w="100" w:type="dxa"/>
            </w:tcMar>
            <w:vAlign w:val="center"/>
          </w:tcPr>
          <w:p>
            <w:pPr>
              <w:jc w:val="center"/>
            </w:pPr>
            <w:r>
              <w:rPr>
                <w:rFonts w:ascii="Aptos" w:hAnsi="Aptos"/>
                <w:b w:val="0"/>
                <w:i w:val="0"/>
                <w:sz w:val="14"/>
              </w:rPr>
              <w:t>ABSENT</w:t>
            </w:r>
          </w:p>
        </w:tc>
        <w:tc>
          <w:tcPr>
            <w:tcW w:type="dxa" w:w="2948"/>
            <w:tcMar>
              <w:top w:w="90" w:type="dxa"/>
              <w:start w:w="100" w:type="dxa"/>
              <w:bottom w:w="90" w:type="dxa"/>
              <w:end w:w="100" w:type="dxa"/>
            </w:tcMar>
            <w:vAlign w:val="center"/>
          </w:tcPr>
          <w:p>
            <w:pPr>
              <w:jc w:val="left"/>
            </w:pPr>
            <w:r>
              <w:rPr>
                <w:rFonts w:ascii="Aptos" w:hAnsi="Aptos"/>
                <w:b w:val="0"/>
                <w:i w:val="0"/>
                <w:sz w:val="14"/>
              </w:rPr>
              <w:t>Physical hypotheses remain PHY-HYP / EMP-PLAN.</w:t>
            </w:r>
          </w:p>
        </w:tc>
      </w:tr>
      <w:tr>
        <w:tc>
          <w:tcPr>
            <w:tcW w:type="dxa" w:w="1757"/>
            <w:tcMar>
              <w:top w:w="90" w:type="dxa"/>
              <w:start w:w="100" w:type="dxa"/>
              <w:bottom w:w="90" w:type="dxa"/>
              <w:end w:w="100" w:type="dxa"/>
            </w:tcMar>
            <w:vAlign w:val="center"/>
          </w:tcPr>
          <w:p>
            <w:pPr>
              <w:jc w:val="center"/>
            </w:pPr>
            <w:r>
              <w:rPr>
                <w:rFonts w:ascii="Aptos" w:hAnsi="Aptos"/>
                <w:b w:val="0"/>
                <w:i w:val="0"/>
                <w:sz w:val="14"/>
              </w:rPr>
              <w:t>RU-CHANGESET</w:t>
            </w:r>
          </w:p>
        </w:tc>
        <w:tc>
          <w:tcPr>
            <w:tcW w:type="dxa" w:w="3118"/>
            <w:tcMar>
              <w:top w:w="90" w:type="dxa"/>
              <w:start w:w="100" w:type="dxa"/>
              <w:bottom w:w="90" w:type="dxa"/>
              <w:end w:w="100" w:type="dxa"/>
            </w:tcMar>
            <w:vAlign w:val="center"/>
          </w:tcPr>
          <w:p>
            <w:pPr>
              <w:jc w:val="left"/>
            </w:pPr>
            <w:r>
              <w:rPr>
                <w:rFonts w:ascii="Aptos" w:hAnsi="Aptos"/>
                <w:b w:val="0"/>
                <w:i w:val="0"/>
                <w:sz w:val="14"/>
              </w:rPr>
              <w:t>Any proposed change to the frozen Russian source</w:t>
            </w:r>
          </w:p>
        </w:tc>
        <w:tc>
          <w:tcPr>
            <w:tcW w:type="dxa" w:w="1928"/>
            <w:tcMar>
              <w:top w:w="90" w:type="dxa"/>
              <w:start w:w="100" w:type="dxa"/>
              <w:bottom w:w="90" w:type="dxa"/>
              <w:end w:w="100" w:type="dxa"/>
            </w:tcMar>
            <w:vAlign w:val="center"/>
          </w:tcPr>
          <w:p>
            <w:pPr>
              <w:jc w:val="center"/>
            </w:pPr>
            <w:r>
              <w:rPr>
                <w:rFonts w:ascii="Aptos" w:hAnsi="Aptos"/>
                <w:b w:val="0"/>
                <w:i w:val="0"/>
                <w:sz w:val="14"/>
              </w:rPr>
              <w:t>NOT OPENED</w:t>
            </w:r>
          </w:p>
        </w:tc>
        <w:tc>
          <w:tcPr>
            <w:tcW w:type="dxa" w:w="2948"/>
            <w:tcMar>
              <w:top w:w="90" w:type="dxa"/>
              <w:start w:w="100" w:type="dxa"/>
              <w:bottom w:w="90" w:type="dxa"/>
              <w:end w:w="100" w:type="dxa"/>
            </w:tcMar>
            <w:vAlign w:val="center"/>
          </w:tcPr>
          <w:p>
            <w:pPr>
              <w:jc w:val="left"/>
            </w:pPr>
            <w:r>
              <w:rPr>
                <w:rFonts w:ascii="Aptos" w:hAnsi="Aptos"/>
                <w:b w:val="0"/>
                <w:i w:val="0"/>
                <w:sz w:val="14"/>
              </w:rPr>
              <w:t>Must be handled in a separate Russian change-set, not inside the translation.</w:t>
            </w:r>
          </w:p>
        </w:tc>
      </w:tr>
    </w:tbl>
    <w:tbl>
      <w:tblPr>
        <w:tblW w:type="auto" w:w="0"/>
        <w:jc w:val="center"/>
        <w:tblLayout w:type="autofit"/>
        <w:tblLook w:firstColumn="1" w:firstRow="1" w:lastColumn="0" w:lastRow="0" w:noHBand="0" w:noVBand="1" w:val="04A0"/>
      </w:tblPr>
      <w:tblGrid>
        <w:gridCol w:w="9978"/>
      </w:tblGrid>
      <w:tr>
        <w:tc>
          <w:tcPr>
            <w:tcW w:type="dxa" w:w="9978"/>
            <w:shd w:fill="E8F3EA"/>
            <w:tcMar>
              <w:top w:w="120" w:type="dxa"/>
              <w:start w:w="130" w:type="dxa"/>
              <w:bottom w:w="120" w:type="dxa"/>
              <w:end w:w="130" w:type="dxa"/>
            </w:tcMar>
          </w:tcPr>
          <w:p>
            <w:r>
              <w:rPr>
                <w:rFonts w:ascii="Aptos" w:hAnsi="Aptos"/>
                <w:b/>
                <w:i w:val="0"/>
                <w:color w:val="2E6B3D"/>
                <w:sz w:val="18"/>
              </w:rPr>
              <w:t xml:space="preserve">FREEZE-CANDIDATE GATE. </w:t>
            </w:r>
            <w:r>
              <w:rPr>
                <w:rFonts w:ascii="Aptos" w:hAnsi="Aptos"/>
                <w:b w:val="0"/>
                <w:i w:val="0"/>
                <w:sz w:val="18"/>
              </w:rPr>
              <w:t>The internal bilingual audit passes. Proceed to T2-EN-FC-v0.9 with a controlled v0.7-&gt;v0.8 diff, source-card hashes, immutable candidate artifacts, and a detached release receipt.</w:t>
            </w:r>
          </w:p>
        </w:tc>
        <w:trPr>
          <w:tblHeader/>
        </w:trPr>
      </w:tr>
    </w:tbl>
    <w:p>
      <w:pPr>
        <w:pStyle w:val="Heading1"/>
        <w:keepNext/>
      </w:pPr>
      <w:r>
        <w:rPr>
          <w:rFonts w:ascii="Aptos" w:hAnsi="Aptos"/>
          <w:b/>
          <w:i w:val="0"/>
          <w:color w:val="1F4E78"/>
          <w:sz w:val="32"/>
        </w:rPr>
        <w:t>Final Record T2-EN-AUDIT-v0.8</w:t>
      </w:r>
    </w:p>
    <w:p>
      <w:pPr>
        <w:spacing w:after="100" w:line="259" w:lineRule="auto"/>
      </w:pPr>
      <w:r>
        <w:rPr>
          <w:rFonts w:ascii="Aptos" w:hAnsi="Aptos"/>
          <w:b w:val="0"/>
          <w:i w:val="0"/>
          <w:sz w:val="18"/>
        </w:rPr>
        <w:t>The internal bilingual mathematical audit is complete. The audited English master preserves the frozen Russian authority, the complete identifier system, formula signatures, negative results, evidence-status boundaries, and cross-volume terminology. This checkpoint is not yet the immutable v1.0 release.</w:t>
      </w:r>
    </w:p>
    <w:tbl>
      <w:tblPr>
        <w:tblW w:type="auto" w:w="0"/>
        <w:jc w:val="center"/>
        <w:tblLayout w:type="autofit"/>
        <w:tblLook w:firstColumn="1" w:firstRow="1" w:lastColumn="0" w:lastRow="0" w:noHBand="0" w:noVBand="1" w:val="04A0"/>
      </w:tblPr>
      <w:tblGrid>
        <w:gridCol w:w="9978"/>
      </w:tblGrid>
      <w:tr>
        <w:tc>
          <w:tcPr>
            <w:tcW w:type="dxa" w:w="9978"/>
            <w:shd w:fill="FFF4D6"/>
            <w:tcMar>
              <w:top w:w="120" w:type="dxa"/>
              <w:start w:w="130" w:type="dxa"/>
              <w:bottom w:w="120" w:type="dxa"/>
              <w:end w:w="130" w:type="dxa"/>
            </w:tcMar>
          </w:tcPr>
          <w:p>
            <w:r>
              <w:rPr>
                <w:rFonts w:ascii="Aptos" w:hAnsi="Aptos"/>
                <w:b/>
                <w:i w:val="0"/>
                <w:color w:val="9C6B00"/>
                <w:sz w:val="18"/>
              </w:rPr>
              <w:t xml:space="preserve">NEXT CHECKPOINT. </w:t>
            </w:r>
            <w:r>
              <w:rPr>
                <w:rFonts w:ascii="Aptos" w:hAnsi="Aptos"/>
                <w:b w:val="0"/>
                <w:i w:val="0"/>
                <w:sz w:val="18"/>
              </w:rPr>
              <w:t>T2-EN-FC-v0.9 - Freeze Candidate, controlled diff, source-card audit, immutable candidate hashes, and detached authorial receipt.</w:t>
            </w:r>
          </w:p>
        </w:tc>
        <w:trPr>
          <w:tblHeader/>
        </w:trPr>
      </w:tr>
    </w:tbl>
    <w:p>
      <w:r>
        <w:br w:type="page"/>
      </w:r>
    </w:p>
    <w:p>
      <w:pPr>
        <w:pStyle w:val="Heading1"/>
        <w:keepNext/>
      </w:pPr>
      <w:r>
        <w:rPr>
          <w:rFonts w:ascii="Aptos" w:hAnsi="Aptos"/>
          <w:b/>
          <w:i w:val="0"/>
          <w:color w:val="1F4E78"/>
          <w:sz w:val="32"/>
        </w:rPr>
        <w:t>Derivative Appendix T2-G. Freeze-Candidate Record and Release Receipt</w:t>
      </w:r>
    </w:p>
    <w:p>
      <w:pPr>
        <w:spacing w:after="100" w:line="259" w:lineRule="auto"/>
      </w:pPr>
      <w:r>
        <w:rPr>
          <w:rFonts w:ascii="Aptos" w:hAnsi="Aptos"/>
          <w:b w:val="0"/>
          <w:i w:val="0"/>
          <w:sz w:val="18"/>
        </w:rPr>
        <w:t>This derivative appendix records checkpoint T2-EN-FC-v0.9. It is a release-control layer of the English derivative and is not a new canonical appendix of the frozen Russian Volume II. It preserves the audited mathematical corpus and creates the evidence required for an explicit authorial freeze decision.</w:t>
      </w:r>
    </w:p>
    <w:p>
      <w:pPr>
        <w:pStyle w:val="Heading2"/>
        <w:keepNext/>
      </w:pPr>
      <w:r>
        <w:rPr>
          <w:rFonts w:ascii="Aptos" w:hAnsi="Aptos"/>
          <w:b/>
          <w:i w:val="0"/>
          <w:color w:val="1F4E78"/>
          <w:sz w:val="24"/>
        </w:rPr>
        <w:t>T2-G.1. Freeze-Candidate Passport</w:t>
      </w:r>
    </w:p>
    <w:tbl>
      <w:tblPr>
        <w:tblStyle w:val="TableGrid"/>
        <w:tblW w:type="auto" w:w="0"/>
        <w:jc w:val="center"/>
        <w:tblLayout w:type="fixed"/>
        <w:tblLook w:firstColumn="1" w:firstRow="1" w:lastColumn="0" w:lastRow="0" w:noHBand="0" w:noVBand="1" w:val="04A0"/>
      </w:tblPr>
      <w:tblGrid>
        <w:gridCol w:w="4989"/>
        <w:gridCol w:w="4989"/>
      </w:tblGrid>
      <w:tr>
        <w:trPr>
          <w:tblHeader w:val="true"/>
        </w:trPr>
        <w:tc>
          <w:tcPr>
            <w:tcW w:type="dxa" w:w="2721"/>
            <w:shd w:fill="1F4E78"/>
            <w:tcMar>
              <w:top w:w="90" w:type="dxa"/>
              <w:start w:w="110" w:type="dxa"/>
              <w:bottom w:w="90" w:type="dxa"/>
              <w:end w:w="110" w:type="dxa"/>
            </w:tcMar>
            <w:vAlign w:val="center"/>
          </w:tcPr>
          <w:p>
            <w:pPr>
              <w:jc w:val="center"/>
            </w:pPr>
            <w:r>
              <w:rPr>
                <w:rFonts w:ascii="Aptos" w:hAnsi="Aptos"/>
                <w:b/>
                <w:i w:val="0"/>
                <w:color w:val="FFFFFF"/>
                <w:sz w:val="16"/>
              </w:rPr>
              <w:t>Field</w:t>
            </w:r>
          </w:p>
        </w:tc>
        <w:tc>
          <w:tcPr>
            <w:tcW w:type="dxa" w:w="7143"/>
            <w:shd w:fill="1F4E78"/>
            <w:tcMar>
              <w:top w:w="90" w:type="dxa"/>
              <w:start w:w="110" w:type="dxa"/>
              <w:bottom w:w="90" w:type="dxa"/>
              <w:end w:w="110" w:type="dxa"/>
            </w:tcMar>
            <w:vAlign w:val="center"/>
          </w:tcPr>
          <w:p>
            <w:pPr>
              <w:jc w:val="center"/>
            </w:pPr>
            <w:r>
              <w:rPr>
                <w:rFonts w:ascii="Aptos" w:hAnsi="Aptos"/>
                <w:b/>
                <w:i w:val="0"/>
                <w:color w:val="FFFFFF"/>
                <w:sz w:val="16"/>
              </w:rPr>
              <w:t>Fixed value</w:t>
            </w:r>
          </w:p>
        </w:tc>
      </w:tr>
      <w:tr>
        <w:tc>
          <w:tcPr>
            <w:tcW w:type="dxa" w:w="2721"/>
            <w:tcMar>
              <w:top w:w="90" w:type="dxa"/>
              <w:start w:w="110" w:type="dxa"/>
              <w:bottom w:w="90" w:type="dxa"/>
              <w:end w:w="110" w:type="dxa"/>
            </w:tcMar>
            <w:vAlign w:val="center"/>
          </w:tcPr>
          <w:p>
            <w:pPr>
              <w:jc w:val="center"/>
            </w:pPr>
            <w:r>
              <w:rPr>
                <w:rFonts w:ascii="Aptos" w:hAnsi="Aptos"/>
                <w:b w:val="0"/>
                <w:i w:val="0"/>
                <w:sz w:val="16"/>
              </w:rPr>
              <w:t>Author</w:t>
            </w:r>
          </w:p>
        </w:tc>
        <w:tc>
          <w:tcPr>
            <w:tcW w:type="dxa" w:w="7143"/>
            <w:tcMar>
              <w:top w:w="90" w:type="dxa"/>
              <w:start w:w="110" w:type="dxa"/>
              <w:bottom w:w="90" w:type="dxa"/>
              <w:end w:w="110" w:type="dxa"/>
            </w:tcMar>
            <w:vAlign w:val="center"/>
          </w:tcPr>
          <w:p>
            <w:pPr>
              <w:jc w:val="left"/>
            </w:pPr>
            <w:r>
              <w:rPr>
                <w:rFonts w:ascii="Aptos" w:hAnsi="Aptos"/>
                <w:b w:val="0"/>
                <w:i w:val="0"/>
                <w:sz w:val="16"/>
              </w:rPr>
              <w:t>Ivan Borisovich Kurpishev</w:t>
            </w:r>
          </w:p>
        </w:tc>
      </w:tr>
      <w:tr>
        <w:tc>
          <w:tcPr>
            <w:tcW w:type="dxa" w:w="2721"/>
            <w:tcMar>
              <w:top w:w="90" w:type="dxa"/>
              <w:start w:w="110" w:type="dxa"/>
              <w:bottom w:w="90" w:type="dxa"/>
              <w:end w:w="110" w:type="dxa"/>
            </w:tcMar>
            <w:vAlign w:val="center"/>
          </w:tcPr>
          <w:p>
            <w:pPr>
              <w:jc w:val="center"/>
            </w:pPr>
            <w:r>
              <w:rPr>
                <w:rFonts w:ascii="Aptos" w:hAnsi="Aptos"/>
                <w:b w:val="0"/>
                <w:i w:val="0"/>
                <w:sz w:val="16"/>
              </w:rPr>
              <w:t>Project</w:t>
            </w:r>
          </w:p>
        </w:tc>
        <w:tc>
          <w:tcPr>
            <w:tcW w:type="dxa" w:w="7143"/>
            <w:tcMar>
              <w:top w:w="90" w:type="dxa"/>
              <w:start w:w="110" w:type="dxa"/>
              <w:bottom w:w="90" w:type="dxa"/>
              <w:end w:w="110" w:type="dxa"/>
            </w:tcMar>
            <w:vAlign w:val="center"/>
          </w:tcPr>
          <w:p>
            <w:pPr>
              <w:jc w:val="left"/>
            </w:pPr>
            <w:r>
              <w:rPr>
                <w:rFonts w:ascii="Aptos" w:hAnsi="Aptos"/>
                <w:b w:val="0"/>
                <w:i w:val="0"/>
                <w:sz w:val="16"/>
              </w:rPr>
              <w:t>KURPISHEV LOGIC 2 · Basic KLT-RBD Project</w:t>
            </w:r>
          </w:p>
        </w:tc>
      </w:tr>
      <w:tr>
        <w:tc>
          <w:tcPr>
            <w:tcW w:type="dxa" w:w="2721"/>
            <w:tcMar>
              <w:top w:w="90" w:type="dxa"/>
              <w:start w:w="110" w:type="dxa"/>
              <w:bottom w:w="90" w:type="dxa"/>
              <w:end w:w="110" w:type="dxa"/>
            </w:tcMar>
            <w:vAlign w:val="center"/>
          </w:tcPr>
          <w:p>
            <w:pPr>
              <w:jc w:val="center"/>
            </w:pPr>
            <w:r>
              <w:rPr>
                <w:rFonts w:ascii="Aptos" w:hAnsi="Aptos"/>
                <w:b w:val="0"/>
                <w:i w:val="0"/>
                <w:sz w:val="16"/>
              </w:rPr>
              <w:t>Volume</w:t>
            </w:r>
          </w:p>
        </w:tc>
        <w:tc>
          <w:tcPr>
            <w:tcW w:type="dxa" w:w="7143"/>
            <w:tcMar>
              <w:top w:w="90" w:type="dxa"/>
              <w:start w:w="110" w:type="dxa"/>
              <w:bottom w:w="90" w:type="dxa"/>
              <w:end w:w="110" w:type="dxa"/>
            </w:tcMar>
            <w:vAlign w:val="center"/>
          </w:tcPr>
          <w:p>
            <w:pPr>
              <w:jc w:val="left"/>
            </w:pPr>
            <w:r>
              <w:rPr>
                <w:rFonts w:ascii="Aptos" w:hAnsi="Aptos"/>
                <w:b w:val="0"/>
                <w:i w:val="0"/>
                <w:sz w:val="16"/>
              </w:rPr>
              <w:t>II · Strict Nonassociative Packet Reper Geometry NAPG 3.0</w:t>
            </w:r>
          </w:p>
        </w:tc>
      </w:tr>
      <w:tr>
        <w:tc>
          <w:tcPr>
            <w:tcW w:type="dxa" w:w="2721"/>
            <w:tcMar>
              <w:top w:w="90" w:type="dxa"/>
              <w:start w:w="110" w:type="dxa"/>
              <w:bottom w:w="90" w:type="dxa"/>
              <w:end w:w="110" w:type="dxa"/>
            </w:tcMar>
            <w:vAlign w:val="center"/>
          </w:tcPr>
          <w:p>
            <w:pPr>
              <w:jc w:val="center"/>
            </w:pPr>
            <w:r>
              <w:rPr>
                <w:rFonts w:ascii="Aptos" w:hAnsi="Aptos"/>
                <w:b w:val="0"/>
                <w:i w:val="0"/>
                <w:sz w:val="16"/>
              </w:rPr>
              <w:t>Checkpoint</w:t>
            </w:r>
          </w:p>
        </w:tc>
        <w:tc>
          <w:tcPr>
            <w:tcW w:type="dxa" w:w="7143"/>
            <w:tcMar>
              <w:top w:w="90" w:type="dxa"/>
              <w:start w:w="110" w:type="dxa"/>
              <w:bottom w:w="90" w:type="dxa"/>
              <w:end w:w="110" w:type="dxa"/>
            </w:tcMar>
            <w:vAlign w:val="center"/>
          </w:tcPr>
          <w:p>
            <w:pPr>
              <w:jc w:val="left"/>
            </w:pPr>
            <w:r>
              <w:rPr>
                <w:rFonts w:ascii="Aptos" w:hAnsi="Aptos"/>
                <w:b w:val="0"/>
                <w:i w:val="0"/>
                <w:sz w:val="16"/>
              </w:rPr>
              <w:t>T2-EN-FC-v0.9</w:t>
            </w:r>
          </w:p>
        </w:tc>
      </w:tr>
      <w:tr>
        <w:tc>
          <w:tcPr>
            <w:tcW w:type="dxa" w:w="2721"/>
            <w:tcMar>
              <w:top w:w="90" w:type="dxa"/>
              <w:start w:w="110" w:type="dxa"/>
              <w:bottom w:w="90" w:type="dxa"/>
              <w:end w:w="110" w:type="dxa"/>
            </w:tcMar>
            <w:vAlign w:val="center"/>
          </w:tcPr>
          <w:p>
            <w:pPr>
              <w:jc w:val="center"/>
            </w:pPr>
            <w:r>
              <w:rPr>
                <w:rFonts w:ascii="Aptos" w:hAnsi="Aptos"/>
                <w:b w:val="0"/>
                <w:i w:val="0"/>
                <w:sz w:val="16"/>
              </w:rPr>
              <w:t>Canonical authority</w:t>
            </w:r>
          </w:p>
        </w:tc>
        <w:tc>
          <w:tcPr>
            <w:tcW w:type="dxa" w:w="7143"/>
            <w:tcMar>
              <w:top w:w="90" w:type="dxa"/>
              <w:start w:w="110" w:type="dxa"/>
              <w:bottom w:w="90" w:type="dxa"/>
              <w:end w:w="110" w:type="dxa"/>
            </w:tcMar>
            <w:vAlign w:val="center"/>
          </w:tcPr>
          <w:p>
            <w:pPr>
              <w:jc w:val="left"/>
            </w:pPr>
            <w:r>
              <w:rPr>
                <w:rFonts w:ascii="Aptos" w:hAnsi="Aptos"/>
                <w:b w:val="0"/>
                <w:i w:val="0"/>
                <w:sz w:val="16"/>
              </w:rPr>
              <w:t>T2-RU T2-FREEZE-v1.0</w:t>
            </w:r>
          </w:p>
        </w:tc>
      </w:tr>
      <w:tr>
        <w:tc>
          <w:tcPr>
            <w:tcW w:type="dxa" w:w="2721"/>
            <w:tcMar>
              <w:top w:w="90" w:type="dxa"/>
              <w:start w:w="110" w:type="dxa"/>
              <w:bottom w:w="90" w:type="dxa"/>
              <w:end w:w="110" w:type="dxa"/>
            </w:tcMar>
            <w:vAlign w:val="center"/>
          </w:tcPr>
          <w:p>
            <w:pPr>
              <w:jc w:val="center"/>
            </w:pPr>
            <w:r>
              <w:rPr>
                <w:rFonts w:ascii="Aptos" w:hAnsi="Aptos"/>
                <w:b w:val="0"/>
                <w:i w:val="0"/>
                <w:sz w:val="16"/>
              </w:rPr>
              <w:t>Upstream English authority</w:t>
            </w:r>
          </w:p>
        </w:tc>
        <w:tc>
          <w:tcPr>
            <w:tcW w:type="dxa" w:w="7143"/>
            <w:tcMar>
              <w:top w:w="90" w:type="dxa"/>
              <w:start w:w="110" w:type="dxa"/>
              <w:bottom w:w="90" w:type="dxa"/>
              <w:end w:w="110" w:type="dxa"/>
            </w:tcMar>
            <w:vAlign w:val="center"/>
          </w:tcPr>
          <w:p>
            <w:pPr>
              <w:jc w:val="left"/>
            </w:pPr>
            <w:r>
              <w:rPr>
                <w:rFonts w:ascii="Aptos" w:hAnsi="Aptos"/>
                <w:b w:val="0"/>
                <w:i w:val="0"/>
                <w:sz w:val="16"/>
              </w:rPr>
              <w:t>T1-EN-FREEZE-v1.0</w:t>
            </w:r>
          </w:p>
        </w:tc>
      </w:tr>
      <w:tr>
        <w:tc>
          <w:tcPr>
            <w:tcW w:type="dxa" w:w="2721"/>
            <w:tcMar>
              <w:top w:w="90" w:type="dxa"/>
              <w:start w:w="110" w:type="dxa"/>
              <w:bottom w:w="90" w:type="dxa"/>
              <w:end w:w="110" w:type="dxa"/>
            </w:tcMar>
            <w:vAlign w:val="center"/>
          </w:tcPr>
          <w:p>
            <w:pPr>
              <w:jc w:val="center"/>
            </w:pPr>
            <w:r>
              <w:rPr>
                <w:rFonts w:ascii="Aptos" w:hAnsi="Aptos"/>
                <w:b w:val="0"/>
                <w:i w:val="0"/>
                <w:sz w:val="16"/>
              </w:rPr>
              <w:t>Predecessor</w:t>
            </w:r>
          </w:p>
        </w:tc>
        <w:tc>
          <w:tcPr>
            <w:tcW w:type="dxa" w:w="7143"/>
            <w:tcMar>
              <w:top w:w="90" w:type="dxa"/>
              <w:start w:w="110" w:type="dxa"/>
              <w:bottom w:w="90" w:type="dxa"/>
              <w:end w:w="110" w:type="dxa"/>
            </w:tcMar>
            <w:vAlign w:val="center"/>
          </w:tcPr>
          <w:p>
            <w:pPr>
              <w:jc w:val="left"/>
            </w:pPr>
            <w:r>
              <w:rPr>
                <w:rFonts w:ascii="Aptos" w:hAnsi="Aptos"/>
                <w:b w:val="0"/>
                <w:i w:val="0"/>
                <w:sz w:val="16"/>
              </w:rPr>
              <w:t>T2-EN-AUDIT-v0.8</w:t>
            </w:r>
          </w:p>
        </w:tc>
      </w:tr>
      <w:tr>
        <w:tc>
          <w:tcPr>
            <w:tcW w:type="dxa" w:w="2721"/>
            <w:tcMar>
              <w:top w:w="90" w:type="dxa"/>
              <w:start w:w="110" w:type="dxa"/>
              <w:bottom w:w="90" w:type="dxa"/>
              <w:end w:w="110" w:type="dxa"/>
            </w:tcMar>
            <w:vAlign w:val="center"/>
          </w:tcPr>
          <w:p>
            <w:pPr>
              <w:jc w:val="center"/>
            </w:pPr>
            <w:r>
              <w:rPr>
                <w:rFonts w:ascii="Aptos" w:hAnsi="Aptos"/>
                <w:b w:val="0"/>
                <w:i w:val="0"/>
                <w:sz w:val="16"/>
              </w:rPr>
              <w:t>Scope</w:t>
            </w:r>
          </w:p>
        </w:tc>
        <w:tc>
          <w:tcPr>
            <w:tcW w:type="dxa" w:w="7143"/>
            <w:tcMar>
              <w:top w:w="90" w:type="dxa"/>
              <w:start w:w="110" w:type="dxa"/>
              <w:bottom w:w="90" w:type="dxa"/>
              <w:end w:w="110" w:type="dxa"/>
            </w:tcMar>
            <w:vAlign w:val="center"/>
          </w:tcPr>
          <w:p>
            <w:pPr>
              <w:jc w:val="left"/>
            </w:pPr>
            <w:r>
              <w:rPr>
                <w:rFonts w:ascii="Aptos" w:hAnsi="Aptos"/>
                <w:b w:val="0"/>
                <w:i w:val="0"/>
                <w:sz w:val="16"/>
              </w:rPr>
              <w:t>24 chapters; T2-A-T2-E; derivative T2-F-T2-G; T2-F001-T2-F404; T2-PO-001-T2-PO-500</w:t>
            </w:r>
          </w:p>
        </w:tc>
      </w:tr>
      <w:tr>
        <w:tc>
          <w:tcPr>
            <w:tcW w:type="dxa" w:w="2721"/>
            <w:tcMar>
              <w:top w:w="90" w:type="dxa"/>
              <w:start w:w="110" w:type="dxa"/>
              <w:bottom w:w="90" w:type="dxa"/>
              <w:end w:w="110" w:type="dxa"/>
            </w:tcMar>
            <w:vAlign w:val="center"/>
          </w:tcPr>
          <w:p>
            <w:pPr>
              <w:jc w:val="center"/>
            </w:pPr>
            <w:r>
              <w:rPr>
                <w:rFonts w:ascii="Aptos" w:hAnsi="Aptos"/>
                <w:b w:val="0"/>
                <w:i w:val="0"/>
                <w:sz w:val="16"/>
              </w:rPr>
              <w:t>Status</w:t>
            </w:r>
          </w:p>
        </w:tc>
        <w:tc>
          <w:tcPr>
            <w:tcW w:type="dxa" w:w="7143"/>
            <w:tcMar>
              <w:top w:w="90" w:type="dxa"/>
              <w:start w:w="110" w:type="dxa"/>
              <w:bottom w:w="90" w:type="dxa"/>
              <w:end w:w="110" w:type="dxa"/>
            </w:tcMar>
            <w:vAlign w:val="center"/>
          </w:tcPr>
          <w:p>
            <w:pPr>
              <w:jc w:val="left"/>
            </w:pPr>
            <w:r>
              <w:rPr>
                <w:rFonts w:ascii="Aptos" w:hAnsi="Aptos"/>
                <w:b w:val="0"/>
                <w:i w:val="0"/>
                <w:sz w:val="16"/>
              </w:rPr>
              <w:t>FREEZE CANDIDATE - NOT YET FROZEN</w:t>
            </w:r>
          </w:p>
        </w:tc>
      </w:tr>
      <w:tr>
        <w:tc>
          <w:tcPr>
            <w:tcW w:type="dxa" w:w="2721"/>
            <w:tcMar>
              <w:top w:w="90" w:type="dxa"/>
              <w:start w:w="110" w:type="dxa"/>
              <w:bottom w:w="90" w:type="dxa"/>
              <w:end w:w="110" w:type="dxa"/>
            </w:tcMar>
            <w:vAlign w:val="center"/>
          </w:tcPr>
          <w:p>
            <w:pPr>
              <w:jc w:val="center"/>
            </w:pPr>
            <w:r>
              <w:rPr>
                <w:rFonts w:ascii="Aptos" w:hAnsi="Aptos"/>
                <w:b w:val="0"/>
                <w:i w:val="0"/>
                <w:sz w:val="16"/>
              </w:rPr>
              <w:t>Next gate</w:t>
            </w:r>
          </w:p>
        </w:tc>
        <w:tc>
          <w:tcPr>
            <w:tcW w:type="dxa" w:w="7143"/>
            <w:tcMar>
              <w:top w:w="90" w:type="dxa"/>
              <w:start w:w="110" w:type="dxa"/>
              <w:bottom w:w="90" w:type="dxa"/>
              <w:end w:w="110" w:type="dxa"/>
            </w:tcMar>
            <w:vAlign w:val="center"/>
          </w:tcPr>
          <w:p>
            <w:pPr>
              <w:jc w:val="left"/>
            </w:pPr>
            <w:r>
              <w:rPr>
                <w:rFonts w:ascii="Aptos" w:hAnsi="Aptos"/>
                <w:b w:val="0"/>
                <w:i w:val="0"/>
                <w:sz w:val="16"/>
              </w:rPr>
              <w:t>Explicit authorial decision for T2-EN-FREEZE-v1.0</w:t>
            </w:r>
          </w:p>
        </w:tc>
      </w:tr>
    </w:tbl>
    <w:p>
      <w:pPr>
        <w:pStyle w:val="Heading2"/>
        <w:keepNext/>
      </w:pPr>
      <w:r>
        <w:rPr>
          <w:rFonts w:ascii="Aptos" w:hAnsi="Aptos"/>
          <w:b/>
          <w:i w:val="0"/>
          <w:color w:val="1F4E78"/>
          <w:sz w:val="24"/>
        </w:rPr>
        <w:t>T2-G.2. Controlled No-Scientific-Change Diff</w:t>
      </w:r>
    </w:p>
    <w:p>
      <w:pPr>
        <w:spacing w:after="100" w:line="259" w:lineRule="auto"/>
      </w:pPr>
      <w:r>
        <w:rPr>
          <w:rFonts w:ascii="Aptos" w:hAnsi="Aptos"/>
          <w:b w:val="0"/>
          <w:i w:val="0"/>
          <w:sz w:val="18"/>
        </w:rPr>
        <w:t>The release candidate is accepted only if the audited corpus remains unchanged. The comparison is made at three independent layers: normalized scientific text, derivative audit text, and embedded media bytes.</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trPr>
        <w:tc>
          <w:tcPr>
            <w:tcW w:type="dxa" w:w="3061"/>
            <w:shd w:fill="1F4E78"/>
            <w:tcMar>
              <w:top w:w="90" w:type="dxa"/>
              <w:start w:w="110" w:type="dxa"/>
              <w:bottom w:w="90" w:type="dxa"/>
              <w:end w:w="110" w:type="dxa"/>
            </w:tcMar>
            <w:vAlign w:val="center"/>
          </w:tcPr>
          <w:p>
            <w:pPr>
              <w:jc w:val="center"/>
            </w:pPr>
            <w:r>
              <w:rPr>
                <w:rFonts w:ascii="Aptos" w:hAnsi="Aptos"/>
                <w:b/>
                <w:i w:val="0"/>
                <w:color w:val="FFFFFF"/>
                <w:sz w:val="15"/>
              </w:rPr>
              <w:t>Layer</w:t>
            </w:r>
          </w:p>
        </w:tc>
        <w:tc>
          <w:tcPr>
            <w:tcW w:type="dxa" w:w="4762"/>
            <w:shd w:fill="1F4E78"/>
            <w:tcMar>
              <w:top w:w="90" w:type="dxa"/>
              <w:start w:w="110" w:type="dxa"/>
              <w:bottom w:w="90" w:type="dxa"/>
              <w:end w:w="110" w:type="dxa"/>
            </w:tcMar>
            <w:vAlign w:val="center"/>
          </w:tcPr>
          <w:p>
            <w:pPr>
              <w:jc w:val="center"/>
            </w:pPr>
            <w:r>
              <w:rPr>
                <w:rFonts w:ascii="Aptos" w:hAnsi="Aptos"/>
                <w:b/>
                <w:i w:val="0"/>
                <w:color w:val="FFFFFF"/>
                <w:sz w:val="15"/>
              </w:rPr>
              <w:t>Acceptance test</w:t>
            </w:r>
          </w:p>
        </w:tc>
        <w:tc>
          <w:tcPr>
            <w:tcW w:type="dxa" w:w="2041"/>
            <w:shd w:fill="1F4E78"/>
            <w:tcMar>
              <w:top w:w="90" w:type="dxa"/>
              <w:start w:w="110" w:type="dxa"/>
              <w:bottom w:w="90" w:type="dxa"/>
              <w:end w:w="110" w:type="dxa"/>
            </w:tcMar>
            <w:vAlign w:val="center"/>
          </w:tcPr>
          <w:p>
            <w:pPr>
              <w:jc w:val="center"/>
            </w:pPr>
            <w:r>
              <w:rPr>
                <w:rFonts w:ascii="Aptos" w:hAnsi="Aptos"/>
                <w:b/>
                <w:i w:val="0"/>
                <w:color w:val="FFFFFF"/>
                <w:sz w:val="15"/>
              </w:rPr>
              <w:t>Gate</w:t>
            </w:r>
          </w:p>
        </w:tc>
      </w:tr>
      <w:tr>
        <w:tc>
          <w:tcPr>
            <w:tcW w:type="dxa" w:w="3061"/>
            <w:tcMar>
              <w:top w:w="90" w:type="dxa"/>
              <w:start w:w="110" w:type="dxa"/>
              <w:bottom w:w="90" w:type="dxa"/>
              <w:end w:w="110" w:type="dxa"/>
            </w:tcMar>
            <w:vAlign w:val="center"/>
          </w:tcPr>
          <w:p>
            <w:pPr>
              <w:jc w:val="left"/>
            </w:pPr>
            <w:r>
              <w:rPr>
                <w:rFonts w:ascii="Aptos" w:hAnsi="Aptos"/>
                <w:b w:val="0"/>
                <w:i w:val="0"/>
                <w:sz w:val="15"/>
              </w:rPr>
              <w:t>Chapters 1-24 and Appendices T2-A-T2-E</w:t>
            </w:r>
          </w:p>
        </w:tc>
        <w:tc>
          <w:tcPr>
            <w:tcW w:type="dxa" w:w="4762"/>
            <w:tcMar>
              <w:top w:w="90" w:type="dxa"/>
              <w:start w:w="110" w:type="dxa"/>
              <w:bottom w:w="90" w:type="dxa"/>
              <w:end w:w="110" w:type="dxa"/>
            </w:tcMar>
            <w:vAlign w:val="center"/>
          </w:tcPr>
          <w:p>
            <w:pPr>
              <w:jc w:val="left"/>
            </w:pPr>
            <w:r>
              <w:rPr>
                <w:rFonts w:ascii="Aptos" w:hAnsi="Aptos"/>
                <w:b w:val="0"/>
                <w:i w:val="0"/>
                <w:sz w:val="15"/>
              </w:rPr>
              <w:t>Exact normalized element hash equality with v0.8</w:t>
            </w:r>
          </w:p>
        </w:tc>
        <w:tc>
          <w:tcPr>
            <w:tcW w:type="dxa" w:w="2041"/>
            <w:tcMar>
              <w:top w:w="90" w:type="dxa"/>
              <w:start w:w="110" w:type="dxa"/>
              <w:bottom w:w="90" w:type="dxa"/>
              <w:end w:w="110" w:type="dxa"/>
            </w:tcMar>
            <w:vAlign w:val="center"/>
          </w:tcPr>
          <w:p>
            <w:pPr>
              <w:jc w:val="left"/>
            </w:pPr>
            <w:r>
              <w:rPr>
                <w:rFonts w:ascii="Aptos" w:hAnsi="Aptos"/>
                <w:b w:val="0"/>
                <w:i w:val="0"/>
                <w:sz w:val="15"/>
              </w:rPr>
              <w:t>PASS required</w:t>
            </w:r>
          </w:p>
        </w:tc>
      </w:tr>
      <w:tr>
        <w:tc>
          <w:tcPr>
            <w:tcW w:type="dxa" w:w="3061"/>
            <w:tcMar>
              <w:top w:w="90" w:type="dxa"/>
              <w:start w:w="110" w:type="dxa"/>
              <w:bottom w:w="90" w:type="dxa"/>
              <w:end w:w="110" w:type="dxa"/>
            </w:tcMar>
            <w:vAlign w:val="center"/>
          </w:tcPr>
          <w:p>
            <w:pPr>
              <w:jc w:val="center"/>
            </w:pPr>
            <w:r>
              <w:rPr>
                <w:rFonts w:ascii="Aptos" w:hAnsi="Aptos"/>
                <w:b w:val="0"/>
                <w:i w:val="0"/>
                <w:sz w:val="15"/>
              </w:rPr>
              <w:t>Derivative Appendix T2-F</w:t>
            </w:r>
          </w:p>
        </w:tc>
        <w:tc>
          <w:tcPr>
            <w:tcW w:type="dxa" w:w="4762"/>
            <w:tcMar>
              <w:top w:w="90" w:type="dxa"/>
              <w:start w:w="110" w:type="dxa"/>
              <w:bottom w:w="90" w:type="dxa"/>
              <w:end w:w="110" w:type="dxa"/>
            </w:tcMar>
            <w:vAlign w:val="center"/>
          </w:tcPr>
          <w:p>
            <w:pPr>
              <w:jc w:val="left"/>
            </w:pPr>
            <w:r>
              <w:rPr>
                <w:rFonts w:ascii="Aptos" w:hAnsi="Aptos"/>
                <w:b w:val="0"/>
                <w:i w:val="0"/>
                <w:sz w:val="15"/>
              </w:rPr>
              <w:t>Exact normalized element hash equality with v0.8</w:t>
            </w:r>
          </w:p>
        </w:tc>
        <w:tc>
          <w:tcPr>
            <w:tcW w:type="dxa" w:w="2041"/>
            <w:tcMar>
              <w:top w:w="90" w:type="dxa"/>
              <w:start w:w="110" w:type="dxa"/>
              <w:bottom w:w="90" w:type="dxa"/>
              <w:end w:w="110" w:type="dxa"/>
            </w:tcMar>
            <w:vAlign w:val="center"/>
          </w:tcPr>
          <w:p>
            <w:pPr>
              <w:jc w:val="left"/>
            </w:pPr>
            <w:r>
              <w:rPr>
                <w:rFonts w:ascii="Aptos" w:hAnsi="Aptos"/>
                <w:b w:val="0"/>
                <w:i w:val="0"/>
                <w:sz w:val="15"/>
              </w:rPr>
              <w:t>PASS required</w:t>
            </w:r>
          </w:p>
        </w:tc>
      </w:tr>
      <w:tr>
        <w:tc>
          <w:tcPr>
            <w:tcW w:type="dxa" w:w="3061"/>
            <w:tcMar>
              <w:top w:w="90" w:type="dxa"/>
              <w:start w:w="110" w:type="dxa"/>
              <w:bottom w:w="90" w:type="dxa"/>
              <w:end w:w="110" w:type="dxa"/>
            </w:tcMar>
            <w:vAlign w:val="center"/>
          </w:tcPr>
          <w:p>
            <w:pPr>
              <w:jc w:val="left"/>
            </w:pPr>
            <w:r>
              <w:rPr>
                <w:rFonts w:ascii="Aptos" w:hAnsi="Aptos"/>
                <w:b w:val="0"/>
                <w:i w:val="0"/>
                <w:sz w:val="15"/>
              </w:rPr>
              <w:t>Formula and identifier systems</w:t>
            </w:r>
          </w:p>
        </w:tc>
        <w:tc>
          <w:tcPr>
            <w:tcW w:type="dxa" w:w="4762"/>
            <w:tcMar>
              <w:top w:w="90" w:type="dxa"/>
              <w:start w:w="110" w:type="dxa"/>
              <w:bottom w:w="90" w:type="dxa"/>
              <w:end w:w="110" w:type="dxa"/>
            </w:tcMar>
            <w:vAlign w:val="center"/>
          </w:tcPr>
          <w:p>
            <w:pPr>
              <w:jc w:val="left"/>
            </w:pPr>
            <w:r>
              <w:rPr>
                <w:rFonts w:ascii="Aptos" w:hAnsi="Aptos"/>
                <w:b w:val="0"/>
                <w:i w:val="0"/>
                <w:sz w:val="15"/>
              </w:rPr>
              <w:t>T2-F001-T2-F404; T2-PO-001-T2-PO-500; 339 formal objects</w:t>
            </w:r>
          </w:p>
        </w:tc>
        <w:tc>
          <w:tcPr>
            <w:tcW w:type="dxa" w:w="2041"/>
            <w:tcMar>
              <w:top w:w="90" w:type="dxa"/>
              <w:start w:w="110" w:type="dxa"/>
              <w:bottom w:w="90" w:type="dxa"/>
              <w:end w:w="110" w:type="dxa"/>
            </w:tcMar>
            <w:vAlign w:val="center"/>
          </w:tcPr>
          <w:p>
            <w:pPr>
              <w:jc w:val="left"/>
            </w:pPr>
            <w:r>
              <w:rPr>
                <w:rFonts w:ascii="Aptos" w:hAnsi="Aptos"/>
                <w:b w:val="0"/>
                <w:i w:val="0"/>
                <w:sz w:val="15"/>
              </w:rPr>
              <w:t>PASS required</w:t>
            </w:r>
          </w:p>
        </w:tc>
      </w:tr>
      <w:tr>
        <w:tc>
          <w:tcPr>
            <w:tcW w:type="dxa" w:w="3061"/>
            <w:tcMar>
              <w:top w:w="90" w:type="dxa"/>
              <w:start w:w="110" w:type="dxa"/>
              <w:bottom w:w="90" w:type="dxa"/>
              <w:end w:w="110" w:type="dxa"/>
            </w:tcMar>
            <w:vAlign w:val="center"/>
          </w:tcPr>
          <w:p>
            <w:pPr>
              <w:jc w:val="center"/>
            </w:pPr>
            <w:r>
              <w:rPr>
                <w:rFonts w:ascii="Aptos" w:hAnsi="Aptos"/>
                <w:b w:val="0"/>
                <w:i w:val="0"/>
                <w:sz w:val="15"/>
              </w:rPr>
              <w:t>Embedded media</w:t>
            </w:r>
          </w:p>
        </w:tc>
        <w:tc>
          <w:tcPr>
            <w:tcW w:type="dxa" w:w="4762"/>
            <w:tcMar>
              <w:top w:w="90" w:type="dxa"/>
              <w:start w:w="110" w:type="dxa"/>
              <w:bottom w:w="90" w:type="dxa"/>
              <w:end w:w="110" w:type="dxa"/>
            </w:tcMar>
            <w:vAlign w:val="center"/>
          </w:tcPr>
          <w:p>
            <w:pPr>
              <w:jc w:val="left"/>
            </w:pPr>
            <w:r>
              <w:rPr>
                <w:rFonts w:ascii="Aptos" w:hAnsi="Aptos"/>
                <w:b w:val="0"/>
                <w:i w:val="0"/>
                <w:sz w:val="15"/>
              </w:rPr>
              <w:t>Path-by-path SHA-256 map equality</w:t>
            </w:r>
          </w:p>
        </w:tc>
        <w:tc>
          <w:tcPr>
            <w:tcW w:type="dxa" w:w="2041"/>
            <w:tcMar>
              <w:top w:w="90" w:type="dxa"/>
              <w:start w:w="110" w:type="dxa"/>
              <w:bottom w:w="90" w:type="dxa"/>
              <w:end w:w="110" w:type="dxa"/>
            </w:tcMar>
            <w:vAlign w:val="center"/>
          </w:tcPr>
          <w:p>
            <w:pPr>
              <w:jc w:val="left"/>
            </w:pPr>
            <w:r>
              <w:rPr>
                <w:rFonts w:ascii="Aptos" w:hAnsi="Aptos"/>
                <w:b w:val="0"/>
                <w:i w:val="0"/>
                <w:sz w:val="15"/>
              </w:rPr>
              <w:t>PASS required</w:t>
            </w:r>
          </w:p>
        </w:tc>
      </w:tr>
      <w:tr>
        <w:tc>
          <w:tcPr>
            <w:tcW w:type="dxa" w:w="3061"/>
            <w:tcMar>
              <w:top w:w="90" w:type="dxa"/>
              <w:start w:w="110" w:type="dxa"/>
              <w:bottom w:w="90" w:type="dxa"/>
              <w:end w:w="110" w:type="dxa"/>
            </w:tcMar>
            <w:vAlign w:val="center"/>
          </w:tcPr>
          <w:p>
            <w:pPr>
              <w:jc w:val="center"/>
            </w:pPr>
            <w:r>
              <w:rPr>
                <w:rFonts w:ascii="Aptos" w:hAnsi="Aptos"/>
                <w:b w:val="0"/>
                <w:i w:val="0"/>
                <w:sz w:val="15"/>
              </w:rPr>
              <w:t>Permitted changes</w:t>
            </w:r>
          </w:p>
        </w:tc>
        <w:tc>
          <w:tcPr>
            <w:tcW w:type="dxa" w:w="4762"/>
            <w:tcMar>
              <w:top w:w="90" w:type="dxa"/>
              <w:start w:w="110" w:type="dxa"/>
              <w:bottom w:w="90" w:type="dxa"/>
              <w:end w:w="110" w:type="dxa"/>
            </w:tcMar>
            <w:vAlign w:val="center"/>
          </w:tcPr>
          <w:p>
            <w:pPr>
              <w:jc w:val="left"/>
            </w:pPr>
            <w:r>
              <w:rPr>
                <w:rFonts w:ascii="Aptos" w:hAnsi="Aptos"/>
                <w:b w:val="0"/>
                <w:i w:val="0"/>
                <w:sz w:val="15"/>
              </w:rPr>
              <w:t>Version metadata, freeze-candidate front matter, Appendix T2-G, detached receipt and sidecars</w:t>
            </w:r>
          </w:p>
        </w:tc>
        <w:tc>
          <w:tcPr>
            <w:tcW w:type="dxa" w:w="2041"/>
            <w:tcMar>
              <w:top w:w="90" w:type="dxa"/>
              <w:start w:w="110" w:type="dxa"/>
              <w:bottom w:w="90" w:type="dxa"/>
              <w:end w:w="110" w:type="dxa"/>
            </w:tcMar>
            <w:vAlign w:val="center"/>
          </w:tcPr>
          <w:p>
            <w:pPr>
              <w:jc w:val="left"/>
            </w:pPr>
            <w:r>
              <w:rPr>
                <w:rFonts w:ascii="Aptos" w:hAnsi="Aptos"/>
                <w:b w:val="0"/>
                <w:i w:val="0"/>
                <w:sz w:val="15"/>
              </w:rPr>
              <w:t>Editorial only</w:t>
            </w:r>
          </w:p>
        </w:tc>
      </w:tr>
    </w:tbl>
    <w:tbl>
      <w:tblPr>
        <w:tblW w:type="auto" w:w="0"/>
        <w:jc w:val="center"/>
        <w:tblLayout w:type="autofit"/>
        <w:tblLook w:firstColumn="1" w:firstRow="1" w:lastColumn="0" w:lastRow="0" w:noHBand="0" w:noVBand="1" w:val="04A0"/>
      </w:tblPr>
      <w:tblGrid>
        <w:gridCol w:w="9978"/>
      </w:tblGrid>
      <w:tr>
        <w:trPr>
          <w:tblHeader w:val="true"/>
        </w:trPr>
        <w:tc>
          <w:tcPr>
            <w:tcW w:type="dxa" w:w="9978"/>
            <w:shd w:fill="FFF4D6"/>
            <w:tcMar>
              <w:top w:w="130" w:type="dxa"/>
              <w:start w:w="140" w:type="dxa"/>
              <w:bottom w:w="130" w:type="dxa"/>
              <w:end w:w="140" w:type="dxa"/>
            </w:tcMar>
          </w:tcPr>
          <w:p>
            <w:r>
              <w:rPr>
                <w:rFonts w:ascii="Aptos" w:hAnsi="Aptos"/>
                <w:b/>
                <w:i w:val="0"/>
                <w:color w:val="9C6B00"/>
                <w:sz w:val="18"/>
              </w:rPr>
              <w:t xml:space="preserve">NO-SCIENTIFIC-CHANGE RULE. </w:t>
            </w:r>
            <w:r>
              <w:rPr>
                <w:rFonts w:ascii="Aptos" w:hAnsi="Aptos"/>
                <w:b w:val="0"/>
                <w:i w:val="0"/>
                <w:sz w:val="18"/>
              </w:rPr>
              <w:t>Any difference in a formula, hypothesis, theorem status, negative result, domain, evidential boundary, or scientific figure returns the candidate to controlled correction. Editorial readiness cannot override a failed scientific diff.</w:t>
            </w:r>
          </w:p>
        </w:tc>
      </w:tr>
    </w:tbl>
    <w:p>
      <w:pPr>
        <w:pStyle w:val="Heading2"/>
        <w:keepNext/>
      </w:pPr>
      <w:r>
        <w:rPr>
          <w:rFonts w:ascii="Aptos" w:hAnsi="Aptos"/>
          <w:b/>
          <w:i w:val="0"/>
          <w:color w:val="1F4E78"/>
          <w:sz w:val="24"/>
        </w:rPr>
        <w:t>T2-G.3. Immutable Source and Predecessor Hash Contract</w:t>
      </w:r>
    </w:p>
    <w:p>
      <w:pPr>
        <w:spacing w:after="100" w:line="259" w:lineRule="auto"/>
      </w:pPr>
      <w:r>
        <w:rPr>
          <w:rFonts w:ascii="Aptos" w:hAnsi="Aptos"/>
          <w:b w:val="0"/>
          <w:i w:val="0"/>
          <w:sz w:val="18"/>
        </w:rPr>
        <w:t>The following classes of hash are fixed in the sidecar source-hash ledger: the frozen Russian DOCX/PDF, the frozen English Volume I DOCX/PDF, the audited predecessor DOCX/PDF, the normalized scientific corpus, the normalized audit appendix, and the embedded-media map. Hash equality proves byte identity or equality under the declared normalization. It does not prove mathematical or physical truth.</w:t>
      </w:r>
    </w:p>
    <w:p>
      <w:pPr>
        <w:pStyle w:val="ListBullet"/>
        <w:spacing w:after="50"/>
      </w:pPr>
      <w:r>
        <w:rPr>
          <w:rFonts w:ascii="Aptos" w:hAnsi="Aptos"/>
          <w:b w:val="0"/>
          <w:i w:val="0"/>
          <w:sz w:val="18"/>
        </w:rPr>
        <w:t>Canonical Russian authority: tom2_v1_0(1).docx and tom2_v1_0(1).pdf, T2-FREEZE-v1.0.</w:t>
      </w:r>
    </w:p>
    <w:p>
      <w:pPr>
        <w:pStyle w:val="ListBullet"/>
        <w:spacing w:after="50"/>
      </w:pPr>
      <w:r>
        <w:rPr>
          <w:rFonts w:ascii="Aptos" w:hAnsi="Aptos"/>
          <w:b w:val="0"/>
          <w:i w:val="0"/>
          <w:sz w:val="18"/>
        </w:rPr>
        <w:t>Upstream English authority: tom1_en_v1_0.docx and tom1_en_v1_0.pdf, T1-EN-FREEZE-v1.0.</w:t>
      </w:r>
    </w:p>
    <w:p>
      <w:pPr>
        <w:pStyle w:val="ListBullet"/>
        <w:spacing w:after="50"/>
      </w:pPr>
      <w:r>
        <w:rPr>
          <w:rFonts w:ascii="Aptos" w:hAnsi="Aptos"/>
          <w:b w:val="0"/>
          <w:i w:val="0"/>
          <w:sz w:val="18"/>
        </w:rPr>
        <w:t>Immediate predecessor: tom2_en_v0_8.docx and tom2_en_v0_8.pdf, T2-EN-AUDIT-v0.8.</w:t>
      </w:r>
    </w:p>
    <w:p>
      <w:pPr>
        <w:pStyle w:val="ListBullet"/>
        <w:spacing w:after="50"/>
      </w:pPr>
      <w:r>
        <w:rPr>
          <w:rFonts w:ascii="Aptos" w:hAnsi="Aptos"/>
          <w:b w:val="0"/>
          <w:i w:val="0"/>
          <w:sz w:val="18"/>
        </w:rPr>
        <w:t>Candidate release objects: tom2_en_v0_9.docx and tom2_en_v0_9.pdf.</w:t>
      </w:r>
    </w:p>
    <w:p>
      <w:pPr>
        <w:pStyle w:val="Heading2"/>
        <w:keepNext/>
      </w:pPr>
      <w:r>
        <w:rPr>
          <w:rFonts w:ascii="Aptos" w:hAnsi="Aptos"/>
          <w:b/>
          <w:i w:val="0"/>
          <w:color w:val="1F4E78"/>
          <w:sz w:val="24"/>
        </w:rPr>
        <w:t>T2-G.4. Release Object Inventory</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trPr>
        <w:tc>
          <w:tcPr>
            <w:tcW w:type="dxa" w:w="2154"/>
            <w:shd w:fill="1F4E78"/>
            <w:tcMar>
              <w:top w:w="90" w:type="dxa"/>
              <w:start w:w="110" w:type="dxa"/>
              <w:bottom w:w="90" w:type="dxa"/>
              <w:end w:w="110" w:type="dxa"/>
            </w:tcMar>
            <w:vAlign w:val="center"/>
          </w:tcPr>
          <w:p>
            <w:pPr>
              <w:jc w:val="center"/>
            </w:pPr>
            <w:r>
              <w:rPr>
                <w:rFonts w:ascii="Aptos" w:hAnsi="Aptos"/>
                <w:b/>
                <w:i w:val="0"/>
                <w:color w:val="FFFFFF"/>
                <w:sz w:val="15"/>
              </w:rPr>
              <w:t>Class</w:t>
            </w:r>
          </w:p>
        </w:tc>
        <w:tc>
          <w:tcPr>
            <w:tcW w:type="dxa" w:w="4139"/>
            <w:shd w:fill="1F4E78"/>
            <w:tcMar>
              <w:top w:w="90" w:type="dxa"/>
              <w:start w:w="110" w:type="dxa"/>
              <w:bottom w:w="90" w:type="dxa"/>
              <w:end w:w="110" w:type="dxa"/>
            </w:tcMar>
            <w:vAlign w:val="center"/>
          </w:tcPr>
          <w:p>
            <w:pPr>
              <w:jc w:val="center"/>
            </w:pPr>
            <w:r>
              <w:rPr>
                <w:rFonts w:ascii="Aptos" w:hAnsi="Aptos"/>
                <w:b/>
                <w:i w:val="0"/>
                <w:color w:val="FFFFFF"/>
                <w:sz w:val="15"/>
              </w:rPr>
              <w:t>Artifact</w:t>
            </w:r>
          </w:p>
        </w:tc>
        <w:tc>
          <w:tcPr>
            <w:tcW w:type="dxa" w:w="3572"/>
            <w:shd w:fill="1F4E78"/>
            <w:tcMar>
              <w:top w:w="90" w:type="dxa"/>
              <w:start w:w="110" w:type="dxa"/>
              <w:bottom w:w="90" w:type="dxa"/>
              <w:end w:w="110" w:type="dxa"/>
            </w:tcMar>
            <w:vAlign w:val="center"/>
          </w:tcPr>
          <w:p>
            <w:pPr>
              <w:jc w:val="center"/>
            </w:pPr>
            <w:r>
              <w:rPr>
                <w:rFonts w:ascii="Aptos" w:hAnsi="Aptos"/>
                <w:b/>
                <w:i w:val="0"/>
                <w:color w:val="FFFFFF"/>
                <w:sz w:val="15"/>
              </w:rPr>
              <w:t>Function</w:t>
            </w:r>
          </w:p>
        </w:tc>
      </w:tr>
      <w:tr>
        <w:tc>
          <w:tcPr>
            <w:tcW w:type="dxa" w:w="2154"/>
            <w:tcMar>
              <w:top w:w="90" w:type="dxa"/>
              <w:start w:w="110" w:type="dxa"/>
              <w:bottom w:w="90" w:type="dxa"/>
              <w:end w:w="110" w:type="dxa"/>
            </w:tcMar>
            <w:vAlign w:val="center"/>
          </w:tcPr>
          <w:p>
            <w:pPr>
              <w:jc w:val="center"/>
            </w:pPr>
            <w:r>
              <w:rPr>
                <w:rFonts w:ascii="Aptos" w:hAnsi="Aptos"/>
                <w:b w:val="0"/>
                <w:i w:val="0"/>
                <w:sz w:val="15"/>
              </w:rPr>
              <w:t>Primary master</w:t>
            </w:r>
          </w:p>
        </w:tc>
        <w:tc>
          <w:tcPr>
            <w:tcW w:type="dxa" w:w="4139"/>
            <w:tcMar>
              <w:top w:w="90" w:type="dxa"/>
              <w:start w:w="110" w:type="dxa"/>
              <w:bottom w:w="90" w:type="dxa"/>
              <w:end w:w="110" w:type="dxa"/>
            </w:tcMar>
            <w:vAlign w:val="center"/>
          </w:tcPr>
          <w:p>
            <w:pPr>
              <w:jc w:val="left"/>
            </w:pPr>
            <w:r>
              <w:rPr>
                <w:rFonts w:ascii="Aptos" w:hAnsi="Aptos"/>
                <w:b w:val="0"/>
                <w:i w:val="0"/>
                <w:sz w:val="15"/>
              </w:rPr>
              <w:t>tom2_en_v0_9.docx</w:t>
            </w:r>
          </w:p>
        </w:tc>
        <w:tc>
          <w:tcPr>
            <w:tcW w:type="dxa" w:w="3572"/>
            <w:tcMar>
              <w:top w:w="90" w:type="dxa"/>
              <w:start w:w="110" w:type="dxa"/>
              <w:bottom w:w="90" w:type="dxa"/>
              <w:end w:w="110" w:type="dxa"/>
            </w:tcMar>
            <w:vAlign w:val="center"/>
          </w:tcPr>
          <w:p>
            <w:pPr>
              <w:jc w:val="left"/>
            </w:pPr>
            <w:r>
              <w:rPr>
                <w:rFonts w:ascii="Aptos" w:hAnsi="Aptos"/>
                <w:b w:val="0"/>
                <w:i w:val="0"/>
                <w:sz w:val="15"/>
              </w:rPr>
              <w:t>Controlled editable freeze candidate</w:t>
            </w:r>
          </w:p>
        </w:tc>
      </w:tr>
      <w:tr>
        <w:tc>
          <w:tcPr>
            <w:tcW w:type="dxa" w:w="2154"/>
            <w:tcMar>
              <w:top w:w="90" w:type="dxa"/>
              <w:start w:w="110" w:type="dxa"/>
              <w:bottom w:w="90" w:type="dxa"/>
              <w:end w:w="110" w:type="dxa"/>
            </w:tcMar>
            <w:vAlign w:val="center"/>
          </w:tcPr>
          <w:p>
            <w:pPr>
              <w:jc w:val="center"/>
            </w:pPr>
            <w:r>
              <w:rPr>
                <w:rFonts w:ascii="Aptos" w:hAnsi="Aptos"/>
                <w:b w:val="0"/>
                <w:i w:val="0"/>
                <w:sz w:val="15"/>
              </w:rPr>
              <w:t>Reference rendering</w:t>
            </w:r>
          </w:p>
        </w:tc>
        <w:tc>
          <w:tcPr>
            <w:tcW w:type="dxa" w:w="4139"/>
            <w:tcMar>
              <w:top w:w="90" w:type="dxa"/>
              <w:start w:w="110" w:type="dxa"/>
              <w:bottom w:w="90" w:type="dxa"/>
              <w:end w:w="110" w:type="dxa"/>
            </w:tcMar>
            <w:vAlign w:val="center"/>
          </w:tcPr>
          <w:p>
            <w:pPr>
              <w:jc w:val="left"/>
            </w:pPr>
            <w:r>
              <w:rPr>
                <w:rFonts w:ascii="Aptos" w:hAnsi="Aptos"/>
                <w:b w:val="0"/>
                <w:i w:val="0"/>
                <w:sz w:val="15"/>
              </w:rPr>
              <w:t>tom2_en_v0_9.pdf</w:t>
            </w:r>
          </w:p>
        </w:tc>
        <w:tc>
          <w:tcPr>
            <w:tcW w:type="dxa" w:w="3572"/>
            <w:tcMar>
              <w:top w:w="90" w:type="dxa"/>
              <w:start w:w="110" w:type="dxa"/>
              <w:bottom w:w="90" w:type="dxa"/>
              <w:end w:w="110" w:type="dxa"/>
            </w:tcMar>
            <w:vAlign w:val="center"/>
          </w:tcPr>
          <w:p>
            <w:pPr>
              <w:jc w:val="left"/>
            </w:pPr>
            <w:r>
              <w:rPr>
                <w:rFonts w:ascii="Aptos" w:hAnsi="Aptos"/>
                <w:b w:val="0"/>
                <w:i w:val="0"/>
                <w:sz w:val="15"/>
              </w:rPr>
              <w:t>Searchable A4 release candidate</w:t>
            </w:r>
          </w:p>
        </w:tc>
      </w:tr>
      <w:tr>
        <w:tc>
          <w:tcPr>
            <w:tcW w:type="dxa" w:w="2154"/>
            <w:tcMar>
              <w:top w:w="90" w:type="dxa"/>
              <w:start w:w="110" w:type="dxa"/>
              <w:bottom w:w="90" w:type="dxa"/>
              <w:end w:w="110" w:type="dxa"/>
            </w:tcMar>
            <w:vAlign w:val="center"/>
          </w:tcPr>
          <w:p>
            <w:pPr>
              <w:jc w:val="center"/>
            </w:pPr>
            <w:r>
              <w:rPr>
                <w:rFonts w:ascii="Aptos" w:hAnsi="Aptos"/>
                <w:b w:val="0"/>
                <w:i w:val="0"/>
                <w:sz w:val="15"/>
              </w:rPr>
              <w:t>Manifest</w:t>
            </w:r>
          </w:p>
        </w:tc>
        <w:tc>
          <w:tcPr>
            <w:tcW w:type="dxa" w:w="4139"/>
            <w:tcMar>
              <w:top w:w="90" w:type="dxa"/>
              <w:start w:w="110" w:type="dxa"/>
              <w:bottom w:w="90" w:type="dxa"/>
              <w:end w:w="110" w:type="dxa"/>
            </w:tcMar>
            <w:vAlign w:val="center"/>
          </w:tcPr>
          <w:p>
            <w:pPr>
              <w:jc w:val="left"/>
            </w:pPr>
            <w:r>
              <w:rPr>
                <w:rFonts w:ascii="Aptos" w:hAnsi="Aptos"/>
                <w:b w:val="0"/>
                <w:i w:val="0"/>
                <w:sz w:val="15"/>
              </w:rPr>
              <w:t>T2_EN_FC_v0_9_manifest.json / .txt</w:t>
            </w:r>
          </w:p>
        </w:tc>
        <w:tc>
          <w:tcPr>
            <w:tcW w:type="dxa" w:w="3572"/>
            <w:tcMar>
              <w:top w:w="90" w:type="dxa"/>
              <w:start w:w="110" w:type="dxa"/>
              <w:bottom w:w="90" w:type="dxa"/>
              <w:end w:w="110" w:type="dxa"/>
            </w:tcMar>
            <w:vAlign w:val="center"/>
          </w:tcPr>
          <w:p>
            <w:pPr>
              <w:jc w:val="left"/>
            </w:pPr>
            <w:r>
              <w:rPr>
                <w:rFonts w:ascii="Aptos" w:hAnsi="Aptos"/>
                <w:b w:val="0"/>
                <w:i w:val="0"/>
                <w:sz w:val="15"/>
              </w:rPr>
              <w:t>Machine-readable and human-readable release identity</w:t>
            </w:r>
          </w:p>
        </w:tc>
      </w:tr>
      <w:tr>
        <w:tc>
          <w:tcPr>
            <w:tcW w:type="dxa" w:w="2154"/>
            <w:tcMar>
              <w:top w:w="90" w:type="dxa"/>
              <w:start w:w="110" w:type="dxa"/>
              <w:bottom w:w="90" w:type="dxa"/>
              <w:end w:w="110" w:type="dxa"/>
            </w:tcMar>
            <w:vAlign w:val="center"/>
          </w:tcPr>
          <w:p>
            <w:pPr>
              <w:jc w:val="center"/>
            </w:pPr>
            <w:r>
              <w:rPr>
                <w:rFonts w:ascii="Aptos" w:hAnsi="Aptos"/>
                <w:b w:val="0"/>
                <w:i w:val="0"/>
                <w:sz w:val="15"/>
              </w:rPr>
              <w:t>Controlled diff</w:t>
            </w:r>
          </w:p>
        </w:tc>
        <w:tc>
          <w:tcPr>
            <w:tcW w:type="dxa" w:w="4139"/>
            <w:tcMar>
              <w:top w:w="90" w:type="dxa"/>
              <w:start w:w="110" w:type="dxa"/>
              <w:bottom w:w="90" w:type="dxa"/>
              <w:end w:w="110" w:type="dxa"/>
            </w:tcMar>
            <w:vAlign w:val="center"/>
          </w:tcPr>
          <w:p>
            <w:pPr>
              <w:jc w:val="left"/>
            </w:pPr>
            <w:r>
              <w:rPr>
                <w:rFonts w:ascii="Aptos" w:hAnsi="Aptos"/>
                <w:b w:val="0"/>
                <w:i w:val="0"/>
                <w:sz w:val="15"/>
              </w:rPr>
              <w:t>T2_EN_FC_v0_9_controlled_diff.csv</w:t>
            </w:r>
          </w:p>
        </w:tc>
        <w:tc>
          <w:tcPr>
            <w:tcW w:type="dxa" w:w="3572"/>
            <w:tcMar>
              <w:top w:w="90" w:type="dxa"/>
              <w:start w:w="110" w:type="dxa"/>
              <w:bottom w:w="90" w:type="dxa"/>
              <w:end w:w="110" w:type="dxa"/>
            </w:tcMar>
            <w:vAlign w:val="center"/>
          </w:tcPr>
          <w:p>
            <w:pPr>
              <w:jc w:val="left"/>
            </w:pPr>
            <w:r>
              <w:rPr>
                <w:rFonts w:ascii="Aptos" w:hAnsi="Aptos"/>
                <w:b w:val="0"/>
                <w:i w:val="0"/>
                <w:sz w:val="15"/>
              </w:rPr>
              <w:t>No-scientific-change evidence</w:t>
            </w:r>
          </w:p>
        </w:tc>
      </w:tr>
      <w:tr>
        <w:tc>
          <w:tcPr>
            <w:tcW w:type="dxa" w:w="2154"/>
            <w:tcMar>
              <w:top w:w="90" w:type="dxa"/>
              <w:start w:w="110" w:type="dxa"/>
              <w:bottom w:w="90" w:type="dxa"/>
              <w:end w:w="110" w:type="dxa"/>
            </w:tcMar>
            <w:vAlign w:val="center"/>
          </w:tcPr>
          <w:p>
            <w:pPr>
              <w:jc w:val="center"/>
            </w:pPr>
            <w:r>
              <w:rPr>
                <w:rFonts w:ascii="Aptos" w:hAnsi="Aptos"/>
                <w:b w:val="0"/>
                <w:i w:val="0"/>
                <w:sz w:val="15"/>
              </w:rPr>
              <w:t>Hash ledger</w:t>
            </w:r>
          </w:p>
        </w:tc>
        <w:tc>
          <w:tcPr>
            <w:tcW w:type="dxa" w:w="4139"/>
            <w:tcMar>
              <w:top w:w="90" w:type="dxa"/>
              <w:start w:w="110" w:type="dxa"/>
              <w:bottom w:w="90" w:type="dxa"/>
              <w:end w:w="110" w:type="dxa"/>
            </w:tcMar>
            <w:vAlign w:val="center"/>
          </w:tcPr>
          <w:p>
            <w:pPr>
              <w:jc w:val="left"/>
            </w:pPr>
            <w:r>
              <w:rPr>
                <w:rFonts w:ascii="Aptos" w:hAnsi="Aptos"/>
                <w:b w:val="0"/>
                <w:i w:val="0"/>
                <w:sz w:val="15"/>
              </w:rPr>
              <w:t>T2_EN_FC_v0_9_source_hash_ledger.csv</w:t>
            </w:r>
          </w:p>
        </w:tc>
        <w:tc>
          <w:tcPr>
            <w:tcW w:type="dxa" w:w="3572"/>
            <w:tcMar>
              <w:top w:w="90" w:type="dxa"/>
              <w:start w:w="110" w:type="dxa"/>
              <w:bottom w:w="90" w:type="dxa"/>
              <w:end w:w="110" w:type="dxa"/>
            </w:tcMar>
            <w:vAlign w:val="center"/>
          </w:tcPr>
          <w:p>
            <w:pPr>
              <w:jc w:val="left"/>
            </w:pPr>
            <w:r>
              <w:rPr>
                <w:rFonts w:ascii="Aptos" w:hAnsi="Aptos"/>
                <w:b w:val="0"/>
                <w:i w:val="0"/>
                <w:sz w:val="15"/>
              </w:rPr>
              <w:t>Canonical, predecessor, logical and candidate digests</w:t>
            </w:r>
          </w:p>
        </w:tc>
      </w:tr>
      <w:tr>
        <w:tc>
          <w:tcPr>
            <w:tcW w:type="dxa" w:w="2154"/>
            <w:tcMar>
              <w:top w:w="90" w:type="dxa"/>
              <w:start w:w="110" w:type="dxa"/>
              <w:bottom w:w="90" w:type="dxa"/>
              <w:end w:w="110" w:type="dxa"/>
            </w:tcMar>
            <w:vAlign w:val="center"/>
          </w:tcPr>
          <w:p>
            <w:pPr>
              <w:jc w:val="center"/>
            </w:pPr>
            <w:r>
              <w:rPr>
                <w:rFonts w:ascii="Aptos" w:hAnsi="Aptos"/>
                <w:b w:val="0"/>
                <w:i w:val="0"/>
                <w:sz w:val="15"/>
              </w:rPr>
              <w:t>Media ledger</w:t>
            </w:r>
          </w:p>
        </w:tc>
        <w:tc>
          <w:tcPr>
            <w:tcW w:type="dxa" w:w="4139"/>
            <w:tcMar>
              <w:top w:w="90" w:type="dxa"/>
              <w:start w:w="110" w:type="dxa"/>
              <w:bottom w:w="90" w:type="dxa"/>
              <w:end w:w="110" w:type="dxa"/>
            </w:tcMar>
            <w:vAlign w:val="center"/>
          </w:tcPr>
          <w:p>
            <w:pPr>
              <w:jc w:val="left"/>
            </w:pPr>
            <w:r>
              <w:rPr>
                <w:rFonts w:ascii="Aptos" w:hAnsi="Aptos"/>
                <w:b w:val="0"/>
                <w:i w:val="0"/>
                <w:sz w:val="15"/>
              </w:rPr>
              <w:t>T2_EN_FC_v0_9_media_hashes.csv</w:t>
            </w:r>
          </w:p>
        </w:tc>
        <w:tc>
          <w:tcPr>
            <w:tcW w:type="dxa" w:w="3572"/>
            <w:tcMar>
              <w:top w:w="90" w:type="dxa"/>
              <w:start w:w="110" w:type="dxa"/>
              <w:bottom w:w="90" w:type="dxa"/>
              <w:end w:w="110" w:type="dxa"/>
            </w:tcMar>
            <w:vAlign w:val="center"/>
          </w:tcPr>
          <w:p>
            <w:pPr>
              <w:jc w:val="left"/>
            </w:pPr>
            <w:r>
              <w:rPr>
                <w:rFonts w:ascii="Aptos" w:hAnsi="Aptos"/>
                <w:b w:val="0"/>
                <w:i w:val="0"/>
                <w:sz w:val="15"/>
              </w:rPr>
              <w:t>Path-by-path embedded-media hashes</w:t>
            </w:r>
          </w:p>
        </w:tc>
      </w:tr>
      <w:tr>
        <w:tc>
          <w:tcPr>
            <w:tcW w:type="dxa" w:w="2154"/>
            <w:tcMar>
              <w:top w:w="90" w:type="dxa"/>
              <w:start w:w="110" w:type="dxa"/>
              <w:bottom w:w="90" w:type="dxa"/>
              <w:end w:w="110" w:type="dxa"/>
            </w:tcMar>
            <w:vAlign w:val="center"/>
          </w:tcPr>
          <w:p>
            <w:pPr>
              <w:jc w:val="center"/>
            </w:pPr>
            <w:r>
              <w:rPr>
                <w:rFonts w:ascii="Aptos" w:hAnsi="Aptos"/>
                <w:b w:val="0"/>
                <w:i w:val="0"/>
                <w:sz w:val="15"/>
              </w:rPr>
              <w:t>Detached receipt</w:t>
            </w:r>
          </w:p>
        </w:tc>
        <w:tc>
          <w:tcPr>
            <w:tcW w:type="dxa" w:w="4139"/>
            <w:tcMar>
              <w:top w:w="90" w:type="dxa"/>
              <w:start w:w="110" w:type="dxa"/>
              <w:bottom w:w="90" w:type="dxa"/>
              <w:end w:w="110" w:type="dxa"/>
            </w:tcMar>
            <w:vAlign w:val="center"/>
          </w:tcPr>
          <w:p>
            <w:pPr>
              <w:jc w:val="left"/>
            </w:pPr>
            <w:r>
              <w:rPr>
                <w:rFonts w:ascii="Aptos" w:hAnsi="Aptos"/>
                <w:b w:val="0"/>
                <w:i w:val="0"/>
                <w:sz w:val="15"/>
              </w:rPr>
              <w:t>T2_EN_FC_v0_9_authorial_release_receipt.docx / .pdf / .json</w:t>
            </w:r>
          </w:p>
        </w:tc>
        <w:tc>
          <w:tcPr>
            <w:tcW w:type="dxa" w:w="3572"/>
            <w:tcMar>
              <w:top w:w="90" w:type="dxa"/>
              <w:start w:w="110" w:type="dxa"/>
              <w:bottom w:w="90" w:type="dxa"/>
              <w:end w:w="110" w:type="dxa"/>
            </w:tcMar>
            <w:vAlign w:val="center"/>
          </w:tcPr>
          <w:p>
            <w:pPr>
              <w:jc w:val="left"/>
            </w:pPr>
            <w:r>
              <w:rPr>
                <w:rFonts w:ascii="Aptos" w:hAnsi="Aptos"/>
                <w:b w:val="0"/>
                <w:i w:val="0"/>
                <w:sz w:val="15"/>
              </w:rPr>
              <w:t>Unsigned decision instrument</w:t>
            </w:r>
          </w:p>
        </w:tc>
      </w:tr>
      <w:tr>
        <w:tc>
          <w:tcPr>
            <w:tcW w:type="dxa" w:w="2154"/>
            <w:tcMar>
              <w:top w:w="90" w:type="dxa"/>
              <w:start w:w="110" w:type="dxa"/>
              <w:bottom w:w="90" w:type="dxa"/>
              <w:end w:w="110" w:type="dxa"/>
            </w:tcMar>
            <w:vAlign w:val="center"/>
          </w:tcPr>
          <w:p>
            <w:pPr>
              <w:jc w:val="center"/>
            </w:pPr>
            <w:r>
              <w:rPr>
                <w:rFonts w:ascii="Aptos" w:hAnsi="Aptos"/>
                <w:b w:val="0"/>
                <w:i w:val="0"/>
                <w:sz w:val="15"/>
              </w:rPr>
              <w:t>QA record</w:t>
            </w:r>
          </w:p>
        </w:tc>
        <w:tc>
          <w:tcPr>
            <w:tcW w:type="dxa" w:w="4139"/>
            <w:tcMar>
              <w:top w:w="90" w:type="dxa"/>
              <w:start w:w="110" w:type="dxa"/>
              <w:bottom w:w="90" w:type="dxa"/>
              <w:end w:w="110" w:type="dxa"/>
            </w:tcMar>
            <w:vAlign w:val="center"/>
          </w:tcPr>
          <w:p>
            <w:pPr>
              <w:jc w:val="left"/>
            </w:pPr>
            <w:r>
              <w:rPr>
                <w:rFonts w:ascii="Aptos" w:hAnsi="Aptos"/>
                <w:b w:val="0"/>
                <w:i w:val="0"/>
                <w:sz w:val="15"/>
              </w:rPr>
              <w:t>T2_EN_FC_v0_9_QA.txt / .json</w:t>
            </w:r>
          </w:p>
        </w:tc>
        <w:tc>
          <w:tcPr>
            <w:tcW w:type="dxa" w:w="3572"/>
            <w:tcMar>
              <w:top w:w="90" w:type="dxa"/>
              <w:start w:w="110" w:type="dxa"/>
              <w:bottom w:w="90" w:type="dxa"/>
              <w:end w:w="110" w:type="dxa"/>
            </w:tcMar>
            <w:vAlign w:val="center"/>
          </w:tcPr>
          <w:p>
            <w:pPr>
              <w:jc w:val="left"/>
            </w:pPr>
            <w:r>
              <w:rPr>
                <w:rFonts w:ascii="Aptos" w:hAnsi="Aptos"/>
                <w:b w:val="0"/>
                <w:i w:val="0"/>
                <w:sz w:val="15"/>
              </w:rPr>
              <w:t>Render, structure, navigation and accessibility checks</w:t>
            </w:r>
          </w:p>
        </w:tc>
      </w:tr>
      <w:tr>
        <w:tc>
          <w:tcPr>
            <w:tcW w:type="dxa" w:w="2154"/>
            <w:tcMar>
              <w:top w:w="90" w:type="dxa"/>
              <w:start w:w="110" w:type="dxa"/>
              <w:bottom w:w="90" w:type="dxa"/>
              <w:end w:w="110" w:type="dxa"/>
            </w:tcMar>
            <w:vAlign w:val="center"/>
          </w:tcPr>
          <w:p>
            <w:pPr>
              <w:jc w:val="center"/>
            </w:pPr>
            <w:r>
              <w:rPr>
                <w:rFonts w:ascii="Aptos" w:hAnsi="Aptos"/>
                <w:b w:val="0"/>
                <w:i w:val="0"/>
                <w:sz w:val="15"/>
              </w:rPr>
              <w:t>Complete package</w:t>
            </w:r>
          </w:p>
        </w:tc>
        <w:tc>
          <w:tcPr>
            <w:tcW w:type="dxa" w:w="4139"/>
            <w:tcMar>
              <w:top w:w="90" w:type="dxa"/>
              <w:start w:w="110" w:type="dxa"/>
              <w:bottom w:w="90" w:type="dxa"/>
              <w:end w:w="110" w:type="dxa"/>
            </w:tcMar>
            <w:vAlign w:val="center"/>
          </w:tcPr>
          <w:p>
            <w:pPr>
              <w:jc w:val="left"/>
            </w:pPr>
            <w:r>
              <w:rPr>
                <w:rFonts w:ascii="Aptos" w:hAnsi="Aptos"/>
                <w:b w:val="0"/>
                <w:i w:val="0"/>
                <w:sz w:val="15"/>
              </w:rPr>
              <w:t>T2_EN_FC_v0_9_COMPLETE_PACKAGE.zip</w:t>
            </w:r>
          </w:p>
        </w:tc>
        <w:tc>
          <w:tcPr>
            <w:tcW w:type="dxa" w:w="3572"/>
            <w:tcMar>
              <w:top w:w="90" w:type="dxa"/>
              <w:start w:w="110" w:type="dxa"/>
              <w:bottom w:w="90" w:type="dxa"/>
              <w:end w:w="110" w:type="dxa"/>
            </w:tcMar>
            <w:vAlign w:val="center"/>
          </w:tcPr>
          <w:p>
            <w:pPr>
              <w:jc w:val="left"/>
            </w:pPr>
            <w:r>
              <w:rPr>
                <w:rFonts w:ascii="Aptos" w:hAnsi="Aptos"/>
                <w:b w:val="0"/>
                <w:i w:val="0"/>
                <w:sz w:val="15"/>
              </w:rPr>
              <w:t>Deterministic release package</w:t>
            </w:r>
          </w:p>
        </w:tc>
      </w:tr>
    </w:tbl>
    <w:p>
      <w:pPr>
        <w:pStyle w:val="Heading2"/>
        <w:keepNext/>
      </w:pPr>
      <w:r>
        <w:rPr>
          <w:rFonts w:ascii="Aptos" w:hAnsi="Aptos"/>
          <w:b/>
          <w:i w:val="0"/>
          <w:color w:val="1F4E78"/>
          <w:sz w:val="24"/>
        </w:rPr>
        <w:t>T2-G.5. Detached Authorial Release Receipt Contract</w:t>
      </w:r>
    </w:p>
    <w:p>
      <w:pPr>
        <w:spacing w:after="100" w:line="259" w:lineRule="auto"/>
      </w:pPr>
      <w:r>
        <w:rPr>
          <w:rFonts w:ascii="Aptos" w:hAnsi="Aptos"/>
          <w:b w:val="0"/>
          <w:i w:val="0"/>
          <w:sz w:val="18"/>
        </w:rPr>
        <w:t>The detached receipt is unsigned at this checkpoint. It binds an eventual authorial decision to the exact candidate hashes. Signing or explicitly accepting the receipt may authorize the construction of T2-EN-FREEZE-v1.0. It does not validate an open theorem, a physical hypothesis, an empirical claim, or an independent EXT-RUN.</w:t>
      </w:r>
    </w:p>
    <w:tbl>
      <w:tblPr>
        <w:tblStyle w:val="TableGrid"/>
        <w:tblW w:type="auto" w:w="0"/>
        <w:jc w:val="center"/>
        <w:tblLayout w:type="fixed"/>
        <w:tblLook w:firstColumn="1" w:firstRow="1" w:lastColumn="0" w:lastRow="0" w:noHBand="0" w:noVBand="1" w:val="04A0"/>
      </w:tblPr>
      <w:tblGrid>
        <w:gridCol w:w="4989"/>
        <w:gridCol w:w="4989"/>
      </w:tblGrid>
      <w:tr>
        <w:trPr>
          <w:tblHeader w:val="true"/>
        </w:trPr>
        <w:tc>
          <w:tcPr>
            <w:tcW w:type="dxa" w:w="2721"/>
            <w:shd w:fill="1F4E78"/>
            <w:tcMar>
              <w:top w:w="90" w:type="dxa"/>
              <w:start w:w="110" w:type="dxa"/>
              <w:bottom w:w="90" w:type="dxa"/>
              <w:end w:w="110" w:type="dxa"/>
            </w:tcMar>
            <w:vAlign w:val="center"/>
          </w:tcPr>
          <w:p>
            <w:pPr>
              <w:jc w:val="center"/>
            </w:pPr>
            <w:r>
              <w:rPr>
                <w:rFonts w:ascii="Aptos" w:hAnsi="Aptos"/>
                <w:b/>
                <w:i w:val="0"/>
                <w:color w:val="FFFFFF"/>
                <w:sz w:val="16"/>
              </w:rPr>
              <w:t>Receipt field</w:t>
            </w:r>
          </w:p>
        </w:tc>
        <w:tc>
          <w:tcPr>
            <w:tcW w:type="dxa" w:w="7143"/>
            <w:shd w:fill="1F4E78"/>
            <w:tcMar>
              <w:top w:w="90" w:type="dxa"/>
              <w:start w:w="110" w:type="dxa"/>
              <w:bottom w:w="90" w:type="dxa"/>
              <w:end w:w="110" w:type="dxa"/>
            </w:tcMar>
            <w:vAlign w:val="center"/>
          </w:tcPr>
          <w:p>
            <w:pPr>
              <w:jc w:val="center"/>
            </w:pPr>
            <w:r>
              <w:rPr>
                <w:rFonts w:ascii="Aptos" w:hAnsi="Aptos"/>
                <w:b/>
                <w:i w:val="0"/>
                <w:color w:val="FFFFFF"/>
                <w:sz w:val="16"/>
              </w:rPr>
              <w:t>Controlled value</w:t>
            </w:r>
          </w:p>
        </w:tc>
      </w:tr>
      <w:tr>
        <w:tc>
          <w:tcPr>
            <w:tcW w:type="dxa" w:w="2721"/>
            <w:tcMar>
              <w:top w:w="90" w:type="dxa"/>
              <w:start w:w="110" w:type="dxa"/>
              <w:bottom w:w="90" w:type="dxa"/>
              <w:end w:w="110" w:type="dxa"/>
            </w:tcMar>
            <w:vAlign w:val="center"/>
          </w:tcPr>
          <w:p>
            <w:pPr>
              <w:jc w:val="center"/>
            </w:pPr>
            <w:r>
              <w:rPr>
                <w:rFonts w:ascii="Aptos" w:hAnsi="Aptos"/>
                <w:b w:val="0"/>
                <w:i w:val="0"/>
                <w:sz w:val="16"/>
              </w:rPr>
              <w:t>Receipt ID</w:t>
            </w:r>
          </w:p>
        </w:tc>
        <w:tc>
          <w:tcPr>
            <w:tcW w:type="dxa" w:w="7143"/>
            <w:tcMar>
              <w:top w:w="90" w:type="dxa"/>
              <w:start w:w="110" w:type="dxa"/>
              <w:bottom w:w="90" w:type="dxa"/>
              <w:end w:w="110" w:type="dxa"/>
            </w:tcMar>
            <w:vAlign w:val="center"/>
          </w:tcPr>
          <w:p>
            <w:pPr>
              <w:jc w:val="left"/>
            </w:pPr>
            <w:r>
              <w:rPr>
                <w:rFonts w:ascii="Aptos" w:hAnsi="Aptos"/>
                <w:b w:val="0"/>
                <w:i w:val="0"/>
                <w:sz w:val="16"/>
              </w:rPr>
              <w:t>T2-EN-RELEASE-RECEIPT-v0.9</w:t>
            </w:r>
          </w:p>
        </w:tc>
      </w:tr>
      <w:tr>
        <w:tc>
          <w:tcPr>
            <w:tcW w:type="dxa" w:w="2721"/>
            <w:tcMar>
              <w:top w:w="90" w:type="dxa"/>
              <w:start w:w="110" w:type="dxa"/>
              <w:bottom w:w="90" w:type="dxa"/>
              <w:end w:w="110" w:type="dxa"/>
            </w:tcMar>
            <w:vAlign w:val="center"/>
          </w:tcPr>
          <w:p>
            <w:pPr>
              <w:jc w:val="center"/>
            </w:pPr>
            <w:r>
              <w:rPr>
                <w:rFonts w:ascii="Aptos" w:hAnsi="Aptos"/>
                <w:b w:val="0"/>
                <w:i w:val="0"/>
                <w:sz w:val="16"/>
              </w:rPr>
              <w:t>Candidate</w:t>
            </w:r>
          </w:p>
        </w:tc>
        <w:tc>
          <w:tcPr>
            <w:tcW w:type="dxa" w:w="7143"/>
            <w:tcMar>
              <w:top w:w="90" w:type="dxa"/>
              <w:start w:w="110" w:type="dxa"/>
              <w:bottom w:w="90" w:type="dxa"/>
              <w:end w:w="110" w:type="dxa"/>
            </w:tcMar>
            <w:vAlign w:val="center"/>
          </w:tcPr>
          <w:p>
            <w:pPr>
              <w:jc w:val="left"/>
            </w:pPr>
            <w:r>
              <w:rPr>
                <w:rFonts w:ascii="Aptos" w:hAnsi="Aptos"/>
                <w:b w:val="0"/>
                <w:i w:val="0"/>
                <w:sz w:val="16"/>
              </w:rPr>
              <w:t>T2-EN-FC-v0.9</w:t>
            </w:r>
          </w:p>
        </w:tc>
      </w:tr>
      <w:tr>
        <w:tc>
          <w:tcPr>
            <w:tcW w:type="dxa" w:w="2721"/>
            <w:tcMar>
              <w:top w:w="90" w:type="dxa"/>
              <w:start w:w="110" w:type="dxa"/>
              <w:bottom w:w="90" w:type="dxa"/>
              <w:end w:w="110" w:type="dxa"/>
            </w:tcMar>
            <w:vAlign w:val="center"/>
          </w:tcPr>
          <w:p>
            <w:pPr>
              <w:jc w:val="center"/>
            </w:pPr>
            <w:r>
              <w:rPr>
                <w:rFonts w:ascii="Aptos" w:hAnsi="Aptos"/>
                <w:b w:val="0"/>
                <w:i w:val="0"/>
                <w:sz w:val="16"/>
              </w:rPr>
              <w:t>Decision options</w:t>
            </w:r>
          </w:p>
        </w:tc>
        <w:tc>
          <w:tcPr>
            <w:tcW w:type="dxa" w:w="7143"/>
            <w:tcMar>
              <w:top w:w="90" w:type="dxa"/>
              <w:start w:w="110" w:type="dxa"/>
              <w:bottom w:w="90" w:type="dxa"/>
              <w:end w:w="110" w:type="dxa"/>
            </w:tcMar>
            <w:vAlign w:val="center"/>
          </w:tcPr>
          <w:p>
            <w:pPr>
              <w:jc w:val="left"/>
            </w:pPr>
            <w:r>
              <w:rPr>
                <w:rFonts w:ascii="Aptos" w:hAnsi="Aptos"/>
                <w:b w:val="0"/>
                <w:i w:val="0"/>
                <w:sz w:val="16"/>
              </w:rPr>
              <w:t>ACCEPTED FOR FREEZE / RETURNED FOR CONTROLLED CORRECTION</w:t>
            </w:r>
          </w:p>
        </w:tc>
      </w:tr>
      <w:tr>
        <w:tc>
          <w:tcPr>
            <w:tcW w:type="dxa" w:w="2721"/>
            <w:tcMar>
              <w:top w:w="90" w:type="dxa"/>
              <w:start w:w="110" w:type="dxa"/>
              <w:bottom w:w="90" w:type="dxa"/>
              <w:end w:w="110" w:type="dxa"/>
            </w:tcMar>
            <w:vAlign w:val="center"/>
          </w:tcPr>
          <w:p>
            <w:pPr>
              <w:jc w:val="center"/>
            </w:pPr>
            <w:r>
              <w:rPr>
                <w:rFonts w:ascii="Aptos" w:hAnsi="Aptos"/>
                <w:b w:val="0"/>
                <w:i w:val="0"/>
                <w:sz w:val="16"/>
              </w:rPr>
              <w:t>Binding objects</w:t>
            </w:r>
          </w:p>
        </w:tc>
        <w:tc>
          <w:tcPr>
            <w:tcW w:type="dxa" w:w="7143"/>
            <w:tcMar>
              <w:top w:w="90" w:type="dxa"/>
              <w:start w:w="110" w:type="dxa"/>
              <w:bottom w:w="90" w:type="dxa"/>
              <w:end w:w="110" w:type="dxa"/>
            </w:tcMar>
            <w:vAlign w:val="center"/>
          </w:tcPr>
          <w:p>
            <w:pPr>
              <w:jc w:val="left"/>
            </w:pPr>
            <w:r>
              <w:rPr>
                <w:rFonts w:ascii="Aptos" w:hAnsi="Aptos"/>
                <w:b w:val="0"/>
                <w:i w:val="0"/>
                <w:sz w:val="16"/>
              </w:rPr>
              <w:t>Candidate DOCX SHA-256; candidate PDF SHA-256; scientific corpus hash; source-hash ledger</w:t>
            </w:r>
          </w:p>
        </w:tc>
      </w:tr>
      <w:tr>
        <w:tc>
          <w:tcPr>
            <w:tcW w:type="dxa" w:w="2721"/>
            <w:tcMar>
              <w:top w:w="90" w:type="dxa"/>
              <w:start w:w="110" w:type="dxa"/>
              <w:bottom w:w="90" w:type="dxa"/>
              <w:end w:w="110" w:type="dxa"/>
            </w:tcMar>
            <w:vAlign w:val="center"/>
          </w:tcPr>
          <w:p>
            <w:pPr>
              <w:jc w:val="center"/>
            </w:pPr>
            <w:r>
              <w:rPr>
                <w:rFonts w:ascii="Aptos" w:hAnsi="Aptos"/>
                <w:b w:val="0"/>
                <w:i w:val="0"/>
                <w:sz w:val="16"/>
              </w:rPr>
              <w:t>Current state</w:t>
            </w:r>
          </w:p>
        </w:tc>
        <w:tc>
          <w:tcPr>
            <w:tcW w:type="dxa" w:w="7143"/>
            <w:tcMar>
              <w:top w:w="90" w:type="dxa"/>
              <w:start w:w="110" w:type="dxa"/>
              <w:bottom w:w="90" w:type="dxa"/>
              <w:end w:w="110" w:type="dxa"/>
            </w:tcMar>
            <w:vAlign w:val="center"/>
          </w:tcPr>
          <w:p>
            <w:pPr>
              <w:jc w:val="left"/>
            </w:pPr>
            <w:r>
              <w:rPr>
                <w:rFonts w:ascii="Aptos" w:hAnsi="Aptos"/>
                <w:b w:val="0"/>
                <w:i w:val="0"/>
                <w:sz w:val="16"/>
              </w:rPr>
              <w:t>UNSIGNED / NO AUTHORIAL DECISION RECORDED</w:t>
            </w:r>
          </w:p>
        </w:tc>
      </w:tr>
      <w:tr>
        <w:tc>
          <w:tcPr>
            <w:tcW w:type="dxa" w:w="2721"/>
            <w:tcMar>
              <w:top w:w="90" w:type="dxa"/>
              <w:start w:w="110" w:type="dxa"/>
              <w:bottom w:w="90" w:type="dxa"/>
              <w:end w:w="110" w:type="dxa"/>
            </w:tcMar>
            <w:vAlign w:val="center"/>
          </w:tcPr>
          <w:p>
            <w:pPr>
              <w:jc w:val="center"/>
            </w:pPr>
            <w:r>
              <w:rPr>
                <w:rFonts w:ascii="Aptos" w:hAnsi="Aptos"/>
                <w:b w:val="0"/>
                <w:i w:val="0"/>
                <w:sz w:val="16"/>
              </w:rPr>
              <w:t>Effect of acceptance</w:t>
            </w:r>
          </w:p>
        </w:tc>
        <w:tc>
          <w:tcPr>
            <w:tcW w:type="dxa" w:w="7143"/>
            <w:tcMar>
              <w:top w:w="90" w:type="dxa"/>
              <w:start w:w="110" w:type="dxa"/>
              <w:bottom w:w="90" w:type="dxa"/>
              <w:end w:w="110" w:type="dxa"/>
            </w:tcMar>
            <w:vAlign w:val="center"/>
          </w:tcPr>
          <w:p>
            <w:pPr>
              <w:jc w:val="left"/>
            </w:pPr>
            <w:r>
              <w:rPr>
                <w:rFonts w:ascii="Aptos" w:hAnsi="Aptos"/>
                <w:b w:val="0"/>
                <w:i w:val="0"/>
                <w:sz w:val="16"/>
              </w:rPr>
              <w:t>Prepare immutable tom2_en_v1_0.docx and tom2_en_v1_0.pdf with freeze manifest and final authorial card</w:t>
            </w:r>
          </w:p>
        </w:tc>
      </w:tr>
      <w:tr>
        <w:tc>
          <w:tcPr>
            <w:tcW w:type="dxa" w:w="2721"/>
            <w:tcMar>
              <w:top w:w="90" w:type="dxa"/>
              <w:start w:w="110" w:type="dxa"/>
              <w:bottom w:w="90" w:type="dxa"/>
              <w:end w:w="110" w:type="dxa"/>
            </w:tcMar>
            <w:vAlign w:val="center"/>
          </w:tcPr>
          <w:p>
            <w:pPr>
              <w:jc w:val="center"/>
            </w:pPr>
            <w:r>
              <w:rPr>
                <w:rFonts w:ascii="Aptos" w:hAnsi="Aptos"/>
                <w:b w:val="0"/>
                <w:i w:val="0"/>
                <w:sz w:val="16"/>
              </w:rPr>
              <w:t>Effect of return</w:t>
            </w:r>
          </w:p>
        </w:tc>
        <w:tc>
          <w:tcPr>
            <w:tcW w:type="dxa" w:w="7143"/>
            <w:tcMar>
              <w:top w:w="90" w:type="dxa"/>
              <w:start w:w="110" w:type="dxa"/>
              <w:bottom w:w="90" w:type="dxa"/>
              <w:end w:w="110" w:type="dxa"/>
            </w:tcMar>
            <w:vAlign w:val="center"/>
          </w:tcPr>
          <w:p>
            <w:pPr>
              <w:jc w:val="left"/>
            </w:pPr>
            <w:r>
              <w:rPr>
                <w:rFonts w:ascii="Aptos" w:hAnsi="Aptos"/>
                <w:b w:val="0"/>
                <w:i w:val="0"/>
                <w:sz w:val="16"/>
              </w:rPr>
              <w:t>Open a new controlled change-set; do not silently modify the candidate</w:t>
            </w:r>
          </w:p>
        </w:tc>
      </w:tr>
    </w:tbl>
    <w:p>
      <w:pPr>
        <w:pStyle w:val="Heading2"/>
        <w:keepNext/>
      </w:pPr>
      <w:r>
        <w:rPr>
          <w:rFonts w:ascii="Aptos" w:hAnsi="Aptos"/>
          <w:b/>
          <w:i w:val="0"/>
          <w:color w:val="1F4E78"/>
          <w:sz w:val="24"/>
        </w:rPr>
        <w:t>T2-G.6. Freeze Gate and Boundary of Inference</w:t>
      </w:r>
    </w:p>
    <w:tbl>
      <w:tblPr>
        <w:tblW w:type="auto" w:w="0"/>
        <w:jc w:val="center"/>
        <w:tblLayout w:type="autofit"/>
        <w:tblLook w:firstColumn="1" w:firstRow="1" w:lastColumn="0" w:lastRow="0" w:noHBand="0" w:noVBand="1" w:val="04A0"/>
      </w:tblPr>
      <w:tblGrid>
        <w:gridCol w:w="9978"/>
      </w:tblGrid>
      <w:tr>
        <w:trPr>
          <w:cantSplit/>
          <w:tblHeader w:val="true"/>
        </w:trPr>
        <w:tc>
          <w:tcPr>
            <w:tcW w:type="dxa" w:w="9978"/>
            <w:shd w:fill="E8F3EA"/>
            <w:tcMar>
              <w:top w:w="130" w:type="dxa"/>
              <w:start w:w="140" w:type="dxa"/>
              <w:bottom w:w="130" w:type="dxa"/>
              <w:end w:w="140" w:type="dxa"/>
            </w:tcMar>
          </w:tcPr>
          <w:p>
            <w:r>
              <w:rPr>
                <w:rFonts w:ascii="Aptos" w:hAnsi="Aptos"/>
                <w:b/>
                <w:i w:val="0"/>
                <w:color w:val="2E6B3D"/>
                <w:sz w:val="18"/>
              </w:rPr>
              <w:t xml:space="preserve">FREEZE GATE. </w:t>
            </w:r>
            <w:r>
              <w:rPr>
                <w:rFonts w:ascii="Aptos" w:hAnsi="Aptos"/>
                <w:b w:val="0"/>
                <w:i w:val="0"/>
                <w:sz w:val="18"/>
              </w:rPr>
              <w:t>T2-EN-FC-v0.9 is ready for an explicit authorial decision only after all sidecar checks return PASS. Until that decision, the candidate is not the immutable English Volume II release.</w:t>
            </w:r>
          </w:p>
        </w:tc>
      </w:tr>
    </w:tbl>
    <w:tbl>
      <w:tblPr>
        <w:tblW w:type="auto" w:w="0"/>
        <w:jc w:val="center"/>
        <w:tblLayout w:type="autofit"/>
        <w:tblLook w:firstColumn="1" w:firstRow="1" w:lastColumn="0" w:lastRow="0" w:noHBand="0" w:noVBand="1" w:val="04A0"/>
      </w:tblPr>
      <w:tblGrid>
        <w:gridCol w:w="9978"/>
      </w:tblGrid>
      <w:tr>
        <w:trPr>
          <w:cantSplit/>
          <w:tblHeader w:val="true"/>
        </w:trPr>
        <w:tc>
          <w:tcPr>
            <w:tcW w:type="dxa" w:w="9978"/>
            <w:shd w:fill="FBE9E7"/>
            <w:tcMar>
              <w:top w:w="130" w:type="dxa"/>
              <w:start w:w="140" w:type="dxa"/>
              <w:bottom w:w="130" w:type="dxa"/>
              <w:end w:w="140" w:type="dxa"/>
            </w:tcMar>
          </w:tcPr>
          <w:p>
            <w:r>
              <w:rPr>
                <w:rFonts w:ascii="Aptos" w:hAnsi="Aptos"/>
                <w:b/>
                <w:i w:val="0"/>
                <w:color w:val="9C1C1C"/>
                <w:sz w:val="18"/>
              </w:rPr>
              <w:t xml:space="preserve">STATUS FIREWALL. </w:t>
            </w:r>
            <w:r>
              <w:rPr>
                <w:rFonts w:ascii="Aptos" w:hAnsi="Aptos"/>
                <w:b w:val="0"/>
                <w:i w:val="0"/>
                <w:sz w:val="18"/>
              </w:rPr>
              <w:t>truth_layer_promotion=0. OPEN, COND, MODEL, PHY-HYP, ABSTAIN, the absence of independent EXT-RUN, and the absence of EMP-OBS are preserved. The external signed bilingual audit remains OPEN NON-VETO.</w:t>
            </w:r>
          </w:p>
        </w:tc>
      </w:tr>
    </w:tbl>
    <w:p>
      <w:pPr>
        <w:pStyle w:val="Heading1"/>
        <w:keepNext/>
      </w:pPr>
      <w:r>
        <w:rPr>
          <w:rFonts w:ascii="Aptos" w:hAnsi="Aptos"/>
          <w:b/>
          <w:i w:val="0"/>
          <w:color w:val="1F4E78"/>
          <w:sz w:val="32"/>
        </w:rPr>
        <w:t>Final Record T2-EN-FC-v0.9</w:t>
      </w:r>
    </w:p>
    <w:p>
      <w:pPr>
        <w:spacing w:after="100" w:line="259" w:lineRule="auto"/>
      </w:pPr>
      <w:r>
        <w:rPr>
          <w:rFonts w:ascii="Aptos" w:hAnsi="Aptos"/>
          <w:b w:val="0"/>
          <w:i w:val="0"/>
          <w:sz w:val="18"/>
        </w:rPr>
        <w:t>The freeze candidate records the audited English Volume II without scientific change, binds it to its canonical sources and predecessor hashes, and supplies an unsigned detached authorial release receipt. The release state is FREEZE CANDIDATE - NOT YET FROZEN. The only planned next checkpoint is T2-EN-FREEZE-v1.0 after explicit authorial acceptance; otherwise a new controlled correction cycle is required.</w:t>
      </w:r>
    </w:p>
    <w:sectPr w:rsidR="00FC693F" w:rsidRPr="0006063C" w:rsidSect="00034616">
      <w:pgSz w:w="11906" w:h="16838"/>
      <w:pgMar w:top="907" w:right="964" w:bottom="90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erif" w:hAnsi="DejaVu Serif" w:eastAsia="DejaVu Serif"/>
        <w:b w:val="0"/>
        <w:i w:val="0"/>
        <w:color w:val="5C6773"/>
        <w:sz w:val="16"/>
      </w:rPr>
      <w:t xml:space="preserve">I. B. Kurpishev · Kaliningrad · 2026     </w:t>
    </w:r>
    <w: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b w:val="0"/>
        <w:i w:val="0"/>
        <w:color w:val="5B6573"/>
        <w:sz w:val="16"/>
      </w:rPr>
      <w:t>BASIC KLT-RBD PROJECT - VOLUME II - T2-EN-FREEZE-v1.0</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fals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DejaVu Serif" w:hAnsi="DejaVu Seri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DejaVu Sans" w:hAnsi="DejaVu Sans"/>
      <w:b/>
      <w:bCs/>
      <w:color w:val="173F69"/>
      <w:sz w:val="34"/>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DejaVu Sans" w:hAnsi="DejaVu Sans"/>
      <w:b/>
      <w:bCs/>
      <w:color w:val="285B89"/>
      <w:sz w:val="27"/>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DejaVu Sans" w:hAnsi="DejaVu Sans"/>
      <w:b/>
      <w:bCs/>
      <w:color w:val="A7731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60"/>
      <w:contextualSpacing/>
    </w:pPr>
    <w:rPr>
      <w:rFonts w:asciiTheme="majorHAnsi" w:eastAsiaTheme="majorEastAsia" w:hAnsiTheme="majorHAnsi" w:cstheme="majorBidi" w:ascii="DejaVu Sans" w:hAnsi="DejaVu Sans"/>
      <w:b/>
      <w:color w:val="173F6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160" w:after="100"/>
    </w:pPr>
    <w:rPr>
      <w:rFonts w:asciiTheme="majorHAnsi" w:eastAsiaTheme="majorEastAsia" w:hAnsiTheme="majorHAnsi" w:cstheme="majorBidi" w:ascii="DejaVu Sans" w:hAnsi="DejaVu Sans"/>
      <w:b/>
      <w:i/>
      <w:iCs/>
      <w:color w:val="A77317"/>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LTCaption">
    <w:name w:val="KLT Caption"/>
    <w:rPr>
      <w:rFonts w:ascii="DejaVu Serif" w:hAnsi="DejaVu Serif"/>
      <w:i/>
      <w:color w:val="5C677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image" Target="media/image36.png"/><Relationship Id="rId47" Type="http://schemas.openxmlformats.org/officeDocument/2006/relationships/image" Target="media/image37.png"/><Relationship Id="rId48" Type="http://schemas.openxmlformats.org/officeDocument/2006/relationships/image" Target="media/image38.png"/><Relationship Id="rId49" Type="http://schemas.openxmlformats.org/officeDocument/2006/relationships/image" Target="media/image39.png"/><Relationship Id="rId50" Type="http://schemas.openxmlformats.org/officeDocument/2006/relationships/image" Target="media/image40.png"/><Relationship Id="rId51" Type="http://schemas.openxmlformats.org/officeDocument/2006/relationships/image" Target="media/image41.png"/><Relationship Id="rId52" Type="http://schemas.openxmlformats.org/officeDocument/2006/relationships/image" Target="media/image42.png"/><Relationship Id="rId53" Type="http://schemas.openxmlformats.org/officeDocument/2006/relationships/image" Target="media/image43.png"/><Relationship Id="rId54" Type="http://schemas.openxmlformats.org/officeDocument/2006/relationships/image" Target="media/image44.png"/><Relationship Id="rId55" Type="http://schemas.openxmlformats.org/officeDocument/2006/relationships/image" Target="media/image45.png"/><Relationship Id="rId56" Type="http://schemas.openxmlformats.org/officeDocument/2006/relationships/image" Target="media/image46.png"/><Relationship Id="rId57" Type="http://schemas.openxmlformats.org/officeDocument/2006/relationships/image" Target="media/image47.png"/><Relationship Id="rId58" Type="http://schemas.openxmlformats.org/officeDocument/2006/relationships/image" Target="media/image48.png"/><Relationship Id="rId59" Type="http://schemas.openxmlformats.org/officeDocument/2006/relationships/image" Target="media/image49.png"/><Relationship Id="rId60" Type="http://schemas.openxmlformats.org/officeDocument/2006/relationships/image" Target="media/image50.png"/><Relationship Id="rId61" Type="http://schemas.openxmlformats.org/officeDocument/2006/relationships/image" Target="media/image51.png"/><Relationship Id="rId62" Type="http://schemas.openxmlformats.org/officeDocument/2006/relationships/image" Target="media/image52.png"/><Relationship Id="rId63" Type="http://schemas.openxmlformats.org/officeDocument/2006/relationships/image" Target="media/image53.png"/><Relationship Id="rId64" Type="http://schemas.openxmlformats.org/officeDocument/2006/relationships/image" Target="media/image54.png"/><Relationship Id="rId65" Type="http://schemas.openxmlformats.org/officeDocument/2006/relationships/image" Target="media/image55.png"/><Relationship Id="rId66" Type="http://schemas.openxmlformats.org/officeDocument/2006/relationships/image" Target="media/image56.png"/><Relationship Id="rId67" Type="http://schemas.openxmlformats.org/officeDocument/2006/relationships/image" Target="media/image57.png"/><Relationship Id="rId68" Type="http://schemas.openxmlformats.org/officeDocument/2006/relationships/image" Target="media/image58.png"/><Relationship Id="rId69" Type="http://schemas.openxmlformats.org/officeDocument/2006/relationships/image" Target="media/image59.png"/><Relationship Id="rId70" Type="http://schemas.openxmlformats.org/officeDocument/2006/relationships/image" Target="media/image60.png"/><Relationship Id="rId71" Type="http://schemas.openxmlformats.org/officeDocument/2006/relationships/image" Target="media/image61.png"/><Relationship Id="rId72" Type="http://schemas.openxmlformats.org/officeDocument/2006/relationships/image" Target="media/image62.png"/><Relationship Id="rId73" Type="http://schemas.openxmlformats.org/officeDocument/2006/relationships/header" Target="header2.xml"/><Relationship Id="rId74" Type="http://schemas.openxmlformats.org/officeDocument/2006/relationships/header" Target="header3.xml"/><Relationship Id="rId75" Type="http://schemas.openxmlformats.org/officeDocument/2006/relationships/footer" Target="footer2.xml"/><Relationship Id="rId7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KLT-RBD Project. Volume II: Strict Nonassociative Packet Reper Geometry NAPG 3.0</dc:title>
  <dc:subject>Controlled English Derivative - Frozen Authorial Release</dc:subject>
  <dc:creator>Ivan Borisovich Kurpishev</dc:creator>
  <cp:keywords>KLT-RBD; NAPG 3.0; Reper; nonassociative geometry; controlled English derivative; frozen release</cp:keywords>
  <dc:description>T2-EN-FREEZE-v1.0. Accepted predecessor: T2-EN-FC-v0.9. truth_layer_promotion=0.</dc:description>
  <cp:lastModifiedBy/>
  <cp:revision>1</cp:revision>
  <dcterms:created xsi:type="dcterms:W3CDTF">2013-12-23T23:15:00Z</dcterms:created>
  <dcterms:modified xsi:type="dcterms:W3CDTF">2013-12-23T23:15:00Z</dcterms:modified>
  <cp:category/>
</cp:coreProperties>
</file>